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color w:val="auto"/>
          <w:sz w:val="72"/>
          <w:szCs w:val="72"/>
          <w:highlight w:val="none"/>
          <w:lang w:eastAsia="zh-CN"/>
        </w:rPr>
      </w:pPr>
      <w:bookmarkStart w:id="0" w:name="_Toc27577"/>
      <w:bookmarkStart w:id="1" w:name="_Toc10516"/>
      <w:bookmarkStart w:id="2" w:name="_Toc18270"/>
    </w:p>
    <w:bookmarkEnd w:id="0"/>
    <w:bookmarkEnd w:id="1"/>
    <w:p>
      <w:pPr>
        <w:adjustRightInd w:val="0"/>
        <w:snapToGrid w:val="0"/>
        <w:jc w:val="center"/>
        <w:rPr>
          <w:rFonts w:ascii="方正小标宋_GBK" w:eastAsia="方正小标宋_GBK"/>
          <w:bCs/>
          <w:color w:val="auto"/>
          <w:sz w:val="72"/>
          <w:szCs w:val="72"/>
        </w:rPr>
      </w:pPr>
      <w:bookmarkStart w:id="3" w:name="_Hlk57884087"/>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jc w:val="center"/>
        <w:rPr>
          <w:rFonts w:eastAsia="仿宋"/>
          <w:color w:val="auto"/>
          <w:sz w:val="52"/>
          <w:szCs w:val="52"/>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288" w:lineRule="auto"/>
        <w:ind w:left="3237" w:leftChars="513" w:hanging="2160" w:hangingChars="600"/>
        <w:jc w:val="left"/>
        <w:rPr>
          <w:rFonts w:ascii="仿宋_GB2312" w:eastAsia="仿宋_GB2312"/>
          <w:color w:val="auto"/>
          <w:sz w:val="36"/>
          <w:szCs w:val="36"/>
          <w:u w:val="single"/>
        </w:rPr>
      </w:pPr>
      <w:r>
        <w:rPr>
          <w:rFonts w:hint="eastAsia" w:ascii="仿宋_GB2312" w:eastAsia="仿宋_GB2312"/>
          <w:color w:val="auto"/>
          <w:sz w:val="36"/>
          <w:szCs w:val="36"/>
        </w:rPr>
        <w:t>项目名称：</w:t>
      </w:r>
      <w:r>
        <w:rPr>
          <w:rFonts w:hint="eastAsia" w:ascii="仿宋_GB2312" w:eastAsia="仿宋_GB2312"/>
          <w:color w:val="auto"/>
          <w:sz w:val="36"/>
          <w:szCs w:val="36"/>
          <w:u w:val="single"/>
        </w:rPr>
        <w:t>云南广兴塑料泡沫有限责任公司塑料制品生产线建设项目</w:t>
      </w:r>
    </w:p>
    <w:p>
      <w:pPr>
        <w:adjustRightInd w:val="0"/>
        <w:snapToGrid w:val="0"/>
        <w:spacing w:line="288" w:lineRule="auto"/>
        <w:ind w:firstLine="720" w:firstLineChars="200"/>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云南广兴塑料泡沫有限责任公司</w:t>
      </w:r>
    </w:p>
    <w:p>
      <w:pPr>
        <w:adjustRightInd w:val="0"/>
        <w:snapToGrid w:val="0"/>
        <w:spacing w:line="288" w:lineRule="auto"/>
        <w:ind w:firstLine="1040"/>
        <w:rPr>
          <w:rFonts w:ascii="仿宋_GB2312" w:eastAsia="仿宋_GB2312"/>
          <w:color w:val="auto"/>
          <w:sz w:val="36"/>
          <w:szCs w:val="36"/>
          <w:u w:val="single"/>
        </w:rPr>
      </w:pPr>
      <w:r>
        <w:rPr>
          <w:rFonts w:hint="eastAsia" w:ascii="仿宋_GB2312" w:eastAsia="仿宋_GB2312"/>
          <w:color w:val="auto"/>
          <w:sz w:val="36"/>
          <w:szCs w:val="36"/>
        </w:rPr>
        <w:t>编制日期：</w:t>
      </w:r>
      <w:r>
        <w:rPr>
          <w:rFonts w:hint="eastAsia" w:ascii="仿宋_GB2312" w:eastAsia="仿宋_GB2312"/>
          <w:color w:val="auto"/>
          <w:sz w:val="36"/>
          <w:szCs w:val="36"/>
          <w:u w:val="single"/>
        </w:rPr>
        <w:t xml:space="preserve">           202</w:t>
      </w:r>
      <w:r>
        <w:rPr>
          <w:rFonts w:hint="eastAsia" w:ascii="仿宋_GB2312" w:eastAsia="仿宋_GB2312"/>
          <w:color w:val="auto"/>
          <w:sz w:val="36"/>
          <w:szCs w:val="36"/>
          <w:u w:val="single"/>
          <w:lang w:val="en-US" w:eastAsia="zh-CN"/>
        </w:rPr>
        <w:t>3</w:t>
      </w:r>
      <w:r>
        <w:rPr>
          <w:rFonts w:hint="eastAsia" w:ascii="仿宋_GB2312" w:eastAsia="仿宋_GB2312"/>
          <w:color w:val="auto"/>
          <w:sz w:val="36"/>
          <w:szCs w:val="36"/>
          <w:u w:val="single"/>
        </w:rPr>
        <w:t>年</w:t>
      </w:r>
      <w:r>
        <w:rPr>
          <w:rFonts w:hint="eastAsia" w:ascii="仿宋_GB2312" w:eastAsia="仿宋_GB2312"/>
          <w:color w:val="auto"/>
          <w:sz w:val="36"/>
          <w:szCs w:val="36"/>
          <w:u w:val="single"/>
          <w:lang w:val="en-US" w:eastAsia="zh-CN"/>
        </w:rPr>
        <w:t>11</w:t>
      </w:r>
      <w:r>
        <w:rPr>
          <w:rFonts w:hint="eastAsia" w:ascii="仿宋_GB2312" w:eastAsia="仿宋_GB2312"/>
          <w:color w:val="auto"/>
          <w:sz w:val="36"/>
          <w:szCs w:val="36"/>
          <w:u w:val="single"/>
        </w:rPr>
        <w:t xml:space="preserve">月            </w:t>
      </w:r>
    </w:p>
    <w:p>
      <w:pPr>
        <w:adjustRightInd w:val="0"/>
        <w:snapToGrid w:val="0"/>
        <w:spacing w:line="288" w:lineRule="auto"/>
        <w:ind w:firstLine="1040"/>
        <w:rPr>
          <w:rFonts w:ascii="仿宋_GB2312" w:eastAsia="仿宋_GB2312"/>
          <w:color w:val="auto"/>
          <w:sz w:val="36"/>
          <w:szCs w:val="36"/>
          <w:u w:val="single"/>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jc w:val="center"/>
        <w:rPr>
          <w:color w:val="auto"/>
        </w:rPr>
        <w:sectPr>
          <w:footerReference r:id="rId3" w:type="default"/>
          <w:pgSz w:w="11906" w:h="16838"/>
          <w:pgMar w:top="1701" w:right="1531" w:bottom="1701" w:left="1531" w:header="851" w:footer="1077" w:gutter="0"/>
          <w:pgNumType w:start="3"/>
          <w:cols w:space="720" w:num="1"/>
          <w:docGrid w:linePitch="312" w:charSpace="0"/>
        </w:sectPr>
      </w:pPr>
      <w:r>
        <w:rPr>
          <w:rFonts w:hint="eastAsia" w:ascii="楷体_GB2312" w:eastAsia="楷体_GB2312"/>
          <w:color w:val="auto"/>
          <w:sz w:val="36"/>
          <w:szCs w:val="36"/>
        </w:rPr>
        <w:t>中华人民共和国生态环境部</w:t>
      </w:r>
    </w:p>
    <w:bookmarkEnd w:id="3"/>
    <w:p>
      <w:pPr>
        <w:spacing w:before="0" w:beforeLines="0" w:after="0" w:afterLines="0" w:line="240" w:lineRule="auto"/>
        <w:ind w:left="0" w:leftChars="0" w:right="0" w:rightChars="0" w:firstLine="0" w:firstLineChars="0"/>
        <w:jc w:val="both"/>
        <w:rPr>
          <w:rFonts w:hint="default" w:ascii="Times New Roman" w:hAnsi="Times New Roman" w:eastAsia="宋体" w:cs="Times New Roman"/>
          <w:color w:val="auto"/>
          <w:sz w:val="32"/>
          <w:szCs w:val="32"/>
          <w:highlight w:val="none"/>
          <w:lang w:val="en-US" w:eastAsia="zh-CN"/>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val="0"/>
        <w:snapToGrid w:val="0"/>
        <w:spacing w:line="360" w:lineRule="auto"/>
        <w:jc w:val="center"/>
        <w:rPr>
          <w:rFonts w:hint="default" w:ascii="Times New Roman" w:hAnsi="Times New Roman" w:eastAsia="宋体" w:cs="Times New Roman"/>
          <w:b/>
          <w:bCs/>
          <w:color w:val="auto"/>
          <w:sz w:val="36"/>
          <w:szCs w:val="36"/>
          <w:highlight w:val="none"/>
        </w:rPr>
      </w:pPr>
      <w:r>
        <w:rPr>
          <w:rFonts w:hint="default" w:ascii="Times New Roman" w:hAnsi="Times New Roman" w:eastAsia="宋体" w:cs="Times New Roman"/>
          <w:b/>
          <w:bCs/>
          <w:color w:val="auto"/>
          <w:sz w:val="36"/>
          <w:szCs w:val="36"/>
          <w:highlight w:val="none"/>
        </w:rPr>
        <w:t>目录</w:t>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TOC \o "1-1" \h \u </w:instrText>
      </w:r>
      <w:r>
        <w:rPr>
          <w:rFonts w:hint="default" w:ascii="Times New Roman" w:hAnsi="Times New Roman" w:eastAsia="宋体" w:cs="Times New Roman"/>
          <w:b/>
          <w:bCs/>
          <w:color w:val="auto"/>
          <w:sz w:val="28"/>
          <w:szCs w:val="28"/>
          <w:highlight w:val="none"/>
        </w:rPr>
        <w:fldChar w:fldCharType="separate"/>
      </w: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_Toc20961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一、建设项目基本情况</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_Toc20961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_Toc1587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二、建设项目工程分析</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_Toc1587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30</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_Toc7404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三、区域环境质量现状、环境保护目标及评价标准</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_Toc7404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52</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_Toc6112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四、主要环境影响和保护措施</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_Toc6112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62</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_Toc6939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五、环境保护措施监督检查清单</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_Toc6939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110</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eastAsia" w:ascii="黑体" w:hAnsi="黑体" w:eastAsia="黑体" w:cs="黑体"/>
          <w:color w:val="auto"/>
          <w:sz w:val="30"/>
          <w:szCs w:val="30"/>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_Toc24787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六、结论</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_Toc24787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113</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3"/>
        <w:keepNext w:val="0"/>
        <w:keepLines w:val="0"/>
        <w:pageBreakBefore w:val="0"/>
        <w:tabs>
          <w:tab w:val="right" w:leader="dot" w:pos="8844"/>
        </w:tabs>
        <w:kinsoku/>
        <w:wordWrap/>
        <w:overflowPunct/>
        <w:topLinePunct w:val="0"/>
        <w:autoSpaceDE/>
        <w:autoSpaceDN/>
        <w:bidi w:val="0"/>
        <w:spacing w:line="360" w:lineRule="auto"/>
        <w:textAlignment w:val="auto"/>
        <w:rPr>
          <w:rFonts w:hint="default" w:ascii="Times New Roman" w:hAnsi="Times New Roman" w:eastAsia="宋体" w:cs="Times New Roman"/>
          <w:color w:val="auto"/>
          <w:sz w:val="28"/>
          <w:szCs w:val="28"/>
          <w:highlight w:val="none"/>
        </w:rPr>
      </w:pPr>
      <w:r>
        <w:rPr>
          <w:rFonts w:hint="eastAsia" w:ascii="黑体" w:hAnsi="黑体" w:eastAsia="黑体" w:cs="黑体"/>
          <w:bCs/>
          <w:color w:val="auto"/>
          <w:sz w:val="30"/>
          <w:szCs w:val="30"/>
          <w:highlight w:val="none"/>
        </w:rPr>
        <w:fldChar w:fldCharType="begin"/>
      </w:r>
      <w:r>
        <w:rPr>
          <w:rFonts w:hint="eastAsia" w:ascii="黑体" w:hAnsi="黑体" w:eastAsia="黑体" w:cs="黑体"/>
          <w:bCs/>
          <w:color w:val="auto"/>
          <w:sz w:val="30"/>
          <w:szCs w:val="30"/>
          <w:highlight w:val="none"/>
        </w:rPr>
        <w:instrText xml:space="preserve"> HYPERLINK \l _Toc24156 </w:instrText>
      </w:r>
      <w:r>
        <w:rPr>
          <w:rFonts w:hint="eastAsia" w:ascii="黑体" w:hAnsi="黑体" w:eastAsia="黑体" w:cs="黑体"/>
          <w:bCs/>
          <w:color w:val="auto"/>
          <w:sz w:val="30"/>
          <w:szCs w:val="30"/>
          <w:highlight w:val="none"/>
        </w:rPr>
        <w:fldChar w:fldCharType="separate"/>
      </w:r>
      <w:r>
        <w:rPr>
          <w:rFonts w:hint="eastAsia" w:ascii="黑体" w:hAnsi="黑体" w:eastAsia="黑体" w:cs="黑体"/>
          <w:bCs/>
          <w:snapToGrid w:val="0"/>
          <w:color w:val="auto"/>
          <w:sz w:val="30"/>
          <w:szCs w:val="30"/>
          <w:highlight w:val="none"/>
        </w:rPr>
        <w:t>附表</w:t>
      </w:r>
      <w:r>
        <w:rPr>
          <w:rFonts w:hint="eastAsia" w:ascii="黑体" w:hAnsi="黑体" w:eastAsia="黑体" w:cs="黑体"/>
          <w:color w:val="auto"/>
          <w:sz w:val="30"/>
          <w:szCs w:val="30"/>
          <w:highlight w:val="none"/>
        </w:rPr>
        <w:tab/>
      </w: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 PAGEREF _Toc24156 \h </w:instrText>
      </w:r>
      <w:r>
        <w:rPr>
          <w:rFonts w:hint="eastAsia" w:ascii="黑体" w:hAnsi="黑体" w:eastAsia="黑体" w:cs="黑体"/>
          <w:color w:val="auto"/>
          <w:sz w:val="30"/>
          <w:szCs w:val="30"/>
          <w:highlight w:val="none"/>
        </w:rPr>
        <w:fldChar w:fldCharType="separate"/>
      </w:r>
      <w:r>
        <w:rPr>
          <w:rFonts w:hint="eastAsia" w:ascii="黑体" w:hAnsi="黑体" w:eastAsia="黑体" w:cs="黑体"/>
          <w:color w:val="auto"/>
          <w:sz w:val="30"/>
          <w:szCs w:val="30"/>
          <w:highlight w:val="none"/>
        </w:rPr>
        <w:t>114</w:t>
      </w:r>
      <w:r>
        <w:rPr>
          <w:rFonts w:hint="eastAsia" w:ascii="黑体" w:hAnsi="黑体" w:eastAsia="黑体" w:cs="黑体"/>
          <w:color w:val="auto"/>
          <w:sz w:val="30"/>
          <w:szCs w:val="30"/>
          <w:highlight w:val="none"/>
        </w:rPr>
        <w:fldChar w:fldCharType="end"/>
      </w:r>
      <w:r>
        <w:rPr>
          <w:rFonts w:hint="eastAsia" w:ascii="黑体" w:hAnsi="黑体" w:eastAsia="黑体" w:cs="黑体"/>
          <w:bCs/>
          <w:color w:val="auto"/>
          <w:sz w:val="30"/>
          <w:szCs w:val="30"/>
          <w:highlight w:val="none"/>
        </w:rPr>
        <w:fldChar w:fldCharType="end"/>
      </w: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textAlignment w:val="auto"/>
        <w:outlineLvl w:val="9"/>
        <w:rPr>
          <w:rFonts w:hint="default" w:ascii="Times New Roman" w:hAnsi="Times New Roman" w:eastAsia="宋体" w:cs="Times New Roman"/>
          <w:bCs/>
          <w:color w:val="auto"/>
          <w:sz w:val="24"/>
          <w:szCs w:val="24"/>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附件1：委托书</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附件2：营业执照；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法人身份证复印件；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附件</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投资项目备案证</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附件5</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招商协议；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附件6</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入园同意书；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：生物质燃料成分检测报告；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附件</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引用</w:t>
      </w:r>
      <w:r>
        <w:rPr>
          <w:rFonts w:hint="default" w:ascii="Times New Roman" w:hAnsi="Times New Roman" w:eastAsia="宋体" w:cs="Times New Roman"/>
          <w:color w:val="auto"/>
          <w:sz w:val="24"/>
          <w:szCs w:val="24"/>
          <w:highlight w:val="none"/>
          <w:lang w:val="en-US" w:eastAsia="zh-CN"/>
        </w:rPr>
        <w:t>环境质量现状监测报告</w:t>
      </w:r>
      <w:r>
        <w:rPr>
          <w:rFonts w:hint="eastAsia"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439" w:leftChars="228" w:hanging="960" w:hangingChars="4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附件9：昆明市人民政府关于云南寻甸产业园区总体规划修编（2021—2035年）的批复；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附件10：园区规划环评审查意见昆环审〔2023〕5号；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附件</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：合同、进度管理表、内审表；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附件12：全本信息公开；</w:t>
      </w: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附图1：项目地理位置图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附图2</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项目水系图</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附图3</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项目周边关系图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附图4</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项目总平面布置图</w:t>
      </w:r>
      <w:r>
        <w:rPr>
          <w:rFonts w:hint="default" w:ascii="Times New Roman" w:hAnsi="Times New Roman" w:eastAsia="宋体" w:cs="Times New Roman"/>
          <w:color w:val="auto"/>
          <w:sz w:val="24"/>
          <w:highlight w:val="none"/>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附图5</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rPr>
        <w:t>项目与牛栏江水系环境规划关系图</w:t>
      </w:r>
      <w:r>
        <w:rPr>
          <w:rFonts w:hint="default" w:ascii="Times New Roman" w:hAnsi="Times New Roman" w:eastAsia="宋体" w:cs="Times New Roman"/>
          <w:color w:val="auto"/>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附图6</w:t>
      </w:r>
      <w:r>
        <w:rPr>
          <w:rFonts w:hint="eastAsia" w:cs="Times New Roman"/>
          <w:color w:val="auto"/>
          <w:sz w:val="24"/>
          <w:highlight w:val="none"/>
          <w:lang w:val="en-US" w:eastAsia="zh-CN"/>
        </w:rPr>
        <w:t>：项目与</w:t>
      </w:r>
      <w:r>
        <w:rPr>
          <w:rFonts w:hint="default" w:ascii="Times New Roman" w:hAnsi="Times New Roman" w:eastAsia="宋体" w:cs="Times New Roman"/>
          <w:color w:val="auto"/>
          <w:sz w:val="24"/>
          <w:highlight w:val="none"/>
          <w:lang w:val="en-US" w:eastAsia="zh-CN"/>
        </w:rPr>
        <w:t>寻甸特色产业园区羊街片区用地规划</w:t>
      </w:r>
      <w:r>
        <w:rPr>
          <w:rFonts w:hint="eastAsia" w:cs="Times New Roman"/>
          <w:color w:val="auto"/>
          <w:sz w:val="24"/>
          <w:highlight w:val="none"/>
          <w:lang w:val="en-US" w:eastAsia="zh-CN"/>
        </w:rPr>
        <w:t>位置</w:t>
      </w:r>
      <w:r>
        <w:rPr>
          <w:rFonts w:hint="default" w:ascii="Times New Roman" w:hAnsi="Times New Roman" w:eastAsia="宋体" w:cs="Times New Roman"/>
          <w:color w:val="auto"/>
          <w:sz w:val="24"/>
          <w:highlight w:val="none"/>
          <w:lang w:val="en-US" w:eastAsia="zh-CN"/>
        </w:rPr>
        <w:t>图</w:t>
      </w:r>
      <w:r>
        <w:rPr>
          <w:rFonts w:hint="eastAsia" w:cs="Times New Roman"/>
          <w:color w:val="auto"/>
          <w:sz w:val="24"/>
          <w:highlight w:val="none"/>
          <w:lang w:val="en-US" w:eastAsia="zh-CN"/>
        </w:rPr>
        <w:t>；</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both"/>
        <w:textAlignment w:val="auto"/>
        <w:outlineLvl w:val="9"/>
        <w:rPr>
          <w:rFonts w:hint="default" w:ascii="Times New Roman" w:hAnsi="Times New Roman" w:eastAsia="宋体" w:cs="Times New Roman"/>
          <w:bCs/>
          <w:color w:val="auto"/>
          <w:sz w:val="24"/>
          <w:szCs w:val="24"/>
          <w:highlight w:val="none"/>
        </w:rPr>
        <w:sectPr>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4" w:name="_Toc20961"/>
      <w:r>
        <w:rPr>
          <w:rFonts w:hint="default" w:ascii="Times New Roman" w:hAnsi="Times New Roman" w:eastAsia="宋体" w:cs="Times New Roman"/>
          <w:b/>
          <w:bCs/>
          <w:snapToGrid w:val="0"/>
          <w:color w:val="auto"/>
          <w:sz w:val="30"/>
          <w:szCs w:val="30"/>
          <w:highlight w:val="none"/>
        </w:rPr>
        <w:t>一、建设项目基本情况</w:t>
      </w:r>
      <w:bookmarkEnd w:id="2"/>
      <w:bookmarkEnd w:id="4"/>
    </w:p>
    <w:tbl>
      <w:tblPr>
        <w:tblStyle w:val="2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79"/>
        <w:gridCol w:w="4"/>
        <w:gridCol w:w="676"/>
        <w:gridCol w:w="1797"/>
        <w:gridCol w:w="1566"/>
        <w:gridCol w:w="4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联系方式</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11" w:type="dxa"/>
            <w:gridSpan w:val="3"/>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eastAsia" w:cs="宋体"/>
                <w:color w:val="auto"/>
                <w:sz w:val="24"/>
                <w:u w:val="single"/>
              </w:rPr>
              <w:t>云南</w:t>
            </w:r>
            <w:r>
              <w:rPr>
                <w:rFonts w:hint="eastAsia" w:cs="宋体"/>
                <w:color w:val="auto"/>
                <w:sz w:val="24"/>
              </w:rPr>
              <w:t>省</w:t>
            </w:r>
            <w:r>
              <w:rPr>
                <w:rFonts w:hint="eastAsia" w:cs="宋体"/>
                <w:color w:val="auto"/>
                <w:sz w:val="24"/>
                <w:u w:val="single"/>
              </w:rPr>
              <w:t>昆明</w:t>
            </w:r>
            <w:r>
              <w:rPr>
                <w:rFonts w:hint="eastAsia" w:cs="宋体"/>
                <w:color w:val="auto"/>
                <w:sz w:val="24"/>
              </w:rPr>
              <w:t>市</w:t>
            </w:r>
            <w:r>
              <w:rPr>
                <w:rFonts w:hint="eastAsia" w:cs="宋体"/>
                <w:color w:val="auto"/>
                <w:sz w:val="24"/>
                <w:u w:val="single"/>
              </w:rPr>
              <w:t>寻甸</w:t>
            </w:r>
            <w:r>
              <w:rPr>
                <w:rFonts w:hint="eastAsia" w:cs="宋体"/>
                <w:color w:val="auto"/>
                <w:sz w:val="24"/>
              </w:rPr>
              <w:t>县（区）</w:t>
            </w:r>
            <w:r>
              <w:rPr>
                <w:rFonts w:hint="eastAsia" w:cs="宋体"/>
                <w:color w:val="auto"/>
                <w:sz w:val="24"/>
                <w:u w:val="single"/>
              </w:rPr>
              <w:t>羊街镇</w:t>
            </w:r>
            <w:r>
              <w:rPr>
                <w:rFonts w:hint="eastAsia" w:cs="宋体"/>
                <w:color w:val="auto"/>
                <w:sz w:val="24"/>
              </w:rPr>
              <w:t>（街道）</w:t>
            </w:r>
            <w:r>
              <w:rPr>
                <w:rFonts w:hint="eastAsia" w:cs="宋体"/>
                <w:color w:val="auto"/>
                <w:sz w:val="24"/>
                <w:u w:val="single"/>
                <w:lang w:eastAsia="zh-CN"/>
              </w:rPr>
              <w:t>寻甸</w:t>
            </w:r>
            <w:r>
              <w:rPr>
                <w:rFonts w:hint="eastAsia" w:cs="宋体"/>
                <w:color w:val="auto"/>
                <w:sz w:val="24"/>
                <w:u w:val="single"/>
              </w:rPr>
              <w:t>特色产业园区羊街</w:t>
            </w:r>
            <w:r>
              <w:rPr>
                <w:rFonts w:hint="eastAsia" w:cs="宋体"/>
                <w:color w:val="auto"/>
                <w:sz w:val="24"/>
                <w:u w:val="single"/>
                <w:lang w:eastAsia="zh-CN"/>
              </w:rPr>
              <w:t>林业产业园</w:t>
            </w:r>
            <w:r>
              <w:rPr>
                <w:rFonts w:hint="eastAsia" w:cs="宋体"/>
                <w:color w:val="auto"/>
                <w:sz w:val="24"/>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11" w:type="dxa"/>
            <w:gridSpan w:val="3"/>
            <w:vAlign w:val="center"/>
          </w:tcPr>
          <w:p>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u w:val="single"/>
                <w:lang w:val="en-US" w:eastAsia="zh-CN"/>
              </w:rPr>
              <w:t>103</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22.773</w:t>
            </w:r>
            <w:r>
              <w:rPr>
                <w:rFonts w:hint="default" w:ascii="Times New Roman" w:hAnsi="Times New Roman" w:eastAsia="宋体" w:cs="Times New Roman"/>
                <w:color w:val="auto"/>
                <w:sz w:val="24"/>
                <w:szCs w:val="24"/>
                <w:highlight w:val="none"/>
              </w:rPr>
              <w:t>秒，</w:t>
            </w:r>
            <w:r>
              <w:rPr>
                <w:rFonts w:hint="default" w:ascii="Times New Roman" w:hAnsi="Times New Roman" w:eastAsia="宋体" w:cs="Times New Roman"/>
                <w:color w:val="auto"/>
                <w:sz w:val="24"/>
                <w:szCs w:val="24"/>
                <w:highlight w:val="none"/>
                <w:u w:val="single"/>
                <w:lang w:val="en-US" w:eastAsia="zh-CN"/>
              </w:rPr>
              <w:t>25</w:t>
            </w:r>
            <w:r>
              <w:rPr>
                <w:rFonts w:hint="default" w:ascii="Times New Roman" w:hAnsi="Times New Roman" w:eastAsia="宋体" w:cs="Times New Roman"/>
                <w:color w:val="auto"/>
                <w:sz w:val="24"/>
                <w:szCs w:val="24"/>
                <w:highlight w:val="none"/>
              </w:rPr>
              <w:t>度</w:t>
            </w:r>
            <w:r>
              <w:rPr>
                <w:rFonts w:hint="eastAsia" w:cs="Times New Roman"/>
                <w:color w:val="auto"/>
                <w:sz w:val="24"/>
                <w:szCs w:val="24"/>
                <w:highlight w:val="none"/>
                <w:u w:val="single"/>
                <w:lang w:val="en-US" w:eastAsia="zh-CN"/>
              </w:rPr>
              <w:t>27</w:t>
            </w:r>
            <w:r>
              <w:rPr>
                <w:rFonts w:hint="default" w:ascii="Times New Roman" w:hAnsi="Times New Roman" w:eastAsia="宋体" w:cs="Times New Roman"/>
                <w:color w:val="auto"/>
                <w:sz w:val="24"/>
                <w:szCs w:val="24"/>
                <w:highlight w:val="none"/>
              </w:rPr>
              <w:t>分</w:t>
            </w:r>
            <w:r>
              <w:rPr>
                <w:rFonts w:hint="eastAsia" w:cs="Times New Roman"/>
                <w:color w:val="auto"/>
                <w:sz w:val="24"/>
                <w:szCs w:val="24"/>
                <w:highlight w:val="none"/>
                <w:u w:val="single"/>
                <w:lang w:val="en-US" w:eastAsia="zh-CN"/>
              </w:rPr>
              <w:t>58.255</w:t>
            </w:r>
            <w:r>
              <w:rPr>
                <w:rFonts w:hint="default" w:ascii="Times New Roman" w:hAnsi="Times New Roman" w:eastAsia="宋体" w:cs="Times New Roman"/>
                <w:color w:val="auto"/>
                <w:sz w:val="24"/>
                <w:szCs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泡沫塑料制造(C2924)</w:t>
            </w:r>
            <w:r>
              <w:rPr>
                <w:rFonts w:hint="eastAsia" w:cs="Times New Roman"/>
                <w:color w:val="auto"/>
                <w:sz w:val="24"/>
                <w:szCs w:val="24"/>
                <w:highlight w:val="none"/>
                <w:lang w:val="en-US" w:eastAsia="zh-CN"/>
              </w:rPr>
              <w:t>、</w:t>
            </w:r>
            <w:r>
              <w:rPr>
                <w:rFonts w:hint="eastAsia"/>
                <w:color w:val="auto"/>
                <w:sz w:val="24"/>
                <w:lang w:eastAsia="zh-CN"/>
              </w:rPr>
              <w:t>热力生产和供应（</w:t>
            </w:r>
            <w:r>
              <w:rPr>
                <w:rFonts w:hint="eastAsia"/>
                <w:color w:val="auto"/>
                <w:sz w:val="24"/>
                <w:lang w:val="en-US" w:eastAsia="zh-CN"/>
              </w:rPr>
              <w:t>D4430</w:t>
            </w:r>
            <w:r>
              <w:rPr>
                <w:rFonts w:hint="eastAsia"/>
                <w:color w:val="auto"/>
                <w:sz w:val="24"/>
                <w:lang w:eastAsia="zh-CN"/>
              </w:rPr>
              <w:t>）</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bookmarkStart w:id="5" w:name="_Hlk49843745"/>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bookmarkEnd w:id="5"/>
          </w:p>
        </w:tc>
        <w:tc>
          <w:tcPr>
            <w:tcW w:w="4148" w:type="dxa"/>
            <w:vAlign w:val="center"/>
          </w:tcPr>
          <w:p>
            <w:pPr>
              <w:adjustRightInd w:val="0"/>
              <w:snapToGrid w:val="0"/>
              <w:jc w:val="center"/>
              <w:rPr>
                <w:rFonts w:hint="eastAsia"/>
                <w:color w:val="auto"/>
                <w:sz w:val="24"/>
                <w:lang w:val="en-US" w:eastAsia="zh-CN"/>
              </w:rPr>
            </w:pPr>
            <w:r>
              <w:rPr>
                <w:rFonts w:hint="default" w:ascii="Times New Roman" w:hAnsi="Times New Roman" w:eastAsia="宋体" w:cs="Times New Roman"/>
                <w:color w:val="auto"/>
                <w:sz w:val="24"/>
                <w:szCs w:val="24"/>
                <w:highlight w:val="none"/>
                <w:lang w:val="en-US" w:eastAsia="zh-CN"/>
              </w:rPr>
              <w:t>二十六、橡胶和塑料制品业29-53、塑料制品业292</w:t>
            </w:r>
            <w:r>
              <w:rPr>
                <w:rFonts w:hint="eastAsia" w:cs="Times New Roman"/>
                <w:color w:val="auto"/>
                <w:sz w:val="24"/>
                <w:szCs w:val="24"/>
                <w:highlight w:val="none"/>
                <w:lang w:val="en-US" w:eastAsia="zh-CN"/>
              </w:rPr>
              <w:t>、</w:t>
            </w:r>
            <w:r>
              <w:rPr>
                <w:rFonts w:hint="eastAsia"/>
                <w:color w:val="auto"/>
                <w:sz w:val="24"/>
                <w:lang w:eastAsia="zh-CN"/>
              </w:rPr>
              <w:t>四十一、电力、热力生产和供应业、</w:t>
            </w:r>
            <w:r>
              <w:rPr>
                <w:rFonts w:hint="eastAsia"/>
                <w:color w:val="auto"/>
                <w:sz w:val="24"/>
                <w:lang w:val="en-US" w:eastAsia="zh-CN"/>
              </w:rPr>
              <w:t>91热力生产和供应工程；燃煤、燃油锅炉总容量65</w:t>
            </w:r>
          </w:p>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olor w:val="auto"/>
                <w:sz w:val="24"/>
                <w:lang w:val="en-US" w:eastAsia="zh-CN"/>
              </w:rPr>
              <w:t>吨/小时（45.5兆瓦）及以下的； 天然气锅炉总容量1吨/小时 （0.7兆瓦）以上的；使用其他高污染燃料的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1797"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新建（迁建）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改建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扩建</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技术改造</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4148" w:type="dxa"/>
            <w:vAlign w:val="center"/>
          </w:tcPr>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 xml:space="preserve">首次申报项目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不予批准后再次申报项目</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 xml:space="preserve">超五年重新审核项目     </w:t>
            </w:r>
          </w:p>
          <w:p>
            <w:pPr>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w:t>
            </w:r>
          </w:p>
          <w:p>
            <w:pPr>
              <w:adjustRightInd w:val="0"/>
              <w:snapToGrid w:val="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准/备案）部门</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寻甸回族彝族自治县发展和改革局</w:t>
            </w:r>
          </w:p>
        </w:tc>
        <w:tc>
          <w:tcPr>
            <w:tcW w:w="1566"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w:t>
            </w:r>
          </w:p>
        </w:tc>
        <w:tc>
          <w:tcPr>
            <w:tcW w:w="4148"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9865.32</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108.3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1797"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1.10</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359" w:type="dxa"/>
            <w:gridSpan w:val="3"/>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1797"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是：</w:t>
            </w:r>
            <w:r>
              <w:rPr>
                <w:rFonts w:hint="default" w:ascii="Times New Roman" w:hAnsi="Times New Roman" w:eastAsia="宋体" w:cs="Times New Roman"/>
                <w:color w:val="auto"/>
                <w:sz w:val="24"/>
                <w:szCs w:val="24"/>
                <w:highlight w:val="none"/>
                <w:u w:val="single"/>
                <w:lang w:val="en-US" w:eastAsia="zh-CN"/>
              </w:rPr>
              <w:t xml:space="preserve">            </w:t>
            </w:r>
          </w:p>
        </w:tc>
        <w:tc>
          <w:tcPr>
            <w:tcW w:w="1566"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41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25555.6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3" w:type="dxa"/>
            <w:gridSpan w:val="2"/>
            <w:vAlign w:val="center"/>
          </w:tcPr>
          <w:p>
            <w:pPr>
              <w:adjustRightInd w:val="0"/>
              <w:snapToGrid w:val="0"/>
              <w:spacing w:line="360" w:lineRule="auto"/>
              <w:rPr>
                <w:rFonts w:hint="default" w:eastAsia="宋体"/>
                <w:color w:val="auto"/>
                <w:sz w:val="24"/>
              </w:rPr>
            </w:pPr>
            <w:r>
              <w:rPr>
                <w:rFonts w:hint="default" w:eastAsia="宋体"/>
                <w:color w:val="auto"/>
                <w:sz w:val="24"/>
              </w:rPr>
              <w:t>专项评价设置情况</w:t>
            </w:r>
          </w:p>
        </w:tc>
        <w:tc>
          <w:tcPr>
            <w:tcW w:w="8187" w:type="dxa"/>
            <w:gridSpan w:val="4"/>
            <w:vAlign w:val="center"/>
          </w:tcPr>
          <w:p>
            <w:pPr>
              <w:adjustRightInd w:val="0"/>
              <w:snapToGrid w:val="0"/>
              <w:spacing w:line="360" w:lineRule="auto"/>
              <w:ind w:firstLine="480" w:firstLineChars="200"/>
              <w:rPr>
                <w:rFonts w:hint="eastAsia" w:eastAsia="宋体"/>
                <w:color w:val="auto"/>
                <w:sz w:val="24"/>
                <w:lang w:val="zh-CN"/>
              </w:rPr>
            </w:pPr>
            <w:r>
              <w:rPr>
                <w:rFonts w:hint="eastAsia" w:eastAsia="宋体"/>
                <w:color w:val="auto"/>
                <w:sz w:val="24"/>
                <w:lang w:val="zh-CN"/>
              </w:rPr>
              <w:t>根据《建设项目环境影响报告表编制技术指南（污染影响类）（试行）》中“二、总体要求”，确定对专项评价开展情况见表1-1</w:t>
            </w:r>
            <w:r>
              <w:rPr>
                <w:rFonts w:hint="eastAsia"/>
                <w:color w:val="auto"/>
                <w:sz w:val="24"/>
                <w:lang w:val="zh-CN"/>
              </w:rPr>
              <w:t>。</w:t>
            </w:r>
          </w:p>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表1-1   项目专项评价判定表</w:t>
            </w:r>
          </w:p>
          <w:tbl>
            <w:tblPr>
              <w:tblStyle w:val="28"/>
              <w:tblW w:w="795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094"/>
              <w:gridCol w:w="329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3296" w:type="dxa"/>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tabs>
                      <w:tab w:val="left" w:pos="3255"/>
                    </w:tabs>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排放废气含有毒有害污染物</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296" w:type="dxa"/>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vertAlign w:val="baseline"/>
                      <w:lang w:val="en-US" w:eastAsia="zh-CN"/>
                    </w:rPr>
                    <w:t>项目排放废气主要为颗粒物、</w:t>
                  </w: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r>
                    <w:rPr>
                      <w:rFonts w:hint="default" w:ascii="Times New Roman" w:hAnsi="Times New Roman" w:eastAsia="宋体" w:cs="Times New Roman"/>
                      <w:b w:val="0"/>
                      <w:bCs w:val="0"/>
                      <w:color w:val="auto"/>
                      <w:kern w:val="0"/>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甲苯、</w:t>
                  </w:r>
                  <w:r>
                    <w:rPr>
                      <w:rFonts w:hint="default" w:ascii="Times New Roman" w:hAnsi="Times New Roman" w:eastAsia="宋体" w:cs="Times New Roman"/>
                      <w:b w:val="0"/>
                      <w:bCs/>
                      <w:color w:val="auto"/>
                      <w:spacing w:val="-10"/>
                      <w:sz w:val="21"/>
                      <w:szCs w:val="21"/>
                      <w:highlight w:val="none"/>
                      <w:vertAlign w:val="baseline"/>
                      <w:lang w:val="en-US" w:eastAsia="zh-CN"/>
                    </w:rPr>
                    <w:t>乙苯、苯乙烯、非甲烷总烃</w:t>
                  </w:r>
                  <w:r>
                    <w:rPr>
                      <w:rFonts w:hint="eastAsia" w:cs="Times New Roman"/>
                      <w:b w:val="0"/>
                      <w:bCs/>
                      <w:color w:val="auto"/>
                      <w:spacing w:val="-10"/>
                      <w:sz w:val="21"/>
                      <w:szCs w:val="21"/>
                      <w:highlight w:val="none"/>
                      <w:vertAlign w:val="baseline"/>
                      <w:lang w:val="en-US" w:eastAsia="zh-CN"/>
                    </w:rPr>
                    <w:t>、臭气浓度</w:t>
                  </w:r>
                  <w:r>
                    <w:rPr>
                      <w:rFonts w:hint="default" w:ascii="Times New Roman" w:hAnsi="Times New Roman" w:eastAsia="宋体" w:cs="Times New Roman"/>
                      <w:b w:val="0"/>
                      <w:bCs w:val="0"/>
                      <w:color w:val="auto"/>
                      <w:kern w:val="0"/>
                      <w:sz w:val="21"/>
                      <w:szCs w:val="21"/>
                      <w:highlight w:val="none"/>
                      <w:vertAlign w:val="baseline"/>
                      <w:lang w:val="en-US" w:eastAsia="zh-CN"/>
                    </w:rPr>
                    <w:t>，不排放含有毒有害污染物、二噁英、苯并[a]芘、氰化物、氯气等废气。</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地表水</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3296" w:type="dxa"/>
                  <w:noWrap w:val="0"/>
                  <w:vAlign w:val="center"/>
                </w:tcPr>
                <w:p>
                  <w:pPr>
                    <w:pStyle w:val="16"/>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环境风险</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329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项目涉及有毒有害和易燃易爆危险物质最大暂存量未超过临界量。</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生态</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329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本项目不涉及此项情况。</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海洋</w:t>
                  </w:r>
                </w:p>
              </w:tc>
              <w:tc>
                <w:tcPr>
                  <w:tcW w:w="30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329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项目不属于海洋工程建设项目，不向海洋排放污染物。</w:t>
                  </w:r>
                </w:p>
              </w:tc>
              <w:tc>
                <w:tcPr>
                  <w:tcW w:w="794"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58" w:type="dxa"/>
                  <w:gridSpan w:val="4"/>
                  <w:noWrap w:val="0"/>
                  <w:vAlign w:val="center"/>
                </w:tcPr>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autoSpaceDE w:val="0"/>
                    <w:autoSpaceDN w:val="0"/>
                    <w:adjustRightInd w:val="0"/>
                    <w:snapToGrid w:val="0"/>
                    <w:jc w:val="left"/>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3.临界量及其计算方法可参考《建设项目环境风险评价技术导则》（HJ 169）附录B、附录C.。</w:t>
                  </w:r>
                </w:p>
              </w:tc>
            </w:tr>
          </w:tbl>
          <w:p>
            <w:pPr>
              <w:adjustRightInd w:val="0"/>
              <w:snapToGrid w:val="0"/>
              <w:spacing w:line="360" w:lineRule="auto"/>
              <w:ind w:firstLine="480" w:firstLineChars="200"/>
              <w:rPr>
                <w:rFonts w:hint="default" w:eastAsia="宋体"/>
                <w:color w:val="auto"/>
                <w:sz w:val="24"/>
                <w:lang w:val="en-US" w:eastAsia="zh-CN"/>
              </w:rPr>
            </w:pPr>
            <w:r>
              <w:rPr>
                <w:rFonts w:hint="default" w:ascii="Times New Roman" w:hAnsi="Times New Roman" w:eastAsia="宋体" w:cs="Times New Roman"/>
                <w:b w:val="0"/>
                <w:bCs w:val="0"/>
                <w:color w:val="auto"/>
                <w:kern w:val="0"/>
                <w:sz w:val="24"/>
                <w:szCs w:val="24"/>
                <w:highlight w:val="none"/>
                <w:vertAlign w:val="baseline"/>
                <w:lang w:val="en-US" w:eastAsia="zh-CN"/>
              </w:rPr>
              <w:t>由上表可知，本项目不设置专项评价。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8187" w:type="dxa"/>
            <w:gridSpan w:val="4"/>
            <w:vAlign w:val="center"/>
          </w:tcPr>
          <w:p>
            <w:pPr>
              <w:keepNext w:val="0"/>
              <w:keepLines w:val="0"/>
              <w:pageBreakBefore w:val="0"/>
              <w:widowControl w:val="0"/>
              <w:kinsoku/>
              <w:wordWrap/>
              <w:overflowPunct/>
              <w:topLinePunct w:val="0"/>
              <w:bidi w:val="0"/>
              <w:adjustRightInd w:val="0"/>
              <w:snapToGrid w:val="0"/>
              <w:spacing w:line="360" w:lineRule="auto"/>
              <w:jc w:val="left"/>
              <w:textAlignment w:val="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b/>
                <w:bCs/>
                <w:color w:val="auto"/>
                <w:sz w:val="24"/>
                <w:highlight w:val="none"/>
                <w:lang w:val="en-US"/>
              </w:rPr>
              <w:t>1、</w:t>
            </w:r>
            <w:r>
              <w:rPr>
                <w:rStyle w:val="77"/>
                <w:rFonts w:hint="default" w:ascii="Times New Roman" w:hAnsi="Times New Roman" w:eastAsia="宋体" w:cs="Times New Roman"/>
                <w:b/>
                <w:bCs/>
                <w:color w:val="auto"/>
                <w:sz w:val="24"/>
                <w:highlight w:val="none"/>
              </w:rPr>
              <w:t>规划名称：</w:t>
            </w:r>
            <w:r>
              <w:rPr>
                <w:rFonts w:hint="default" w:ascii="Times New Roman" w:hAnsi="Times New Roman" w:eastAsia="宋体" w:cs="Times New Roman"/>
                <w:color w:val="auto"/>
                <w:sz w:val="24"/>
                <w:szCs w:val="24"/>
                <w:highlight w:val="none"/>
              </w:rPr>
              <w:t>《云南寻甸产业园区总体规划修编（2021-2035）》</w:t>
            </w:r>
            <w:r>
              <w:rPr>
                <w:rStyle w:val="77"/>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val="0"/>
                <w:color w:val="auto"/>
                <w:sz w:val="24"/>
                <w:highlight w:val="none"/>
                <w:lang w:val="zh-CN"/>
              </w:rPr>
            </w:pPr>
            <w:r>
              <w:rPr>
                <w:rStyle w:val="77"/>
                <w:rFonts w:hint="default" w:ascii="Times New Roman" w:hAnsi="Times New Roman" w:eastAsia="宋体" w:cs="Times New Roman"/>
                <w:b/>
                <w:bCs/>
                <w:color w:val="auto"/>
                <w:sz w:val="24"/>
                <w:highlight w:val="none"/>
                <w:lang w:val="en-US"/>
              </w:rPr>
              <w:t>2、</w:t>
            </w:r>
            <w:r>
              <w:rPr>
                <w:rStyle w:val="77"/>
                <w:rFonts w:hint="default" w:ascii="Times New Roman" w:hAnsi="Times New Roman" w:eastAsia="宋体" w:cs="Times New Roman"/>
                <w:b/>
                <w:bCs/>
                <w:color w:val="auto"/>
                <w:sz w:val="24"/>
                <w:highlight w:val="none"/>
              </w:rPr>
              <w:t>审查机关：</w:t>
            </w:r>
            <w:r>
              <w:rPr>
                <w:rStyle w:val="77"/>
                <w:rFonts w:hint="default" w:ascii="Times New Roman" w:hAnsi="Times New Roman" w:eastAsia="宋体" w:cs="Times New Roman"/>
                <w:b w:val="0"/>
                <w:bCs w:val="0"/>
                <w:color w:val="auto"/>
                <w:sz w:val="24"/>
                <w:highlight w:val="none"/>
                <w:lang w:val="en-US"/>
              </w:rPr>
              <w:t>昆明市人民政府</w:t>
            </w:r>
            <w:r>
              <w:rPr>
                <w:rFonts w:hint="default" w:ascii="Times New Roman" w:hAnsi="Times New Roman" w:eastAsia="宋体" w:cs="Times New Roman"/>
                <w:b w:val="0"/>
                <w:bCs w:val="0"/>
                <w:color w:val="auto"/>
                <w:sz w:val="24"/>
                <w:highlight w:val="none"/>
                <w:lang w:val="zh-CN"/>
              </w:rPr>
              <w:t>。</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w:t>
            </w:r>
            <w:r>
              <w:rPr>
                <w:rStyle w:val="77"/>
                <w:rFonts w:hint="default" w:ascii="Times New Roman" w:hAnsi="Times New Roman" w:eastAsia="宋体" w:cs="Times New Roman"/>
                <w:b/>
                <w:bCs/>
                <w:color w:val="auto"/>
                <w:sz w:val="24"/>
                <w:highlight w:val="none"/>
                <w:lang w:val="en-US" w:eastAsia="zh-CN"/>
              </w:rPr>
              <w:t>号：</w:t>
            </w:r>
            <w:r>
              <w:rPr>
                <w:rFonts w:hint="default" w:ascii="Times New Roman" w:hAnsi="Times New Roman" w:eastAsia="宋体" w:cs="Times New Roman"/>
                <w:color w:val="auto"/>
                <w:sz w:val="24"/>
                <w:szCs w:val="24"/>
                <w:highlight w:val="none"/>
                <w:lang w:val="en-US" w:eastAsia="zh-CN"/>
              </w:rPr>
              <w:t>昆明市人民政府关于云南寻甸产业园区总体规划修编（2021—2035年）的批复（昆政复〔2023〕63号）。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83" w:type="dxa"/>
            <w:gridSpan w:val="2"/>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规划环境影响</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评价情况</w:t>
            </w:r>
          </w:p>
        </w:tc>
        <w:tc>
          <w:tcPr>
            <w:tcW w:w="8187" w:type="dxa"/>
            <w:gridSpan w:val="4"/>
            <w:vAlign w:val="center"/>
          </w:tcPr>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1、规划环境影响评价文件名称：</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2、审查机关：</w:t>
            </w:r>
            <w:r>
              <w:rPr>
                <w:rStyle w:val="77"/>
                <w:rFonts w:hint="default" w:ascii="Times New Roman" w:hAnsi="Times New Roman" w:eastAsia="宋体" w:cs="Times New Roman"/>
                <w:color w:val="auto"/>
                <w:sz w:val="24"/>
                <w:highlight w:val="none"/>
              </w:rPr>
              <w:t>昆明市生态环境局</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3、审查文件名称及文号：</w:t>
            </w:r>
            <w:r>
              <w:rPr>
                <w:rFonts w:hint="default" w:ascii="Times New Roman" w:hAnsi="Times New Roman" w:eastAsia="宋体" w:cs="Times New Roman"/>
                <w:b w:val="0"/>
                <w:bCs w:val="0"/>
                <w:color w:val="auto"/>
                <w:sz w:val="24"/>
                <w:szCs w:val="24"/>
                <w:highlight w:val="none"/>
                <w:lang w:val="en-US" w:eastAsia="zh-CN"/>
              </w:rPr>
              <w:t>昆明市生态环境局关于</w:t>
            </w:r>
            <w:r>
              <w:rPr>
                <w:rFonts w:hint="default" w:ascii="Times New Roman" w:hAnsi="Times New Roman" w:eastAsia="宋体" w:cs="Times New Roman"/>
                <w:b w:val="0"/>
                <w:bCs/>
                <w:color w:val="auto"/>
                <w:sz w:val="24"/>
                <w:szCs w:val="24"/>
                <w:highlight w:val="none"/>
                <w:lang w:val="en-US" w:eastAsia="zh-CN"/>
              </w:rPr>
              <w:t>《云南寻甸产业园区总体规划修编（2021-2035）环境影响报告书》审查意见的函（昆环审[2023]5号）</w:t>
            </w:r>
            <w:r>
              <w:rPr>
                <w:rFonts w:hint="default" w:ascii="Times New Roman" w:hAnsi="Times New Roman" w:eastAsia="宋体" w:cs="Times New Roman"/>
                <w:b w:val="0"/>
                <w:bCs w:val="0"/>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83"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规划及规划环境影响评价符合性分析</w:t>
            </w:r>
          </w:p>
        </w:tc>
        <w:tc>
          <w:tcPr>
            <w:tcW w:w="8187" w:type="dxa"/>
            <w:gridSpan w:val="4"/>
            <w:vAlign w:val="center"/>
          </w:tcPr>
          <w:p>
            <w:pPr>
              <w:pStyle w:val="19"/>
              <w:keepNext w:val="0"/>
              <w:keepLines w:val="0"/>
              <w:pageBreakBefore w:val="0"/>
              <w:widowControl w:val="0"/>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1、与</w:t>
            </w:r>
            <w:r>
              <w:rPr>
                <w:rFonts w:hint="default" w:ascii="Times New Roman" w:hAnsi="Times New Roman" w:eastAsia="宋体" w:cs="Times New Roman"/>
                <w:b/>
                <w:bCs w:val="0"/>
                <w:color w:val="auto"/>
                <w:sz w:val="24"/>
                <w:szCs w:val="24"/>
                <w:highlight w:val="none"/>
                <w:lang w:val="zh-CN" w:eastAsia="zh-CN"/>
              </w:rPr>
              <w:t>《云南寻甸产业园区总体规划修编（2021-2035）》</w:t>
            </w:r>
            <w:r>
              <w:rPr>
                <w:rFonts w:hint="default" w:ascii="Times New Roman" w:hAnsi="Times New Roman" w:eastAsia="宋体" w:cs="Times New Roman"/>
                <w:b/>
                <w:bCs w:val="0"/>
                <w:color w:val="auto"/>
                <w:sz w:val="24"/>
                <w:szCs w:val="24"/>
                <w:highlight w:val="none"/>
                <w:lang w:val="en-US" w:eastAsia="zh-CN"/>
              </w:rPr>
              <w:t>的符合性分析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规划简介</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根据《规划》，修编后云南寻甸产业园区远期规划范围至2035年占地面积为1214.59公顷。总体布局规划为“一园三片”一园即云南寻甸产业园区；三片即羊街片区、金所片区(含金所组团、天生桥组团)、倘甸片区。金所片区(金所组团)占地522.60公顷，定位以先进装备制造产业区、非烟轻工产业区、绿色建材产业区、绿色化工产业区、公共服务配套区、中转物流区为主；金所片区(天生桥组团)占地158.92公顷，定位以绿色化工产业区、先进装备制造产业区为主；羊街片区占地263.39公顷，定位以先进装备制造产业区、非烟轻工产业区、商贸物流及冷链加工区为主；倘甸片区占地 269.69 公顷，定位以生物医疗产业区、先进装备制造产业区、非烟轻工产业区、公共服务配套区为主。</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eastAsia="zh-CN"/>
              </w:rPr>
            </w:pPr>
            <w:r>
              <w:rPr>
                <w:rFonts w:hint="default" w:ascii="Times New Roman" w:hAnsi="Times New Roman" w:eastAsia="宋体" w:cs="Times New Roman"/>
                <w:b w:val="0"/>
                <w:bCs w:val="0"/>
                <w:color w:val="auto"/>
                <w:sz w:val="24"/>
                <w:szCs w:val="24"/>
                <w:highlight w:val="none"/>
                <w:lang w:val="zh-CN" w:eastAsia="zh-CN"/>
              </w:rPr>
              <w:t>本次《规划》与上版规划比较，调整了相关产业结构，新增了金所片区 (天生桥组团)和倘甸片区，但是总规划面积减小6.08km</w:t>
            </w:r>
            <w:r>
              <w:rPr>
                <w:rFonts w:hint="default" w:ascii="Times New Roman" w:hAnsi="Times New Roman" w:eastAsia="宋体" w:cs="Times New Roman"/>
                <w:b w:val="0"/>
                <w:bCs w:val="0"/>
                <w:color w:val="auto"/>
                <w:sz w:val="24"/>
                <w:szCs w:val="24"/>
                <w:highlight w:val="none"/>
                <w:vertAlign w:val="superscript"/>
                <w:lang w:val="zh-CN" w:eastAsia="zh-CN"/>
              </w:rPr>
              <w:t>2</w:t>
            </w:r>
            <w:r>
              <w:rPr>
                <w:rFonts w:hint="default" w:ascii="Times New Roman" w:hAnsi="Times New Roman" w:eastAsia="宋体" w:cs="Times New Roman"/>
                <w:b w:val="0"/>
                <w:bCs w:val="0"/>
                <w:color w:val="auto"/>
                <w:sz w:val="24"/>
                <w:szCs w:val="24"/>
                <w:highlight w:val="none"/>
                <w:lang w:val="zh-CN" w:eastAsia="zh-CN"/>
              </w:rPr>
              <w:t>，其中金所片区较原规划面积缩小2.77km，羊街片区较原规划面积缩小6.01km</w:t>
            </w:r>
            <w:r>
              <w:rPr>
                <w:rFonts w:hint="default" w:ascii="Times New Roman" w:hAnsi="Times New Roman" w:eastAsia="宋体" w:cs="Times New Roman"/>
                <w:b w:val="0"/>
                <w:bCs w:val="0"/>
                <w:color w:val="auto"/>
                <w:sz w:val="24"/>
                <w:szCs w:val="24"/>
                <w:highlight w:val="none"/>
                <w:vertAlign w:val="superscript"/>
                <w:lang w:val="zh-CN" w:eastAsia="zh-CN"/>
              </w:rPr>
              <w:t>2</w:t>
            </w:r>
            <w:r>
              <w:rPr>
                <w:rFonts w:hint="default" w:ascii="Times New Roman" w:hAnsi="Times New Roman" w:eastAsia="宋体" w:cs="Times New Roman"/>
                <w:b w:val="0"/>
                <w:bCs w:val="0"/>
                <w:color w:val="auto"/>
                <w:sz w:val="24"/>
                <w:szCs w:val="24"/>
                <w:highlight w:val="none"/>
                <w:lang w:val="zh-CN" w:eastAsia="zh-CN"/>
              </w:rPr>
              <w:t>。由寻甸特色产业园区管理委员会委托</w:t>
            </w:r>
            <w:r>
              <w:rPr>
                <w:rFonts w:hint="default" w:ascii="Times New Roman" w:hAnsi="Times New Roman" w:eastAsia="宋体" w:cs="Times New Roman"/>
                <w:b w:val="0"/>
                <w:bCs w:val="0"/>
                <w:color w:val="auto"/>
                <w:sz w:val="24"/>
                <w:szCs w:val="24"/>
                <w:highlight w:val="none"/>
                <w:lang w:val="en-US" w:eastAsia="zh-CN"/>
              </w:rPr>
              <w:t>云南保兴环境科技咨询有限公司</w:t>
            </w:r>
            <w:r>
              <w:rPr>
                <w:rFonts w:hint="default" w:ascii="Times New Roman" w:hAnsi="Times New Roman" w:eastAsia="宋体" w:cs="Times New Roman"/>
                <w:b w:val="0"/>
                <w:bCs w:val="0"/>
                <w:color w:val="auto"/>
                <w:sz w:val="24"/>
                <w:szCs w:val="24"/>
                <w:highlight w:val="none"/>
                <w:lang w:val="zh-CN" w:eastAsia="zh-CN"/>
              </w:rPr>
              <w:t>在《云南寻甸产业园区总体规划修编（2021-2035）》的基础上编制了《云南寻甸产业园区总体规划修编（2021-2035）</w:t>
            </w:r>
            <w:r>
              <w:rPr>
                <w:rFonts w:hint="default" w:ascii="Times New Roman" w:hAnsi="Times New Roman" w:eastAsia="宋体" w:cs="Times New Roman"/>
                <w:b w:val="0"/>
                <w:bCs w:val="0"/>
                <w:color w:val="auto"/>
                <w:sz w:val="24"/>
                <w:szCs w:val="24"/>
                <w:highlight w:val="none"/>
                <w:lang w:val="en-US" w:eastAsia="zh-CN"/>
              </w:rPr>
              <w:t>环境影响报告书</w:t>
            </w:r>
            <w:r>
              <w:rPr>
                <w:rFonts w:hint="default" w:ascii="Times New Roman" w:hAnsi="Times New Roman" w:eastAsia="宋体" w:cs="Times New Roman"/>
                <w:b w:val="0"/>
                <w:bCs w:val="0"/>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规划相关内容</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rPr>
              <w:t>1）</w:t>
            </w:r>
            <w:r>
              <w:rPr>
                <w:rFonts w:hint="default" w:ascii="Times New Roman" w:hAnsi="Times New Roman" w:eastAsia="宋体" w:cs="Times New Roman"/>
                <w:b w:val="0"/>
                <w:bCs w:val="0"/>
                <w:color w:val="auto"/>
                <w:sz w:val="24"/>
                <w:szCs w:val="24"/>
                <w:highlight w:val="none"/>
                <w:lang w:val="en-US" w:eastAsia="zh-CN"/>
              </w:rPr>
              <w:t>园区总体布局规划</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根据云南寻甸产业园现状工业的分布情况，统筹规划，形成“一园三片多组团”的总体格局。</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一园：云南寻甸产业园区；</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三片：羊街片区、金所（天生桥）片区（其中天生桥拟设置为化工园</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区）、倘甸片区；</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t>多组团：依托昆明国际林业产业园、农特产品加工园区、先锋能源基地等园中园，促进产业集聚发展，形成一二三产融合发展的产业体系。</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2）规划时序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本次规划的期限为2021～2035年。其中：近期为2021年~2025年，远期为2026年~2035年。</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rPr>
              <w:t>）规划范围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①</w:t>
            </w:r>
            <w:r>
              <w:rPr>
                <w:rFonts w:hint="default" w:ascii="Times New Roman" w:hAnsi="Times New Roman" w:eastAsia="宋体" w:cs="Times New Roman"/>
                <w:b w:val="0"/>
                <w:bCs w:val="0"/>
                <w:color w:val="auto"/>
                <w:sz w:val="24"/>
                <w:szCs w:val="24"/>
                <w:highlight w:val="none"/>
              </w:rPr>
              <w:t>近期开发范围（2025年）</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至2025年，近期开发范围根据园区实际发展需求，控制为1096.71公顷，包括三个工业发展片区，其中金所片区681.52公顷；羊街片区231.58公顷；倘甸片区183.62公顷。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②</w:t>
            </w:r>
            <w:r>
              <w:rPr>
                <w:rFonts w:hint="default" w:ascii="Times New Roman" w:hAnsi="Times New Roman" w:eastAsia="宋体" w:cs="Times New Roman"/>
                <w:b w:val="0"/>
                <w:bCs w:val="0"/>
                <w:color w:val="auto"/>
                <w:sz w:val="24"/>
                <w:szCs w:val="24"/>
                <w:highlight w:val="none"/>
              </w:rPr>
              <w:t>园区远期规划范围（2035年）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至2035年，远期规划面积根据园区实际发展需求，控制为1214.59公顷，包括三个工业发展片区，其中金所片区681.52公顷；羊街片区263.39公顷；倘甸片区269.69公顷。</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4）园区定位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①总体定位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立足寻甸特色产业园区现状基础，把握新一轮科技革命和产业变革趋势，按照“增量优质、存量优化”的要求，发展壮大“一主两辅”三大支柱产业，即非烟轻工制造为主导，以绿色化工（是指在化工产品生产过程中，从工艺源头上就运用环保的理念，推行源削减、进行生产过程的优化集成，废物再利用与资源化，从而降低成本与消耗，减少废弃物的排放和毒性，减少产品全生命周期对环境的不良影响）、先进装备制造为辅导产业，巩固提升2大传统产业，即生物医疗、绿色建材传统产业，积极培育生产性服务业和生活性服务业，着力构建形成“3+2+2”的现代产业体系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“3”支柱产业包括：非烟轻工（一主）、绿色化工及先进装备制造（两辅）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“2”传统产业包括：生物医药、绿色建材；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“2”服务业：生产性服务、生活性服务。</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②分园定位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金所片区金所组团（</w:t>
            </w:r>
            <w:r>
              <w:rPr>
                <w:rFonts w:hint="default" w:ascii="Times New Roman" w:hAnsi="Times New Roman" w:eastAsia="宋体" w:cs="Times New Roman"/>
                <w:b/>
                <w:color w:val="auto"/>
                <w:sz w:val="24"/>
                <w:szCs w:val="24"/>
                <w:highlight w:val="none"/>
              </w:rPr>
              <w:t>6</w:t>
            </w:r>
            <w:r>
              <w:rPr>
                <w:rFonts w:hint="default" w:ascii="Times New Roman" w:hAnsi="Times New Roman" w:eastAsia="宋体" w:cs="Times New Roman"/>
                <w:color w:val="auto"/>
                <w:sz w:val="24"/>
                <w:szCs w:val="24"/>
                <w:highlight w:val="none"/>
              </w:rPr>
              <w:t>分区）：先进装备制造产业区、非烟轻工产业区、绿色建材产业区、绿色化工产业区、公共服务配套区、中转物流区；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金所片区天生桥组团（本次拟设置为化工园区）（</w:t>
            </w: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color w:val="auto"/>
                <w:sz w:val="24"/>
                <w:szCs w:val="24"/>
                <w:highlight w:val="none"/>
              </w:rPr>
              <w:t>分区）：绿色化工产业区、先进装备制造产业区；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羊街片区（</w:t>
            </w:r>
            <w:r>
              <w:rPr>
                <w:rFonts w:hint="default" w:ascii="Times New Roman" w:hAnsi="Times New Roman" w:eastAsia="宋体" w:cs="Times New Roman"/>
                <w:b/>
                <w:color w:val="auto"/>
                <w:sz w:val="24"/>
                <w:szCs w:val="24"/>
                <w:highlight w:val="none"/>
              </w:rPr>
              <w:t>3</w:t>
            </w:r>
            <w:r>
              <w:rPr>
                <w:rFonts w:hint="default" w:ascii="Times New Roman" w:hAnsi="Times New Roman" w:eastAsia="宋体" w:cs="Times New Roman"/>
                <w:color w:val="auto"/>
                <w:sz w:val="24"/>
                <w:szCs w:val="24"/>
                <w:highlight w:val="none"/>
              </w:rPr>
              <w:t>分区）：先进装备制造产业区、非烟轻工产业区、商贸物流及冷链加工区；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color w:val="auto"/>
                <w:sz w:val="24"/>
                <w:szCs w:val="24"/>
                <w:highlight w:val="none"/>
              </w:rPr>
              <w:t>倘甸片区（</w:t>
            </w:r>
            <w:r>
              <w:rPr>
                <w:rFonts w:hint="default" w:ascii="Times New Roman" w:hAnsi="Times New Roman" w:eastAsia="宋体" w:cs="Times New Roman"/>
                <w:b/>
                <w:color w:val="auto"/>
                <w:sz w:val="24"/>
                <w:szCs w:val="24"/>
                <w:highlight w:val="none"/>
              </w:rPr>
              <w:t>4</w:t>
            </w:r>
            <w:r>
              <w:rPr>
                <w:rFonts w:hint="default" w:ascii="Times New Roman" w:hAnsi="Times New Roman" w:eastAsia="宋体" w:cs="Times New Roman"/>
                <w:color w:val="auto"/>
                <w:sz w:val="24"/>
                <w:szCs w:val="24"/>
                <w:highlight w:val="none"/>
              </w:rPr>
              <w:t>分区）：生物医疗产业区、先进装备制造产业区、非烟轻工产业区、公共服务配套区。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）相符性分析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本项目为</w:t>
            </w:r>
            <w:r>
              <w:rPr>
                <w:color w:val="auto"/>
                <w:sz w:val="24"/>
              </w:rPr>
              <w:t>泡沫塑料制造项目</w:t>
            </w:r>
            <w:r>
              <w:rPr>
                <w:rFonts w:hint="default" w:ascii="Times New Roman" w:hAnsi="Times New Roman" w:eastAsia="宋体" w:cs="Times New Roman"/>
                <w:color w:val="auto"/>
                <w:sz w:val="24"/>
                <w:szCs w:val="24"/>
                <w:highlight w:val="none"/>
                <w:lang w:val="zh-CN"/>
              </w:rPr>
              <w:t>，根据与</w:t>
            </w:r>
            <w:r>
              <w:rPr>
                <w:rFonts w:hint="default" w:ascii="Times New Roman" w:hAnsi="Times New Roman" w:eastAsia="宋体" w:cs="Times New Roman"/>
                <w:b w:val="0"/>
                <w:bCs w:val="0"/>
                <w:color w:val="auto"/>
                <w:sz w:val="24"/>
                <w:szCs w:val="24"/>
                <w:highlight w:val="none"/>
                <w:lang w:val="zh-CN" w:eastAsia="zh-CN"/>
              </w:rPr>
              <w:t>《云南寻甸产业园区总体规划修编（2021-2035）》</w:t>
            </w:r>
            <w:r>
              <w:rPr>
                <w:rFonts w:hint="default" w:ascii="Times New Roman" w:hAnsi="Times New Roman" w:eastAsia="宋体" w:cs="Times New Roman"/>
                <w:color w:val="auto"/>
                <w:sz w:val="24"/>
                <w:szCs w:val="24"/>
                <w:highlight w:val="none"/>
                <w:lang w:val="en-US" w:eastAsia="zh-CN"/>
              </w:rPr>
              <w:t>中</w:t>
            </w:r>
            <w:r>
              <w:rPr>
                <w:rFonts w:hint="default" w:ascii="Times New Roman" w:hAnsi="Times New Roman" w:eastAsia="宋体" w:cs="Times New Roman"/>
                <w:color w:val="auto"/>
                <w:sz w:val="24"/>
                <w:szCs w:val="24"/>
                <w:highlight w:val="none"/>
                <w:lang w:val="zh-CN"/>
              </w:rPr>
              <w:t>的</w:t>
            </w:r>
            <w:r>
              <w:rPr>
                <w:rFonts w:hint="eastAsia"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zh-CN"/>
              </w:rPr>
              <w:t>片区规划叠图分析，项目用地规划为工业用地。</w:t>
            </w: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日已取得寻甸特色产业园区管理委员会出具的云南广兴塑料泡沫有限责任公司塑料制品生产线建设项目入园同意书</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同意书中明确“项目符合本园区</w:t>
            </w:r>
            <w:r>
              <w:rPr>
                <w:rFonts w:hint="eastAsia" w:cs="Times New Roman"/>
                <w:color w:val="auto"/>
                <w:sz w:val="24"/>
                <w:szCs w:val="24"/>
                <w:highlight w:val="none"/>
                <w:lang w:val="en-US" w:eastAsia="zh-CN"/>
              </w:rPr>
              <w:t>配套</w:t>
            </w:r>
            <w:r>
              <w:rPr>
                <w:rFonts w:hint="default" w:ascii="Times New Roman" w:hAnsi="Times New Roman" w:eastAsia="宋体" w:cs="Times New Roman"/>
                <w:color w:val="auto"/>
                <w:sz w:val="24"/>
                <w:szCs w:val="24"/>
                <w:highlight w:val="none"/>
                <w:lang w:val="en-US" w:eastAsia="zh-CN"/>
              </w:rPr>
              <w:t>产业发展，同意云南广兴塑料泡沫有限责任公司塑料制品生产线建设项目入驻寻甸特色产业园区</w:t>
            </w:r>
            <w:r>
              <w:rPr>
                <w:rFonts w:hint="eastAsia"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项目建设符合</w:t>
            </w:r>
            <w:r>
              <w:rPr>
                <w:rFonts w:hint="default" w:ascii="Times New Roman" w:hAnsi="Times New Roman" w:eastAsia="宋体" w:cs="Times New Roman"/>
                <w:b w:val="0"/>
                <w:bCs w:val="0"/>
                <w:color w:val="auto"/>
                <w:sz w:val="24"/>
                <w:szCs w:val="24"/>
                <w:highlight w:val="none"/>
                <w:lang w:val="zh-CN" w:eastAsia="zh-CN"/>
              </w:rPr>
              <w:t>《云南寻甸产业园区总体规划修编（2021-2035）》</w:t>
            </w:r>
            <w:r>
              <w:rPr>
                <w:rFonts w:hint="default" w:ascii="Times New Roman" w:hAnsi="Times New Roman" w:eastAsia="宋体" w:cs="Times New Roman"/>
                <w:color w:val="auto"/>
                <w:sz w:val="24"/>
                <w:szCs w:val="24"/>
                <w:highlight w:val="none"/>
                <w:lang w:val="en-US" w:eastAsia="zh-CN"/>
              </w:rPr>
              <w:t>中的相关要求</w:t>
            </w:r>
            <w:r>
              <w:rPr>
                <w:rFonts w:hint="default" w:ascii="Times New Roman" w:hAnsi="Times New Roman" w:eastAsia="宋体" w:cs="Times New Roman"/>
                <w:color w:val="auto"/>
                <w:sz w:val="24"/>
                <w:szCs w:val="24"/>
                <w:highlight w:val="none"/>
                <w:lang w:val="zh-CN"/>
              </w:rPr>
              <w:t>。</w:t>
            </w:r>
          </w:p>
          <w:p>
            <w:pPr>
              <w:pStyle w:val="19"/>
              <w:keepNext w:val="0"/>
              <w:keepLines w:val="0"/>
              <w:pageBreakBefore w:val="0"/>
              <w:widowControl w:val="0"/>
              <w:numPr>
                <w:ilvl w:val="0"/>
                <w:numId w:val="2"/>
              </w:numPr>
              <w:shd w:val="clea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bookmarkStart w:id="6" w:name="_Toc31449"/>
            <w:r>
              <w:rPr>
                <w:rFonts w:hint="default" w:ascii="Times New Roman" w:hAnsi="Times New Roman" w:eastAsia="宋体" w:cs="Times New Roman"/>
                <w:b/>
                <w:bCs w:val="0"/>
                <w:color w:val="auto"/>
                <w:sz w:val="24"/>
                <w:szCs w:val="24"/>
                <w:highlight w:val="none"/>
                <w:lang w:val="zh-CN" w:bidi="ar"/>
              </w:rPr>
              <w:t>与《云南寻甸产业园区总体规划修编（2021-2035）环境影响报告书》</w:t>
            </w:r>
            <w:r>
              <w:rPr>
                <w:rFonts w:hint="default" w:ascii="Times New Roman" w:hAnsi="Times New Roman" w:eastAsia="宋体" w:cs="Times New Roman"/>
                <w:b/>
                <w:bCs w:val="0"/>
                <w:color w:val="auto"/>
                <w:sz w:val="24"/>
                <w:szCs w:val="24"/>
                <w:highlight w:val="none"/>
                <w:lang w:val="en-US" w:eastAsia="zh-CN" w:bidi="ar"/>
              </w:rPr>
              <w:t>及</w:t>
            </w:r>
            <w:r>
              <w:rPr>
                <w:rFonts w:hint="default" w:ascii="Times New Roman" w:hAnsi="Times New Roman" w:eastAsia="宋体" w:cs="Times New Roman"/>
                <w:b/>
                <w:bCs w:val="0"/>
                <w:color w:val="auto"/>
                <w:sz w:val="24"/>
                <w:szCs w:val="24"/>
                <w:highlight w:val="none"/>
                <w:lang w:val="zh-CN" w:bidi="ar"/>
              </w:rPr>
              <w:t>审查意见（昆环审[2023]5号）</w:t>
            </w:r>
            <w:r>
              <w:rPr>
                <w:rFonts w:hint="default" w:ascii="Times New Roman" w:hAnsi="Times New Roman" w:eastAsia="宋体" w:cs="Times New Roman"/>
                <w:b/>
                <w:bCs w:val="0"/>
                <w:color w:val="auto"/>
                <w:sz w:val="24"/>
                <w:szCs w:val="24"/>
                <w:highlight w:val="none"/>
                <w:lang w:val="en-US" w:eastAsia="zh-CN" w:bidi="ar"/>
              </w:rPr>
              <w:t>的</w:t>
            </w:r>
            <w:r>
              <w:rPr>
                <w:rFonts w:hint="default" w:ascii="Times New Roman" w:hAnsi="Times New Roman" w:eastAsia="宋体" w:cs="Times New Roman"/>
                <w:b/>
                <w:bCs w:val="0"/>
                <w:color w:val="auto"/>
                <w:sz w:val="24"/>
                <w:szCs w:val="24"/>
                <w:highlight w:val="none"/>
                <w:lang w:val="zh-CN" w:bidi="ar"/>
              </w:rPr>
              <w:t>符合性分析</w:t>
            </w:r>
            <w:bookmarkEnd w:id="6"/>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zh-CN"/>
              </w:rPr>
              <w:t>）主要环境影响减缓措施</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根据《云南寻甸产业园区总体规划修编（2021-2035）环境影响报告书》及其环评审查意见，</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园区的主要环境影响减缓措施</w:t>
            </w:r>
            <w:r>
              <w:rPr>
                <w:rFonts w:hint="default" w:ascii="Times New Roman" w:hAnsi="Times New Roman" w:eastAsia="宋体" w:cs="Times New Roman"/>
                <w:color w:val="auto"/>
                <w:sz w:val="24"/>
                <w:szCs w:val="24"/>
                <w:highlight w:val="none"/>
                <w:lang w:val="en-US" w:eastAsia="zh-CN"/>
              </w:rPr>
              <w:t>符合性分析</w:t>
            </w:r>
            <w:r>
              <w:rPr>
                <w:rFonts w:hint="default" w:ascii="Times New Roman" w:hAnsi="Times New Roman" w:eastAsia="宋体" w:cs="Times New Roman"/>
                <w:color w:val="auto"/>
                <w:sz w:val="24"/>
                <w:szCs w:val="24"/>
                <w:highlight w:val="none"/>
                <w:lang w:val="zh-CN"/>
              </w:rPr>
              <w:t>如下</w:t>
            </w:r>
            <w:r>
              <w:rPr>
                <w:rFonts w:hint="default" w:ascii="Times New Roman" w:hAnsi="Times New Roman" w:eastAsia="宋体" w:cs="Times New Roman"/>
                <w:color w:val="auto"/>
                <w:sz w:val="24"/>
                <w:szCs w:val="24"/>
                <w:highlight w:val="none"/>
                <w:lang w:val="en-US" w:eastAsia="zh-CN"/>
              </w:rPr>
              <w:t>表所示。</w:t>
            </w:r>
          </w:p>
          <w:p>
            <w:pPr>
              <w:shd w:val="clear"/>
              <w:adjustRightInd w:val="0"/>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表1-</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bCs/>
                <w:color w:val="auto"/>
                <w:highlight w:val="none"/>
                <w:lang w:val="en-US" w:eastAsia="zh-CN"/>
              </w:rPr>
              <w:t xml:space="preserve"> </w:t>
            </w:r>
            <w:r>
              <w:rPr>
                <w:rFonts w:hint="default" w:ascii="Times New Roman" w:hAnsi="Times New Roman" w:eastAsia="宋体" w:cs="Times New Roman"/>
                <w:b/>
                <w:bCs/>
                <w:color w:val="auto"/>
                <w:highlight w:val="none"/>
              </w:rPr>
              <w:t xml:space="preserve"> 项目与规划环评</w:t>
            </w:r>
            <w:r>
              <w:rPr>
                <w:rFonts w:hint="default" w:ascii="Times New Roman" w:hAnsi="Times New Roman" w:eastAsia="宋体" w:cs="Times New Roman"/>
                <w:b/>
                <w:bCs/>
                <w:color w:val="auto"/>
                <w:highlight w:val="none"/>
                <w:lang w:val="en-US" w:eastAsia="zh-CN"/>
              </w:rPr>
              <w:t>中环境影响减缓措施</w:t>
            </w:r>
            <w:r>
              <w:rPr>
                <w:rFonts w:hint="default" w:ascii="Times New Roman" w:hAnsi="Times New Roman" w:eastAsia="宋体" w:cs="Times New Roman"/>
                <w:b/>
                <w:bCs/>
                <w:color w:val="auto"/>
                <w:highlight w:val="none"/>
              </w:rPr>
              <w:t>相符性对比分析表</w:t>
            </w:r>
          </w:p>
          <w:tbl>
            <w:tblPr>
              <w:tblStyle w:val="27"/>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278"/>
              <w:gridCol w:w="2287"/>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类别</w:t>
                  </w:r>
                </w:p>
              </w:tc>
              <w:tc>
                <w:tcPr>
                  <w:tcW w:w="4278"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内容要求</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项目建设内容</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水</w:t>
                  </w:r>
                  <w:r>
                    <w:rPr>
                      <w:rFonts w:hint="default" w:ascii="Times New Roman" w:hAnsi="Times New Roman" w:eastAsia="宋体" w:cs="Times New Roman"/>
                      <w:color w:val="auto"/>
                      <w:sz w:val="21"/>
                      <w:szCs w:val="21"/>
                      <w:highlight w:val="none"/>
                      <w:lang w:val="en-US" w:eastAsia="zh-CN"/>
                    </w:rPr>
                    <w:t>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根据《规划修编》实施对水环境的影响分析，规划建设覆盖规划区范围的“雨污分流”排水体制。各煤、磷、盐化工等企业内部自行收集初期雨水进行处理后回用，园区雨水经过雨水管网收集后汇入附近地表水体</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金所组团现状煤磷盐化工企业及废水实现零排放企业按现状处置方式，即由企业处理达标后循环回用或经已建的排污管道排至摩洛河。</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园区严格按照规划要求，建设污水集中和分散处理设施，提高园区水资源利用率，减少污水排放。各组团后续入驻企业废水严格按照规划排水方案执行</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园区内企事业单位等应增加再生水回用接口。企业内部循环利用+园区调配两级保障措施，按分期发展要求分别建设污水处理回用系统，污水处理回用系统采取分质处理分级回用方式，回用于各类城市杂用水和工业补水等</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lang w:val="en-US" w:eastAsia="zh-CN"/>
                    </w:rPr>
                    <w:t>③严格</w:t>
                  </w:r>
                  <w:r>
                    <w:rPr>
                      <w:rFonts w:hint="default" w:ascii="Times New Roman" w:hAnsi="Times New Roman" w:eastAsia="宋体" w:cs="Times New Roman"/>
                      <w:color w:val="auto"/>
                      <w:kern w:val="0"/>
                      <w:sz w:val="21"/>
                      <w:szCs w:val="21"/>
                    </w:rPr>
                    <w:t>各污水处理设施的管理、监测工作，确保污水处理设施外排污水长期稳定达标。新建、迁建项目应采用先进的生产工艺和污染防治技术，其清洁生产水平应达到国内先进水平以上</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实行严格的清洁生产审计，全过程降低对水的消耗和污染</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工业企业应严格控制用水量，加大工业用水的重复利用率，发展节水型工业。</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r>
                    <w:rPr>
                      <w:color w:val="auto"/>
                      <w:szCs w:val="21"/>
                    </w:rPr>
                    <w:t>项目废水对区域地表水影响较小。</w:t>
                  </w:r>
                </w:p>
              </w:tc>
              <w:tc>
                <w:tcPr>
                  <w:tcW w:w="664" w:type="dxa"/>
                  <w:noWrap w:val="0"/>
                  <w:vAlign w:val="center"/>
                </w:tcPr>
                <w:p>
                  <w:pPr>
                    <w:keepNext w:val="0"/>
                    <w:keepLines w:val="0"/>
                    <w:pageBreakBefore w:val="0"/>
                    <w:widowControl w:val="0"/>
                    <w:shd w:val="clear"/>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大气</w:t>
                  </w:r>
                  <w:r>
                    <w:rPr>
                      <w:rFonts w:hint="default" w:ascii="Times New Roman" w:hAnsi="Times New Roman" w:eastAsia="宋体" w:cs="Times New Roman"/>
                      <w:color w:val="auto"/>
                      <w:sz w:val="21"/>
                      <w:szCs w:val="21"/>
                      <w:highlight w:val="none"/>
                      <w:lang w:val="en-US" w:eastAsia="zh-CN"/>
                    </w:rPr>
                    <w:t>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按规划及其他相关</w:t>
                  </w:r>
                  <w:r>
                    <w:rPr>
                      <w:rFonts w:hint="eastAsia" w:cs="Times New Roman"/>
                      <w:color w:val="auto"/>
                      <w:kern w:val="0"/>
                      <w:sz w:val="21"/>
                      <w:szCs w:val="21"/>
                      <w:lang w:eastAsia="zh-CN"/>
                    </w:rPr>
                    <w:t>要求</w:t>
                  </w:r>
                  <w:r>
                    <w:rPr>
                      <w:rFonts w:hint="default" w:ascii="Times New Roman" w:hAnsi="Times New Roman" w:eastAsia="宋体" w:cs="Times New Roman"/>
                      <w:color w:val="auto"/>
                      <w:kern w:val="0"/>
                      <w:sz w:val="21"/>
                      <w:szCs w:val="21"/>
                    </w:rPr>
                    <w:t>规划区工业及民用均使用清洁能源。对严重污染大气环境的工艺、设备和产品实行淘汰制度</w:t>
                  </w:r>
                  <w:r>
                    <w:rPr>
                      <w:rFonts w:hint="default"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入驻的有大气污染源排放的项目环境影响评价文件中应将大气环境影响评价作为重点之一，深入分析项目入驻对区域大气环境的影响，明确环境空气污染防治措施并严格落实，要求作出明确的环境是否可行的结论</w:t>
                  </w:r>
                  <w:r>
                    <w:rPr>
                      <w:rFonts w:hint="default"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推行清洁能源，建议考虑集中供热，实施循环经济，并对大气污染物实行总量控制</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入驻企业必须采取新工艺、新技术，提高综合利用，禁止高耗能、重污染的企业入驻，要求规划区企业采用清洁生产工艺，加强源头治理，控制或者逐步削减大气污染物的排放量，严格控制废气污染物的排放，杜绝超标排放，推行清洁生产，减小能耗</w:t>
                  </w:r>
                  <w:r>
                    <w:rPr>
                      <w:rFonts w:hint="default" w:ascii="Times New Roman" w:hAnsi="Times New Roman" w:eastAsia="宋体" w:cs="Times New Roman"/>
                      <w:color w:val="auto"/>
                      <w:kern w:val="0"/>
                      <w:sz w:val="21"/>
                      <w:szCs w:val="21"/>
                      <w:lang w:eastAsia="zh-CN"/>
                    </w:rPr>
                    <w:t>；</w:t>
                  </w:r>
                </w:p>
                <w:p>
                  <w:pPr>
                    <w:keepNext w:val="0"/>
                    <w:keepLines w:val="0"/>
                    <w:pageBreakBefore w:val="0"/>
                    <w:kinsoku/>
                    <w:overflowPunct/>
                    <w:topLinePunct w:val="0"/>
                    <w:bidi w:val="0"/>
                    <w:spacing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规划区企业事业单位和其他生产经营者应当按照国家有关规定和监测规范，对其排放的工业废气和有毒有害大气污染物进行监测。其中，重点排污单位应当安装、使用大气污染物排放自动监测设备，与环境保护主管部门的监控设备联网，保证监测设备正常运行并依法公开排放信息。</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eastAsia="zh-CN"/>
                    </w:rPr>
                    <w:t>为</w:t>
                  </w:r>
                  <w:r>
                    <w:rPr>
                      <w:rFonts w:hint="default" w:ascii="Times New Roman" w:hAnsi="Times New Roman" w:eastAsia="宋体" w:cs="Times New Roman"/>
                      <w:color w:val="auto"/>
                      <w:sz w:val="21"/>
                      <w:szCs w:val="21"/>
                      <w:highlight w:val="none"/>
                      <w:lang w:val="en-US" w:eastAsia="zh-CN"/>
                    </w:rPr>
                    <w:t>泡沫塑料制造项目</w:t>
                  </w:r>
                  <w:r>
                    <w:rPr>
                      <w:rFonts w:hint="eastAsia" w:cs="Times New Roman"/>
                      <w:color w:val="auto"/>
                      <w:sz w:val="21"/>
                      <w:szCs w:val="21"/>
                      <w:highlight w:val="none"/>
                      <w:lang w:eastAsia="zh-CN"/>
                    </w:rPr>
                    <w:t>，主要使用电能作为能源，</w:t>
                  </w:r>
                  <w:r>
                    <w:rPr>
                      <w:color w:val="auto"/>
                      <w:szCs w:val="21"/>
                    </w:rPr>
                    <w:t>锅炉使用的燃料为生物质成型颗粒燃料，燃烧废气经“</w:t>
                  </w:r>
                  <w:r>
                    <w:rPr>
                      <w:rFonts w:hint="eastAsia"/>
                      <w:color w:val="auto"/>
                      <w:lang w:val="en-US" w:eastAsia="zh-CN"/>
                    </w:rPr>
                    <w:t>耐高温布袋除尘器</w:t>
                  </w:r>
                  <w:r>
                    <w:rPr>
                      <w:color w:val="auto"/>
                      <w:szCs w:val="21"/>
                    </w:rPr>
                    <w:t>”处理达标后排放。</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地下水环境影响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园区重点危险废水暂存区参照执行《危险废物贮存污染控制标准》(GB18597-2023) 、危险化学品、油库等储罐区域参照执行《石油化工企业防渗技术规范》 (GB/T50934-2013) 等相关要求进行分析。没有国家标准或行业防渗技术规范的企业，参照执行《环境影响评价技术导则 地下水》 (HJ6102016)中各防渗区要求。工业固废堆存按照《一般工业固体废物贮存、处置污染控制标准》(18599-2001)要求选址及防渗设计。</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①</w:t>
                  </w:r>
                  <w:r>
                    <w:rPr>
                      <w:rFonts w:hint="default" w:ascii="Times New Roman" w:hAnsi="Times New Roman" w:eastAsia="宋体" w:cs="Times New Roman"/>
                      <w:b w:val="0"/>
                      <w:bCs w:val="0"/>
                      <w:i w:val="0"/>
                      <w:iCs w:val="0"/>
                      <w:color w:val="auto"/>
                      <w:kern w:val="0"/>
                      <w:sz w:val="21"/>
                      <w:szCs w:val="21"/>
                      <w:lang w:eastAsia="zh-CN"/>
                    </w:rPr>
                    <w:t>杜绝高污染，高排水和淘汰落后工艺性质企业入园</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②</w:t>
                  </w:r>
                  <w:r>
                    <w:rPr>
                      <w:rFonts w:hint="default" w:ascii="Times New Roman" w:hAnsi="Times New Roman" w:eastAsia="宋体" w:cs="Times New Roman"/>
                      <w:b w:val="0"/>
                      <w:bCs w:val="0"/>
                      <w:i w:val="0"/>
                      <w:iCs w:val="0"/>
                      <w:color w:val="auto"/>
                      <w:kern w:val="0"/>
                      <w:sz w:val="21"/>
                      <w:szCs w:val="21"/>
                      <w:lang w:eastAsia="zh-CN"/>
                    </w:rPr>
                    <w:t>严禁入驻企业抽取地下水作为生产、生活用水。</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③</w:t>
                  </w:r>
                  <w:r>
                    <w:rPr>
                      <w:rFonts w:hint="default" w:ascii="Times New Roman" w:hAnsi="Times New Roman" w:eastAsia="宋体" w:cs="Times New Roman"/>
                      <w:b w:val="0"/>
                      <w:bCs w:val="0"/>
                      <w:i w:val="0"/>
                      <w:iCs w:val="0"/>
                      <w:color w:val="auto"/>
                      <w:kern w:val="0"/>
                      <w:sz w:val="21"/>
                      <w:szCs w:val="21"/>
                      <w:lang w:eastAsia="zh-CN"/>
                    </w:rPr>
                    <w:t>规范各入驻企业废水处理设施、生产车间产污工段的地面应为硬化防渗地面，厂内污水沟应有相应防渗措施。</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④</w:t>
                  </w:r>
                  <w:r>
                    <w:rPr>
                      <w:rFonts w:hint="default" w:ascii="Times New Roman" w:hAnsi="Times New Roman" w:eastAsia="宋体" w:cs="Times New Roman"/>
                      <w:b w:val="0"/>
                      <w:bCs w:val="0"/>
                      <w:i w:val="0"/>
                      <w:iCs w:val="0"/>
                      <w:color w:val="auto"/>
                      <w:kern w:val="0"/>
                      <w:sz w:val="21"/>
                      <w:szCs w:val="21"/>
                      <w:lang w:eastAsia="zh-CN"/>
                    </w:rPr>
                    <w:t>生活垃圾临时堆存点和厂内固废临时堆存点，必须具有防风、防雨、防渗措施，严禁露天乱堆放。堆存点应做到上有雨棚、底有混凝土层防渗，周边至少有1.5~2m高的挡墙和环形截雨沟。</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⑤</w:t>
                  </w:r>
                  <w:r>
                    <w:rPr>
                      <w:rFonts w:hint="default" w:ascii="Times New Roman" w:hAnsi="Times New Roman" w:eastAsia="宋体" w:cs="Times New Roman"/>
                      <w:b w:val="0"/>
                      <w:bCs w:val="0"/>
                      <w:i w:val="0"/>
                      <w:iCs w:val="0"/>
                      <w:color w:val="auto"/>
                      <w:kern w:val="0"/>
                      <w:sz w:val="21"/>
                      <w:szCs w:val="21"/>
                      <w:lang w:eastAsia="zh-CN"/>
                    </w:rPr>
                    <w:t>浸出毒性是I类一般工业固废和危险固废则需严格按国家有关规定、规范处理处置，杜绝乱堆放或混堆现象。</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⑥</w:t>
                  </w:r>
                  <w:r>
                    <w:rPr>
                      <w:rFonts w:hint="default" w:ascii="Times New Roman" w:hAnsi="Times New Roman" w:eastAsia="宋体" w:cs="Times New Roman"/>
                      <w:b w:val="0"/>
                      <w:bCs w:val="0"/>
                      <w:i w:val="0"/>
                      <w:iCs w:val="0"/>
                      <w:color w:val="auto"/>
                      <w:kern w:val="0"/>
                      <w:sz w:val="21"/>
                      <w:szCs w:val="21"/>
                      <w:lang w:eastAsia="zh-CN"/>
                    </w:rPr>
                    <w:t>严禁入园企业向地下渗坑、岩溶洼地排水、落水洞排污。严禁入驻企业在园区内新建永久性固废处置场，危险废物委托有资质单位进行清运处置。</w:t>
                  </w:r>
                </w:p>
                <w:p>
                  <w:pPr>
                    <w:pStyle w:val="4"/>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⑦</w:t>
                  </w:r>
                  <w:r>
                    <w:rPr>
                      <w:rFonts w:hint="default" w:ascii="Times New Roman" w:hAnsi="Times New Roman" w:eastAsia="宋体" w:cs="Times New Roman"/>
                      <w:b w:val="0"/>
                      <w:bCs w:val="0"/>
                      <w:i w:val="0"/>
                      <w:iCs w:val="0"/>
                      <w:color w:val="auto"/>
                      <w:kern w:val="0"/>
                      <w:sz w:val="21"/>
                      <w:szCs w:val="21"/>
                      <w:lang w:eastAsia="zh-CN"/>
                    </w:rPr>
                    <w:t>杜绝各企业生产废水、生活污水及废油、废酸、固体废弃物任意乱排放进入岩溶(洼地、落水洞)环境或农田、水体中，保护地下水环境免受污染。</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val="en-US" w:eastAsia="zh-CN"/>
                    </w:rPr>
                    <w:t>⑧</w:t>
                  </w:r>
                  <w:r>
                    <w:rPr>
                      <w:rFonts w:hint="default" w:ascii="Times New Roman" w:hAnsi="Times New Roman" w:eastAsia="宋体" w:cs="Times New Roman"/>
                      <w:b w:val="0"/>
                      <w:bCs w:val="0"/>
                      <w:i w:val="0"/>
                      <w:iCs w:val="0"/>
                      <w:color w:val="auto"/>
                      <w:kern w:val="0"/>
                      <w:sz w:val="21"/>
                      <w:szCs w:val="21"/>
                      <w:lang w:eastAsia="zh-CN"/>
                    </w:rPr>
                    <w:t>工程建设前应进行厂区岩土工程地质详细勘察和进一步的详细水文地质勘察，查明厂区所在处及其附近的断裂构造详情、地下水位埋深及水位动态变化等情况，取得更加详细的工程地质及水文地质资料，为工程设计提供资料。</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val="0"/>
                      <w:bCs w:val="0"/>
                      <w:i w:val="0"/>
                      <w:iCs w:val="0"/>
                      <w:color w:val="auto"/>
                      <w:kern w:val="0"/>
                      <w:sz w:val="21"/>
                      <w:szCs w:val="21"/>
                      <w:lang w:eastAsia="zh-CN"/>
                    </w:rPr>
                    <w:t>涉及重金属及危险化学品的企业在平面布局时需考虑场地地下水含水层分布情况，尽量使重大风险源、废水收集治理等可能出现渗漏风险的设施设置于泥岩隔水层之上。</w:t>
                  </w:r>
                </w:p>
                <w:p>
                  <w:pPr>
                    <w:keepNext w:val="0"/>
                    <w:keepLines w:val="0"/>
                    <w:pageBreakBefore w:val="0"/>
                    <w:kinsoku/>
                    <w:overflowPunct/>
                    <w:topLinePunct w:val="0"/>
                    <w:bidi w:val="0"/>
                    <w:spacing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b w:val="0"/>
                      <w:bCs w:val="0"/>
                      <w:i w:val="0"/>
                      <w:iCs w:val="0"/>
                      <w:color w:val="auto"/>
                      <w:kern w:val="0"/>
                      <w:sz w:val="21"/>
                      <w:szCs w:val="21"/>
                      <w:lang w:val="en-US" w:eastAsia="zh-CN"/>
                    </w:rPr>
                    <w:t>⑨</w:t>
                  </w:r>
                  <w:r>
                    <w:rPr>
                      <w:rFonts w:hint="default" w:ascii="Times New Roman" w:hAnsi="Times New Roman" w:eastAsia="宋体" w:cs="Times New Roman"/>
                      <w:b w:val="0"/>
                      <w:bCs w:val="0"/>
                      <w:i w:val="0"/>
                      <w:iCs w:val="0"/>
                      <w:color w:val="auto"/>
                      <w:kern w:val="0"/>
                      <w:sz w:val="21"/>
                      <w:szCs w:val="21"/>
                      <w:lang w:eastAsia="zh-CN"/>
                    </w:rPr>
                    <w:t>企业场地、各生产车间及原料、废渣临时堆放场地、污水处理设施等区域按照国家标准或行业防渗技术规范、《环境影响评价技术导则 地下水环境》(HJ610-2016)中的防渗要求进行防渗设计，固废处置应符合相关法规和技术规范要求，渗滤液不得任意外排，避免渗滤液下渗污染地下水环境。</w:t>
                  </w:r>
                </w:p>
              </w:tc>
              <w:tc>
                <w:tcPr>
                  <w:tcW w:w="2287" w:type="dxa"/>
                  <w:noWrap w:val="0"/>
                  <w:vAlign w:val="center"/>
                </w:tcPr>
                <w:p>
                  <w:pPr>
                    <w:widowControl/>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color w:val="auto"/>
                      <w:sz w:val="21"/>
                      <w:szCs w:val="21"/>
                      <w:highlight w:val="none"/>
                      <w:lang w:val="en-US" w:eastAsia="zh-CN"/>
                    </w:rPr>
                    <w:t>本项目区内进行分区防渗，</w:t>
                  </w:r>
                  <w:r>
                    <w:rPr>
                      <w:rFonts w:hint="default" w:ascii="Times New Roman" w:hAnsi="Times New Roman" w:eastAsia="宋体" w:cs="Times New Roman"/>
                      <w:b w:val="0"/>
                      <w:bCs w:val="0"/>
                      <w:color w:val="auto"/>
                      <w:sz w:val="21"/>
                      <w:szCs w:val="21"/>
                      <w:highlight w:val="none"/>
                      <w:lang w:val="en-US" w:eastAsia="zh-CN"/>
                    </w:rPr>
                    <w:t>①重点防渗：</w:t>
                  </w:r>
                  <w:r>
                    <w:rPr>
                      <w:rFonts w:hint="default" w:ascii="Times New Roman" w:hAnsi="Times New Roman" w:eastAsia="宋体" w:cs="Times New Roman"/>
                      <w:b w:val="0"/>
                      <w:bCs w:val="0"/>
                      <w:color w:val="auto"/>
                      <w:sz w:val="21"/>
                      <w:szCs w:val="21"/>
                      <w:highlight w:val="none"/>
                      <w:lang w:val="zh-CN"/>
                    </w:rPr>
                    <w:t>危废暂存间地面及</w:t>
                  </w:r>
                  <w:r>
                    <w:rPr>
                      <w:rFonts w:hint="default" w:ascii="Times New Roman" w:hAnsi="Times New Roman" w:eastAsia="宋体" w:cs="Times New Roman"/>
                      <w:b w:val="0"/>
                      <w:bCs w:val="0"/>
                      <w:color w:val="auto"/>
                      <w:sz w:val="21"/>
                      <w:szCs w:val="21"/>
                      <w:highlight w:val="none"/>
                      <w:lang w:val="en-US" w:eastAsia="zh-CN"/>
                    </w:rPr>
                    <w:t>四周墙裙脚</w:t>
                  </w:r>
                  <w:r>
                    <w:rPr>
                      <w:rFonts w:hint="default" w:ascii="Times New Roman" w:hAnsi="Times New Roman" w:eastAsia="宋体" w:cs="Times New Roman"/>
                      <w:b w:val="0"/>
                      <w:bCs w:val="0"/>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en-US" w:eastAsia="zh-CN"/>
                    </w:rPr>
                    <w:t>抗渗混凝土</w:t>
                  </w:r>
                  <w:r>
                    <w:rPr>
                      <w:rFonts w:hint="default" w:ascii="Times New Roman" w:hAnsi="Times New Roman" w:eastAsia="宋体" w:cs="Times New Roman"/>
                      <w:b w:val="0"/>
                      <w:bCs w:val="0"/>
                      <w:color w:val="auto"/>
                      <w:sz w:val="21"/>
                      <w:szCs w:val="21"/>
                      <w:highlight w:val="none"/>
                      <w:lang w:val="zh-CN"/>
                    </w:rPr>
                    <w:t>+2mm厚HDPE+环氧树脂”</w:t>
                  </w:r>
                  <w:r>
                    <w:rPr>
                      <w:rFonts w:hint="default" w:ascii="Times New Roman" w:hAnsi="Times New Roman" w:eastAsia="宋体" w:cs="Times New Roman"/>
                      <w:b w:val="0"/>
                      <w:bCs w:val="0"/>
                      <w:color w:val="auto"/>
                      <w:sz w:val="21"/>
                      <w:szCs w:val="21"/>
                      <w:highlight w:val="none"/>
                      <w:lang w:val="en-US" w:eastAsia="zh-CN"/>
                    </w:rPr>
                    <w:t>进行重点防渗处理</w:t>
                  </w:r>
                  <w:r>
                    <w:rPr>
                      <w:rFonts w:hint="default" w:ascii="Times New Roman" w:hAnsi="Times New Roman" w:eastAsia="宋体" w:cs="Times New Roman"/>
                      <w:b w:val="0"/>
                      <w:bCs w:val="0"/>
                      <w:color w:val="auto"/>
                      <w:sz w:val="21"/>
                      <w:szCs w:val="21"/>
                      <w:highlight w:val="none"/>
                      <w:lang w:val="zh-CN"/>
                    </w:rPr>
                    <w:t>，渗透系数≤10</w:t>
                  </w:r>
                  <w:r>
                    <w:rPr>
                      <w:rFonts w:hint="default" w:ascii="Times New Roman" w:hAnsi="Times New Roman" w:eastAsia="宋体" w:cs="Times New Roman"/>
                      <w:b w:val="0"/>
                      <w:bCs w:val="0"/>
                      <w:color w:val="auto"/>
                      <w:sz w:val="21"/>
                      <w:szCs w:val="21"/>
                      <w:highlight w:val="none"/>
                      <w:vertAlign w:val="superscript"/>
                      <w:lang w:val="zh-CN"/>
                    </w:rPr>
                    <w:t>-10</w:t>
                  </w:r>
                  <w:r>
                    <w:rPr>
                      <w:rFonts w:hint="default" w:ascii="Times New Roman" w:hAnsi="Times New Roman" w:eastAsia="宋体" w:cs="Times New Roman"/>
                      <w:b w:val="0"/>
                      <w:bCs w:val="0"/>
                      <w:color w:val="auto"/>
                      <w:sz w:val="21"/>
                      <w:szCs w:val="21"/>
                      <w:highlight w:val="none"/>
                      <w:lang w:val="zh-CN"/>
                    </w:rPr>
                    <w:t>cm/s</w:t>
                  </w:r>
                  <w:r>
                    <w:rPr>
                      <w:rFonts w:hint="default" w:ascii="Times New Roman" w:hAnsi="Times New Roman" w:eastAsia="宋体" w:cs="Times New Roman"/>
                      <w:b w:val="0"/>
                      <w:bCs w:val="0"/>
                      <w:color w:val="auto"/>
                      <w:sz w:val="21"/>
                      <w:szCs w:val="21"/>
                      <w:highlight w:val="none"/>
                    </w:rPr>
                    <w:t>，并按照要求设置规范的标识</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标牌</w:t>
                  </w:r>
                  <w:r>
                    <w:rPr>
                      <w:rFonts w:hint="default" w:ascii="Times New Roman" w:hAnsi="Times New Roman" w:eastAsia="宋体" w:cs="Times New Roman"/>
                      <w:b w:val="0"/>
                      <w:bCs w:val="0"/>
                      <w:color w:val="auto"/>
                      <w:sz w:val="21"/>
                      <w:szCs w:val="21"/>
                      <w:highlight w:val="none"/>
                      <w:lang w:val="en-US" w:eastAsia="zh-CN"/>
                    </w:rPr>
                    <w:t>。②一般防渗区：</w:t>
                  </w:r>
                  <w:r>
                    <w:rPr>
                      <w:rFonts w:hint="default" w:ascii="Times New Roman" w:hAnsi="Times New Roman" w:eastAsia="宋体" w:cs="Times New Roman"/>
                      <w:b w:val="0"/>
                      <w:bCs w:val="0"/>
                      <w:color w:val="auto"/>
                      <w:lang w:val="en-US" w:eastAsia="zh-CN"/>
                    </w:rPr>
                    <w:t>絮凝沉淀池、循环冷却水池、隔油池、化粪池、一体化污水处理站、</w:t>
                  </w:r>
                </w:p>
                <w:p>
                  <w:pPr>
                    <w:widowControl/>
                    <w:spacing w:line="240" w:lineRule="auto"/>
                    <w:ind w:firstLine="0" w:firstLineChars="0"/>
                    <w:jc w:val="both"/>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蓄水池、事故应急池、一般固体废物暂存区防渗技术要求达到等效黏土防渗层</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lang w:val="en-US" w:eastAsia="zh-CN"/>
                    </w:rPr>
                    <w:t>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r>
                    <w:rPr>
                      <w:rFonts w:hint="default" w:ascii="Times New Roman" w:hAnsi="Times New Roman" w:eastAsia="宋体" w:cs="Times New Roman"/>
                      <w:b w:val="0"/>
                      <w:bCs w:val="0"/>
                      <w:color w:val="auto"/>
                      <w:sz w:val="21"/>
                      <w:szCs w:val="21"/>
                      <w:highlight w:val="none"/>
                      <w:lang w:val="zh-CN"/>
                    </w:rPr>
                    <w:t>。</w:t>
                  </w:r>
                  <w:r>
                    <w:rPr>
                      <w:rFonts w:hint="default" w:ascii="Times New Roman" w:hAnsi="Times New Roman" w:eastAsia="宋体" w:cs="Times New Roman"/>
                      <w:b w:val="0"/>
                      <w:bCs w:val="0"/>
                      <w:color w:val="auto"/>
                      <w:sz w:val="21"/>
                      <w:szCs w:val="21"/>
                      <w:highlight w:val="none"/>
                      <w:lang w:val="en-US" w:eastAsia="zh-CN"/>
                    </w:rPr>
                    <w:t>③简单防渗区：</w:t>
                  </w:r>
                  <w:r>
                    <w:rPr>
                      <w:rFonts w:hint="default" w:ascii="Times New Roman" w:hAnsi="Times New Roman" w:eastAsia="宋体" w:cs="Times New Roman"/>
                      <w:color w:val="auto"/>
                      <w:sz w:val="21"/>
                      <w:szCs w:val="21"/>
                      <w:highlight w:val="none"/>
                      <w:lang w:val="zh-CN"/>
                    </w:rPr>
                    <w:t>其余生产区、</w:t>
                  </w:r>
                  <w:r>
                    <w:rPr>
                      <w:rFonts w:hint="default" w:ascii="Times New Roman" w:hAnsi="Times New Roman" w:eastAsia="宋体" w:cs="Times New Roman"/>
                      <w:color w:val="auto"/>
                      <w:sz w:val="21"/>
                      <w:szCs w:val="21"/>
                      <w:highlight w:val="none"/>
                    </w:rPr>
                    <w:t>道路及</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区域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除绿化外</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zh-CN"/>
                    </w:rPr>
                    <w:t>进行一般</w:t>
                  </w:r>
                  <w:r>
                    <w:rPr>
                      <w:rFonts w:hint="default" w:ascii="Times New Roman" w:hAnsi="Times New Roman" w:eastAsia="宋体" w:cs="Times New Roman"/>
                      <w:b w:val="0"/>
                      <w:bCs w:val="0"/>
                      <w:color w:val="auto"/>
                      <w:sz w:val="21"/>
                      <w:szCs w:val="21"/>
                      <w:highlight w:val="none"/>
                      <w:lang w:val="en-US" w:eastAsia="zh-CN"/>
                    </w:rPr>
                    <w:t>硬化处理。本项目不属于高污染、高排水及淘汰落后的生产工艺，用水为市政管网供水。</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土壤环境影响</w:t>
                  </w:r>
                  <w:r>
                    <w:rPr>
                      <w:rFonts w:hint="default" w:ascii="Times New Roman" w:hAnsi="Times New Roman" w:eastAsia="宋体" w:cs="Times New Roman"/>
                      <w:color w:val="auto"/>
                      <w:sz w:val="21"/>
                      <w:szCs w:val="21"/>
                      <w:highlight w:val="none"/>
                      <w:lang w:val="zh-CN"/>
                    </w:rPr>
                    <w:t>减缓措施</w:t>
                  </w:r>
                </w:p>
              </w:tc>
              <w:tc>
                <w:tcPr>
                  <w:tcW w:w="4278" w:type="dxa"/>
                  <w:noWrap w:val="0"/>
                  <w:vAlign w:val="center"/>
                </w:tcPr>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①源头控制措施：选用合格的生产原料，从源头上控制污染物的产生。</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②末端控制措施：废气经处理后外排，减少废气中的污染物排放。</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③污染监控体系：实施覆盖生产区的土壤污染监控系统，及时发现污染、及时控制。</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④应急响应措施：一旦发现污染事故，立即启动应急预案、采取应急措施控制土壤，并使污染</w:t>
                  </w:r>
                  <w:r>
                    <w:rPr>
                      <w:rFonts w:hint="eastAsia" w:cs="Times New Roman"/>
                      <w:b w:val="0"/>
                      <w:bCs w:val="0"/>
                      <w:i w:val="0"/>
                      <w:iCs w:val="0"/>
                      <w:color w:val="auto"/>
                      <w:kern w:val="0"/>
                      <w:sz w:val="21"/>
                      <w:szCs w:val="21"/>
                      <w:lang w:val="en-US" w:eastAsia="zh-CN"/>
                    </w:rPr>
                    <w:t>得</w:t>
                  </w:r>
                  <w:r>
                    <w:rPr>
                      <w:rFonts w:hint="default" w:ascii="Times New Roman" w:hAnsi="Times New Roman" w:eastAsia="宋体" w:cs="Times New Roman"/>
                      <w:b w:val="0"/>
                      <w:bCs w:val="0"/>
                      <w:i w:val="0"/>
                      <w:iCs w:val="0"/>
                      <w:color w:val="auto"/>
                      <w:kern w:val="0"/>
                      <w:sz w:val="21"/>
                      <w:szCs w:val="21"/>
                      <w:lang w:val="en-US" w:eastAsia="zh-CN"/>
                    </w:rPr>
                    <w:t>到治理。</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⑤绿化措施：合理利用项目区的空余空间，加强项目区的绿化。</w:t>
                  </w:r>
                </w:p>
                <w:p>
                  <w:pPr>
                    <w:pStyle w:val="40"/>
                    <w:keepNext w:val="0"/>
                    <w:keepLines w:val="0"/>
                    <w:pageBreakBefore w:val="0"/>
                    <w:kinsoku/>
                    <w:overflowPunct/>
                    <w:topLinePunct w:val="0"/>
                    <w:bidi w:val="0"/>
                    <w:adjustRightInd w:val="0"/>
                    <w:snapToGrid w:val="0"/>
                    <w:spacing w:before="0" w:after="0" w:line="240" w:lineRule="auto"/>
                    <w:ind w:left="0" w:right="0" w:firstLine="0" w:firstLineChars="0"/>
                    <w:jc w:val="both"/>
                    <w:textAlignment w:val="auto"/>
                    <w:rPr>
                      <w:rFonts w:hint="default" w:ascii="Times New Roman" w:hAnsi="Times New Roman" w:eastAsia="宋体" w:cs="Times New Roman"/>
                      <w:b w:val="0"/>
                      <w:bCs w:val="0"/>
                      <w:i w:val="0"/>
                      <w:iCs w:val="0"/>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⑥加强对厂区周围土壤环境的定期监测，建立土壤环境质量动态监测系统，及时反馈污染控制信息。</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b w:val="0"/>
                      <w:bCs w:val="0"/>
                      <w:i w:val="0"/>
                      <w:iCs w:val="0"/>
                      <w:color w:val="auto"/>
                      <w:kern w:val="0"/>
                      <w:sz w:val="21"/>
                      <w:szCs w:val="21"/>
                      <w:lang w:val="en-US" w:eastAsia="zh-CN"/>
                    </w:rPr>
                    <w:t>⑦严格固体废物运输管理，避免在运输过程中的散落。一旦发生散落事件，及时清理收集，防止进入农田。</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本项目使用的生产原料均为合格品；废气均经过有效的治理措施处理后达标排放；</w:t>
                  </w: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kern w:val="2"/>
                      <w:sz w:val="21"/>
                      <w:szCs w:val="21"/>
                      <w:highlight w:val="none"/>
                    </w:rPr>
                    <w:t>“抗渗混凝土+2mm厚HDPE+环氧树脂涂料”</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w:t>
                  </w:r>
                  <w:r>
                    <w:rPr>
                      <w:rFonts w:hint="default" w:ascii="Times New Roman" w:hAnsi="Times New Roman" w:eastAsia="宋体" w:cs="Times New Roman"/>
                      <w:color w:val="auto"/>
                      <w:sz w:val="21"/>
                      <w:szCs w:val="21"/>
                      <w:highlight w:val="none"/>
                      <w:lang w:eastAsia="zh-CN"/>
                    </w:rPr>
                    <w:t>。</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噪声影响减缓措施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根据规划实施后对声环境的影响分析，本评价提出规划区应合理布局各企业位置，要将工业用地、公共设施用地等噪声污染较高的用地与住宅等需要安静的用地分隔开来，居住区应</w:t>
                  </w:r>
                  <w:r>
                    <w:rPr>
                      <w:rFonts w:hint="eastAsia" w:cs="Times New Roman"/>
                      <w:color w:val="auto"/>
                      <w:kern w:val="0"/>
                      <w:sz w:val="21"/>
                      <w:szCs w:val="21"/>
                      <w:lang w:eastAsia="zh-CN"/>
                    </w:rPr>
                    <w:t>尽量</w:t>
                  </w:r>
                  <w:r>
                    <w:rPr>
                      <w:rFonts w:hint="default" w:ascii="Times New Roman" w:hAnsi="Times New Roman" w:eastAsia="宋体" w:cs="Times New Roman"/>
                      <w:color w:val="auto"/>
                      <w:kern w:val="0"/>
                      <w:sz w:val="21"/>
                      <w:szCs w:val="21"/>
                    </w:rPr>
                    <w:t>离开交通干线40m以上，将仓储用地放于交通干道两侧，入园企业也要注意将生产区与办公区分离开来</w:t>
                  </w:r>
                  <w:r>
                    <w:rPr>
                      <w:rFonts w:hint="default"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②道路建设设计应预留绿化带，加强园区道路修缮工作以及交通管理；</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③入园企业如果使用一些高噪声设备如风机、空压机、冷却塔、发电机等，应做好消音降噪措施，建设过程中一定要对高噪声设备实行“同时设计、同时施工、同时验收”的原则，杜绝先污染后治理的现象出现</w:t>
                  </w:r>
                  <w:r>
                    <w:rPr>
                      <w:rFonts w:hint="default" w:ascii="Times New Roman" w:hAnsi="Times New Roman" w:eastAsia="宋体" w:cs="Times New Roman"/>
                      <w:color w:val="auto"/>
                      <w:kern w:val="0"/>
                      <w:sz w:val="21"/>
                      <w:szCs w:val="21"/>
                    </w:rPr>
                    <w:t>。</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val="en-US" w:eastAsia="zh-CN"/>
                    </w:rPr>
                    <w:t>所有设备均设置于厂房内部，高噪声设备安装消声、减震装置</w:t>
                  </w:r>
                  <w:r>
                    <w:rPr>
                      <w:rFonts w:hint="default" w:ascii="Times New Roman" w:hAnsi="Times New Roman" w:eastAsia="宋体" w:cs="Times New Roman"/>
                      <w:color w:val="auto"/>
                      <w:sz w:val="21"/>
                      <w:szCs w:val="21"/>
                      <w:highlight w:val="none"/>
                    </w:rPr>
                    <w:t>。根据预测结果，在采取噪声防治措施后，项目</w:t>
                  </w:r>
                  <w:r>
                    <w:rPr>
                      <w:rFonts w:hint="default" w:ascii="Times New Roman" w:hAnsi="Times New Roman" w:eastAsia="宋体" w:cs="Times New Roman"/>
                      <w:color w:val="auto"/>
                      <w:sz w:val="21"/>
                      <w:szCs w:val="21"/>
                      <w:highlight w:val="none"/>
                      <w:lang w:val="en-US" w:eastAsia="zh-CN"/>
                    </w:rPr>
                    <w:t>各厂界</w:t>
                  </w:r>
                  <w:r>
                    <w:rPr>
                      <w:rFonts w:hint="default" w:ascii="Times New Roman" w:hAnsi="Times New Roman" w:eastAsia="宋体" w:cs="Times New Roman"/>
                      <w:color w:val="auto"/>
                      <w:sz w:val="21"/>
                      <w:szCs w:val="21"/>
                      <w:highlight w:val="none"/>
                    </w:rPr>
                    <w:t>噪声</w:t>
                  </w:r>
                  <w:r>
                    <w:rPr>
                      <w:rFonts w:hint="default" w:ascii="Times New Roman" w:hAnsi="Times New Roman" w:eastAsia="宋体" w:cs="Times New Roman"/>
                      <w:color w:val="auto"/>
                      <w:sz w:val="21"/>
                      <w:szCs w:val="21"/>
                      <w:highlight w:val="none"/>
                      <w:lang w:val="en-US" w:eastAsia="zh-CN"/>
                    </w:rPr>
                    <w:t>均可满足</w:t>
                  </w:r>
                  <w:r>
                    <w:rPr>
                      <w:rFonts w:hint="default" w:ascii="Times New Roman" w:hAnsi="Times New Roman" w:eastAsia="宋体" w:cs="Times New Roman"/>
                      <w:color w:val="auto"/>
                      <w:sz w:val="21"/>
                      <w:szCs w:val="21"/>
                      <w:highlight w:val="none"/>
                    </w:rPr>
                    <w:t>《工业企业厂界环境噪声排放标准》（GB12348-2008）3类要求。项目周边</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0m范围无声环境敏感目标，不会降低区域声环境质量现状。</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固体废物污染防治措施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园区不统一设置渣场，现有企业及未来入驻企业，禁止在园区内新建永久性固废处置渣场。临时渣场建设应严格按照《一般工业固体废物贮存和填埋污染控制标准》(GB18599-2020)的相关规定进行设置，充分采取防渗，防雨淋等措施</w:t>
                  </w:r>
                  <w:r>
                    <w:rPr>
                      <w:rFonts w:hint="default"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对工业固体废物中可以回收利用的进行充分综合利用，立足于在园区内加以消化。园区应加强工业固废管理，按“谁产生、谁负责”原则，要求园区企业对产生固体废物进行处置、储存，应将固体废物的性质、产生量、处置去向等向环保主管部门进行申报登记，严禁随意倾倒。调整产业结构，减少高资源消耗、高能耗企业，减少固废的产生。从清洁生产、循环经济角度控制工业固体废物产生量，引导企业系统内部减量化和循环利用，降低单位产品固体废物产量。提高综合利用率，加大工业固体废物综合利用技术的开发力度，促进固体废物重新进入生产循环系统，实现固体废物的回收、循环、利用及资源。</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对于危险固废，需要按《危险废物贮存污染控制标准》(GB18597</w:t>
                  </w:r>
                  <w:r>
                    <w:rPr>
                      <w:rFonts w:hint="eastAsia"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2023)的要求进行贮存，委托危险废物中心处理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目前不能处置的废物，应在项目内妥善贮存。</w:t>
                  </w:r>
                  <w:r>
                    <w:rPr>
                      <w:rFonts w:hint="default" w:ascii="Times New Roman" w:hAnsi="Times New Roman" w:eastAsia="宋体" w:cs="Times New Roman"/>
                      <w:color w:val="auto"/>
                      <w:kern w:val="0"/>
                      <w:sz w:val="21"/>
                      <w:szCs w:val="21"/>
                      <w:lang w:val="en-US" w:eastAsia="zh-CN"/>
                    </w:rPr>
                    <w:t>严</w:t>
                  </w:r>
                  <w:r>
                    <w:rPr>
                      <w:rFonts w:hint="default" w:ascii="Times New Roman" w:hAnsi="Times New Roman" w:eastAsia="宋体" w:cs="Times New Roman"/>
                      <w:color w:val="auto"/>
                      <w:kern w:val="0"/>
                      <w:sz w:val="21"/>
                      <w:szCs w:val="21"/>
                    </w:rPr>
                    <w:t>格按照《中华人民共和国固体废物污染环境防治法</w:t>
                  </w:r>
                  <w:bookmarkStart w:id="36" w:name="_GoBack"/>
                  <w:bookmarkEnd w:id="36"/>
                  <w:r>
                    <w:rPr>
                      <w:rFonts w:hint="default" w:ascii="Times New Roman" w:hAnsi="Times New Roman" w:eastAsia="宋体" w:cs="Times New Roman"/>
                      <w:color w:val="auto"/>
                      <w:kern w:val="0"/>
                      <w:sz w:val="21"/>
                      <w:szCs w:val="21"/>
                    </w:rPr>
                    <w:t>》对危险废物污染环境污染防治的特别规定，做好危险废物的申报登记、处置和管理。强化危险废物管理。</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规划区产生的生活垃圾则委托环卫部门统一收集并运至城市生活垃圾卫生填埋场进行处置</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制定地方商品进入和消费的指导性政策，限制过度包装商品的进入，建立消费品包装物回收体系，逐步取缔一次性餐具类商品的销售和使用。鼓励净菜类产业和相关服务体系的发展，减少厨房残余垃圾产生量</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⑤</w:t>
                  </w:r>
                  <w:r>
                    <w:rPr>
                      <w:rFonts w:hint="default" w:ascii="Times New Roman" w:hAnsi="Times New Roman" w:eastAsia="宋体" w:cs="Times New Roman"/>
                      <w:color w:val="auto"/>
                      <w:kern w:val="0"/>
                      <w:sz w:val="21"/>
                      <w:szCs w:val="21"/>
                    </w:rPr>
                    <w:t>工程开挖土石方、建筑垃圾和施工人员生活垃圾要及时清运，以免给周围环境带来影响。</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zh-CN"/>
                    </w:rPr>
                    <w:t>固体废弃物100%处置。</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生态环境影响减缓措施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①</w:t>
                  </w:r>
                  <w:r>
                    <w:rPr>
                      <w:rFonts w:hint="eastAsia" w:ascii="Times New Roman" w:hAnsi="Times New Roman" w:eastAsia="宋体" w:cs="Times New Roman"/>
                      <w:color w:val="auto"/>
                      <w:kern w:val="0"/>
                      <w:sz w:val="21"/>
                      <w:szCs w:val="21"/>
                    </w:rPr>
                    <w:t>强化规划区内项目建设施工期生态保护</w:t>
                  </w:r>
                  <w:r>
                    <w:rPr>
                      <w:rFonts w:hint="eastAsia"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②</w:t>
                  </w:r>
                  <w:r>
                    <w:rPr>
                      <w:rFonts w:hint="eastAsia" w:ascii="Times New Roman" w:hAnsi="Times New Roman" w:eastAsia="宋体" w:cs="Times New Roman"/>
                      <w:color w:val="auto"/>
                      <w:kern w:val="0"/>
                      <w:sz w:val="21"/>
                      <w:szCs w:val="21"/>
                    </w:rPr>
                    <w:t>优先进行生态</w:t>
                  </w:r>
                  <w:r>
                    <w:rPr>
                      <w:rFonts w:hint="eastAsia" w:cs="Times New Roman"/>
                      <w:color w:val="auto"/>
                      <w:kern w:val="0"/>
                      <w:sz w:val="21"/>
                      <w:szCs w:val="21"/>
                      <w:lang w:eastAsia="zh-CN"/>
                    </w:rPr>
                    <w:t>基础设施</w:t>
                  </w:r>
                  <w:r>
                    <w:rPr>
                      <w:rFonts w:hint="eastAsia" w:ascii="Times New Roman" w:hAnsi="Times New Roman" w:eastAsia="宋体" w:cs="Times New Roman"/>
                      <w:color w:val="auto"/>
                      <w:kern w:val="0"/>
                      <w:sz w:val="21"/>
                      <w:szCs w:val="21"/>
                    </w:rPr>
                    <w:t>建设</w:t>
                  </w:r>
                  <w:r>
                    <w:rPr>
                      <w:rFonts w:hint="eastAsia"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③</w:t>
                  </w:r>
                  <w:r>
                    <w:rPr>
                      <w:rFonts w:hint="eastAsia" w:ascii="Times New Roman" w:hAnsi="Times New Roman" w:eastAsia="宋体" w:cs="Times New Roman"/>
                      <w:color w:val="auto"/>
                      <w:kern w:val="0"/>
                      <w:sz w:val="21"/>
                      <w:szCs w:val="21"/>
                    </w:rPr>
                    <w:t>建立长效而稳定的生态保护和生态建设机制</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强化城乡建设、土地利用、环境保护、文物保护、林地保护、综合交通</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水资源、文化旅游、社会事业等各类规划的衔接，确保产业园区的保护空间</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开发边界、建设规模等重要参数一致</w:t>
                  </w:r>
                  <w:r>
                    <w:rPr>
                      <w:rFonts w:hint="eastAsia"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④</w:t>
                  </w:r>
                  <w:r>
                    <w:rPr>
                      <w:rFonts w:hint="eastAsia" w:ascii="Times New Roman" w:hAnsi="Times New Roman" w:eastAsia="宋体" w:cs="Times New Roman"/>
                      <w:color w:val="auto"/>
                      <w:kern w:val="0"/>
                      <w:sz w:val="21"/>
                      <w:szCs w:val="21"/>
                    </w:rPr>
                    <w:t>注重生态环境保护的管理和宣传教育</w:t>
                  </w:r>
                  <w:r>
                    <w:rPr>
                      <w:rFonts w:hint="eastAsia"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⑤</w:t>
                  </w:r>
                  <w:r>
                    <w:rPr>
                      <w:rFonts w:hint="eastAsia" w:ascii="Times New Roman" w:hAnsi="Times New Roman" w:eastAsia="宋体" w:cs="Times New Roman"/>
                      <w:color w:val="auto"/>
                      <w:kern w:val="0"/>
                      <w:sz w:val="21"/>
                      <w:szCs w:val="21"/>
                    </w:rPr>
                    <w:t>规划实施建设活动时应尽量避开耕地、林地，尽量选择在灌草丛、荒地等植被较差或未开发利用的区域，以减少对植被的破坏</w:t>
                  </w:r>
                  <w:r>
                    <w:rPr>
                      <w:rFonts w:hint="eastAsia" w:ascii="Times New Roman" w:hAnsi="Times New Roman" w:eastAsia="宋体" w:cs="Times New Roman"/>
                      <w:color w:val="auto"/>
                      <w:kern w:val="0"/>
                      <w:sz w:val="21"/>
                      <w:szCs w:val="21"/>
                      <w:lang w:eastAsia="zh-CN"/>
                    </w:rPr>
                    <w:t>，</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⑥</w:t>
                  </w:r>
                  <w:r>
                    <w:rPr>
                      <w:rFonts w:hint="eastAsia" w:ascii="Times New Roman" w:hAnsi="Times New Roman" w:eastAsia="宋体" w:cs="Times New Roman"/>
                      <w:color w:val="auto"/>
                      <w:kern w:val="0"/>
                      <w:sz w:val="21"/>
                      <w:szCs w:val="21"/>
                    </w:rPr>
                    <w:t>在保证质量的情况下尽量缩短工期，从而尽量减少对占地范围环境的扰动</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施工结束后，对施工现场进行迹地清理，尽早开展植被恢复和复垦，植被的恢复必须按照当地的实际情况，针对不同的土壤条件、气候条件以及坡度、海拔等条件进行乔灌草的合理配置，建立起植被与生境水分条件相符合的群落生态关系，优先选用乡土物种进行植被恢复，禁止引入外来入侵物种。</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kern w:val="0"/>
                      <w:sz w:val="21"/>
                      <w:szCs w:val="21"/>
                      <w:lang w:val="en-US" w:eastAsia="zh-CN"/>
                    </w:rPr>
                    <w:t>⑦</w:t>
                  </w:r>
                  <w:r>
                    <w:rPr>
                      <w:rFonts w:hint="eastAsia" w:ascii="Times New Roman" w:hAnsi="Times New Roman" w:eastAsia="宋体" w:cs="Times New Roman"/>
                      <w:color w:val="auto"/>
                      <w:kern w:val="0"/>
                      <w:sz w:val="21"/>
                      <w:szCs w:val="21"/>
                    </w:rPr>
                    <w:t>工程施工应分散分区进行，开挖面要及时种上草皮，缩短裸露面的暴露时间，减少水土流失。在施工过程中，控制地表破坏程度，尽量保护周围的土壤和植被，要严格按照施工规划尽可能少占地。合理布设施工场地，减少土地占用。施工单位要做好相应的施工组织与管理工作，尽量缩短工期。及时清理施工现场，不得遗留任何固体废物、建(构)筑物的残体、生活垃圾和(石)方等，某些关键节点采取临时围挡进行封闭施工。</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项目厂区内设置了一定面积的绿化。</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事故及风险防范措施</w:t>
                  </w:r>
                </w:p>
              </w:tc>
              <w:tc>
                <w:tcPr>
                  <w:tcW w:w="4278" w:type="dxa"/>
                  <w:noWrap w:val="0"/>
                  <w:vAlign w:val="center"/>
                </w:tcPr>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①</w:t>
                  </w:r>
                  <w:r>
                    <w:rPr>
                      <w:rFonts w:hint="default" w:ascii="Times New Roman" w:hAnsi="Times New Roman" w:eastAsia="宋体" w:cs="Times New Roman"/>
                      <w:color w:val="auto"/>
                      <w:kern w:val="0"/>
                      <w:sz w:val="21"/>
                      <w:szCs w:val="21"/>
                    </w:rPr>
                    <w:t>园区管委会应建立完善的安全、环保管理体制。</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②</w:t>
                  </w:r>
                  <w:r>
                    <w:rPr>
                      <w:rFonts w:hint="default" w:ascii="Times New Roman" w:hAnsi="Times New Roman" w:eastAsia="宋体" w:cs="Times New Roman"/>
                      <w:color w:val="auto"/>
                      <w:kern w:val="0"/>
                      <w:sz w:val="21"/>
                      <w:szCs w:val="21"/>
                    </w:rPr>
                    <w:t>加强园区内企业的环境监督管理。</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③</w:t>
                  </w:r>
                  <w:r>
                    <w:rPr>
                      <w:rFonts w:hint="default" w:ascii="Times New Roman" w:hAnsi="Times New Roman" w:eastAsia="宋体" w:cs="Times New Roman"/>
                      <w:color w:val="auto"/>
                      <w:kern w:val="0"/>
                      <w:sz w:val="21"/>
                      <w:szCs w:val="21"/>
                    </w:rPr>
                    <w:t>规划实施过程中，园区管委会和环保部门对进驻园区企业进行风险排查，掌握园区企业危险化学品使用、贮存和生产情况。</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④</w:t>
                  </w:r>
                  <w:r>
                    <w:rPr>
                      <w:rFonts w:hint="default" w:ascii="Times New Roman" w:hAnsi="Times New Roman" w:eastAsia="宋体" w:cs="Times New Roman"/>
                      <w:color w:val="auto"/>
                      <w:kern w:val="0"/>
                      <w:sz w:val="21"/>
                      <w:szCs w:val="21"/>
                    </w:rPr>
                    <w:t>企业进驻园区时，根据进驻企业的生产规模、产品方案、工艺流程以及危险化学品使用、贮存和生产情况，对进驻企业按照HJ/T169-2018《建设项目环境风险评价技术导则》的要求进行环境风险评价，提出各项目的环境风险防范措施和应急预案，确定各项目的安全防护距离。</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⑤</w:t>
                  </w:r>
                  <w:r>
                    <w:rPr>
                      <w:rFonts w:hint="default" w:ascii="Times New Roman" w:hAnsi="Times New Roman" w:eastAsia="宋体" w:cs="Times New Roman"/>
                      <w:color w:val="auto"/>
                      <w:kern w:val="0"/>
                      <w:sz w:val="21"/>
                      <w:szCs w:val="21"/>
                    </w:rPr>
                    <w:t>根据进驻项目可能发生的风险事故和清消废水产生量，对存在环境风险的项目，在进行设计施工时，设置清消废水收集池，清消废水经收集处理达标后才能外排。</w:t>
                  </w:r>
                </w:p>
                <w:p>
                  <w:pPr>
                    <w:keepNext w:val="0"/>
                    <w:keepLines w:val="0"/>
                    <w:pageBreakBefore w:val="0"/>
                    <w:kinsoku/>
                    <w:overflowPunct/>
                    <w:topLinePunct w:val="0"/>
                    <w:autoSpaceDE w:val="0"/>
                    <w:autoSpaceDN w:val="0"/>
                    <w:bidi w:val="0"/>
                    <w:adjustRightInd w:val="0"/>
                    <w:snapToGrid w:val="0"/>
                    <w:spacing w:line="240" w:lineRule="auto"/>
                    <w:ind w:firstLine="0" w:firstLineChars="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⑥</w:t>
                  </w:r>
                  <w:r>
                    <w:rPr>
                      <w:rFonts w:hint="default" w:ascii="Times New Roman" w:hAnsi="Times New Roman" w:eastAsia="宋体" w:cs="Times New Roman"/>
                      <w:color w:val="auto"/>
                      <w:kern w:val="0"/>
                      <w:sz w:val="21"/>
                      <w:szCs w:val="21"/>
                    </w:rPr>
                    <w:t>对于涉及使用易燃易爆危险化学品的企业进驻园区时，园区管委会应要求企业做好该距离范围内的火灾、爆炸防护工作，通过对进驻企业进行安全或风险评价，提出合理的防护距离，在该距离范围内，不得堆放易燃、易爆、有毒有害等危险化学品，并预留消防通道。</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kern w:val="0"/>
                      <w:sz w:val="21"/>
                      <w:szCs w:val="21"/>
                      <w:lang w:val="en-US" w:eastAsia="zh-CN"/>
                    </w:rPr>
                    <w:t>⑦</w:t>
                  </w:r>
                  <w:r>
                    <w:rPr>
                      <w:rFonts w:hint="default" w:ascii="Times New Roman" w:hAnsi="Times New Roman" w:eastAsia="宋体" w:cs="Times New Roman"/>
                      <w:color w:val="auto"/>
                      <w:kern w:val="0"/>
                      <w:sz w:val="21"/>
                      <w:szCs w:val="21"/>
                    </w:rPr>
                    <w:t>园区周围环境目标众多，环境敏感程度较高，限制根据HJ/T169-2018《建设项目环境风险评价技术导则》判定的极高危害企业(P1)入驻</w:t>
                  </w:r>
                  <w:r>
                    <w:rPr>
                      <w:rFonts w:hint="default" w:ascii="Times New Roman" w:hAnsi="Times New Roman" w:eastAsia="宋体" w:cs="Times New Roman"/>
                      <w:color w:val="auto"/>
                      <w:kern w:val="0"/>
                      <w:sz w:val="21"/>
                      <w:szCs w:val="21"/>
                      <w:lang w:val="en-US" w:eastAsia="zh-CN"/>
                    </w:rPr>
                    <w:t>。</w:t>
                  </w:r>
                </w:p>
              </w:tc>
              <w:tc>
                <w:tcPr>
                  <w:tcW w:w="2287"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本项目建设完成后按照要求编制突发环境事件应急预案，并报当地环保部门备案。</w:t>
                  </w:r>
                </w:p>
              </w:tc>
              <w:tc>
                <w:tcPr>
                  <w:tcW w:w="664"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符合《云南寻甸产业园区总体规划修编（2021-2035）环境影响报告书》</w:t>
            </w:r>
            <w:r>
              <w:rPr>
                <w:rFonts w:hint="default" w:ascii="Times New Roman" w:hAnsi="Times New Roman" w:eastAsia="宋体" w:cs="Times New Roman"/>
                <w:color w:val="auto"/>
                <w:sz w:val="24"/>
                <w:szCs w:val="24"/>
                <w:highlight w:val="none"/>
                <w:lang w:val="en-US" w:eastAsia="zh-CN"/>
              </w:rPr>
              <w:t>中的</w:t>
            </w:r>
            <w:r>
              <w:rPr>
                <w:rFonts w:hint="default" w:ascii="Times New Roman" w:hAnsi="Times New Roman" w:eastAsia="宋体" w:cs="Times New Roman"/>
                <w:color w:val="auto"/>
                <w:sz w:val="24"/>
                <w:szCs w:val="24"/>
                <w:highlight w:val="none"/>
                <w:lang w:val="zh-CN"/>
              </w:rPr>
              <w:t>环境影响减缓措施相关要求。</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）园区准入负面清单</w:t>
            </w:r>
            <w:r>
              <w:rPr>
                <w:rFonts w:hint="default" w:ascii="Times New Roman" w:hAnsi="Times New Roman" w:eastAsia="宋体" w:cs="Times New Roman"/>
                <w:b/>
                <w:bCs/>
                <w:color w:val="auto"/>
                <w:sz w:val="24"/>
                <w:szCs w:val="24"/>
                <w:highlight w:val="none"/>
                <w:lang w:val="en-US" w:eastAsia="zh-CN"/>
              </w:rPr>
              <w:t>符合性分析</w:t>
            </w:r>
          </w:p>
          <w:p>
            <w:pPr>
              <w:keepNext w:val="0"/>
              <w:keepLines w:val="0"/>
              <w:pageBreakBefore w:val="0"/>
              <w:widowControl w:val="0"/>
              <w:shd w:val="clear"/>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根据《云南寻甸产业园区总体规划修编（2021-2035）环境影响报告书》，园区</w:t>
            </w:r>
            <w:r>
              <w:rPr>
                <w:rFonts w:hint="default" w:ascii="Times New Roman" w:hAnsi="Times New Roman" w:eastAsia="宋体"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lang w:val="zh-CN"/>
              </w:rPr>
              <w:t>准入负面清单及对照情况如下：</w:t>
            </w:r>
          </w:p>
          <w:p>
            <w:pPr>
              <w:keepNext w:val="0"/>
              <w:keepLines w:val="0"/>
              <w:pageBreakBefore w:val="0"/>
              <w:widowControl/>
              <w:shd w:val="clear"/>
              <w:kinsoku/>
              <w:wordWrap/>
              <w:overflowPunct/>
              <w:topLinePunct w:val="0"/>
              <w:autoSpaceDE/>
              <w:autoSpaceDN/>
              <w:bidi w:val="0"/>
              <w:adjustRightInd w:val="0"/>
              <w:snapToGrid w:val="0"/>
              <w:spacing w:line="276"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表1-3   本项目与规划区环境准入条件负面清单对照情况表</w:t>
            </w:r>
          </w:p>
          <w:tbl>
            <w:tblPr>
              <w:tblStyle w:val="27"/>
              <w:tblW w:w="7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6"/>
              <w:gridCol w:w="3170"/>
              <w:gridCol w:w="3178"/>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2" w:type="dxa"/>
                  <w:gridSpan w:val="3"/>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总体要求</w:t>
                  </w: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禁入行业</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年本）》（或更新）中禁止、限制类的行业。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》（或更新）中</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禁止类。</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（3）严禁不符合要求的高风险高污染行业入驻。</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（4）禁止引入其他不在园区产业定位、不符合园区环保要求项目，如造纸制浆、印染、染料、制革、炼焦、炼硫、炼砷、炼油、有色金属等项目。</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（5）污水成分复杂或废水、废液按现有技术无法妥善处置的产业。</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（6）物耗、能耗相对较高，产生的大气污染类型复杂、环境风险较大的产业、项目或工艺；且产生的大气污染物无法自身治理或妥善处置或处理成本较高的产生。</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（7）不能严格按“三同时”要求建厂的企业，无法满足卫生防护距离、大气环境防护距离的企业。</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（8）与《云南省牛栏江保护条例》存在冲突的项目。</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（9）《长江经济带发展负面清单指南（试行，2022 年版）》和《云南省推动长江经济带发展负面清单指南实施细则（试行，2022 年版）》中的禁止项目。</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（11）未来入驻企业禁止在园区内新建永久性工业固废处置场。</w:t>
                  </w:r>
                </w:p>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（13）禁止入园企业开采地下水作为生产、生活用水。</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color w:val="auto"/>
                      <w:szCs w:val="21"/>
                    </w:rPr>
                    <w:t>本项目属于泡沫塑料制造项目，根据《产业结构调整指导目录（2019年本）（2021修订版）》，项目不属于限制类和淘汰类项目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为允许类</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2017年修订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》中禁止类项目；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default" w:ascii="Times New Roman" w:hAnsi="Times New Roman" w:eastAsia="宋体" w:cs="Times New Roman"/>
                      <w:color w:val="auto"/>
                      <w:sz w:val="21"/>
                      <w:szCs w:val="21"/>
                    </w:rPr>
                    <w:t>高风险高污染</w:t>
                  </w:r>
                  <w:r>
                    <w:rPr>
                      <w:rFonts w:hint="default" w:ascii="Times New Roman" w:hAnsi="Times New Roman" w:eastAsia="宋体" w:cs="Times New Roman"/>
                      <w:color w:val="auto"/>
                      <w:sz w:val="21"/>
                      <w:szCs w:val="21"/>
                      <w:lang w:val="en-US" w:eastAsia="zh-CN"/>
                    </w:rPr>
                    <w:t>类行业；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（4）项目</w:t>
                  </w:r>
                  <w:r>
                    <w:rPr>
                      <w:rFonts w:hint="default" w:ascii="Times New Roman" w:hAnsi="Times New Roman" w:eastAsia="宋体" w:cs="Times New Roman"/>
                      <w:color w:val="auto"/>
                      <w:sz w:val="21"/>
                      <w:szCs w:val="21"/>
                      <w:highlight w:val="none"/>
                    </w:rPr>
                    <w:t>不属于</w:t>
                  </w:r>
                  <w:r>
                    <w:rPr>
                      <w:rFonts w:hint="default" w:ascii="Times New Roman" w:hAnsi="Times New Roman" w:eastAsia="宋体" w:cs="Times New Roman"/>
                      <w:color w:val="auto"/>
                      <w:sz w:val="21"/>
                      <w:szCs w:val="21"/>
                    </w:rPr>
                    <w:t>造纸制浆、印染、染料、制革、炼焦、炼硫、炼砷、炼油、有色金属等</w:t>
                  </w:r>
                  <w:r>
                    <w:rPr>
                      <w:rFonts w:hint="default" w:ascii="Times New Roman" w:hAnsi="Times New Roman" w:eastAsia="宋体" w:cs="Times New Roman"/>
                      <w:color w:val="auto"/>
                      <w:sz w:val="21"/>
                      <w:szCs w:val="21"/>
                      <w:highlight w:val="none"/>
                    </w:rPr>
                    <w:t>其他不在园区产业定位、不符合园区环保要求项目；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eastAsia="zh-CN"/>
                    </w:rPr>
                    <w:t>）</w:t>
                  </w:r>
                  <w:r>
                    <w:rPr>
                      <w:color w:val="auto"/>
                      <w:szCs w:val="21"/>
                    </w:rPr>
                    <w:t>本项目软化处理废水及锅炉排污水经絮凝沉淀处理后作为生产冷却循环水补充使用；冷却废水经循环水冷却池冷却后循环使用，蒸汽冷凝水用于锅炉损耗补充水，生产废水不外排</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运营期</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废水不属于污水成分复杂或废水、废液按现有技术无法安善处置的产业；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本项目物耗、能耗相对较低，产生的大气污染类型主要为</w:t>
                  </w:r>
                  <w:r>
                    <w:rPr>
                      <w:color w:val="auto"/>
                      <w:szCs w:val="21"/>
                    </w:rPr>
                    <w:t>颗粒物、SO</w:t>
                  </w:r>
                  <w:r>
                    <w:rPr>
                      <w:color w:val="auto"/>
                      <w:szCs w:val="21"/>
                      <w:vertAlign w:val="subscript"/>
                    </w:rPr>
                    <w:t>2</w:t>
                  </w:r>
                  <w:r>
                    <w:rPr>
                      <w:color w:val="auto"/>
                      <w:szCs w:val="21"/>
                    </w:rPr>
                    <w:t>、NO</w:t>
                  </w:r>
                  <w:r>
                    <w:rPr>
                      <w:color w:val="auto"/>
                      <w:szCs w:val="21"/>
                      <w:vertAlign w:val="subscript"/>
                    </w:rPr>
                    <w:t>X</w:t>
                  </w:r>
                  <w:r>
                    <w:rPr>
                      <w:color w:val="auto"/>
                      <w:szCs w:val="21"/>
                    </w:rPr>
                    <w:t>、甲苯、乙苯、苯乙烯、非甲烷总烃</w:t>
                  </w:r>
                  <w:r>
                    <w:rPr>
                      <w:rFonts w:hint="eastAsia"/>
                      <w:color w:val="auto"/>
                      <w:szCs w:val="21"/>
                      <w:lang w:eastAsia="zh-CN"/>
                    </w:rPr>
                    <w:t>、臭气浓度</w:t>
                  </w:r>
                  <w:r>
                    <w:rPr>
                      <w:color w:val="auto"/>
                      <w:szCs w:val="21"/>
                    </w:rPr>
                    <w:t>等，大气污染物经采取措施治理后达标排放，处理成本一般；环境风险为一般环境风险；</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项目，能严格按“三同时”要求</w:t>
                  </w:r>
                  <w:r>
                    <w:rPr>
                      <w:rFonts w:hint="default" w:ascii="Times New Roman" w:hAnsi="Times New Roman" w:eastAsia="宋体" w:cs="Times New Roman"/>
                      <w:color w:val="auto"/>
                      <w:sz w:val="21"/>
                      <w:szCs w:val="21"/>
                      <w:highlight w:val="none"/>
                      <w:lang w:val="en-US" w:eastAsia="zh-CN"/>
                    </w:rPr>
                    <w:t>进行建设</w:t>
                  </w:r>
                  <w:r>
                    <w:rPr>
                      <w:rFonts w:hint="default" w:ascii="Times New Roman" w:hAnsi="Times New Roman" w:eastAsia="宋体" w:cs="Times New Roman"/>
                      <w:color w:val="auto"/>
                      <w:sz w:val="21"/>
                      <w:szCs w:val="21"/>
                      <w:highlight w:val="none"/>
                    </w:rPr>
                    <w:t>，可以满足卫生防护距离、大气环境防护距离；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项目与《云南省牛栏江保护条例》不冲突；</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w:t>
                  </w:r>
                  <w:r>
                    <w:rPr>
                      <w:rFonts w:hint="default" w:ascii="Times New Roman" w:hAnsi="Times New Roman" w:eastAsia="宋体" w:cs="Times New Roman"/>
                      <w:color w:val="auto"/>
                      <w:sz w:val="21"/>
                      <w:szCs w:val="21"/>
                    </w:rPr>
                    <w:t>《长江经济带发展负面清单指南（试行，2022年版）》和《云南省推动长江经济带发展负面清单指南实施细则（试行，2022 年版）》中的禁止项目</w:t>
                  </w:r>
                  <w:r>
                    <w:rPr>
                      <w:rFonts w:hint="default" w:ascii="Times New Roman" w:hAnsi="Times New Roman" w:eastAsia="宋体" w:cs="Times New Roman"/>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本项目不属于单位产品能耗、物耗、污染物产生量和排放量等清洁生产指标达不到国内先进水平的产业</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；资源综合利用率低、产生废物量大，且按近期技术水平不能综合利用的行业；高耗水且排放污水、废液按现有技术经济无法治理或妥善处置的产业</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rPr>
                    <w:t>新建永久性工业固废处置场</w:t>
                  </w:r>
                  <w:r>
                    <w:rPr>
                      <w:rFonts w:hint="default" w:ascii="Times New Roman" w:hAnsi="Times New Roman" w:eastAsia="宋体" w:cs="Times New Roman"/>
                      <w:color w:val="auto"/>
                      <w:sz w:val="21"/>
                      <w:szCs w:val="21"/>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本项目不属于</w:t>
                  </w:r>
                  <w:r>
                    <w:rPr>
                      <w:rFonts w:hint="default" w:ascii="Times New Roman" w:hAnsi="Times New Roman" w:eastAsia="宋体" w:cs="Times New Roman"/>
                      <w:color w:val="auto"/>
                      <w:sz w:val="21"/>
                      <w:szCs w:val="21"/>
                    </w:rPr>
                    <w:t>物耗、水耗和能耗相对较高</w:t>
                  </w:r>
                  <w:r>
                    <w:rPr>
                      <w:rFonts w:hint="default" w:ascii="Times New Roman" w:hAnsi="Times New Roman" w:eastAsia="宋体" w:cs="Times New Roman"/>
                      <w:color w:val="auto"/>
                      <w:sz w:val="21"/>
                      <w:szCs w:val="21"/>
                      <w:lang w:val="en-US" w:eastAsia="zh-CN"/>
                    </w:rPr>
                    <w:t>的生产企业；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（13）本项目用水为市政管网供给，不进行地下水的开采。</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禁入工艺</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《产业结构调整指导目录（201</w:t>
                  </w: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年本）》（或更新）中淘汰、落后的生产工艺</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》（或更新）的生产工艺</w:t>
                  </w:r>
                  <w:r>
                    <w:rPr>
                      <w:rFonts w:hint="default" w:ascii="Times New Roman" w:hAnsi="Times New Roman" w:eastAsia="宋体" w:cs="Times New Roman"/>
                      <w:color w:val="auto"/>
                      <w:sz w:val="21"/>
                      <w:szCs w:val="21"/>
                      <w:highlight w:val="none"/>
                      <w:lang w:eastAsia="zh-CN"/>
                    </w:rPr>
                    <w:t>。</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经查阅《产业结构调整指导目录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》，本项目所用工艺不属于该目录中淘汰、落后的生产工艺；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》的生产工艺</w:t>
                  </w:r>
                  <w:r>
                    <w:rPr>
                      <w:rFonts w:hint="default" w:ascii="Times New Roman" w:hAnsi="Times New Roman" w:eastAsia="宋体" w:cs="Times New Roman"/>
                      <w:color w:val="auto"/>
                      <w:sz w:val="21"/>
                      <w:szCs w:val="21"/>
                      <w:highlight w:val="none"/>
                      <w:lang w:eastAsia="zh-CN"/>
                    </w:rPr>
                    <w:t>。</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禁入产品</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》（或更新）的产品</w:t>
                  </w:r>
                  <w:r>
                    <w:rPr>
                      <w:rFonts w:hint="default" w:ascii="Times New Roman" w:hAnsi="Times New Roman" w:eastAsia="宋体" w:cs="Times New Roman"/>
                      <w:color w:val="auto"/>
                      <w:sz w:val="21"/>
                      <w:szCs w:val="21"/>
                      <w:highlight w:val="none"/>
                      <w:lang w:eastAsia="zh-CN"/>
                    </w:rPr>
                    <w:t>。</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本项目产品不属于《部分工业行业淘汰落后生产工艺装备和产品指导目录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》的产品。</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清洁生产水平低于国家清洁生产标准的国内先进水平。</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本项目清洁生产水平不低于国家清洁生产标准的国内先进水平。</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限制禁入</w:t>
                  </w:r>
                </w:p>
              </w:tc>
              <w:tc>
                <w:tcPr>
                  <w:tcW w:w="3170" w:type="dxa"/>
                  <w:vAlign w:val="center"/>
                </w:tcPr>
                <w:p>
                  <w:pPr>
                    <w:spacing w:beforeLines="0" w:afterLine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（1）严格限制引进《产业结构调整指导目录（2019 年本）》（或更新）中所列的限制类项目。</w:t>
                  </w:r>
                </w:p>
                <w:p>
                  <w:pPr>
                    <w:spacing w:beforeLines="0" w:afterLines="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（2）《外商投资产业指导目录（2017 年修订）》（或更新）中所列的限制类项目。</w:t>
                  </w:r>
                </w:p>
                <w:p>
                  <w:pPr>
                    <w:spacing w:beforeLines="0" w:afterLine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（3）严格限制引进涉及《中国严格限制进出口的有毒化学品目录（2020年本）》（或更新）中所列有毒化学品的项目。</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本项目不属于《产业结构调整指导目录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2019年本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2021修订版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不属于《外商投资产业指导目录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201</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年修订</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》中所列的限制类项目；</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rPr>
                    <w:t>不涉及《中国严格限制进出口的有毒化学品目录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20</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年本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》中所列有毒化学品</w:t>
                  </w:r>
                  <w:r>
                    <w:rPr>
                      <w:rFonts w:hint="default" w:ascii="Times New Roman" w:hAnsi="Times New Roman" w:eastAsia="宋体" w:cs="Times New Roman"/>
                      <w:color w:val="auto"/>
                      <w:sz w:val="21"/>
                      <w:szCs w:val="21"/>
                      <w:highlight w:val="none"/>
                      <w:lang w:eastAsia="zh-CN"/>
                    </w:rPr>
                    <w:t>。</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规划产业要求</w:t>
                  </w: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现状产业区</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允许现有煤磷盐化工及配套产业进行环保提升改造。</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本项目为</w:t>
                  </w:r>
                  <w:r>
                    <w:rPr>
                      <w:rFonts w:hint="default" w:ascii="Times New Roman" w:hAnsi="Times New Roman" w:eastAsia="宋体" w:cs="Times New Roman"/>
                      <w:color w:val="auto"/>
                      <w:sz w:val="21"/>
                      <w:szCs w:val="21"/>
                      <w:highlight w:val="none"/>
                      <w:lang w:val="en-US" w:eastAsia="zh-CN"/>
                    </w:rPr>
                    <w:t>新建</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绿色建材产业</w:t>
                  </w:r>
                </w:p>
              </w:tc>
              <w:tc>
                <w:tcPr>
                  <w:tcW w:w="3170"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禁止生产废水不能循环回用，且向牛栏江流域排放生产废水的企业入驻。</w:t>
                  </w:r>
                </w:p>
              </w:tc>
              <w:tc>
                <w:tcPr>
                  <w:tcW w:w="3178"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rPr>
                  </w:pPr>
                  <w:r>
                    <w:rPr>
                      <w:color w:val="auto"/>
                      <w:szCs w:val="21"/>
                    </w:rPr>
                    <w:t>本项目软化处理废水及锅炉排污水经絮凝沉淀处理后作为生产冷却循环水补充使用；冷却废水经循环水冷却池冷却后循环使用，蒸汽冷凝水用于锅炉损耗补充水，生产废水不外排</w:t>
                  </w:r>
                  <w:r>
                    <w:rPr>
                      <w:rFonts w:hint="default" w:ascii="Times New Roman" w:hAnsi="Times New Roman" w:eastAsia="宋体" w:cs="Times New Roman"/>
                      <w:color w:val="auto"/>
                      <w:sz w:val="21"/>
                      <w:szCs w:val="21"/>
                      <w:highlight w:val="none"/>
                      <w:lang w:val="en-US" w:eastAsia="zh-CN"/>
                    </w:rPr>
                    <w:t>。</w:t>
                  </w:r>
                </w:p>
              </w:tc>
              <w:tc>
                <w:tcPr>
                  <w:tcW w:w="462"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先进装备制造产业</w:t>
                  </w:r>
                </w:p>
              </w:tc>
              <w:tc>
                <w:tcPr>
                  <w:tcW w:w="3170"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p>
              </w:tc>
              <w:tc>
                <w:tcPr>
                  <w:tcW w:w="3178"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462"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非烟轻工产业</w:t>
                  </w:r>
                </w:p>
              </w:tc>
              <w:tc>
                <w:tcPr>
                  <w:tcW w:w="3170" w:type="dxa"/>
                  <w:vAlign w:val="center"/>
                </w:tcPr>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①木材加工及家具制造业：禁止含有制胶工艺的企业入驻。</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②食品业：要求规上企业工业用水重复利用率＞65%。</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①本项目不属于含有制胶工艺的木材加工及家具制造。</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②本项目不属于食品业。</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spacing w:beforeLines="0" w:afterLine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绿色化工</w:t>
                  </w:r>
                </w:p>
              </w:tc>
              <w:tc>
                <w:tcPr>
                  <w:tcW w:w="3170" w:type="dxa"/>
                  <w:vAlign w:val="center"/>
                </w:tcPr>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①园区规划在金所片区天生桥组团设置化工园区，建议园区尽快按化工园区的设立要求设立化工园区，并申请省级业务主管部门进行认定。</w:t>
                  </w:r>
                </w:p>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②金所片区金所组团禁止新建、改建、扩建化工生产线项目。</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color w:val="auto"/>
                      <w:kern w:val="0"/>
                      <w:szCs w:val="21"/>
                    </w:rPr>
                    <w:t>云南省昆明市</w:t>
                  </w:r>
                  <w:r>
                    <w:rPr>
                      <w:rFonts w:hint="eastAsia" w:ascii="Times New Roman" w:hAnsi="Times New Roman" w:eastAsia="宋体" w:cs="Times New Roman"/>
                      <w:color w:val="auto"/>
                      <w:szCs w:val="21"/>
                      <w:lang w:val="zh-CN" w:eastAsia="zh-CN"/>
                    </w:rPr>
                    <w:t>寻甸</w:t>
                  </w:r>
                  <w:r>
                    <w:rPr>
                      <w:rFonts w:hint="eastAsia" w:ascii="Times New Roman" w:hAnsi="Times New Roman" w:eastAsia="宋体" w:cs="Times New Roman"/>
                      <w:color w:val="auto"/>
                      <w:szCs w:val="21"/>
                      <w:lang w:val="zh-CN"/>
                    </w:rPr>
                    <w:t>特色产业园区羊街</w:t>
                  </w:r>
                  <w:r>
                    <w:rPr>
                      <w:rFonts w:hint="eastAsia" w:ascii="Times New Roman" w:hAnsi="Times New Roman" w:eastAsia="宋体" w:cs="Times New Roman"/>
                      <w:color w:val="auto"/>
                      <w:szCs w:val="21"/>
                      <w:lang w:val="zh-CN" w:eastAsia="zh-CN"/>
                    </w:rPr>
                    <w:t>林业产业园</w:t>
                  </w:r>
                  <w:r>
                    <w:rPr>
                      <w:rFonts w:hint="default" w:ascii="Times New Roman" w:hAnsi="Times New Roman" w:eastAsia="宋体" w:cs="Times New Roman"/>
                      <w:color w:val="auto"/>
                      <w:sz w:val="21"/>
                      <w:szCs w:val="21"/>
                      <w:highlight w:val="none"/>
                      <w:u w:val="none"/>
                      <w:lang w:val="en-US" w:eastAsia="zh-CN"/>
                    </w:rPr>
                    <w:t>，不属于化工生产线项目。</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26" w:type="dxa"/>
                  <w:vMerge w:val="continue"/>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636" w:type="dxa"/>
                  <w:vAlign w:val="center"/>
                </w:tcPr>
                <w:p>
                  <w:pPr>
                    <w:spacing w:beforeLines="0" w:afterLine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生物医药</w:t>
                  </w:r>
                </w:p>
              </w:tc>
              <w:tc>
                <w:tcPr>
                  <w:tcW w:w="317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满足《云南省“十四五”生物医药产业创新发展规划要求》。</w:t>
                  </w:r>
                </w:p>
              </w:tc>
              <w:tc>
                <w:tcPr>
                  <w:tcW w:w="3178"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本项目不属于生物医疗项目，</w:t>
                  </w:r>
                  <w:r>
                    <w:rPr>
                      <w:rFonts w:hint="default" w:ascii="Times New Roman" w:hAnsi="Times New Roman" w:eastAsia="宋体" w:cs="Times New Roman"/>
                      <w:color w:val="auto"/>
                      <w:sz w:val="21"/>
                      <w:szCs w:val="21"/>
                      <w:highlight w:val="none"/>
                    </w:rPr>
                    <w:t>不涉及</w:t>
                  </w:r>
                  <w:r>
                    <w:rPr>
                      <w:rFonts w:hint="default" w:ascii="Times New Roman" w:hAnsi="Times New Roman" w:eastAsia="宋体" w:cs="Times New Roman"/>
                      <w:color w:val="auto"/>
                      <w:sz w:val="21"/>
                      <w:szCs w:val="21"/>
                      <w:highlight w:val="none"/>
                      <w:lang w:val="en-US" w:eastAsia="zh-CN"/>
                    </w:rPr>
                    <w:t>该条内容</w:t>
                  </w:r>
                  <w:r>
                    <w:rPr>
                      <w:rFonts w:hint="default" w:ascii="Times New Roman" w:hAnsi="Times New Roman" w:eastAsia="宋体" w:cs="Times New Roman"/>
                      <w:color w:val="auto"/>
                      <w:sz w:val="21"/>
                      <w:szCs w:val="21"/>
                      <w:highlight w:val="none"/>
                    </w:rPr>
                    <w:t>。</w:t>
                  </w:r>
                </w:p>
              </w:tc>
              <w:tc>
                <w:tcPr>
                  <w:tcW w:w="46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pPr>
              <w:pStyle w:val="78"/>
              <w:shd w:val="clear"/>
              <w:jc w:val="left"/>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根据上表分析</w:t>
            </w:r>
            <w:r>
              <w:rPr>
                <w:rFonts w:hint="default" w:ascii="Times New Roman" w:hAnsi="Times New Roman" w:eastAsia="宋体" w:cs="Times New Roman"/>
                <w:color w:val="auto"/>
                <w:sz w:val="24"/>
                <w:szCs w:val="24"/>
                <w:highlight w:val="none"/>
              </w:rPr>
              <w:t>，本项目不属于园区</w:t>
            </w:r>
            <w:r>
              <w:rPr>
                <w:rFonts w:hint="default" w:ascii="Times New Roman" w:hAnsi="Times New Roman" w:eastAsia="宋体" w:cs="Times New Roman"/>
                <w:color w:val="auto"/>
                <w:sz w:val="24"/>
                <w:szCs w:val="24"/>
                <w:highlight w:val="none"/>
                <w:lang w:val="en-US" w:eastAsia="zh-CN"/>
              </w:rPr>
              <w:t>环境准入</w:t>
            </w:r>
            <w:r>
              <w:rPr>
                <w:rFonts w:hint="default" w:ascii="Times New Roman" w:hAnsi="Times New Roman" w:eastAsia="宋体" w:cs="Times New Roman"/>
                <w:color w:val="auto"/>
                <w:sz w:val="24"/>
                <w:szCs w:val="24"/>
                <w:highlight w:val="none"/>
              </w:rPr>
              <w:t>负面清单规定的范围内，符合环境准入负面清单要求。</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（3）本项目与规划环评审查意见（昆环审[2023]5号）的符合性分析</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项目与规划环评审查意见</w:t>
            </w:r>
            <w:r>
              <w:rPr>
                <w:rFonts w:hint="default" w:ascii="Times New Roman" w:hAnsi="Times New Roman" w:eastAsia="宋体" w:cs="Times New Roman"/>
                <w:color w:val="auto"/>
                <w:sz w:val="24"/>
                <w:szCs w:val="24"/>
                <w:highlight w:val="none"/>
                <w:lang w:val="zh-CN"/>
              </w:rPr>
              <w:t>对照情况如下：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keepNext w:val="0"/>
              <w:keepLines w:val="0"/>
              <w:pageBreakBefore w:val="0"/>
              <w:widowControl/>
              <w:shd w:val="clea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b/>
                <w:bCs/>
                <w:color w:val="auto"/>
                <w:spacing w:val="-2"/>
                <w:sz w:val="21"/>
                <w:szCs w:val="21"/>
                <w:highlight w:val="none"/>
                <w:lang w:val="en-US" w:eastAsia="zh-CN"/>
              </w:rPr>
              <w:t>表1-4   与审查意见相符性分析</w:t>
            </w:r>
          </w:p>
          <w:tbl>
            <w:tblPr>
              <w:tblStyle w:val="27"/>
              <w:tblW w:w="7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313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审查意见提出要求</w:t>
                  </w:r>
                </w:p>
              </w:tc>
              <w:tc>
                <w:tcPr>
                  <w:tcW w:w="3138"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726" w:type="dxa"/>
                  <w:vAlign w:val="center"/>
                </w:tcPr>
                <w:p>
                  <w:pPr>
                    <w:shd w:val="clea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严守环境质量底线、严格新入园项目及现有项目环境管理。制定主要污染物区域削减方案，建立健全主要污染物管理台账，采取有效措施减少氮氧化物、二氧化硫、挥发性有机物、化学需氧量、氨氮等污染物排放总量，确保区域环境质量持续改善。</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入园企业应采用先进的生产工艺路线、设备、清洁能源与原料，从源头上控制污染物的产生。高度重视园区废水收集.处理、回用、排放的环境管理。实施“雨污分流”，加强天生桥组团、金所组团初期雨水的收集、处理，加快园区污水处理厂再生水处理设施及配套管网建设。严格落实牛栏江流域严禁新改扩建工业废水排污口的要求:强化园区生活污水收集处理回用，加强区域水环境综合整治，确保实现区域水环境质量改善</w:t>
                  </w:r>
                  <w:r>
                    <w:rPr>
                      <w:rFonts w:hint="default" w:ascii="Times New Roman" w:hAnsi="Times New Roman" w:eastAsia="宋体" w:cs="Times New Roman"/>
                      <w:color w:val="auto"/>
                      <w:sz w:val="21"/>
                      <w:szCs w:val="21"/>
                      <w:highlight w:val="none"/>
                      <w:lang w:val="en-US" w:eastAsia="zh-CN"/>
                    </w:rPr>
                    <w:t>目标。</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园区在产业布局和入园项目建设时应充分考虑对地下水环境影响，按照《报告书》提出的重点保护区、重点控制区、其他区域三类区域进行分级管控。严格水文地质、工程地质勘察做好地下水污染防治和监控，按相关规范要求采取针对性防渗措施，严格执行《地下水管理条例》等相关规定。</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将土壤污染防治工作纳入园区规划及相关生态环境保护规划，采取有效预防措施，防止、减少土壤污染，确保满足土壤环境管控要求。</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r>
                    <w:rPr>
                      <w:color w:val="auto"/>
                      <w:szCs w:val="21"/>
                    </w:rPr>
                    <w:t>；锅炉燃料燃烧废气收集经“</w:t>
                  </w:r>
                  <w:r>
                    <w:rPr>
                      <w:rFonts w:hint="eastAsia"/>
                      <w:color w:val="auto"/>
                      <w:szCs w:val="21"/>
                      <w:lang w:eastAsia="zh-CN"/>
                    </w:rPr>
                    <w:t>耐</w:t>
                  </w:r>
                  <w:r>
                    <w:rPr>
                      <w:color w:val="auto"/>
                      <w:szCs w:val="21"/>
                    </w:rPr>
                    <w:t>高温布袋除尘器”处理达标后由1根</w:t>
                  </w:r>
                  <w:r>
                    <w:rPr>
                      <w:rFonts w:hint="eastAsia"/>
                      <w:color w:val="auto"/>
                      <w:szCs w:val="21"/>
                      <w:lang w:val="en-US" w:eastAsia="zh-CN"/>
                    </w:rPr>
                    <w:t>40</w:t>
                  </w:r>
                  <w:r>
                    <w:rPr>
                      <w:color w:val="auto"/>
                      <w:szCs w:val="21"/>
                    </w:rPr>
                    <w:t>m高排气筒（DA001）排放；预发泡、成型废气统一收集进入1套“三级活性炭吸附装置”处理达标后由1根15m高排气筒（DA002）排放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项目采取的污染治理措施</w:t>
                  </w:r>
                  <w:r>
                    <w:rPr>
                      <w:rFonts w:hint="default" w:ascii="Times New Roman" w:hAnsi="Times New Roman" w:eastAsia="宋体" w:cs="Times New Roman"/>
                      <w:color w:val="auto"/>
                      <w:sz w:val="21"/>
                      <w:szCs w:val="21"/>
                      <w:highlight w:val="none"/>
                    </w:rPr>
                    <w:t>可有效减少主要污染物、挥发性有机物等特征污染物的排放总量，</w:t>
                  </w:r>
                  <w:r>
                    <w:rPr>
                      <w:rFonts w:hint="default" w:ascii="Times New Roman" w:hAnsi="Times New Roman" w:eastAsia="宋体" w:cs="Times New Roman"/>
                      <w:color w:val="auto"/>
                      <w:sz w:val="21"/>
                      <w:szCs w:val="21"/>
                      <w:highlight w:val="none"/>
                      <w:lang w:val="en-US" w:eastAsia="zh-CN"/>
                    </w:rPr>
                    <w:t>能够确保</w:t>
                  </w:r>
                  <w:r>
                    <w:rPr>
                      <w:rFonts w:hint="default" w:ascii="Times New Roman" w:hAnsi="Times New Roman" w:eastAsia="宋体" w:cs="Times New Roman"/>
                      <w:color w:val="auto"/>
                      <w:sz w:val="21"/>
                      <w:szCs w:val="21"/>
                      <w:highlight w:val="none"/>
                    </w:rPr>
                    <w:t>区域环境质量</w:t>
                  </w:r>
                  <w:r>
                    <w:rPr>
                      <w:rFonts w:hint="default" w:ascii="Times New Roman" w:hAnsi="Times New Roman" w:eastAsia="宋体" w:cs="Times New Roman"/>
                      <w:color w:val="auto"/>
                      <w:sz w:val="21"/>
                      <w:szCs w:val="21"/>
                      <w:highlight w:val="none"/>
                      <w:lang w:val="en-US" w:eastAsia="zh-CN"/>
                    </w:rPr>
                    <w:t>得到改善</w:t>
                  </w:r>
                  <w:r>
                    <w:rPr>
                      <w:rFonts w:hint="default" w:ascii="Times New Roman" w:hAnsi="Times New Roman" w:eastAsia="宋体" w:cs="Times New Roman"/>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本项目选用先进的生产设备及工艺；本项目生产及生活污水均处理达标后全部回用，不外排。</w:t>
                  </w:r>
                </w:p>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本项目的建设</w:t>
                  </w:r>
                  <w:r>
                    <w:rPr>
                      <w:rFonts w:hint="default" w:ascii="Times New Roman" w:hAnsi="Times New Roman" w:eastAsia="宋体" w:cs="Times New Roman"/>
                      <w:color w:val="auto"/>
                      <w:sz w:val="21"/>
                      <w:szCs w:val="21"/>
                      <w:highlight w:val="none"/>
                    </w:rPr>
                    <w:t>符合国家和云南省有关</w:t>
                  </w:r>
                  <w:r>
                    <w:rPr>
                      <w:rFonts w:hint="default" w:ascii="Times New Roman" w:hAnsi="Times New Roman" w:eastAsia="宋体" w:cs="Times New Roman"/>
                      <w:color w:val="auto"/>
                      <w:sz w:val="21"/>
                      <w:szCs w:val="21"/>
                      <w:highlight w:val="none"/>
                      <w:lang w:val="en-US" w:eastAsia="zh-CN"/>
                    </w:rPr>
                    <w:t>地下水</w:t>
                  </w:r>
                  <w:r>
                    <w:rPr>
                      <w:rFonts w:hint="default" w:ascii="Times New Roman" w:hAnsi="Times New Roman" w:eastAsia="宋体" w:cs="Times New Roman"/>
                      <w:color w:val="auto"/>
                      <w:sz w:val="21"/>
                      <w:szCs w:val="21"/>
                      <w:highlight w:val="none"/>
                    </w:rPr>
                    <w:t>、土壤污染防治</w:t>
                  </w:r>
                  <w:r>
                    <w:rPr>
                      <w:rFonts w:hint="default" w:ascii="Times New Roman" w:hAnsi="Times New Roman" w:eastAsia="宋体" w:cs="Times New Roman"/>
                      <w:color w:val="auto"/>
                      <w:sz w:val="21"/>
                      <w:szCs w:val="21"/>
                      <w:highlight w:val="none"/>
                      <w:lang w:val="en-US" w:eastAsia="zh-CN"/>
                    </w:rPr>
                    <w:t>措施及</w:t>
                  </w:r>
                  <w:r>
                    <w:rPr>
                      <w:rFonts w:hint="default" w:ascii="Times New Roman" w:hAnsi="Times New Roman" w:eastAsia="宋体" w:cs="Times New Roman"/>
                      <w:color w:val="auto"/>
                      <w:sz w:val="21"/>
                      <w:szCs w:val="21"/>
                      <w:highlight w:val="none"/>
                    </w:rPr>
                    <w:t>相关要求。</w:t>
                  </w:r>
                  <w:r>
                    <w:rPr>
                      <w:rFonts w:hint="default" w:ascii="Times New Roman" w:hAnsi="Times New Roman" w:eastAsia="宋体" w:cs="Times New Roman"/>
                      <w:color w:val="auto"/>
                      <w:sz w:val="21"/>
                      <w:szCs w:val="21"/>
                      <w:highlight w:val="none"/>
                      <w:lang w:eastAsia="zh-CN"/>
                    </w:rPr>
                    <w:t>本项目使用自来水，不</w:t>
                  </w:r>
                  <w:r>
                    <w:rPr>
                      <w:rFonts w:hint="default" w:ascii="Times New Roman" w:hAnsi="Times New Roman" w:eastAsia="宋体" w:cs="Times New Roman"/>
                      <w:color w:val="auto"/>
                      <w:sz w:val="21"/>
                      <w:szCs w:val="21"/>
                      <w:highlight w:val="none"/>
                    </w:rPr>
                    <w:t>抽取地下水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严格执行土壤及生态保护措施。</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建立环境风险防控体系，提高环境应急能力，加强区内重要环境风险源管控，严控高风险产业发展规模。强化园区危险化学品储运的环境风险管理，加强金所组团现有煤、磷盐化工企业和天生桥组团磷化工企业环境风险管控。制定厂区园区、区域三级防控措施，强化园区环境监测与预警能力建设环境风险应急与防范措施，建立应急响应联动机制和风险防控体系。重点关注地表水环境风险防控措施，应确保事故状态下工业废水零排放。编制突发环境事件应急预案，防范环境风险避免事故排放，保障区域环境安全。</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本项目不涉及危险化学品储运，也不属于煤、磷盐化工企业，环境风险一般，在采取相应的措施后，环境风险能达可接受水平。</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0"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拟入园建设项目，应结合规划环评提出的指导意见做好环境影响评价工作，严格落实《报告书》提出的要求，加强与规划环评的联动。在项目环境影响评价中应重点开展工程分析、污染物允许排放量测算和环保措施的可行性论证等内容，执行污染物排放总量控制制度，强化环境监测和环境管理措施的落实。对符合规划环评环境管控要求和生态环境准入清单的具体建设项目，环评文件中选址、环境现状调查与评价结果仍具有时效性时，建设项目相应环境影响评价内容可结合实际情况子以简化。</w:t>
                  </w:r>
                </w:p>
              </w:tc>
              <w:tc>
                <w:tcPr>
                  <w:tcW w:w="3138" w:type="dxa"/>
                  <w:vAlign w:val="center"/>
                </w:tcPr>
                <w:p>
                  <w:pPr>
                    <w:keepNext w:val="0"/>
                    <w:keepLines w:val="0"/>
                    <w:pageBreakBefore w:val="0"/>
                    <w:widowControl w:val="0"/>
                    <w:shd w:val="clear"/>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次评价结合了规划环评提出的指导意见，落实了规划环评提出的要求，加强与规划环评的联动，重点开展了工程分析、污染物允许排放量测算和环保措施的可行性论证等内容，强化环境监测和环境保护相关措施的落实。</w:t>
                  </w:r>
                </w:p>
              </w:tc>
              <w:tc>
                <w:tcPr>
                  <w:tcW w:w="726" w:type="dxa"/>
                  <w:vAlign w:val="center"/>
                </w:tcPr>
                <w:p>
                  <w:pPr>
                    <w:shd w:val="clea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相符</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综上所述，项目建设与《云南寻甸产业园区总体规划修编（2021-2035）</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color w:val="auto"/>
                <w:spacing w:val="-2"/>
                <w:sz w:val="21"/>
                <w:szCs w:val="21"/>
                <w:highlight w:val="none"/>
                <w:lang w:val="en-US" w:eastAsia="zh-CN"/>
              </w:rPr>
            </w:pPr>
            <w:r>
              <w:rPr>
                <w:rFonts w:hint="default" w:ascii="Times New Roman" w:hAnsi="Times New Roman" w:eastAsia="宋体" w:cs="Times New Roman"/>
                <w:color w:val="auto"/>
                <w:sz w:val="24"/>
                <w:szCs w:val="24"/>
                <w:highlight w:val="none"/>
              </w:rPr>
              <w:t>环境影响报告书》</w:t>
            </w:r>
            <w:r>
              <w:rPr>
                <w:rFonts w:hint="default"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rPr>
              <w:t>审查意见的函（昆环审[2023]5号）</w:t>
            </w:r>
            <w:r>
              <w:rPr>
                <w:rFonts w:hint="default" w:ascii="Times New Roman" w:hAnsi="Times New Roman" w:eastAsia="宋体" w:cs="Times New Roman"/>
                <w:b w:val="0"/>
                <w:bCs w:val="0"/>
                <w:color w:val="auto"/>
                <w:sz w:val="24"/>
                <w:highlight w:val="none"/>
              </w:rPr>
              <w:t>相</w:t>
            </w:r>
            <w:r>
              <w:rPr>
                <w:rFonts w:hint="default" w:ascii="Times New Roman" w:hAnsi="Times New Roman" w:eastAsia="宋体" w:cs="Times New Roman"/>
                <w:color w:val="auto"/>
                <w:sz w:val="24"/>
                <w:highlight w:val="none"/>
              </w:rPr>
              <w:t>符。</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pacing w:val="-2"/>
                <w:sz w:val="21"/>
                <w:szCs w:val="21"/>
                <w:highlight w:val="none"/>
                <w:lang w:val="en-US"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cs="Times New Roman"/>
                <w:color w:val="auto"/>
                <w:sz w:val="24"/>
                <w:highlight w:val="none"/>
                <w:lang w:eastAsia="zh-CN"/>
              </w:rPr>
            </w:pPr>
          </w:p>
          <w:p>
            <w:pPr>
              <w:pStyle w:val="78"/>
              <w:adjustRightInd/>
              <w:ind w:left="0" w:leftChars="0" w:firstLine="0" w:firstLineChars="0"/>
              <w:jc w:val="both"/>
              <w:rPr>
                <w:rFonts w:hint="eastAsia" w:ascii="Times New Roman" w:hAnsi="Times New Roman" w:eastAsia="宋体" w:cs="Times New Roman"/>
                <w:color w:val="auto"/>
                <w:kern w:val="0"/>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1" w:hRule="atLeast"/>
          <w:jc w:val="center"/>
        </w:trPr>
        <w:tc>
          <w:tcPr>
            <w:tcW w:w="679"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其他符合性分析</w:t>
            </w:r>
          </w:p>
        </w:tc>
        <w:tc>
          <w:tcPr>
            <w:tcW w:w="8191" w:type="dxa"/>
            <w:gridSpan w:val="5"/>
            <w:vAlign w:val="center"/>
          </w:tcPr>
          <w:p>
            <w:pPr>
              <w:autoSpaceDE w:val="0"/>
              <w:autoSpaceDN w:val="0"/>
              <w:adjustRightInd w:val="0"/>
              <w:snapToGrid w:val="0"/>
              <w:spacing w:line="360" w:lineRule="auto"/>
              <w:ind w:firstLine="482" w:firstLineChars="200"/>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、项目与</w:t>
            </w:r>
            <w:bookmarkStart w:id="7" w:name="_Toc1839"/>
            <w:bookmarkStart w:id="8" w:name="_Toc14631_WPSOffice_Level2"/>
            <w:bookmarkStart w:id="9" w:name="_Toc11005"/>
            <w:r>
              <w:rPr>
                <w:rFonts w:hint="default" w:ascii="Times New Roman" w:hAnsi="Times New Roman" w:eastAsia="宋体" w:cs="Times New Roman"/>
                <w:b/>
                <w:bCs w:val="0"/>
                <w:color w:val="auto"/>
                <w:sz w:val="24"/>
                <w:szCs w:val="24"/>
                <w:highlight w:val="none"/>
                <w:lang w:val="zh-CN" w:eastAsia="zh-CN"/>
              </w:rPr>
              <w:t>《昆明市人民政府关于昆明市“三线一单”生态环境分区管控的实施意见》（</w:t>
            </w:r>
            <w:r>
              <w:rPr>
                <w:rFonts w:hint="default" w:ascii="Times New Roman" w:hAnsi="Times New Roman" w:eastAsia="宋体" w:cs="Times New Roman"/>
                <w:b/>
                <w:bCs w:val="0"/>
                <w:color w:val="auto"/>
                <w:sz w:val="24"/>
                <w:szCs w:val="24"/>
                <w:highlight w:val="none"/>
                <w:lang w:val="en-US" w:eastAsia="zh-CN"/>
              </w:rPr>
              <w:t>昆政发2021[21号]</w:t>
            </w:r>
            <w:r>
              <w:rPr>
                <w:rFonts w:hint="default" w:ascii="Times New Roman" w:hAnsi="Times New Roman" w:eastAsia="宋体" w:cs="Times New Roman"/>
                <w:b/>
                <w:bCs w:val="0"/>
                <w:color w:val="auto"/>
                <w:sz w:val="24"/>
                <w:szCs w:val="24"/>
                <w:highlight w:val="none"/>
                <w:lang w:val="zh-CN" w:eastAsia="zh-CN"/>
              </w:rPr>
              <w:t>）</w:t>
            </w:r>
            <w:r>
              <w:rPr>
                <w:rFonts w:hint="default" w:ascii="Times New Roman" w:hAnsi="Times New Roman" w:eastAsia="宋体" w:cs="Times New Roman"/>
                <w:b/>
                <w:bCs w:val="0"/>
                <w:color w:val="auto"/>
                <w:sz w:val="24"/>
                <w:szCs w:val="24"/>
                <w:highlight w:val="none"/>
                <w:lang w:val="en-US" w:eastAsia="zh-CN"/>
              </w:rPr>
              <w:t>符合性分析</w:t>
            </w:r>
          </w:p>
          <w:p>
            <w:pPr>
              <w:pStyle w:val="86"/>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项目与</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highlight w:val="none"/>
                <w:lang w:val="zh-CN"/>
              </w:rPr>
              <w:t>昆明市人民政府关于昆明市“三线一单”生态环境分区管控的实施意见</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昆政发2021[21号]</w:t>
            </w:r>
            <w:r>
              <w:rPr>
                <w:rFonts w:hint="default" w:ascii="Times New Roman" w:hAnsi="Times New Roman" w:eastAsia="宋体" w:cs="Times New Roman"/>
                <w:color w:val="auto"/>
                <w:szCs w:val="24"/>
                <w:highlight w:val="none"/>
                <w:lang w:val="zh-CN"/>
              </w:rPr>
              <w:t>）</w:t>
            </w:r>
            <w:r>
              <w:rPr>
                <w:rFonts w:hint="default" w:ascii="Times New Roman" w:hAnsi="Times New Roman" w:eastAsia="宋体" w:cs="Times New Roman"/>
                <w:color w:val="auto"/>
                <w:szCs w:val="24"/>
                <w:highlight w:val="none"/>
              </w:rPr>
              <w:t>符合性分析详见下表。</w:t>
            </w:r>
          </w:p>
          <w:p>
            <w:pPr>
              <w:pStyle w:val="104"/>
              <w:spacing w:before="120" w:after="48"/>
              <w:outlineLvl w:val="9"/>
              <w:rPr>
                <w:rFonts w:hint="default" w:ascii="Times New Roman" w:hAnsi="Times New Roman" w:eastAsia="宋体" w:cs="Times New Roman"/>
                <w:bCs/>
                <w:snapToGrid w:val="0"/>
                <w:color w:val="auto"/>
                <w:kern w:val="0"/>
                <w:szCs w:val="21"/>
                <w:highlight w:val="none"/>
              </w:rPr>
            </w:pPr>
            <w:bookmarkStart w:id="10" w:name="_Toc2480"/>
            <w:r>
              <w:rPr>
                <w:rFonts w:hint="default" w:ascii="Times New Roman" w:hAnsi="Times New Roman" w:eastAsia="宋体" w:cs="Times New Roman"/>
                <w:bCs/>
                <w:snapToGrid w:val="0"/>
                <w:color w:val="auto"/>
                <w:kern w:val="0"/>
                <w:szCs w:val="21"/>
                <w:highlight w:val="none"/>
              </w:rPr>
              <w:t>表</w:t>
            </w:r>
            <w:r>
              <w:rPr>
                <w:rFonts w:hint="default" w:ascii="Times New Roman" w:hAnsi="Times New Roman" w:eastAsia="宋体" w:cs="Times New Roman"/>
                <w:bCs/>
                <w:snapToGrid w:val="0"/>
                <w:color w:val="auto"/>
                <w:kern w:val="0"/>
                <w:szCs w:val="21"/>
                <w:highlight w:val="none"/>
                <w:lang w:val="en-US" w:eastAsia="zh-CN"/>
              </w:rPr>
              <w:t>1-</w:t>
            </w:r>
            <w:r>
              <w:rPr>
                <w:rFonts w:hint="eastAsia" w:cs="Times New Roman"/>
                <w:bCs/>
                <w:snapToGrid w:val="0"/>
                <w:color w:val="auto"/>
                <w:kern w:val="0"/>
                <w:szCs w:val="21"/>
                <w:highlight w:val="none"/>
                <w:lang w:val="en-US" w:eastAsia="zh-CN"/>
              </w:rPr>
              <w:t>5</w:t>
            </w:r>
            <w:r>
              <w:rPr>
                <w:rFonts w:hint="default" w:ascii="Times New Roman" w:hAnsi="Times New Roman" w:eastAsia="宋体" w:cs="Times New Roman"/>
                <w:bCs/>
                <w:snapToGrid w:val="0"/>
                <w:color w:val="auto"/>
                <w:kern w:val="0"/>
                <w:szCs w:val="21"/>
                <w:highlight w:val="none"/>
                <w:lang w:val="en-US" w:eastAsia="zh-CN"/>
              </w:rPr>
              <w:t xml:space="preserve"> </w:t>
            </w:r>
            <w:r>
              <w:rPr>
                <w:rFonts w:hint="default" w:ascii="Times New Roman" w:hAnsi="Times New Roman" w:eastAsia="宋体" w:cs="Times New Roman"/>
                <w:bCs/>
                <w:snapToGrid w:val="0"/>
                <w:color w:val="auto"/>
                <w:kern w:val="0"/>
                <w:szCs w:val="21"/>
                <w:highlight w:val="none"/>
              </w:rPr>
              <w:t xml:space="preserve"> 项目与昆明市“三线一单”文件相符性分析</w:t>
            </w:r>
            <w:bookmarkEnd w:id="10"/>
          </w:p>
          <w:tbl>
            <w:tblPr>
              <w:tblStyle w:val="27"/>
              <w:tblW w:w="794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61"/>
              <w:gridCol w:w="426"/>
              <w:gridCol w:w="2527"/>
              <w:gridCol w:w="3110"/>
              <w:gridCol w:w="69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87" w:type="dxa"/>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类别</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文件要求</w:t>
                  </w:r>
                </w:p>
              </w:tc>
              <w:tc>
                <w:tcPr>
                  <w:tcW w:w="3110"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相符性分析</w:t>
                  </w:r>
                </w:p>
              </w:tc>
              <w:tc>
                <w:tcPr>
                  <w:tcW w:w="69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符合性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生态保护红线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执行《云南省人民政府关于发布云南省生态保护红线的通知》（云政发〔2018〕32号），将未划入生态保护红线的自然保护区、国家公园、森林公园、风景名胜区、地质公园、湿地公园、县城集中式饮用水水源地、水产种质资源保护区等生态功能重要区、生态环境敏感区划入一般生态空间。</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color w:val="auto"/>
                      <w:szCs w:val="21"/>
                    </w:rPr>
                    <w:t>经</w:t>
                  </w:r>
                  <w:r>
                    <w:rPr>
                      <w:color w:val="auto"/>
                      <w:szCs w:val="21"/>
                      <w:lang w:val="zh-CN"/>
                    </w:rPr>
                    <w:t>查阅《云南省生态保护红线分布图》可知，项目位于</w:t>
                  </w:r>
                  <w:r>
                    <w:rPr>
                      <w:color w:val="auto"/>
                      <w:kern w:val="0"/>
                      <w:szCs w:val="21"/>
                    </w:rPr>
                    <w:t>云南省昆明市</w:t>
                  </w:r>
                  <w:r>
                    <w:rPr>
                      <w:rFonts w:hint="eastAsia" w:ascii="Times New Roman" w:hAnsi="Times New Roman" w:eastAsia="宋体" w:cs="Times New Roman"/>
                      <w:color w:val="auto"/>
                      <w:szCs w:val="21"/>
                      <w:lang w:val="zh-CN" w:eastAsia="zh-CN"/>
                    </w:rPr>
                    <w:t>寻甸</w:t>
                  </w:r>
                  <w:r>
                    <w:rPr>
                      <w:rFonts w:hint="eastAsia" w:ascii="Times New Roman" w:hAnsi="Times New Roman" w:eastAsia="宋体" w:cs="Times New Roman"/>
                      <w:color w:val="auto"/>
                      <w:szCs w:val="21"/>
                      <w:lang w:val="zh-CN"/>
                    </w:rPr>
                    <w:t>特色产业园区羊街</w:t>
                  </w:r>
                  <w:r>
                    <w:rPr>
                      <w:rFonts w:hint="eastAsia" w:ascii="Times New Roman" w:hAnsi="Times New Roman" w:eastAsia="宋体" w:cs="Times New Roman"/>
                      <w:color w:val="auto"/>
                      <w:szCs w:val="21"/>
                      <w:lang w:val="zh-CN" w:eastAsia="zh-CN"/>
                    </w:rPr>
                    <w:t>林业产业园</w:t>
                  </w:r>
                  <w:r>
                    <w:rPr>
                      <w:color w:val="auto"/>
                      <w:szCs w:val="21"/>
                      <w:lang w:val="zh-CN"/>
                    </w:rPr>
                    <w:t>，属规划的工业用地，不在生态红线范围内，项目符合生态保护红线的相关要求。</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环境质量底线</w:t>
                  </w: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生态环境质量。</w:t>
                  </w:r>
                  <w:r>
                    <w:rPr>
                      <w:rFonts w:hint="default" w:ascii="Times New Roman" w:hAnsi="Times New Roman" w:eastAsia="宋体" w:cs="Times New Roman"/>
                      <w:color w:val="auto"/>
                      <w:szCs w:val="21"/>
                      <w:highlight w:val="none"/>
                      <w:lang w:val="zh-CN"/>
                    </w:rPr>
                    <w:t>到2025年，全市生态环境质量持续改善，生态空间得到优化和有效保护，区域生态安全屏障更加牢固。到2035年，全市生态环境质量实现根本好转，生态功能显著提升，区域生态安全得到全面保障。</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本项目为新建项目，购买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安装设备后进行生产，不新增征地，对生态环境影响较小，不会突破当地生态环境质量底线。</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大气环境质量底线。</w:t>
                  </w:r>
                  <w:r>
                    <w:rPr>
                      <w:rFonts w:hint="default" w:ascii="Times New Roman" w:hAnsi="Times New Roman" w:eastAsia="宋体" w:cs="Times New Roman"/>
                      <w:color w:val="auto"/>
                      <w:szCs w:val="21"/>
                      <w:highlight w:val="none"/>
                      <w:lang w:val="zh-CN"/>
                    </w:rPr>
                    <w:t>到2025年，全市环境空气质量总体保持优良，主城建成区空气质量优良天数占比达9</w:t>
                  </w:r>
                  <w:r>
                    <w:rPr>
                      <w:rFonts w:hint="eastAsia" w:cs="Times New Roman"/>
                      <w:color w:val="auto"/>
                      <w:szCs w:val="21"/>
                      <w:highlight w:val="none"/>
                      <w:lang w:val="en-US" w:eastAsia="zh-CN"/>
                    </w:rPr>
                    <w:t>9</w:t>
                  </w:r>
                  <w:r>
                    <w:rPr>
                      <w:rFonts w:hint="default" w:ascii="Times New Roman" w:hAnsi="Times New Roman" w:eastAsia="宋体" w:cs="Times New Roman"/>
                      <w:color w:val="auto"/>
                      <w:szCs w:val="21"/>
                      <w:highlight w:val="none"/>
                      <w:lang w:val="zh-CN"/>
                    </w:rPr>
                    <w:t>%以上，二氧化硫（SO</w:t>
                  </w:r>
                  <w:r>
                    <w:rPr>
                      <w:rFonts w:hint="default" w:ascii="Times New Roman" w:hAnsi="Times New Roman" w:eastAsia="宋体" w:cs="Times New Roman"/>
                      <w:color w:val="auto"/>
                      <w:szCs w:val="21"/>
                      <w:highlight w:val="none"/>
                      <w:vertAlign w:val="subscript"/>
                      <w:lang w:val="zh-CN"/>
                    </w:rPr>
                    <w:t>2</w:t>
                  </w:r>
                  <w:r>
                    <w:rPr>
                      <w:rFonts w:hint="default" w:ascii="Times New Roman" w:hAnsi="Times New Roman" w:eastAsia="宋体" w:cs="Times New Roman"/>
                      <w:color w:val="auto"/>
                      <w:szCs w:val="21"/>
                      <w:highlight w:val="none"/>
                      <w:lang w:val="zh-CN"/>
                    </w:rPr>
                    <w:t>）和氮氧化物（NOx）排放总量控制在省下达的目标以内，主城区空气中颗粒物（PM</w:t>
                  </w:r>
                  <w:r>
                    <w:rPr>
                      <w:rFonts w:hint="default" w:ascii="Times New Roman" w:hAnsi="Times New Roman" w:eastAsia="宋体" w:cs="Times New Roman"/>
                      <w:color w:val="auto"/>
                      <w:szCs w:val="21"/>
                      <w:highlight w:val="none"/>
                      <w:vertAlign w:val="subscript"/>
                      <w:lang w:val="zh-CN"/>
                    </w:rPr>
                    <w:t>10</w:t>
                  </w:r>
                  <w:r>
                    <w:rPr>
                      <w:rFonts w:hint="default" w:ascii="Times New Roman" w:hAnsi="Times New Roman" w:eastAsia="宋体" w:cs="Times New Roman"/>
                      <w:color w:val="auto"/>
                      <w:szCs w:val="21"/>
                      <w:highlight w:val="none"/>
                      <w:lang w:val="zh-CN"/>
                    </w:rPr>
                    <w:t>、PM</w:t>
                  </w:r>
                  <w:r>
                    <w:rPr>
                      <w:rFonts w:hint="default" w:ascii="Times New Roman" w:hAnsi="Times New Roman" w:eastAsia="宋体" w:cs="Times New Roman"/>
                      <w:color w:val="auto"/>
                      <w:szCs w:val="21"/>
                      <w:highlight w:val="none"/>
                      <w:vertAlign w:val="subscript"/>
                      <w:lang w:val="en-US" w:eastAsia="zh-CN"/>
                    </w:rPr>
                    <w:t>2.5</w:t>
                  </w:r>
                  <w:r>
                    <w:rPr>
                      <w:rFonts w:hint="default" w:ascii="Times New Roman" w:hAnsi="Times New Roman" w:eastAsia="宋体" w:cs="Times New Roman"/>
                      <w:color w:val="auto"/>
                      <w:szCs w:val="21"/>
                      <w:highlight w:val="none"/>
                      <w:lang w:val="zh-CN"/>
                    </w:rPr>
                    <w:t>）稳定达《环境空气质量标准》二级标准以上。到2035年，全市环境空气质量全面改善，各县（市）区、开发（度假）区环境空气质量稳定达到国家二级标准。</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项目区属于环境空气质量达标区，</w:t>
                  </w:r>
                  <w:r>
                    <w:rPr>
                      <w:rFonts w:hint="default" w:ascii="Times New Roman" w:hAnsi="Times New Roman" w:eastAsia="宋体" w:cs="Times New Roman"/>
                      <w:color w:val="auto"/>
                      <w:szCs w:val="21"/>
                      <w:highlight w:val="none"/>
                      <w:lang w:val="zh-CN"/>
                    </w:rPr>
                    <w:t>本项目建设排放的废气均经过有效治理，实现达标排放，满足区域环境质量要求，不会改变区域大气环境功能区划</w:t>
                  </w:r>
                  <w:r>
                    <w:rPr>
                      <w:rFonts w:hint="default" w:ascii="Times New Roman" w:hAnsi="Times New Roman" w:eastAsia="宋体" w:cs="Times New Roman"/>
                      <w:color w:val="auto"/>
                      <w:szCs w:val="21"/>
                      <w:highlight w:val="none"/>
                    </w:rPr>
                    <w:t>，对大气环境质量影响较小，不会突破当地环境质量底线。</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水环境质量底线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纳入国家和省级考核的地表水监测断面水质优良率稳步提升，滇池流域、阳宗海流域水环境质量明显改善，水生态系统功能逐步恢复，滇池草海水质达IV类，滇池外海水质达IV类（化学需氧量≤40毫克/升），阳宗海水质达Ⅲ类，集中式饮用水源水质巩固改善。</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地表水体水质优良率全面提升，各监测断面水质达到水环境功能要求，消除劣V类水体，集中式饮用水水源水质稳定达标。</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val="0"/>
                      <w:bCs w:val="0"/>
                      <w:color w:val="auto"/>
                      <w:sz w:val="21"/>
                      <w:szCs w:val="21"/>
                      <w:highlight w:val="none"/>
                      <w:lang w:val="en-US" w:eastAsia="zh-CN"/>
                    </w:rPr>
                    <w:t>本项目实施雨污分流排水体制，雨水经厂区雨水沟收集后排入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zCs w:val="21"/>
                      <w:highlight w:val="none"/>
                      <w:lang w:val="zh-CN"/>
                    </w:rPr>
                    <w:t>不会对区域地表水环境造成影响，不会改变区域地表水环境功能区划</w:t>
                  </w:r>
                  <w:r>
                    <w:rPr>
                      <w:rFonts w:hint="default" w:ascii="Times New Roman" w:hAnsi="Times New Roman" w:eastAsia="宋体" w:cs="Times New Roman"/>
                      <w:color w:val="auto"/>
                      <w:szCs w:val="21"/>
                      <w:highlight w:val="none"/>
                    </w:rPr>
                    <w:t>。</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土壤环境风险防控底线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到2025年，</w:t>
                  </w:r>
                  <w:r>
                    <w:rPr>
                      <w:rFonts w:hint="default" w:ascii="Times New Roman" w:hAnsi="Times New Roman" w:eastAsia="宋体" w:cs="Times New Roman"/>
                      <w:color w:val="auto"/>
                      <w:szCs w:val="21"/>
                      <w:highlight w:val="none"/>
                      <w:lang w:val="zh-CN"/>
                    </w:rPr>
                    <w:t>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r>
                    <w:rPr>
                      <w:rFonts w:hint="default" w:ascii="Times New Roman" w:hAnsi="Times New Roman" w:eastAsia="宋体" w:cs="Times New Roman"/>
                      <w:color w:val="auto"/>
                      <w:szCs w:val="21"/>
                      <w:highlight w:val="none"/>
                    </w:rPr>
                    <w:t>到2035年，</w:t>
                  </w:r>
                  <w:r>
                    <w:rPr>
                      <w:rFonts w:hint="default" w:ascii="Times New Roman" w:hAnsi="Times New Roman" w:eastAsia="宋体" w:cs="Times New Roman"/>
                      <w:color w:val="auto"/>
                      <w:szCs w:val="21"/>
                      <w:highlight w:val="none"/>
                      <w:lang w:val="zh-CN"/>
                    </w:rPr>
                    <w:t>土壤环境质量稳中向好，农用地和建设用地土壤环境安全得到有效保障，土壤环境风险得到全面管控。</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危险废物设置危险废物暂存间暂存，委托有资质单位定期清运处置，危废间地面和四周墙裙</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+2mm厚HDPE+环氧树脂”</w:t>
                  </w:r>
                  <w:r>
                    <w:rPr>
                      <w:rFonts w:hint="default" w:ascii="Times New Roman" w:hAnsi="Times New Roman" w:eastAsia="宋体" w:cs="Times New Roman"/>
                      <w:color w:val="auto"/>
                      <w:sz w:val="21"/>
                      <w:szCs w:val="21"/>
                      <w:highlight w:val="none"/>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，并设置围堰等应急设施。项目采取了土壤污染防控措施，对土壤环境质量影响较小。</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资源利用上线</w:t>
                  </w: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水资源利用上线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按照国家、省、市有关要求和规划，按时完成全市用水总量、用水效率、限制纳污“三条红线”水资源上限控制指标；</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w:t>
                  </w:r>
                  <w:r>
                    <w:rPr>
                      <w:rFonts w:hint="default" w:ascii="Times New Roman" w:hAnsi="Times New Roman" w:eastAsia="宋体" w:cs="Times New Roman"/>
                      <w:color w:val="auto"/>
                      <w:sz w:val="21"/>
                      <w:szCs w:val="21"/>
                    </w:rPr>
                    <w:t>冷却废水经循环水冷却池冷却后循环使用</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rPr>
                    <w:t>冷凝水</w:t>
                  </w:r>
                  <w:r>
                    <w:rPr>
                      <w:rFonts w:hint="default" w:ascii="Times New Roman" w:hAnsi="Times New Roman" w:eastAsia="宋体" w:cs="Times New Roman"/>
                      <w:color w:val="auto"/>
                      <w:sz w:val="21"/>
                      <w:szCs w:val="21"/>
                      <w:lang w:val="en-US" w:eastAsia="zh-CN"/>
                    </w:rPr>
                    <w:t>用于锅炉</w:t>
                  </w:r>
                  <w:r>
                    <w:rPr>
                      <w:rFonts w:hint="default" w:ascii="Times New Roman" w:hAnsi="Times New Roman" w:eastAsia="宋体" w:cs="Times New Roman"/>
                      <w:color w:val="auto"/>
                      <w:sz w:val="21"/>
                      <w:szCs w:val="21"/>
                    </w:rPr>
                    <w:t>损耗补充水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b w:val="0"/>
                      <w:bCs w:val="0"/>
                      <w:color w:val="auto"/>
                      <w:sz w:val="21"/>
                      <w:szCs w:val="21"/>
                      <w:highlight w:val="none"/>
                      <w:lang w:val="en-US" w:eastAsia="zh-CN"/>
                    </w:rPr>
                    <w:t>生产废水不外排</w:t>
                  </w:r>
                  <w:r>
                    <w:rPr>
                      <w:rFonts w:hint="default" w:ascii="Times New Roman" w:hAnsi="Times New Roman" w:eastAsia="宋体" w:cs="Times New Roman"/>
                      <w:color w:val="auto"/>
                      <w:sz w:val="21"/>
                      <w:szCs w:val="21"/>
                      <w:highlight w:val="none"/>
                    </w:rPr>
                    <w:t>，不属于高耗水项目。</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能源利用上线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按时完成单位GDP能耗下降率、能源消费总量等能源控制指标。</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项目生产过程中使用电能</w:t>
                  </w:r>
                  <w:r>
                    <w:rPr>
                      <w:rFonts w:hint="default" w:ascii="Times New Roman" w:hAnsi="Times New Roman" w:eastAsia="宋体" w:cs="Times New Roman"/>
                      <w:color w:val="auto"/>
                      <w:szCs w:val="21"/>
                      <w:highlight w:val="none"/>
                      <w:lang w:val="en-US" w:eastAsia="zh-CN"/>
                    </w:rPr>
                    <w:t>及生物质锅炉提供热能</w:t>
                  </w:r>
                  <w:r>
                    <w:rPr>
                      <w:rFonts w:hint="eastAsia" w:cs="Times New Roman"/>
                      <w:color w:val="auto"/>
                      <w:szCs w:val="21"/>
                      <w:highlight w:val="none"/>
                      <w:lang w:eastAsia="zh-CN"/>
                    </w:rPr>
                    <w:t>，锅炉燃料为生物质颗粒</w:t>
                  </w:r>
                  <w:r>
                    <w:rPr>
                      <w:rFonts w:hint="default" w:ascii="Times New Roman" w:hAnsi="Times New Roman" w:eastAsia="宋体" w:cs="Times New Roman"/>
                      <w:color w:val="auto"/>
                      <w:szCs w:val="21"/>
                      <w:highlight w:val="none"/>
                    </w:rPr>
                    <w:t>，不属于高耗能项目。</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土地资源利用上线</w:t>
                  </w:r>
                </w:p>
              </w:tc>
              <w:tc>
                <w:tcPr>
                  <w:tcW w:w="2953" w:type="dxa"/>
                  <w:gridSpan w:val="2"/>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按时完成耕地保有量、基本农田保护面积、建设用地总规模等土地资源利用上限控制指标。</w:t>
                  </w:r>
                </w:p>
              </w:tc>
              <w:tc>
                <w:tcPr>
                  <w:tcW w:w="3110"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项目不占用耕地及基本农田，用地类型为</w:t>
                  </w:r>
                  <w:r>
                    <w:rPr>
                      <w:rFonts w:hint="eastAsia" w:cs="Times New Roman"/>
                      <w:color w:val="auto"/>
                      <w:szCs w:val="21"/>
                      <w:highlight w:val="none"/>
                      <w:lang w:eastAsia="zh-CN"/>
                    </w:rPr>
                    <w:t>建设用地</w:t>
                  </w:r>
                  <w:r>
                    <w:rPr>
                      <w:rFonts w:hint="default" w:ascii="Times New Roman" w:hAnsi="Times New Roman" w:eastAsia="宋体" w:cs="Times New Roman"/>
                      <w:color w:val="auto"/>
                      <w:szCs w:val="21"/>
                      <w:highlight w:val="none"/>
                    </w:rPr>
                    <w:t>，不会突破当地土地资源利用上线。</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6"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生态环境准入清单</w:t>
                  </w:r>
                </w:p>
              </w:tc>
              <w:tc>
                <w:tcPr>
                  <w:tcW w:w="761" w:type="dxa"/>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 w:val="21"/>
                      <w:szCs w:val="21"/>
                      <w:highlight w:val="none"/>
                      <w:lang w:val="en-US" w:eastAsia="zh-CN"/>
                    </w:rPr>
                  </w:pPr>
                </w:p>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重点管控单元（云南寻甸特色产业园区重点管控单元）</w:t>
                  </w:r>
                </w:p>
              </w:tc>
              <w:tc>
                <w:tcPr>
                  <w:tcW w:w="426" w:type="dxa"/>
                  <w:tcBorders>
                    <w:tl2br w:val="nil"/>
                    <w:tr2bl w:val="nil"/>
                  </w:tcBorders>
                  <w:noWrap w:val="0"/>
                  <w:vAlign w:val="center"/>
                </w:tcPr>
                <w:p>
                  <w:pPr>
                    <w:snapToGrid w:val="0"/>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空间布局</w:t>
                  </w:r>
                </w:p>
                <w:p>
                  <w:pPr>
                    <w:snapToGrid w:val="0"/>
                    <w:jc w:val="center"/>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约束</w:t>
                  </w:r>
                </w:p>
              </w:tc>
              <w:tc>
                <w:tcPr>
                  <w:tcW w:w="2527"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1.金所片区重点发展新型材料和家具制造产业，羊街片区重点发展先进装备制造和家具制造产业。</w:t>
                  </w:r>
                </w:p>
                <w:p>
                  <w:pPr>
                    <w:snapToGrid/>
                    <w:spacing w:line="240" w:lineRule="auto"/>
                    <w:jc w:val="center"/>
                    <w:outlineLvl w:val="9"/>
                    <w:rPr>
                      <w:rStyle w:val="105"/>
                      <w:rFonts w:hint="default" w:ascii="Times New Roman" w:hAnsi="Times New Roman" w:eastAsia="宋体" w:cs="Times New Roman"/>
                      <w:color w:val="auto"/>
                      <w:spacing w:val="-6"/>
                      <w:kern w:val="0"/>
                      <w:szCs w:val="21"/>
                      <w:highlight w:val="none"/>
                    </w:rPr>
                  </w:pPr>
                  <w:r>
                    <w:rPr>
                      <w:rStyle w:val="105"/>
                      <w:rFonts w:hint="default" w:ascii="Times New Roman" w:hAnsi="Times New Roman" w:eastAsia="宋体" w:cs="Times New Roman"/>
                      <w:color w:val="auto"/>
                      <w:kern w:val="0"/>
                      <w:szCs w:val="21"/>
                      <w:highlight w:val="none"/>
                    </w:rPr>
                    <w:t>2.禁止引入造纸、印染等需水量大，生产废水不能实现循环回用不外排的企业。</w:t>
                  </w:r>
                </w:p>
              </w:tc>
              <w:tc>
                <w:tcPr>
                  <w:tcW w:w="3110"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lang w:val="en-US" w:eastAsia="zh-CN"/>
                    </w:rPr>
                    <w:t>1.本项目位于</w:t>
                  </w:r>
                  <w:r>
                    <w:rPr>
                      <w:rStyle w:val="105"/>
                      <w:rFonts w:hint="eastAsia" w:cs="Times New Roman"/>
                      <w:color w:val="auto"/>
                      <w:kern w:val="0"/>
                      <w:szCs w:val="21"/>
                      <w:highlight w:val="none"/>
                      <w:lang w:val="en-US" w:eastAsia="zh-CN"/>
                    </w:rPr>
                    <w:t>羊街</w:t>
                  </w:r>
                  <w:r>
                    <w:rPr>
                      <w:rStyle w:val="105"/>
                      <w:rFonts w:hint="default" w:ascii="Times New Roman" w:hAnsi="Times New Roman" w:eastAsia="宋体" w:cs="Times New Roman"/>
                      <w:color w:val="auto"/>
                      <w:kern w:val="0"/>
                      <w:szCs w:val="21"/>
                      <w:highlight w:val="none"/>
                      <w:lang w:val="en-US" w:eastAsia="zh-CN"/>
                    </w:rPr>
                    <w:t>片区，属于</w:t>
                  </w:r>
                  <w:r>
                    <w:rPr>
                      <w:rStyle w:val="105"/>
                      <w:rFonts w:hint="eastAsia" w:cs="Times New Roman"/>
                      <w:color w:val="auto"/>
                      <w:kern w:val="0"/>
                      <w:szCs w:val="21"/>
                      <w:highlight w:val="none"/>
                      <w:lang w:val="en-US" w:eastAsia="zh-CN"/>
                    </w:rPr>
                    <w:t>煤炭加工</w:t>
                  </w:r>
                  <w:r>
                    <w:rPr>
                      <w:rStyle w:val="105"/>
                      <w:rFonts w:hint="default" w:ascii="Times New Roman" w:hAnsi="Times New Roman" w:eastAsia="宋体" w:cs="Times New Roman"/>
                      <w:color w:val="auto"/>
                      <w:kern w:val="0"/>
                      <w:szCs w:val="21"/>
                      <w:highlight w:val="none"/>
                      <w:lang w:val="en-US" w:eastAsia="zh-CN"/>
                    </w:rPr>
                    <w:t>，与</w:t>
                  </w:r>
                  <w:r>
                    <w:rPr>
                      <w:rStyle w:val="105"/>
                      <w:rFonts w:hint="eastAsia" w:cs="Times New Roman"/>
                      <w:color w:val="auto"/>
                      <w:kern w:val="0"/>
                      <w:szCs w:val="21"/>
                      <w:highlight w:val="none"/>
                      <w:lang w:val="en-US" w:eastAsia="zh-CN"/>
                    </w:rPr>
                    <w:t>羊街</w:t>
                  </w:r>
                  <w:r>
                    <w:rPr>
                      <w:rStyle w:val="105"/>
                      <w:rFonts w:hint="default" w:ascii="Times New Roman" w:hAnsi="Times New Roman" w:eastAsia="宋体" w:cs="Times New Roman"/>
                      <w:color w:val="auto"/>
                      <w:kern w:val="0"/>
                      <w:szCs w:val="21"/>
                      <w:highlight w:val="none"/>
                      <w:lang w:val="en-US" w:eastAsia="zh-CN"/>
                    </w:rPr>
                    <w:t>片区发展规划不冲突</w:t>
                  </w:r>
                  <w:r>
                    <w:rPr>
                      <w:rStyle w:val="105"/>
                      <w:rFonts w:hint="default" w:ascii="Times New Roman" w:hAnsi="Times New Roman" w:eastAsia="宋体" w:cs="Times New Roman"/>
                      <w:color w:val="auto"/>
                      <w:kern w:val="0"/>
                      <w:szCs w:val="21"/>
                      <w:highlight w:val="none"/>
                    </w:rPr>
                    <w:t>。</w:t>
                  </w:r>
                </w:p>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lang w:val="en-US" w:eastAsia="zh-CN"/>
                    </w:rPr>
                    <w:t>2</w:t>
                  </w:r>
                  <w:r>
                    <w:rPr>
                      <w:rStyle w:val="105"/>
                      <w:rFonts w:hint="default" w:ascii="Times New Roman" w:hAnsi="Times New Roman" w:eastAsia="宋体" w:cs="Times New Roman"/>
                      <w:color w:val="auto"/>
                      <w:kern w:val="0"/>
                      <w:szCs w:val="21"/>
                      <w:highlight w:val="none"/>
                    </w:rPr>
                    <w:t>.</w:t>
                  </w:r>
                  <w:r>
                    <w:rPr>
                      <w:rStyle w:val="105"/>
                      <w:rFonts w:hint="default" w:ascii="Times New Roman" w:hAnsi="Times New Roman" w:eastAsia="宋体" w:cs="Times New Roman"/>
                      <w:color w:val="auto"/>
                      <w:kern w:val="0"/>
                      <w:szCs w:val="21"/>
                      <w:highlight w:val="none"/>
                      <w:lang w:val="en-US" w:eastAsia="zh-CN"/>
                    </w:rPr>
                    <w:t>本项目不属于造纸、印染类企业，</w:t>
                  </w:r>
                  <w:r>
                    <w:rPr>
                      <w:rFonts w:hint="default" w:ascii="Times New Roman" w:hAnsi="Times New Roman" w:eastAsia="宋体" w:cs="Times New Roman"/>
                      <w:b w:val="0"/>
                      <w:bCs w:val="0"/>
                      <w:color w:val="auto"/>
                      <w:sz w:val="21"/>
                      <w:szCs w:val="21"/>
                      <w:highlight w:val="none"/>
                      <w:lang w:val="en-US" w:eastAsia="zh-CN"/>
                    </w:rPr>
                    <w:t>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426" w:type="dxa"/>
                  <w:vMerge w:val="continue"/>
                  <w:tcBorders>
                    <w:tl2br w:val="nil"/>
                    <w:tr2bl w:val="nil"/>
                  </w:tcBorders>
                  <w:noWrap w:val="0"/>
                  <w:vAlign w:val="center"/>
                </w:tcPr>
                <w:p>
                  <w:pPr>
                    <w:snapToGrid/>
                    <w:spacing w:line="240" w:lineRule="auto"/>
                    <w:jc w:val="center"/>
                    <w:outlineLvl w:val="9"/>
                    <w:rPr>
                      <w:color w:val="auto"/>
                    </w:rPr>
                  </w:pPr>
                </w:p>
              </w:tc>
              <w:tc>
                <w:tcPr>
                  <w:tcW w:w="761" w:type="dxa"/>
                  <w:vMerge w:val="continue"/>
                  <w:tcBorders>
                    <w:tl2br w:val="nil"/>
                    <w:tr2bl w:val="nil"/>
                  </w:tcBorders>
                  <w:noWrap w:val="0"/>
                  <w:vAlign w:val="center"/>
                </w:tcPr>
                <w:p>
                  <w:pPr>
                    <w:jc w:val="center"/>
                    <w:rPr>
                      <w:color w:val="auto"/>
                    </w:rPr>
                  </w:pPr>
                </w:p>
              </w:tc>
              <w:tc>
                <w:tcPr>
                  <w:tcW w:w="426" w:type="dxa"/>
                  <w:tcBorders>
                    <w:tl2br w:val="nil"/>
                    <w:tr2bl w:val="nil"/>
                  </w:tcBorders>
                  <w:noWrap w:val="0"/>
                  <w:vAlign w:val="center"/>
                </w:tcPr>
                <w:p>
                  <w:pPr>
                    <w:snapToGrid w:val="0"/>
                    <w:spacing w:line="240" w:lineRule="auto"/>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污染物</w:t>
                  </w:r>
                </w:p>
                <w:p>
                  <w:pPr>
                    <w:bidi w:val="0"/>
                    <w:snapToGrid w:val="0"/>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排放管控</w:t>
                  </w:r>
                </w:p>
              </w:tc>
              <w:tc>
                <w:tcPr>
                  <w:tcW w:w="2527"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1.主要指标二氧化硫、二氧化氮、可吸入颗粒物达到《环境空气质量标准》（GB3095-2012）Ⅱ级标准。</w:t>
                  </w:r>
                </w:p>
                <w:p>
                  <w:pPr>
                    <w:snapToGrid/>
                    <w:spacing w:line="240" w:lineRule="auto"/>
                    <w:jc w:val="center"/>
                    <w:outlineLvl w:val="9"/>
                    <w:rPr>
                      <w:rStyle w:val="105"/>
                      <w:rFonts w:hint="default" w:ascii="Times New Roman" w:hAnsi="Times New Roman" w:eastAsia="宋体" w:cs="Times New Roman"/>
                      <w:color w:val="auto"/>
                      <w:kern w:val="0"/>
                      <w:szCs w:val="21"/>
                      <w:highlight w:val="none"/>
                      <w:lang w:eastAsia="zh-CN"/>
                    </w:rPr>
                  </w:pPr>
                  <w:r>
                    <w:rPr>
                      <w:rStyle w:val="105"/>
                      <w:rFonts w:hint="default" w:ascii="Times New Roman" w:hAnsi="Times New Roman" w:eastAsia="宋体" w:cs="Times New Roman"/>
                      <w:color w:val="auto"/>
                      <w:kern w:val="0"/>
                      <w:szCs w:val="21"/>
                      <w:highlight w:val="none"/>
                    </w:rPr>
                    <w:t>2.现状已发展成熟的煤磷盐化工企业及目前做到零排放的企业按现状方式排水，未来</w:t>
                  </w:r>
                  <w:r>
                    <w:rPr>
                      <w:rStyle w:val="105"/>
                      <w:rFonts w:hint="eastAsia" w:cs="Times New Roman"/>
                      <w:color w:val="auto"/>
                      <w:kern w:val="0"/>
                      <w:szCs w:val="21"/>
                      <w:highlight w:val="none"/>
                      <w:lang w:eastAsia="zh-CN"/>
                    </w:rPr>
                    <w:t>入驻</w:t>
                  </w:r>
                  <w:r>
                    <w:rPr>
                      <w:rStyle w:val="105"/>
                      <w:rFonts w:hint="default" w:ascii="Times New Roman" w:hAnsi="Times New Roman" w:eastAsia="宋体" w:cs="Times New Roman"/>
                      <w:color w:val="auto"/>
                      <w:kern w:val="0"/>
                      <w:szCs w:val="21"/>
                      <w:highlight w:val="none"/>
                    </w:rPr>
                    <w:t>企业生产废水由企业自行处理达标后循环回用不外排。</w:t>
                  </w:r>
                </w:p>
                <w:p>
                  <w:pPr>
                    <w:snapToGrid/>
                    <w:spacing w:line="240" w:lineRule="auto"/>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3.生活垃圾无害化处理率90%以上，工业固废处置利用率不小于95%。</w:t>
                  </w:r>
                </w:p>
              </w:tc>
              <w:tc>
                <w:tcPr>
                  <w:tcW w:w="3110"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w:t>
                  </w:r>
                  <w:r>
                    <w:rPr>
                      <w:rStyle w:val="105"/>
                      <w:rFonts w:hint="default" w:ascii="Times New Roman" w:hAnsi="Times New Roman" w:eastAsia="宋体" w:cs="Times New Roman"/>
                      <w:color w:val="auto"/>
                      <w:kern w:val="0"/>
                      <w:szCs w:val="21"/>
                      <w:highlight w:val="none"/>
                      <w:lang w:val="en-US" w:eastAsia="zh-CN"/>
                    </w:rPr>
                    <w:t>项目所在</w:t>
                  </w:r>
                  <w:r>
                    <w:rPr>
                      <w:rStyle w:val="105"/>
                      <w:rFonts w:hint="default" w:ascii="Times New Roman" w:hAnsi="Times New Roman" w:eastAsia="宋体" w:cs="Times New Roman"/>
                      <w:color w:val="auto"/>
                      <w:kern w:val="0"/>
                      <w:szCs w:val="21"/>
                      <w:highlight w:val="none"/>
                    </w:rPr>
                    <w:t>园区空气质量</w:t>
                  </w:r>
                  <w:r>
                    <w:rPr>
                      <w:rStyle w:val="105"/>
                      <w:rFonts w:hint="default" w:ascii="Times New Roman" w:hAnsi="Times New Roman" w:eastAsia="宋体" w:cs="Times New Roman"/>
                      <w:color w:val="auto"/>
                      <w:kern w:val="0"/>
                      <w:szCs w:val="21"/>
                      <w:highlight w:val="none"/>
                      <w:lang w:val="en-US" w:eastAsia="zh-CN"/>
                    </w:rPr>
                    <w:t>满足</w:t>
                  </w:r>
                  <w:r>
                    <w:rPr>
                      <w:rStyle w:val="105"/>
                      <w:rFonts w:hint="default" w:ascii="Times New Roman" w:hAnsi="Times New Roman" w:eastAsia="宋体" w:cs="Times New Roman"/>
                      <w:color w:val="auto"/>
                      <w:kern w:val="0"/>
                      <w:szCs w:val="21"/>
                      <w:highlight w:val="none"/>
                    </w:rPr>
                    <w:t>《环境空气质量标准》（GB3095－2012）中二级标准</w:t>
                  </w:r>
                  <w:r>
                    <w:rPr>
                      <w:rStyle w:val="105"/>
                      <w:rFonts w:hint="default" w:ascii="Times New Roman" w:hAnsi="Times New Roman" w:eastAsia="宋体" w:cs="Times New Roman"/>
                      <w:color w:val="auto"/>
                      <w:kern w:val="0"/>
                      <w:szCs w:val="21"/>
                      <w:highlight w:val="none"/>
                      <w:lang w:val="en-US" w:eastAsia="zh-CN"/>
                    </w:rPr>
                    <w:t>要求</w:t>
                  </w:r>
                  <w:r>
                    <w:rPr>
                      <w:rStyle w:val="105"/>
                      <w:rFonts w:hint="default" w:ascii="Times New Roman" w:hAnsi="Times New Roman" w:eastAsia="宋体" w:cs="Times New Roman"/>
                      <w:color w:val="auto"/>
                      <w:kern w:val="0"/>
                      <w:szCs w:val="21"/>
                      <w:highlight w:val="none"/>
                    </w:rPr>
                    <w:t>。</w:t>
                  </w:r>
                </w:p>
                <w:p>
                  <w:pPr>
                    <w:widowControl/>
                    <w:adjustRightInd w:val="0"/>
                    <w:snapToGrid w:val="0"/>
                    <w:spacing w:line="240" w:lineRule="auto"/>
                    <w:ind w:firstLine="0" w:firstLineChars="0"/>
                    <w:jc w:val="both"/>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b w:val="0"/>
                      <w:bCs w:val="0"/>
                      <w:color w:val="auto"/>
                      <w:sz w:val="21"/>
                      <w:szCs w:val="21"/>
                      <w:highlight w:val="none"/>
                      <w:lang w:val="en-US" w:eastAsia="zh-CN"/>
                    </w:rPr>
                    <w:t>项目实施雨污分流排水体制，雨水经厂区雨水沟收集后排入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b w:val="0"/>
                      <w:bCs w:val="0"/>
                      <w:color w:val="auto"/>
                      <w:sz w:val="21"/>
                      <w:szCs w:val="21"/>
                      <w:highlight w:val="none"/>
                      <w:lang w:val="en-US" w:eastAsia="zh-CN"/>
                    </w:rPr>
                    <w:t>；</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冷却废水经循环水冷却池冷却后循环使用，蒸汽冷凝水用于锅炉损耗补充水；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p>
                  <w:pPr>
                    <w:snapToGrid/>
                    <w:spacing w:line="240" w:lineRule="auto"/>
                    <w:jc w:val="center"/>
                    <w:outlineLvl w:val="9"/>
                    <w:rPr>
                      <w:rFonts w:hint="default" w:ascii="Times New Roman" w:hAnsi="Times New Roman" w:eastAsia="宋体" w:cs="Times New Roman"/>
                      <w:color w:val="auto"/>
                      <w:szCs w:val="21"/>
                      <w:highlight w:val="none"/>
                    </w:rPr>
                  </w:pPr>
                  <w:r>
                    <w:rPr>
                      <w:rStyle w:val="105"/>
                      <w:rFonts w:hint="default" w:ascii="Times New Roman" w:hAnsi="Times New Roman" w:eastAsia="宋体" w:cs="Times New Roman"/>
                      <w:color w:val="auto"/>
                      <w:kern w:val="0"/>
                      <w:szCs w:val="21"/>
                      <w:highlight w:val="none"/>
                    </w:rPr>
                    <w:t>3.</w:t>
                  </w:r>
                  <w:r>
                    <w:rPr>
                      <w:rStyle w:val="105"/>
                      <w:rFonts w:hint="default" w:ascii="Times New Roman" w:hAnsi="Times New Roman" w:eastAsia="宋体" w:cs="Times New Roman"/>
                      <w:color w:val="auto"/>
                      <w:kern w:val="0"/>
                      <w:szCs w:val="21"/>
                      <w:highlight w:val="none"/>
                      <w:lang w:val="en-US" w:eastAsia="zh-CN"/>
                    </w:rPr>
                    <w:t>本项目产生的生活垃圾委托</w:t>
                  </w:r>
                  <w:r>
                    <w:rPr>
                      <w:rStyle w:val="105"/>
                      <w:rFonts w:hint="default" w:ascii="Times New Roman" w:hAnsi="Times New Roman" w:eastAsia="宋体" w:cs="Times New Roman"/>
                      <w:color w:val="auto"/>
                      <w:kern w:val="0"/>
                      <w:szCs w:val="21"/>
                      <w:highlight w:val="none"/>
                    </w:rPr>
                    <w:t>工业园区</w:t>
                  </w:r>
                  <w:r>
                    <w:rPr>
                      <w:rStyle w:val="105"/>
                      <w:rFonts w:hint="default" w:ascii="Times New Roman" w:hAnsi="Times New Roman" w:eastAsia="宋体" w:cs="Times New Roman"/>
                      <w:color w:val="auto"/>
                      <w:kern w:val="0"/>
                      <w:szCs w:val="21"/>
                      <w:highlight w:val="none"/>
                      <w:lang w:val="en-US" w:eastAsia="zh-CN"/>
                    </w:rPr>
                    <w:t>环卫部门统一收集后进行</w:t>
                  </w:r>
                  <w:r>
                    <w:rPr>
                      <w:rStyle w:val="105"/>
                      <w:rFonts w:hint="default" w:ascii="Times New Roman" w:hAnsi="Times New Roman" w:eastAsia="宋体" w:cs="Times New Roman"/>
                      <w:color w:val="auto"/>
                      <w:kern w:val="0"/>
                      <w:szCs w:val="21"/>
                      <w:highlight w:val="none"/>
                    </w:rPr>
                    <w:t>无害化处理</w:t>
                  </w:r>
                  <w:r>
                    <w:rPr>
                      <w:rStyle w:val="105"/>
                      <w:rFonts w:hint="default" w:ascii="Times New Roman" w:hAnsi="Times New Roman" w:eastAsia="宋体" w:cs="Times New Roman"/>
                      <w:color w:val="auto"/>
                      <w:kern w:val="0"/>
                      <w:szCs w:val="21"/>
                      <w:highlight w:val="none"/>
                      <w:lang w:eastAsia="zh-CN"/>
                    </w:rPr>
                    <w:t>，</w:t>
                  </w:r>
                  <w:r>
                    <w:rPr>
                      <w:rStyle w:val="105"/>
                      <w:rFonts w:hint="default" w:ascii="Times New Roman" w:hAnsi="Times New Roman" w:eastAsia="宋体" w:cs="Times New Roman"/>
                      <w:color w:val="auto"/>
                      <w:kern w:val="0"/>
                      <w:szCs w:val="21"/>
                      <w:highlight w:val="none"/>
                      <w:lang w:val="en-US" w:eastAsia="zh-CN"/>
                    </w:rPr>
                    <w:t>处理</w:t>
                  </w:r>
                  <w:r>
                    <w:rPr>
                      <w:rStyle w:val="105"/>
                      <w:rFonts w:hint="default" w:ascii="Times New Roman" w:hAnsi="Times New Roman" w:eastAsia="宋体" w:cs="Times New Roman"/>
                      <w:color w:val="auto"/>
                      <w:kern w:val="0"/>
                      <w:szCs w:val="21"/>
                      <w:highlight w:val="none"/>
                    </w:rPr>
                    <w:t>率达到100%。</w:t>
                  </w:r>
                </w:p>
              </w:tc>
              <w:tc>
                <w:tcPr>
                  <w:tcW w:w="693" w:type="dxa"/>
                  <w:tcBorders>
                    <w:tl2br w:val="nil"/>
                    <w:tr2bl w:val="nil"/>
                  </w:tcBorders>
                  <w:noWrap w:val="0"/>
                  <w:vAlign w:val="center"/>
                </w:tcPr>
                <w:p>
                  <w:pPr>
                    <w:snapToGrid/>
                    <w:spacing w:line="240" w:lineRule="auto"/>
                    <w:jc w:val="center"/>
                    <w:outlineLvl w:val="9"/>
                    <w:rPr>
                      <w:rFonts w:hint="eastAsia" w:ascii="Times New Roman" w:hAnsi="Times New Roman" w:eastAsia="宋体" w:cs="Times New Roman"/>
                      <w:color w:val="auto"/>
                      <w:szCs w:val="21"/>
                      <w:highlight w:val="none"/>
                      <w:lang w:eastAsia="zh-CN"/>
                    </w:rPr>
                  </w:pPr>
                  <w:r>
                    <w:rPr>
                      <w:rFonts w:hint="eastAsia" w:cs="Times New Roman"/>
                      <w:color w:val="auto"/>
                      <w:szCs w:val="21"/>
                      <w:highlight w:val="none"/>
                      <w:lang w:eastAsia="zh-CN"/>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761"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p>
              </w:tc>
              <w:tc>
                <w:tcPr>
                  <w:tcW w:w="426" w:type="dxa"/>
                  <w:tcBorders>
                    <w:tl2br w:val="nil"/>
                    <w:tr2bl w:val="nil"/>
                  </w:tcBorders>
                  <w:noWrap w:val="0"/>
                  <w:vAlign w:val="center"/>
                </w:tcPr>
                <w:p>
                  <w:pPr>
                    <w:snapToGrid w:val="0"/>
                    <w:jc w:val="center"/>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环境风险</w:t>
                  </w:r>
                </w:p>
                <w:p>
                  <w:pPr>
                    <w:bidi w:val="0"/>
                    <w:snapToGrid w:val="0"/>
                    <w:jc w:val="center"/>
                    <w:outlineLvl w:val="9"/>
                    <w:rPr>
                      <w:rFonts w:hint="eastAsia" w:ascii="Times New Roman" w:hAnsi="Times New Roman" w:eastAsia="宋体" w:cs="Times New Roman"/>
                      <w:color w:val="auto"/>
                      <w:szCs w:val="21"/>
                      <w:highlight w:val="none"/>
                      <w:lang w:eastAsia="zh-CN"/>
                    </w:rPr>
                  </w:pPr>
                  <w:r>
                    <w:rPr>
                      <w:rStyle w:val="105"/>
                      <w:rFonts w:hint="default" w:ascii="Times New Roman" w:hAnsi="Times New Roman" w:eastAsia="宋体" w:cs="Times New Roman"/>
                      <w:color w:val="auto"/>
                      <w:kern w:val="0"/>
                      <w:szCs w:val="21"/>
                      <w:highlight w:val="none"/>
                    </w:rPr>
                    <w:t>防控</w:t>
                  </w:r>
                </w:p>
              </w:tc>
              <w:tc>
                <w:tcPr>
                  <w:tcW w:w="2527"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rPr>
                    <w:t>1.组织编制环境风险应急预案，通过风险源的识别，制定不同风险源的应急处理处置方案，形成应对突发事故应急处理处置能力。</w:t>
                  </w:r>
                </w:p>
                <w:p>
                  <w:pPr>
                    <w:snapToGrid/>
                    <w:spacing w:line="240" w:lineRule="auto"/>
                    <w:jc w:val="center"/>
                    <w:outlineLvl w:val="9"/>
                    <w:rPr>
                      <w:rStyle w:val="105"/>
                      <w:rFonts w:hint="default" w:ascii="Times New Roman" w:hAnsi="Times New Roman" w:eastAsia="宋体" w:cs="Times New Roman"/>
                      <w:color w:val="auto"/>
                      <w:spacing w:val="-6"/>
                      <w:kern w:val="0"/>
                      <w:szCs w:val="21"/>
                      <w:highlight w:val="none"/>
                    </w:rPr>
                  </w:pPr>
                  <w:r>
                    <w:rPr>
                      <w:rStyle w:val="105"/>
                      <w:rFonts w:hint="default" w:ascii="Times New Roman" w:hAnsi="Times New Roman" w:eastAsia="宋体" w:cs="Times New Roman"/>
                      <w:color w:val="auto"/>
                      <w:kern w:val="0"/>
                      <w:szCs w:val="21"/>
                      <w:highlight w:val="none"/>
                    </w:rPr>
                    <w:t>2.建设风险事故废水排放管道及处置池。</w:t>
                  </w:r>
                </w:p>
              </w:tc>
              <w:tc>
                <w:tcPr>
                  <w:tcW w:w="3110" w:type="dxa"/>
                  <w:tcBorders>
                    <w:tl2br w:val="nil"/>
                    <w:tr2bl w:val="nil"/>
                  </w:tcBorders>
                  <w:noWrap w:val="0"/>
                  <w:vAlign w:val="center"/>
                </w:tcPr>
                <w:p>
                  <w:pPr>
                    <w:snapToGrid/>
                    <w:spacing w:line="240" w:lineRule="auto"/>
                    <w:jc w:val="center"/>
                    <w:outlineLvl w:val="9"/>
                    <w:rPr>
                      <w:rStyle w:val="105"/>
                      <w:rFonts w:hint="default" w:ascii="Times New Roman" w:hAnsi="Times New Roman" w:eastAsia="宋体" w:cs="Times New Roman"/>
                      <w:color w:val="auto"/>
                      <w:kern w:val="0"/>
                      <w:szCs w:val="21"/>
                      <w:highlight w:val="none"/>
                      <w:lang w:val="en-US" w:eastAsia="zh-CN"/>
                    </w:rPr>
                  </w:pPr>
                  <w:r>
                    <w:rPr>
                      <w:rStyle w:val="105"/>
                      <w:rFonts w:hint="default" w:ascii="Times New Roman" w:hAnsi="Times New Roman" w:eastAsia="宋体" w:cs="Times New Roman"/>
                      <w:color w:val="auto"/>
                      <w:kern w:val="0"/>
                      <w:szCs w:val="21"/>
                      <w:highlight w:val="none"/>
                      <w:lang w:val="en-US" w:eastAsia="zh-CN"/>
                    </w:rPr>
                    <w:t>1.本次环评提出企业建成后按照要求编制</w:t>
                  </w:r>
                  <w:r>
                    <w:rPr>
                      <w:rStyle w:val="105"/>
                      <w:rFonts w:hint="default" w:ascii="Times New Roman" w:hAnsi="Times New Roman" w:eastAsia="宋体" w:cs="Times New Roman"/>
                      <w:color w:val="auto"/>
                      <w:kern w:val="0"/>
                      <w:szCs w:val="21"/>
                      <w:highlight w:val="none"/>
                    </w:rPr>
                    <w:t>环境风险应急预案，</w:t>
                  </w:r>
                  <w:r>
                    <w:rPr>
                      <w:rStyle w:val="105"/>
                      <w:rFonts w:hint="default" w:ascii="Times New Roman" w:hAnsi="Times New Roman" w:eastAsia="宋体" w:cs="Times New Roman"/>
                      <w:color w:val="auto"/>
                      <w:kern w:val="0"/>
                      <w:szCs w:val="21"/>
                      <w:highlight w:val="none"/>
                      <w:lang w:val="en-US" w:eastAsia="zh-CN"/>
                    </w:rPr>
                    <w:t>并报当地环保部门备案。</w:t>
                  </w:r>
                </w:p>
                <w:p>
                  <w:pPr>
                    <w:snapToGrid/>
                    <w:spacing w:line="240" w:lineRule="auto"/>
                    <w:jc w:val="center"/>
                    <w:outlineLvl w:val="9"/>
                    <w:rPr>
                      <w:rStyle w:val="105"/>
                      <w:rFonts w:hint="default" w:ascii="Times New Roman" w:hAnsi="Times New Roman" w:eastAsia="宋体" w:cs="Times New Roman"/>
                      <w:color w:val="auto"/>
                      <w:kern w:val="0"/>
                      <w:szCs w:val="21"/>
                      <w:highlight w:val="none"/>
                    </w:rPr>
                  </w:pPr>
                  <w:r>
                    <w:rPr>
                      <w:rStyle w:val="105"/>
                      <w:rFonts w:hint="default" w:ascii="Times New Roman" w:hAnsi="Times New Roman" w:eastAsia="宋体" w:cs="Times New Roman"/>
                      <w:color w:val="auto"/>
                      <w:kern w:val="0"/>
                      <w:szCs w:val="21"/>
                      <w:highlight w:val="none"/>
                      <w:lang w:val="en-US" w:eastAsia="zh-CN"/>
                    </w:rPr>
                    <w:t>2.本项目后期按照实际需求进行风险事故废水排放管道及处置池的建设。</w:t>
                  </w:r>
                </w:p>
              </w:tc>
              <w:tc>
                <w:tcPr>
                  <w:tcW w:w="69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426" w:type="dxa"/>
                  <w:vMerge w:val="continue"/>
                  <w:tcBorders>
                    <w:tl2br w:val="nil"/>
                    <w:tr2bl w:val="nil"/>
                  </w:tcBorders>
                  <w:noWrap w:val="0"/>
                  <w:vAlign w:val="center"/>
                </w:tcPr>
                <w:p>
                  <w:pPr>
                    <w:snapToGrid/>
                    <w:spacing w:line="240" w:lineRule="auto"/>
                    <w:jc w:val="center"/>
                    <w:outlineLvl w:val="9"/>
                    <w:rPr>
                      <w:color w:val="auto"/>
                    </w:rPr>
                  </w:pPr>
                </w:p>
              </w:tc>
              <w:tc>
                <w:tcPr>
                  <w:tcW w:w="761" w:type="dxa"/>
                  <w:vMerge w:val="continue"/>
                  <w:tcBorders>
                    <w:tl2br w:val="nil"/>
                    <w:tr2bl w:val="nil"/>
                  </w:tcBorders>
                  <w:noWrap w:val="0"/>
                  <w:vAlign w:val="center"/>
                </w:tcPr>
                <w:p>
                  <w:pPr>
                    <w:jc w:val="center"/>
                    <w:rPr>
                      <w:color w:val="auto"/>
                    </w:rPr>
                  </w:pPr>
                </w:p>
              </w:tc>
              <w:tc>
                <w:tcPr>
                  <w:tcW w:w="426" w:type="dxa"/>
                  <w:tcBorders>
                    <w:tl2br w:val="nil"/>
                    <w:tr2bl w:val="nil"/>
                  </w:tcBorders>
                  <w:noWrap w:val="0"/>
                  <w:vAlign w:val="center"/>
                </w:tcPr>
                <w:p>
                  <w:pPr>
                    <w:bidi w:val="0"/>
                    <w:snapToGrid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kern w:val="0"/>
                      <w:szCs w:val="21"/>
                      <w:highlight w:val="none"/>
                    </w:rPr>
                    <w:t>资源开发效率要求</w:t>
                  </w:r>
                </w:p>
              </w:tc>
              <w:tc>
                <w:tcPr>
                  <w:tcW w:w="2527" w:type="dxa"/>
                  <w:tcBorders>
                    <w:tl2br w:val="nil"/>
                    <w:tr2bl w:val="nil"/>
                  </w:tcBorders>
                  <w:noWrap w:val="0"/>
                  <w:vAlign w:val="center"/>
                </w:tcPr>
                <w:p>
                  <w:pPr>
                    <w:bidi w:val="0"/>
                    <w:jc w:val="center"/>
                    <w:outlineLvl w:val="9"/>
                    <w:rPr>
                      <w:rStyle w:val="105"/>
                      <w:rFonts w:hint="default" w:ascii="Times New Roman" w:hAnsi="Times New Roman" w:eastAsia="宋体" w:cs="Times New Roman"/>
                      <w:color w:val="auto"/>
                      <w:spacing w:val="-6"/>
                      <w:kern w:val="0"/>
                      <w:szCs w:val="21"/>
                      <w:highlight w:val="none"/>
                      <w:lang w:val="en-US" w:eastAsia="zh-CN"/>
                    </w:rPr>
                  </w:pPr>
                  <w:r>
                    <w:rPr>
                      <w:rStyle w:val="105"/>
                      <w:rFonts w:hint="default" w:ascii="Times New Roman" w:hAnsi="Times New Roman" w:eastAsia="宋体" w:cs="Times New Roman"/>
                      <w:color w:val="auto"/>
                      <w:spacing w:val="-6"/>
                      <w:kern w:val="0"/>
                      <w:szCs w:val="21"/>
                      <w:highlight w:val="none"/>
                      <w:lang w:val="en-US" w:eastAsia="zh-CN"/>
                    </w:rPr>
                    <w:t>1.清洁生产水平不低于国家清洁生产标准规定的国内先进水平。</w:t>
                  </w:r>
                </w:p>
                <w:p>
                  <w:pPr>
                    <w:bidi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spacing w:val="-6"/>
                      <w:kern w:val="0"/>
                      <w:szCs w:val="21"/>
                      <w:highlight w:val="none"/>
                      <w:lang w:val="en-US" w:eastAsia="zh-CN"/>
                    </w:rPr>
                    <w:t>2.工业固废综合利用率≥70%，再生水回用率100%，工业用水重复利用率100%，单位工业增加值综合耗能≤0.5吨标煤/万元。</w:t>
                  </w:r>
                </w:p>
              </w:tc>
              <w:tc>
                <w:tcPr>
                  <w:tcW w:w="3110" w:type="dxa"/>
                  <w:tcBorders>
                    <w:tl2br w:val="nil"/>
                    <w:tr2bl w:val="nil"/>
                  </w:tcBorders>
                  <w:noWrap w:val="0"/>
                  <w:vAlign w:val="center"/>
                </w:tcPr>
                <w:p>
                  <w:pPr>
                    <w:bidi w:val="0"/>
                    <w:jc w:val="center"/>
                    <w:outlineLvl w:val="9"/>
                    <w:rPr>
                      <w:rStyle w:val="105"/>
                      <w:rFonts w:hint="default" w:ascii="Times New Roman" w:hAnsi="Times New Roman" w:eastAsia="宋体" w:cs="Times New Roman"/>
                      <w:color w:val="auto"/>
                      <w:spacing w:val="-6"/>
                      <w:kern w:val="0"/>
                      <w:szCs w:val="21"/>
                      <w:highlight w:val="none"/>
                      <w:lang w:val="en-US" w:eastAsia="zh-CN"/>
                    </w:rPr>
                  </w:pPr>
                  <w:r>
                    <w:rPr>
                      <w:rStyle w:val="105"/>
                      <w:rFonts w:hint="default" w:ascii="Times New Roman" w:hAnsi="Times New Roman" w:eastAsia="宋体" w:cs="Times New Roman"/>
                      <w:color w:val="auto"/>
                      <w:spacing w:val="-6"/>
                      <w:kern w:val="0"/>
                      <w:szCs w:val="21"/>
                      <w:highlight w:val="none"/>
                      <w:lang w:val="en-US" w:eastAsia="zh-CN"/>
                    </w:rPr>
                    <w:t>1.本项目清洁生产水平不低于国家清洁生产标准规定的国内先进水平。</w:t>
                  </w:r>
                </w:p>
                <w:p>
                  <w:pPr>
                    <w:bidi w:val="0"/>
                    <w:jc w:val="center"/>
                    <w:outlineLvl w:val="9"/>
                    <w:rPr>
                      <w:rStyle w:val="105"/>
                      <w:rFonts w:hint="eastAsia" w:cs="Times New Roman"/>
                      <w:color w:val="auto"/>
                      <w:kern w:val="0"/>
                      <w:szCs w:val="21"/>
                      <w:highlight w:val="none"/>
                      <w:lang w:eastAsia="zh-CN"/>
                    </w:rPr>
                  </w:pPr>
                  <w:r>
                    <w:rPr>
                      <w:rStyle w:val="105"/>
                      <w:rFonts w:hint="default" w:ascii="Times New Roman" w:hAnsi="Times New Roman" w:eastAsia="宋体" w:cs="Times New Roman"/>
                      <w:color w:val="auto"/>
                      <w:spacing w:val="-6"/>
                      <w:kern w:val="0"/>
                      <w:szCs w:val="21"/>
                      <w:highlight w:val="none"/>
                      <w:lang w:val="en-US" w:eastAsia="zh-CN"/>
                    </w:rPr>
                    <w:t>2.工业固体废物综合利用率≥70%。</w:t>
                  </w:r>
                  <w:r>
                    <w:rPr>
                      <w:rStyle w:val="105"/>
                      <w:rFonts w:hint="default" w:ascii="Times New Roman" w:hAnsi="Times New Roman" w:eastAsia="宋体" w:cs="Times New Roman"/>
                      <w:color w:val="auto"/>
                      <w:kern w:val="0"/>
                      <w:szCs w:val="21"/>
                      <w:highlight w:val="none"/>
                      <w:lang w:val="en-US" w:eastAsia="zh-CN"/>
                    </w:rPr>
                    <w:t>本项目</w:t>
                  </w:r>
                  <w:r>
                    <w:rPr>
                      <w:rFonts w:hint="default" w:ascii="Times New Roman" w:hAnsi="Times New Roman" w:eastAsia="宋体" w:cs="Times New Roman"/>
                      <w:b w:val="0"/>
                      <w:bCs w:val="0"/>
                      <w:color w:val="auto"/>
                      <w:sz w:val="21"/>
                      <w:szCs w:val="21"/>
                      <w:highlight w:val="none"/>
                      <w:lang w:val="en-US" w:eastAsia="zh-CN"/>
                    </w:rPr>
                    <w:t>生产过程设备清洗废水经生产废水处理设施处理后回用作为生产补充水，不外排</w:t>
                  </w:r>
                  <w:r>
                    <w:rPr>
                      <w:rStyle w:val="105"/>
                      <w:rFonts w:hint="default" w:ascii="Times New Roman" w:hAnsi="Times New Roman" w:eastAsia="宋体" w:cs="Times New Roman"/>
                      <w:color w:val="auto"/>
                      <w:kern w:val="0"/>
                      <w:szCs w:val="21"/>
                      <w:highlight w:val="none"/>
                    </w:rPr>
                    <w:t>。</w:t>
                  </w:r>
                  <w:r>
                    <w:rPr>
                      <w:rStyle w:val="105"/>
                      <w:rFonts w:hint="default" w:ascii="Times New Roman" w:hAnsi="Times New Roman" w:eastAsia="宋体" w:cs="Times New Roman"/>
                      <w:color w:val="auto"/>
                      <w:spacing w:val="-6"/>
                      <w:kern w:val="0"/>
                      <w:szCs w:val="21"/>
                      <w:highlight w:val="none"/>
                      <w:lang w:val="en-US" w:eastAsia="zh-CN"/>
                    </w:rPr>
                    <w:t>单位工业增加值综合能耗≤0.5吨标煤/万元。</w:t>
                  </w:r>
                </w:p>
              </w:tc>
              <w:tc>
                <w:tcPr>
                  <w:tcW w:w="693" w:type="dxa"/>
                  <w:tcBorders>
                    <w:tl2br w:val="nil"/>
                    <w:tr2bl w:val="nil"/>
                  </w:tcBorders>
                  <w:noWrap w:val="0"/>
                  <w:vAlign w:val="center"/>
                </w:tcPr>
                <w:p>
                  <w:pPr>
                    <w:snapToGrid/>
                    <w:spacing w:line="240" w:lineRule="auto"/>
                    <w:jc w:val="center"/>
                    <w:outlineLvl w:val="9"/>
                    <w:rPr>
                      <w:rStyle w:val="105"/>
                      <w:rFonts w:hint="eastAsia" w:cs="Times New Roman"/>
                      <w:color w:val="auto"/>
                      <w:kern w:val="0"/>
                      <w:szCs w:val="21"/>
                      <w:highlight w:val="none"/>
                      <w:lang w:eastAsia="zh-CN"/>
                    </w:rPr>
                  </w:pPr>
                  <w:r>
                    <w:rPr>
                      <w:rStyle w:val="105"/>
                      <w:rFonts w:hint="eastAsia" w:cs="Times New Roman"/>
                      <w:color w:val="auto"/>
                      <w:kern w:val="0"/>
                      <w:szCs w:val="21"/>
                      <w:highlight w:val="none"/>
                      <w:lang w:eastAsia="zh-CN"/>
                    </w:rPr>
                    <w:t>符合</w:t>
                  </w:r>
                </w:p>
              </w:tc>
            </w:tr>
          </w:tbl>
          <w:p>
            <w:pPr>
              <w:pStyle w:val="86"/>
              <w:shd w:val="clear"/>
              <w:ind w:firstLine="482"/>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highlight w:val="none"/>
              </w:rPr>
              <w:t>由上表可知，本项目建设符合</w:t>
            </w:r>
            <w:r>
              <w:rPr>
                <w:rFonts w:hint="default" w:ascii="Times New Roman" w:hAnsi="Times New Roman" w:eastAsia="宋体" w:cs="Times New Roman"/>
                <w:color w:val="auto"/>
                <w:sz w:val="24"/>
                <w:highlight w:val="none"/>
                <w:lang w:val="zh-CN"/>
              </w:rPr>
              <w:t>《昆明市人民政府关于昆明市“三线一单”生态环境分区管控的实施意见》（</w:t>
            </w:r>
            <w:r>
              <w:rPr>
                <w:rFonts w:hint="default" w:ascii="Times New Roman" w:hAnsi="Times New Roman" w:eastAsia="宋体" w:cs="Times New Roman"/>
                <w:color w:val="auto"/>
                <w:sz w:val="24"/>
                <w:highlight w:val="none"/>
              </w:rPr>
              <w:t>昆政发2021[21号]</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中相关要求。</w:t>
            </w:r>
          </w:p>
          <w:bookmarkEnd w:id="7"/>
          <w:bookmarkEnd w:id="8"/>
          <w:bookmarkEnd w:id="9"/>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、产业政策符合性分析</w:t>
            </w: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eastAsia="宋体" w:cs="Times New Roman"/>
                <w:color w:val="auto"/>
                <w:spacing w:val="-3"/>
                <w:sz w:val="24"/>
                <w:highlight w:val="none"/>
              </w:rPr>
            </w:pPr>
            <w:r>
              <w:rPr>
                <w:rFonts w:hint="default" w:ascii="Times New Roman" w:hAnsi="Times New Roman" w:eastAsia="宋体" w:cs="Times New Roman"/>
                <w:color w:val="auto"/>
                <w:sz w:val="24"/>
                <w:szCs w:val="24"/>
                <w:highlight w:val="none"/>
              </w:rPr>
              <w:t>本项目为</w:t>
            </w:r>
            <w:r>
              <w:rPr>
                <w:rFonts w:hint="default" w:ascii="Times New Roman" w:hAnsi="Times New Roman" w:eastAsia="宋体" w:cs="Times New Roman"/>
                <w:color w:val="auto"/>
                <w:sz w:val="24"/>
                <w:szCs w:val="24"/>
                <w:highlight w:val="none"/>
                <w:lang w:val="en-US" w:eastAsia="zh-CN"/>
              </w:rPr>
              <w:t>泡沫塑料制造项目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根据《产业结构调整指导目录（2019年本）》（国家发改委第29号令</w:t>
            </w:r>
            <w:r>
              <w:rPr>
                <w:rFonts w:hint="default" w:ascii="Times New Roman" w:hAnsi="Times New Roman" w:eastAsia="宋体" w:cs="Times New Roman"/>
                <w:color w:val="auto"/>
                <w:sz w:val="24"/>
                <w:szCs w:val="24"/>
                <w:highlight w:val="none"/>
                <w:shd w:val="clear" w:color="auto" w:fill="FFFFFF"/>
                <w:lang w:bidi="ar"/>
              </w:rPr>
              <w:t>，</w:t>
            </w:r>
            <w:r>
              <w:rPr>
                <w:rFonts w:hint="default" w:ascii="Times New Roman" w:hAnsi="Times New Roman" w:eastAsia="宋体" w:cs="Times New Roman"/>
                <w:color w:val="auto"/>
                <w:sz w:val="24"/>
                <w:szCs w:val="24"/>
                <w:highlight w:val="none"/>
              </w:rPr>
              <w:t>2020年1月1日起实施）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rPr>
              <w:t>以含氢氯氟烃（HCFCs）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rPr>
              <w:t>以氯氟烃（CFCs）</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为发泡剂的聚苯乙烯泡沫塑料生产</w:t>
            </w:r>
            <w:r>
              <w:rPr>
                <w:rFonts w:hint="default" w:ascii="Times New Roman" w:hAnsi="Times New Roman" w:eastAsia="宋体" w:cs="Times New Roman"/>
                <w:color w:val="auto"/>
                <w:sz w:val="24"/>
                <w:szCs w:val="24"/>
                <w:lang w:val="en-US" w:eastAsia="zh-CN"/>
              </w:rPr>
              <w:t>为限制类及淘汰类，本项目原料</w:t>
            </w:r>
            <w:r>
              <w:rPr>
                <w:rFonts w:hint="default" w:ascii="Times New Roman" w:hAnsi="Times New Roman" w:eastAsia="宋体" w:cs="Times New Roman"/>
                <w:color w:val="auto"/>
                <w:sz w:val="24"/>
                <w:szCs w:val="24"/>
              </w:rPr>
              <w:t>珠粒内含有发泡剂，发泡剂为戊烷，</w:t>
            </w:r>
            <w:r>
              <w:rPr>
                <w:rFonts w:hint="default" w:ascii="Times New Roman" w:hAnsi="Times New Roman" w:eastAsia="宋体" w:cs="Times New Roman"/>
                <w:color w:val="auto"/>
                <w:sz w:val="24"/>
                <w:szCs w:val="24"/>
                <w:lang w:val="en-US" w:eastAsia="zh-CN"/>
              </w:rPr>
              <w:t>因此</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rPr>
              <w:t>不属于产业结构调整政策内的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限制</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淘汰类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鼓励类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行业，为允许类项目</w:t>
            </w:r>
            <w:r>
              <w:rPr>
                <w:rFonts w:hint="default" w:ascii="Times New Roman" w:hAnsi="Times New Roman" w:eastAsia="宋体" w:cs="Times New Roman"/>
                <w:color w:val="auto"/>
                <w:sz w:val="24"/>
                <w:szCs w:val="24"/>
                <w:highlight w:val="none"/>
                <w:lang w:val="en-US" w:eastAsia="zh-CN"/>
              </w:rPr>
              <w:t>。同时，</w:t>
            </w:r>
            <w:r>
              <w:rPr>
                <w:rFonts w:hint="default" w:ascii="Times New Roman" w:hAnsi="Times New Roman" w:eastAsia="宋体" w:cs="Times New Roman"/>
                <w:color w:val="auto"/>
                <w:kern w:val="0"/>
                <w:sz w:val="24"/>
                <w:highlight w:val="none"/>
                <w:lang w:eastAsia="zh-CN"/>
              </w:rPr>
              <w:t>本项目设备不属于国家明令淘汰的落后设备</w:t>
            </w:r>
            <w:r>
              <w:rPr>
                <w:rFonts w:hint="default" w:ascii="Times New Roman" w:hAnsi="Times New Roman" w:eastAsia="宋体" w:cs="Times New Roman"/>
                <w:color w:val="auto"/>
                <w:spacing w:val="-3"/>
                <w:sz w:val="24"/>
                <w:highlight w:val="none"/>
              </w:rPr>
              <w:t>，符合国家和云南省</w:t>
            </w:r>
            <w:r>
              <w:rPr>
                <w:rFonts w:hint="default" w:ascii="Times New Roman" w:hAnsi="Times New Roman" w:eastAsia="宋体" w:cs="Times New Roman"/>
                <w:color w:val="auto"/>
                <w:spacing w:val="-3"/>
                <w:sz w:val="24"/>
                <w:highlight w:val="none"/>
                <w:lang w:val="en-US" w:eastAsia="zh-CN"/>
              </w:rPr>
              <w:t>现行相关</w:t>
            </w:r>
            <w:r>
              <w:rPr>
                <w:rFonts w:hint="default" w:ascii="Times New Roman" w:hAnsi="Times New Roman" w:eastAsia="宋体" w:cs="Times New Roman"/>
                <w:color w:val="auto"/>
                <w:spacing w:val="-3"/>
                <w:sz w:val="24"/>
                <w:highlight w:val="none"/>
              </w:rPr>
              <w:t>产业政策。</w:t>
            </w: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68"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pacing w:val="-3"/>
                <w:sz w:val="24"/>
                <w:highlight w:val="none"/>
                <w:lang w:val="en-US" w:eastAsia="zh-CN"/>
              </w:rPr>
              <w:t>综上，本项目</w:t>
            </w:r>
            <w:r>
              <w:rPr>
                <w:rFonts w:hint="default" w:ascii="Times New Roman" w:hAnsi="Times New Roman" w:eastAsia="宋体" w:cs="Times New Roman"/>
                <w:color w:val="auto"/>
                <w:sz w:val="24"/>
                <w:szCs w:val="24"/>
                <w:highlight w:val="none"/>
                <w:lang w:val="en-US" w:eastAsia="zh-CN"/>
              </w:rPr>
              <w:t>符合国家和地方相关产业政策。</w:t>
            </w:r>
          </w:p>
          <w:p>
            <w:pPr>
              <w:keepNext w:val="0"/>
              <w:keepLines w:val="0"/>
              <w:pageBreakBefore w:val="0"/>
              <w:kinsoku/>
              <w:wordWrap/>
              <w:overflowPunct/>
              <w:topLinePunct w:val="0"/>
              <w:bidi w:val="0"/>
              <w:spacing w:line="360" w:lineRule="auto"/>
              <w:ind w:firstLine="482"/>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cs="Times New Roman"/>
                <w:b/>
                <w:bCs w:val="0"/>
                <w:color w:val="auto"/>
                <w:kern w:val="2"/>
                <w:sz w:val="24"/>
                <w:szCs w:val="24"/>
                <w:highlight w:val="none"/>
                <w:lang w:val="en-US" w:eastAsia="zh-CN" w:bidi="ar-SA"/>
              </w:rPr>
              <w:t>3</w:t>
            </w:r>
            <w:r>
              <w:rPr>
                <w:rFonts w:hint="default" w:ascii="Times New Roman" w:hAnsi="Times New Roman" w:eastAsia="宋体" w:cs="Times New Roman"/>
                <w:b/>
                <w:bCs w:val="0"/>
                <w:color w:val="auto"/>
                <w:kern w:val="2"/>
                <w:sz w:val="24"/>
                <w:szCs w:val="24"/>
                <w:highlight w:val="none"/>
                <w:lang w:val="en-US" w:eastAsia="zh-CN" w:bidi="ar-SA"/>
              </w:rPr>
              <w:t>、与《云南省牛栏江保护条例》符合性分析</w:t>
            </w:r>
          </w:p>
          <w:p>
            <w:pPr>
              <w:pStyle w:val="78"/>
              <w:keepNext w:val="0"/>
              <w:keepLines w:val="0"/>
              <w:pageBreakBefore w:val="0"/>
              <w:kinsoku/>
              <w:wordWrap/>
              <w:overflowPunct/>
              <w:topLinePunct w:val="0"/>
              <w:bidi w:val="0"/>
              <w:spacing w:line="360" w:lineRule="auto"/>
              <w:textAlignment w:val="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根据《云南省牛栏江保护条例》牛栏江流域上游保护区划分为水源保护核心区、重点污染控制区和重点水源涵养区。</w:t>
            </w:r>
          </w:p>
          <w:p>
            <w:pPr>
              <w:pStyle w:val="78"/>
              <w:keepNext w:val="0"/>
              <w:keepLines w:val="0"/>
              <w:pageBreakBefore w:val="0"/>
              <w:kinsoku/>
              <w:wordWrap/>
              <w:overflowPunct/>
              <w:topLinePunct w:val="0"/>
              <w:bidi w:val="0"/>
              <w:spacing w:line="360" w:lineRule="auto"/>
              <w:textAlignment w:val="auto"/>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一）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pStyle w:val="78"/>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二）重点污染控制区为水源保护核心区以外，流域范围内的坝区以及花庄河、果马河、普沙河、弥良河、对龙河、杨林河、匡郎河、前进河、马龙河水域及两岸外延3000m的区域，区域范围超过一级山脊线的，按照一级山脊线划定。</w:t>
            </w:r>
          </w:p>
          <w:p>
            <w:pPr>
              <w:pStyle w:val="78"/>
              <w:rPr>
                <w:rStyle w:val="77"/>
                <w:rFonts w:hint="default" w:ascii="Times New Roman" w:hAnsi="Times New Roman" w:eastAsia="宋体" w:cs="Times New Roman"/>
                <w:color w:val="auto"/>
                <w:sz w:val="24"/>
                <w:highlight w:val="none"/>
              </w:rPr>
            </w:pPr>
            <w:r>
              <w:rPr>
                <w:rStyle w:val="77"/>
                <w:rFonts w:hint="default" w:ascii="Times New Roman" w:hAnsi="Times New Roman" w:eastAsia="宋体" w:cs="Times New Roman"/>
                <w:color w:val="auto"/>
                <w:sz w:val="24"/>
                <w:highlight w:val="none"/>
              </w:rPr>
              <w:t>（三）重点水源涵养区为流域范围内除水源保护核心区、重点污染控制区以外的集水区域。</w:t>
            </w:r>
          </w:p>
          <w:p>
            <w:pPr>
              <w:pStyle w:val="78"/>
              <w:rPr>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color w:val="auto"/>
                <w:sz w:val="24"/>
                <w:highlight w:val="none"/>
              </w:rPr>
              <w:t>本项目位于</w:t>
            </w:r>
            <w:r>
              <w:rPr>
                <w:color w:val="auto"/>
                <w:kern w:val="0"/>
                <w:szCs w:val="21"/>
              </w:rPr>
              <w:t>云南省昆明市</w:t>
            </w:r>
            <w:r>
              <w:rPr>
                <w:rFonts w:hint="eastAsia" w:ascii="Times New Roman" w:hAnsi="Times New Roman" w:eastAsia="宋体" w:cs="Times New Roman"/>
                <w:color w:val="auto"/>
                <w:szCs w:val="21"/>
                <w:lang w:val="zh-CN" w:eastAsia="zh-CN"/>
              </w:rPr>
              <w:t>寻甸</w:t>
            </w:r>
            <w:r>
              <w:rPr>
                <w:rFonts w:hint="eastAsia" w:ascii="Times New Roman" w:hAnsi="Times New Roman" w:eastAsia="宋体" w:cs="Times New Roman"/>
                <w:color w:val="auto"/>
                <w:szCs w:val="21"/>
                <w:lang w:val="zh-CN"/>
              </w:rPr>
              <w:t>特色产业园区羊街</w:t>
            </w:r>
            <w:r>
              <w:rPr>
                <w:rFonts w:hint="eastAsia" w:ascii="Times New Roman" w:hAnsi="Times New Roman" w:eastAsia="宋体" w:cs="Times New Roman"/>
                <w:color w:val="auto"/>
                <w:szCs w:val="21"/>
                <w:lang w:val="zh-CN" w:eastAsia="zh-CN"/>
              </w:rPr>
              <w:t>林业产业园</w:t>
            </w:r>
            <w:r>
              <w:rPr>
                <w:rStyle w:val="77"/>
                <w:rFonts w:hint="default" w:ascii="Times New Roman" w:hAnsi="Times New Roman" w:eastAsia="宋体" w:cs="Times New Roman"/>
                <w:color w:val="auto"/>
                <w:sz w:val="24"/>
                <w:highlight w:val="none"/>
              </w:rPr>
              <w:t>，根据牛栏江水系功能规划图可知，项目区属于</w:t>
            </w:r>
            <w:r>
              <w:rPr>
                <w:rStyle w:val="77"/>
                <w:rFonts w:hint="default" w:ascii="Times New Roman" w:hAnsi="Times New Roman" w:eastAsia="宋体" w:cs="Times New Roman"/>
                <w:color w:val="auto"/>
                <w:sz w:val="24"/>
                <w:highlight w:val="none"/>
                <w:lang w:val="en-US"/>
              </w:rPr>
              <w:t>重点</w:t>
            </w:r>
            <w:r>
              <w:rPr>
                <w:rStyle w:val="77"/>
                <w:rFonts w:hint="default" w:ascii="Times New Roman" w:hAnsi="Times New Roman" w:eastAsia="宋体" w:cs="Times New Roman"/>
                <w:color w:val="auto"/>
                <w:sz w:val="24"/>
                <w:highlight w:val="none"/>
              </w:rPr>
              <w:t>污染控制区，本项目与牛栏江流域的位置关系详见附图</w:t>
            </w:r>
            <w:r>
              <w:rPr>
                <w:rStyle w:val="77"/>
                <w:rFonts w:hint="eastAsia" w:cs="Times New Roman"/>
                <w:color w:val="auto"/>
                <w:sz w:val="24"/>
                <w:highlight w:val="none"/>
                <w:lang w:val="en-US"/>
              </w:rPr>
              <w:t>5</w:t>
            </w:r>
            <w:r>
              <w:rPr>
                <w:rStyle w:val="77"/>
                <w:rFonts w:hint="default" w:ascii="Times New Roman" w:hAnsi="Times New Roman" w:eastAsia="宋体" w:cs="Times New Roman"/>
                <w:color w:val="auto"/>
                <w:sz w:val="24"/>
                <w:highlight w:val="none"/>
              </w:rPr>
              <w:t>。根据《云南省牛栏江保护条例》中第三十二、三十三条中规定的禁止行为分析项目选址符合性。</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pacing w:val="-2"/>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建设内容与《云南省牛栏江保护条例》符合性分析</w:t>
            </w:r>
          </w:p>
          <w:tbl>
            <w:tblPr>
              <w:tblStyle w:val="27"/>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8"/>
              <w:gridCol w:w="325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保护区划分</w:t>
                  </w: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禁止行为</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建设内容</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b/>
                      <w:bCs/>
                      <w:color w:val="auto"/>
                      <w:sz w:val="21"/>
                      <w:szCs w:val="21"/>
                      <w:highlight w:val="none"/>
                    </w:rPr>
                  </w:pPr>
                  <w:r>
                    <w:rPr>
                      <w:rStyle w:val="77"/>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28"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lang w:val="en-US"/>
                    </w:rPr>
                    <w:t>重点</w:t>
                  </w:r>
                  <w:r>
                    <w:rPr>
                      <w:rStyle w:val="77"/>
                      <w:rFonts w:hint="default" w:ascii="Times New Roman" w:hAnsi="Times New Roman" w:eastAsia="宋体" w:cs="Times New Roman"/>
                      <w:color w:val="auto"/>
                      <w:sz w:val="21"/>
                      <w:szCs w:val="21"/>
                      <w:highlight w:val="none"/>
                    </w:rPr>
                    <w:t>污染控制区</w:t>
                  </w: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（一）盗伐、滥伐林木和破坏草地；</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位于云南省昆明市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 w:val="21"/>
                      <w:szCs w:val="18"/>
                      <w:highlight w:val="none"/>
                    </w:rPr>
                    <w:t>，</w:t>
                  </w:r>
                  <w:r>
                    <w:rPr>
                      <w:rStyle w:val="77"/>
                      <w:rFonts w:hint="default" w:ascii="Times New Roman" w:hAnsi="Times New Roman" w:eastAsia="宋体" w:cs="Times New Roman"/>
                      <w:color w:val="auto"/>
                      <w:sz w:val="21"/>
                      <w:szCs w:val="21"/>
                      <w:highlight w:val="none"/>
                    </w:rPr>
                    <w:t>为</w:t>
                  </w:r>
                  <w:r>
                    <w:rPr>
                      <w:rStyle w:val="77"/>
                      <w:rFonts w:hint="default" w:ascii="Times New Roman" w:hAnsi="Times New Roman" w:eastAsia="宋体" w:cs="Times New Roman"/>
                      <w:color w:val="auto"/>
                      <w:sz w:val="21"/>
                      <w:szCs w:val="21"/>
                      <w:highlight w:val="none"/>
                      <w:lang w:val="en-US"/>
                    </w:rPr>
                    <w:t>新建</w:t>
                  </w:r>
                  <w:r>
                    <w:rPr>
                      <w:rStyle w:val="77"/>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18"/>
                      <w:highlight w:val="none"/>
                    </w:rPr>
                    <w:t>项目</w:t>
                  </w:r>
                  <w:r>
                    <w:rPr>
                      <w:rFonts w:hint="eastAsia" w:cs="Times New Roman"/>
                      <w:color w:val="auto"/>
                      <w:sz w:val="21"/>
                      <w:szCs w:val="18"/>
                      <w:highlight w:val="none"/>
                      <w:lang w:val="en-US" w:eastAsia="zh-CN"/>
                    </w:rPr>
                    <w:t>为</w:t>
                  </w:r>
                  <w:r>
                    <w:rPr>
                      <w:rFonts w:hint="default" w:ascii="Times New Roman" w:hAnsi="Times New Roman" w:eastAsia="宋体" w:cs="Times New Roman"/>
                      <w:color w:val="auto"/>
                      <w:sz w:val="21"/>
                      <w:szCs w:val="21"/>
                      <w:highlight w:val="none"/>
                      <w:lang w:val="en-US" w:eastAsia="zh-CN"/>
                    </w:rPr>
                    <w:t>购买</w:t>
                  </w:r>
                  <w:r>
                    <w:rPr>
                      <w:rFonts w:hint="eastAsia" w:cs="Times New Roman"/>
                      <w:color w:val="auto"/>
                      <w:sz w:val="21"/>
                      <w:szCs w:val="21"/>
                      <w:highlight w:val="none"/>
                      <w:lang w:val="en-US" w:eastAsia="zh-CN"/>
                    </w:rPr>
                    <w:t>园区已规划好的土地，建设标准厂房及</w:t>
                  </w:r>
                  <w:r>
                    <w:rPr>
                      <w:rFonts w:hint="default" w:ascii="Times New Roman" w:hAnsi="Times New Roman" w:eastAsia="宋体" w:cs="Times New Roman"/>
                      <w:color w:val="auto"/>
                      <w:sz w:val="21"/>
                      <w:szCs w:val="21"/>
                      <w:highlight w:val="none"/>
                      <w:lang w:val="en-US" w:eastAsia="zh-CN"/>
                    </w:rPr>
                    <w:t>安装设备后进行生产，</w:t>
                  </w:r>
                  <w:r>
                    <w:rPr>
                      <w:rFonts w:hint="default" w:ascii="Times New Roman" w:hAnsi="Times New Roman" w:eastAsia="宋体" w:cs="Times New Roman"/>
                      <w:color w:val="auto"/>
                      <w:sz w:val="21"/>
                      <w:szCs w:val="18"/>
                      <w:highlight w:val="none"/>
                    </w:rPr>
                    <w:t>不存在盗伐、滥伐林木和破坏草地行为</w:t>
                  </w:r>
                  <w:r>
                    <w:rPr>
                      <w:rStyle w:val="77"/>
                      <w:rFonts w:hint="default" w:ascii="Times New Roman" w:hAnsi="Times New Roman" w:eastAsia="宋体" w:cs="Times New Roman"/>
                      <w:color w:val="auto"/>
                      <w:sz w:val="21"/>
                      <w:szCs w:val="21"/>
                      <w:highlight w:val="none"/>
                    </w:rPr>
                    <w:t>。</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（二）使用高毒、高残留农药；</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不涉及。</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（三）利用溶洞、渗井、渗坑、裂隙排放、倾倒含有毒有害物质的废水、废渣；</w:t>
                  </w:r>
                </w:p>
              </w:tc>
              <w:tc>
                <w:tcPr>
                  <w:tcW w:w="3259"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1.项目无废水外排。</w:t>
                  </w:r>
                </w:p>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2.项目所有固体废弃物均得到合理有效的利用和处置，处置率为100%。</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（四）向水体排放废水、倾倒工业废渣、城镇垃圾或者其他废弃物；</w:t>
                  </w:r>
                </w:p>
              </w:tc>
              <w:tc>
                <w:tcPr>
                  <w:tcW w:w="3259"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（五）在江河、渠道、水库最高水位线以下的滩地、岸坡堆放、存贮固体废弃物或者其他污染物；</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设置危险废物暂存间暂存危险废物，并委托资质单位进行处置，危险废物贮存设施的选址与设计、运行与管理、安全防护、环境监测及应急措施以及关闭等遵循《危险废物贮存污染控制标准》（GB18597-2023）的规定。</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（六）利用无防渗漏措施的沟渠、坑塘等输送或者存贮含有毒污染物的废水、含病原体的污水或者其他废弃物。</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项目不产生含有毒、病原体的污水，项目各污染物均得到妥善处置，无此行为。</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（七）新建、扩建工业园区；</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无此行为。</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（八）新建、扩建重点水污染物排放的工业项目；</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项目不是重点水污染物排放的工业项目。</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p>
              </w:tc>
              <w:tc>
                <w:tcPr>
                  <w:tcW w:w="3188"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（九）新建、改建、扩建经营性陵园、公墓。</w:t>
                  </w:r>
                </w:p>
              </w:tc>
              <w:tc>
                <w:tcPr>
                  <w:tcW w:w="3259"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与项目无关。</w:t>
                  </w:r>
                </w:p>
              </w:tc>
              <w:tc>
                <w:tcPr>
                  <w:tcW w:w="687" w:type="dxa"/>
                  <w:noWrap w:val="0"/>
                  <w:vAlign w:val="center"/>
                </w:tcPr>
                <w:p>
                  <w:pPr>
                    <w:pStyle w:val="4"/>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Style w:val="77"/>
                      <w:rFonts w:hint="default" w:ascii="Times New Roman" w:hAnsi="Times New Roman" w:eastAsia="宋体" w:cs="Times New Roman"/>
                      <w:color w:val="auto"/>
                      <w:sz w:val="21"/>
                      <w:szCs w:val="21"/>
                      <w:highlight w:val="none"/>
                    </w:rPr>
                  </w:pPr>
                  <w:r>
                    <w:rPr>
                      <w:rStyle w:val="77"/>
                      <w:rFonts w:hint="default" w:ascii="Times New Roman" w:hAnsi="Times New Roman" w:eastAsia="宋体" w:cs="Times New Roman"/>
                      <w:color w:val="auto"/>
                      <w:sz w:val="21"/>
                      <w:szCs w:val="21"/>
                      <w:highlight w:val="none"/>
                    </w:rPr>
                    <w:t>符合</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Style w:val="77"/>
                <w:rFonts w:hint="default" w:ascii="Times New Roman" w:hAnsi="Times New Roman" w:eastAsia="宋体" w:cs="Times New Roman"/>
                <w:color w:val="auto"/>
                <w:sz w:val="24"/>
                <w:highlight w:val="none"/>
              </w:rPr>
              <w:t>综上所述，本项目生产中不涉及高毒、高残留农药，项目废水不外排；固废均能得到有效处置，处置率达100%。项目建设和运营期不存在牛栏江污染控制区禁止的行为，故项目与《云南省牛栏江保护条例》相符。</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4</w:t>
            </w:r>
            <w:r>
              <w:rPr>
                <w:rFonts w:hint="default" w:ascii="Times New Roman" w:hAnsi="Times New Roman" w:eastAsia="宋体" w:cs="Times New Roman"/>
                <w:b/>
                <w:bCs w:val="0"/>
                <w:color w:val="auto"/>
                <w:sz w:val="24"/>
                <w:szCs w:val="24"/>
                <w:highlight w:val="none"/>
                <w:lang w:val="en-US" w:eastAsia="zh-CN"/>
              </w:rPr>
              <w:t>、与《牛栏江流域（云南部分）水环境保护规划（2009~2030）》的相符性分析</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云南省</w:t>
            </w:r>
            <w:r>
              <w:rPr>
                <w:rFonts w:hint="default" w:ascii="Times New Roman" w:hAnsi="Times New Roman" w:eastAsia="宋体" w:cs="Times New Roman"/>
                <w:color w:val="auto"/>
                <w:kern w:val="0"/>
                <w:sz w:val="24"/>
                <w:szCs w:val="24"/>
                <w:highlight w:val="none"/>
                <w:lang w:val="en-US" w:eastAsia="zh-CN" w:bidi="ar-SA"/>
              </w:rPr>
              <w:t>昆明市</w:t>
            </w:r>
            <w:r>
              <w:rPr>
                <w:rFonts w:hint="eastAsia" w:ascii="Times New Roman" w:hAnsi="Times New Roman" w:eastAsia="宋体" w:cs="Times New Roman"/>
                <w:color w:val="auto"/>
                <w:kern w:val="0"/>
                <w:sz w:val="24"/>
                <w:szCs w:val="24"/>
                <w:highlight w:val="none"/>
                <w:lang w:val="zh-CN" w:eastAsia="zh-CN" w:bidi="ar-SA"/>
              </w:rPr>
              <w:t>寻甸特色产业园区羊街林业产业园</w:t>
            </w:r>
            <w:r>
              <w:rPr>
                <w:rFonts w:hint="default" w:ascii="Times New Roman" w:hAnsi="Times New Roman" w:eastAsia="宋体" w:cs="Times New Roman"/>
                <w:color w:val="auto"/>
                <w:kern w:val="0"/>
                <w:sz w:val="24"/>
                <w:szCs w:val="24"/>
                <w:highlight w:val="none"/>
                <w:lang w:val="en-US" w:eastAsia="zh-CN" w:bidi="ar-SA"/>
              </w:rPr>
              <w:t>，根据牛栏江水系功能规划图，项目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w:t>
            </w:r>
            <w:r>
              <w:rPr>
                <w:rFonts w:hint="eastAsia" w:cs="Times New Roman"/>
                <w:b w:val="0"/>
                <w:bCs/>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highlight w:val="none"/>
                <w:lang w:val="en-US" w:eastAsia="zh-CN"/>
              </w:rPr>
              <w:t>及锅炉排污水经絮凝沉淀处理后作为生产冷却循环水补充使用；冷却废水经循环水冷却池冷却后循环使用，蒸汽冷凝水用于锅炉损耗补充水</w:t>
            </w:r>
            <w:r>
              <w:rPr>
                <w:rFonts w:hint="eastAsia"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生产废水不外排；</w:t>
            </w:r>
            <w:r>
              <w:rPr>
                <w:rFonts w:hint="default" w:ascii="Times New Roman" w:hAnsi="Times New Roman" w:eastAsia="宋体" w:cs="Times New Roman"/>
                <w:color w:val="auto"/>
                <w:kern w:val="2"/>
                <w:sz w:val="24"/>
                <w:szCs w:val="24"/>
                <w:highlight w:val="none"/>
                <w:shd w:val="clear" w:color="auto" w:fill="auto"/>
                <w:lang w:val="zh-CN" w:eastAsia="zh-CN" w:bidi="ar-SA"/>
              </w:rPr>
              <w:t>生活污水</w:t>
            </w:r>
            <w:r>
              <w:rPr>
                <w:rFonts w:hint="default" w:ascii="Times New Roman" w:hAnsi="Times New Roman" w:eastAsia="宋体" w:cs="Times New Roman"/>
                <w:color w:val="auto"/>
                <w:kern w:val="2"/>
                <w:sz w:val="24"/>
                <w:szCs w:val="24"/>
                <w:highlight w:val="none"/>
                <w:shd w:val="clear" w:color="auto" w:fill="auto"/>
                <w:lang w:val="en-US" w:eastAsia="zh-CN" w:bidi="ar-SA"/>
              </w:rPr>
              <w:t>经处理达标后，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项目内设有垃圾和危废收集设施，可保证固废合理收集处置，一般生活固废由环卫部门进行处置，危废收集后委托有资质单位处理。项目选址符合《云南省牛栏江保护条例》中的选址要求。</w:t>
            </w:r>
          </w:p>
          <w:p>
            <w:pPr>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综上所述，项目选址符合《牛栏江流域（云南部分）水环境保护规划（2009~2030）》对重点污染控制区的水环境保护要求。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、《长江经济带发展负面清单指南》（试行，2022年版）的通知》的符合性分析</w:t>
            </w:r>
          </w:p>
          <w:p>
            <w:pPr>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项目与《《长江经济带发展负面清单指南》（试行，2022年版）的通知》对比分析情况见下表1-</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表1-</w:t>
            </w:r>
            <w:r>
              <w:rPr>
                <w:rFonts w:hint="eastAsia" w:cs="Times New Roman"/>
                <w:b/>
                <w:color w:val="auto"/>
                <w:szCs w:val="21"/>
                <w:highlight w:val="none"/>
                <w:lang w:val="en-US" w:eastAsia="zh-CN"/>
              </w:rPr>
              <w:t>7</w:t>
            </w:r>
            <w:r>
              <w:rPr>
                <w:rFonts w:hint="default" w:ascii="Times New Roman" w:hAnsi="Times New Roman" w:eastAsia="宋体" w:cs="Times New Roman"/>
                <w:b/>
                <w:color w:val="auto"/>
                <w:szCs w:val="21"/>
                <w:highlight w:val="none"/>
              </w:rPr>
              <w:t xml:space="preserve">  与《长江经济带发展负面清单指南》（试行，2022年版）的通知》相符性分析</w:t>
            </w:r>
          </w:p>
          <w:tbl>
            <w:tblPr>
              <w:tblStyle w:val="27"/>
              <w:tblW w:w="7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255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345" w:type="dxa"/>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《指南》要求</w:t>
                  </w:r>
                </w:p>
              </w:tc>
              <w:tc>
                <w:tcPr>
                  <w:tcW w:w="2552" w:type="dxa"/>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本项目</w:t>
                  </w:r>
                </w:p>
              </w:tc>
              <w:tc>
                <w:tcPr>
                  <w:tcW w:w="1066" w:type="dxa"/>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345" w:type="dxa"/>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r>
                    <w:rPr>
                      <w:rFonts w:hint="default" w:ascii="Times New Roman" w:hAnsi="Times New Roman" w:eastAsia="宋体" w:cs="Times New Roman"/>
                      <w:color w:val="auto"/>
                      <w:sz w:val="21"/>
                      <w:szCs w:val="21"/>
                      <w:highlight w:val="none"/>
                      <w:lang w:val="zh-CN"/>
                    </w:rPr>
                    <w:t>禁止建设不符合全国和省级港口布局规划以及港口总体夫划的码头项目，禁止建设不符合《长江于线过江通道布局规划》的过长江通道项目。</w:t>
                  </w:r>
                </w:p>
              </w:tc>
              <w:tc>
                <w:tcPr>
                  <w:tcW w:w="2552" w:type="dxa"/>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eastAsia="宋体" w:cs="Times New Roman"/>
                      <w:color w:val="auto"/>
                      <w:sz w:val="21"/>
                      <w:szCs w:val="21"/>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 w:val="21"/>
                      <w:szCs w:val="21"/>
                      <w:highlight w:val="none"/>
                    </w:rPr>
                    <w:t>，不属于码头或过长江通道项目。</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（二）</w:t>
                  </w:r>
                  <w:r>
                    <w:rPr>
                      <w:rFonts w:hint="default" w:ascii="Times New Roman" w:hAnsi="Times New Roman" w:eastAsia="宋体" w:cs="Times New Roman"/>
                      <w:color w:val="auto"/>
                      <w:szCs w:val="21"/>
                      <w:highlight w:val="none"/>
                      <w:lang w:val="zh-CN"/>
                    </w:rPr>
                    <w:t>禁止在自然保护区核心区、缓冲区的岸线和河段范围内投资建设旅游和生产经营项目。禁止在风景名胜区核心景区的岸线和河段范围内投资建设与风景名胜资源保护无关的项目。</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w:t>
                  </w:r>
                  <w:r>
                    <w:rPr>
                      <w:rFonts w:hint="default" w:ascii="Times New Roman" w:hAnsi="Times New Roman" w:eastAsia="宋体" w:cs="Times New Roman"/>
                      <w:color w:val="auto"/>
                      <w:highlight w:val="none"/>
                    </w:rPr>
                    <w:t>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，项目选址区域不涉及自然保护区、风景名胜区等，不涉及条款禁止行为</w:t>
                  </w:r>
                  <w:r>
                    <w:rPr>
                      <w:rFonts w:hint="default" w:ascii="Times New Roman" w:hAnsi="Times New Roman" w:eastAsia="宋体" w:cs="Times New Roman"/>
                      <w:color w:val="auto"/>
                      <w:szCs w:val="21"/>
                      <w:highlight w:val="none"/>
                    </w:rPr>
                    <w:t>。</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（三）</w:t>
                  </w:r>
                  <w:r>
                    <w:rPr>
                      <w:rFonts w:hint="default" w:ascii="Times New Roman" w:hAnsi="Times New Roman" w:eastAsia="宋体" w:cs="Times New Roman"/>
                      <w:color w:val="auto"/>
                      <w:szCs w:val="21"/>
                      <w:highlight w:val="none"/>
                      <w:lang w:val="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项目位</w:t>
                  </w:r>
                  <w:r>
                    <w:rPr>
                      <w:rFonts w:hint="default" w:ascii="Times New Roman" w:hAnsi="Times New Roman" w:eastAsia="宋体" w:cs="Times New Roman"/>
                      <w:color w:val="auto"/>
                      <w:highlight w:val="none"/>
                    </w:rPr>
                    <w:t>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，项目选址区域不涉及</w:t>
                  </w:r>
                  <w:r>
                    <w:rPr>
                      <w:rFonts w:hint="default" w:ascii="Times New Roman" w:hAnsi="Times New Roman" w:eastAsia="宋体" w:cs="Times New Roman"/>
                      <w:color w:val="auto"/>
                      <w:szCs w:val="21"/>
                      <w:highlight w:val="none"/>
                      <w:lang w:val="zh-CN"/>
                    </w:rPr>
                    <w:t>饮用水水源一、二级保护区，</w:t>
                  </w:r>
                  <w:r>
                    <w:rPr>
                      <w:rFonts w:hint="default" w:ascii="Times New Roman" w:hAnsi="Times New Roman" w:eastAsia="宋体" w:cs="Times New Roman"/>
                      <w:color w:val="auto"/>
                      <w:highlight w:val="none"/>
                    </w:rPr>
                    <w:t>不涉及条款禁止行为</w:t>
                  </w:r>
                  <w:r>
                    <w:rPr>
                      <w:rFonts w:hint="default" w:ascii="Times New Roman" w:hAnsi="Times New Roman" w:eastAsia="宋体" w:cs="Times New Roman"/>
                      <w:color w:val="auto"/>
                      <w:szCs w:val="21"/>
                      <w:highlight w:val="none"/>
                    </w:rPr>
                    <w:t>。</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345" w:type="dxa"/>
                  <w:noWrap w:val="0"/>
                  <w:vAlign w:val="center"/>
                </w:tcPr>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w:t>
                  </w:r>
                  <w:r>
                    <w:rPr>
                      <w:rFonts w:hint="default" w:ascii="Times New Roman" w:hAnsi="Times New Roman" w:eastAsia="宋体" w:cs="Times New Roman"/>
                      <w:color w:val="auto"/>
                      <w:highlight w:val="none"/>
                      <w:lang w:val="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2552" w:type="dxa"/>
                  <w:noWrap w:val="0"/>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zh-CN"/>
                    </w:rPr>
                    <w:t>项目不属于在水产种质资源保护区的岸线和河段范围内新建围湖造田、围海造地或围填海等投资建设项目，项目符合主体功能定位的投资建设项目。</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（五）</w:t>
                  </w:r>
                  <w:r>
                    <w:rPr>
                      <w:rFonts w:hint="default" w:ascii="Times New Roman" w:hAnsi="Times New Roman" w:eastAsia="宋体" w:cs="Times New Roman"/>
                      <w:color w:val="auto"/>
                      <w:szCs w:val="21"/>
                      <w:highlight w:val="none"/>
                      <w:lang w:val="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位于</w:t>
                  </w:r>
                  <w:r>
                    <w:rPr>
                      <w:rFonts w:hint="default" w:ascii="Times New Roman" w:hAnsi="Times New Roman" w:eastAsia="宋体" w:cs="Times New Roman"/>
                      <w:color w:val="auto"/>
                      <w:szCs w:val="21"/>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不属于</w:t>
                  </w:r>
                  <w:r>
                    <w:rPr>
                      <w:rFonts w:hint="default" w:ascii="Times New Roman" w:hAnsi="Times New Roman" w:eastAsia="宋体" w:cs="Times New Roman"/>
                      <w:color w:val="auto"/>
                      <w:szCs w:val="21"/>
                      <w:highlight w:val="none"/>
                      <w:lang w:val="zh-CN"/>
                    </w:rPr>
                    <w:t>违法利用、占用长江流域河湖岸线和投资建设不利于水资源及自然生态保护的项目</w:t>
                  </w:r>
                  <w:r>
                    <w:rPr>
                      <w:rFonts w:hint="default" w:ascii="Times New Roman" w:hAnsi="Times New Roman" w:eastAsia="宋体" w:cs="Times New Roman"/>
                      <w:color w:val="auto"/>
                      <w:szCs w:val="21"/>
                      <w:highlight w:val="none"/>
                    </w:rPr>
                    <w:t>。</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（六）</w:t>
                  </w:r>
                  <w:r>
                    <w:rPr>
                      <w:rFonts w:hint="default" w:ascii="Times New Roman" w:hAnsi="Times New Roman" w:eastAsia="宋体" w:cs="Times New Roman"/>
                      <w:color w:val="auto"/>
                      <w:szCs w:val="21"/>
                      <w:highlight w:val="none"/>
                      <w:lang w:val="zh-CN"/>
                    </w:rPr>
                    <w:t>禁止未经许可在长江干支流及湖泊新设、改设或扩大排污口。</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项目废水不外排。</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（七）</w:t>
                  </w:r>
                  <w:r>
                    <w:rPr>
                      <w:rFonts w:hint="default" w:ascii="Times New Roman" w:hAnsi="Times New Roman" w:eastAsia="宋体" w:cs="Times New Roman"/>
                      <w:color w:val="auto"/>
                      <w:szCs w:val="21"/>
                      <w:highlight w:val="none"/>
                      <w:lang w:val="zh-CN"/>
                    </w:rPr>
                    <w:t>禁止在“一江一口两湖七河”和332个水生生物保护区开展生产性捕捞。</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项目不涉及捕捞。</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（八）</w:t>
                  </w:r>
                  <w:r>
                    <w:rPr>
                      <w:rFonts w:hint="default" w:ascii="Times New Roman" w:hAnsi="Times New Roman" w:eastAsia="宋体" w:cs="Times New Roman"/>
                      <w:color w:val="auto"/>
                      <w:szCs w:val="21"/>
                      <w:highlight w:val="none"/>
                      <w:lang w:val="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highlight w:val="none"/>
                    </w:rPr>
                    <w:t>位于</w:t>
                  </w:r>
                  <w:r>
                    <w:rPr>
                      <w:rFonts w:hint="default" w:ascii="Times New Roman" w:hAnsi="Times New Roman" w:eastAsia="宋体" w:cs="Times New Roman"/>
                      <w:color w:val="auto"/>
                      <w:highlight w:val="none"/>
                      <w:lang w:val="en-US" w:eastAsia="zh-CN"/>
                    </w:rPr>
                    <w:t>云南省昆明市</w:t>
                  </w:r>
                  <w:r>
                    <w:rPr>
                      <w:rFonts w:hint="eastAsia" w:ascii="Times New Roman" w:hAnsi="Times New Roman" w:eastAsia="宋体" w:cs="Times New Roman"/>
                      <w:color w:val="auto"/>
                      <w:sz w:val="21"/>
                      <w:szCs w:val="18"/>
                      <w:highlight w:val="none"/>
                      <w:lang w:val="zh-CN" w:eastAsia="zh-CN"/>
                    </w:rPr>
                    <w:t>寻甸</w:t>
                  </w:r>
                  <w:r>
                    <w:rPr>
                      <w:rFonts w:hint="eastAsia" w:ascii="Times New Roman" w:hAnsi="Times New Roman" w:eastAsia="宋体" w:cs="Times New Roman"/>
                      <w:color w:val="auto"/>
                      <w:sz w:val="21"/>
                      <w:szCs w:val="18"/>
                      <w:highlight w:val="none"/>
                      <w:lang w:val="zh-CN"/>
                    </w:rPr>
                    <w:t>特色产业园区羊街</w:t>
                  </w:r>
                  <w:r>
                    <w:rPr>
                      <w:rFonts w:hint="eastAsia" w:ascii="Times New Roman" w:hAnsi="Times New Roman" w:eastAsia="宋体" w:cs="Times New Roman"/>
                      <w:color w:val="auto"/>
                      <w:sz w:val="21"/>
                      <w:szCs w:val="18"/>
                      <w:highlight w:val="none"/>
                      <w:lang w:val="zh-CN" w:eastAsia="zh-CN"/>
                    </w:rPr>
                    <w:t>林业产业园</w:t>
                  </w:r>
                  <w:r>
                    <w:rPr>
                      <w:rFonts w:hint="default" w:ascii="Times New Roman" w:hAnsi="Times New Roman" w:eastAsia="宋体" w:cs="Times New Roman"/>
                      <w:color w:val="auto"/>
                      <w:highlight w:val="none"/>
                    </w:rPr>
                    <w:t>，项目不属于</w:t>
                  </w:r>
                  <w:r>
                    <w:rPr>
                      <w:rFonts w:hint="default" w:ascii="Times New Roman" w:hAnsi="Times New Roman" w:eastAsia="宋体" w:cs="Times New Roman"/>
                      <w:color w:val="auto"/>
                      <w:szCs w:val="21"/>
                      <w:highlight w:val="none"/>
                      <w:lang w:val="zh-CN"/>
                    </w:rPr>
                    <w:t>尾矿库、冶炼渣库和磷石膏库的项目</w:t>
                  </w:r>
                  <w:r>
                    <w:rPr>
                      <w:rFonts w:hint="default" w:ascii="Times New Roman" w:hAnsi="Times New Roman" w:eastAsia="宋体" w:cs="Times New Roman"/>
                      <w:color w:val="auto"/>
                      <w:highlight w:val="none"/>
                    </w:rPr>
                    <w:t>。</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（九）</w:t>
                  </w:r>
                  <w:r>
                    <w:rPr>
                      <w:rFonts w:hint="default" w:ascii="Times New Roman" w:hAnsi="Times New Roman" w:eastAsia="宋体" w:cs="Times New Roman"/>
                      <w:color w:val="auto"/>
                      <w:szCs w:val="21"/>
                      <w:highlight w:val="none"/>
                      <w:lang w:val="zh-CN"/>
                    </w:rPr>
                    <w:t>禁止在合规园区外新建、扩建钢铁、石化、化工、焦化、建材、有色、制浆造纸等高污染项目。</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w:t>
                  </w:r>
                  <w:r>
                    <w:rPr>
                      <w:rFonts w:hint="eastAsia" w:cs="Times New Roman"/>
                      <w:color w:val="auto"/>
                      <w:szCs w:val="21"/>
                      <w:highlight w:val="none"/>
                      <w:lang w:eastAsia="zh-CN"/>
                    </w:rPr>
                    <w:t>属于泡沫塑料制造，不属于</w:t>
                  </w:r>
                  <w:r>
                    <w:rPr>
                      <w:rFonts w:hint="default" w:ascii="Times New Roman" w:hAnsi="Times New Roman" w:eastAsia="宋体" w:cs="Times New Roman"/>
                      <w:color w:val="auto"/>
                      <w:szCs w:val="21"/>
                      <w:highlight w:val="none"/>
                      <w:lang w:val="zh-CN"/>
                    </w:rPr>
                    <w:t>钢铁、石化、化工、焦化、建材、有色、制浆造纸等高污染项目。</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345" w:type="dxa"/>
                  <w:noWrap w:val="0"/>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（十）</w:t>
                  </w:r>
                  <w:r>
                    <w:rPr>
                      <w:rFonts w:hint="default" w:ascii="Times New Roman" w:hAnsi="Times New Roman" w:eastAsia="宋体" w:cs="Times New Roman"/>
                      <w:color w:val="auto"/>
                      <w:szCs w:val="21"/>
                      <w:highlight w:val="none"/>
                      <w:lang w:val="zh-CN"/>
                    </w:rPr>
                    <w:t>禁止新建、扩建法律法规和相关政策明令禁止的落后产能项目。禁止新建、扩建不符合国家产能置换要求的严重过剩产能行业的项目。禁止新建、扩建不符合要求的高耗能高排放项目。</w:t>
                  </w:r>
                </w:p>
              </w:tc>
              <w:tc>
                <w:tcPr>
                  <w:tcW w:w="2552"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项目不属于</w:t>
                  </w:r>
                  <w:r>
                    <w:rPr>
                      <w:rFonts w:hint="default" w:ascii="Times New Roman" w:hAnsi="Times New Roman" w:eastAsia="宋体" w:cs="Times New Roman"/>
                      <w:color w:val="auto"/>
                      <w:szCs w:val="21"/>
                      <w:highlight w:val="none"/>
                      <w:lang w:val="zh-CN"/>
                    </w:rPr>
                    <w:t>新建、扩建法律法规和相关政策明令禁止的落后产能项目，不属于禁止新建、扩建不符合国家产能置换要求的严重过剩产能行业的项目，不属于禁止新建、扩建不符合要求的高耗能高排放项目</w:t>
                  </w:r>
                  <w:r>
                    <w:rPr>
                      <w:rFonts w:hint="default" w:ascii="Times New Roman" w:hAnsi="Times New Roman" w:eastAsia="宋体" w:cs="Times New Roman"/>
                      <w:color w:val="auto"/>
                      <w:szCs w:val="21"/>
                      <w:highlight w:val="none"/>
                    </w:rPr>
                    <w:t>。</w:t>
                  </w:r>
                </w:p>
              </w:tc>
              <w:tc>
                <w:tcPr>
                  <w:tcW w:w="1066" w:type="dxa"/>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相符</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360" w:lineRule="auto"/>
              <w:ind w:leftChars="0" w:right="0" w:rightChars="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rPr>
            </w:pPr>
            <w:bookmarkStart w:id="11" w:name="_Toc15006"/>
            <w:r>
              <w:rPr>
                <w:rFonts w:hint="eastAsia" w:cs="Times New Roman"/>
                <w:b/>
                <w:bCs/>
                <w:color w:val="auto"/>
                <w:kern w:val="0"/>
                <w:sz w:val="24"/>
                <w:szCs w:val="24"/>
                <w:highlight w:val="none"/>
                <w:lang w:val="en-US" w:eastAsia="zh-CN"/>
              </w:rPr>
              <w:t>6</w:t>
            </w:r>
            <w:r>
              <w:rPr>
                <w:rFonts w:hint="default" w:ascii="Times New Roman" w:hAnsi="Times New Roman" w:eastAsia="宋体" w:cs="Times New Roman"/>
                <w:b/>
                <w:bCs/>
                <w:color w:val="auto"/>
                <w:kern w:val="0"/>
                <w:sz w:val="24"/>
                <w:szCs w:val="24"/>
                <w:highlight w:val="none"/>
                <w:lang w:val="en-US" w:eastAsia="zh-CN"/>
              </w:rPr>
              <w:t>、与《云南省长江经济带发展负面清单指南实施细则（试行）2022年版》的符合性分析</w:t>
            </w:r>
            <w:bookmarkEnd w:id="11"/>
          </w:p>
          <w:p>
            <w:pPr>
              <w:keepNext w:val="0"/>
              <w:keepLines w:val="0"/>
              <w:pageBreakBefore w:val="0"/>
              <w:kinsoku/>
              <w:wordWrap/>
              <w:overflowPunct/>
              <w:topLinePunct w:val="0"/>
              <w:bidi w:val="0"/>
              <w:snapToGrid w:val="0"/>
              <w:spacing w:beforeAutospacing="0" w:afterAutospacing="0"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1-</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《云南省长江经济带发展负面清单指南实施细则（试行</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2022年版</w:t>
            </w:r>
            <w:r>
              <w:rPr>
                <w:rFonts w:hint="default" w:ascii="Times New Roman" w:hAnsi="Times New Roman" w:eastAsia="宋体" w:cs="Times New Roman"/>
                <w:b/>
                <w:bCs/>
                <w:color w:val="auto"/>
                <w:sz w:val="21"/>
                <w:szCs w:val="21"/>
                <w:highlight w:val="none"/>
              </w:rPr>
              <w:t>）》符合性分析</w:t>
            </w:r>
          </w:p>
          <w:tbl>
            <w:tblPr>
              <w:tblStyle w:val="27"/>
              <w:tblW w:w="7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9"/>
              <w:gridCol w:w="2492"/>
              <w:gridCol w:w="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shd w:val="clear" w:color="auto" w:fill="FFFFFF"/>
                    </w:rPr>
                    <w:t>规范要求</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sz w:val="21"/>
                      <w:szCs w:val="21"/>
                    </w:rPr>
                    <w:t>项目实际情况</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b/>
                      <w:bCs/>
                      <w:color w:val="auto"/>
                      <w:kern w:val="0"/>
                      <w:sz w:val="21"/>
                      <w:szCs w:val="21"/>
                      <w:highlight w:val="none"/>
                      <w:lang w:eastAsia="zh-CN"/>
                    </w:rPr>
                  </w:pPr>
                  <w:r>
                    <w:rPr>
                      <w:rFonts w:hint="default" w:ascii="Times New Roman" w:hAnsi="Times New Roman" w:eastAsia="宋体" w:cs="Times New Roman"/>
                      <w:b/>
                      <w:bCs/>
                      <w:color w:val="auto"/>
                      <w:sz w:val="21"/>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eastAsia="zh-CN"/>
                    </w:rPr>
                    <w:t>不属于港口布局规划以及港口总体规划的码头项目。</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w:t>
                  </w:r>
                  <w:r>
                    <w:rPr>
                      <w:rFonts w:hint="default" w:ascii="Times New Roman" w:hAnsi="Times New Roman" w:eastAsia="宋体" w:cs="Times New Roman"/>
                      <w:color w:val="auto"/>
                      <w:sz w:val="21"/>
                      <w:szCs w:val="21"/>
                      <w:shd w:val="clear" w:color="auto" w:fill="FFFFFF"/>
                    </w:rPr>
                    <w:t>《长江岸线保护和开发利用总体规划》划定的岸线保护区、《全国重要江河湖泊水功能区划》划定的河段保护区、保留区</w:t>
                  </w:r>
                  <w:r>
                    <w:rPr>
                      <w:rFonts w:hint="default" w:ascii="Times New Roman" w:hAnsi="Times New Roman" w:eastAsia="宋体" w:cs="Times New Roman"/>
                      <w:color w:val="auto"/>
                      <w:sz w:val="21"/>
                      <w:szCs w:val="21"/>
                      <w:shd w:val="clear" w:color="auto" w:fill="FFFFFF"/>
                      <w:lang w:eastAsia="zh-CN"/>
                    </w:rPr>
                    <w:t>。本项目不属于旅游项目，不</w:t>
                  </w:r>
                  <w:r>
                    <w:rPr>
                      <w:rFonts w:hint="default" w:ascii="Times New Roman" w:hAnsi="Times New Roman" w:eastAsia="宋体" w:cs="Times New Roman"/>
                      <w:color w:val="auto"/>
                      <w:sz w:val="21"/>
                      <w:szCs w:val="21"/>
                      <w:shd w:val="clear" w:color="auto" w:fill="FFFFFF"/>
                    </w:rPr>
                    <w:t>进行开矿、采石、挖沙等活动</w:t>
                  </w:r>
                  <w:r>
                    <w:rPr>
                      <w:rFonts w:hint="default" w:ascii="Times New Roman" w:hAnsi="Times New Roman" w:eastAsia="宋体" w:cs="Times New Roman"/>
                      <w:color w:val="auto"/>
                      <w:sz w:val="21"/>
                      <w:szCs w:val="21"/>
                      <w:shd w:val="clear" w:color="auto" w:fill="FFFFFF"/>
                      <w:lang w:eastAsia="zh-CN"/>
                    </w:rPr>
                    <w:t>；本项目不属于自然保护区的核心区、缓冲区和试验区内。</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项目</w:t>
                  </w:r>
                  <w:r>
                    <w:rPr>
                      <w:rFonts w:hint="default" w:ascii="Times New Roman" w:hAnsi="Times New Roman" w:eastAsia="宋体" w:cs="Times New Roman"/>
                      <w:color w:val="auto"/>
                      <w:sz w:val="21"/>
                      <w:szCs w:val="21"/>
                    </w:rPr>
                    <w:t>用地不涉及</w:t>
                  </w:r>
                  <w:r>
                    <w:rPr>
                      <w:rFonts w:hint="default" w:ascii="Times New Roman" w:hAnsi="Times New Roman" w:eastAsia="宋体" w:cs="Times New Roman"/>
                      <w:color w:val="auto"/>
                      <w:sz w:val="21"/>
                      <w:szCs w:val="21"/>
                      <w:lang w:eastAsia="zh-CN"/>
                    </w:rPr>
                    <w:t>风景名胜区。</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涉及饮用水水源一级保护区</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shd w:val="clear" w:color="auto" w:fill="FFFFFF"/>
                    </w:rPr>
                    <w:t>饮用水水源二级保护区</w:t>
                  </w:r>
                  <w:r>
                    <w:rPr>
                      <w:rFonts w:hint="default" w:ascii="Times New Roman" w:hAnsi="Times New Roman" w:eastAsia="宋体" w:cs="Times New Roman"/>
                      <w:color w:val="auto"/>
                      <w:sz w:val="21"/>
                      <w:szCs w:val="21"/>
                      <w:lang w:eastAsia="zh-CN"/>
                    </w:rPr>
                    <w:t>。</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eastAsia="zh-CN"/>
                    </w:rPr>
                    <w:t>涉及水产种质资源保护区的岸线或河段范围；本项目不涉及国家湿地公园的土地。</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本项目不涉及</w:t>
                  </w:r>
                  <w:r>
                    <w:rPr>
                      <w:rFonts w:hint="default" w:ascii="Times New Roman" w:hAnsi="Times New Roman" w:eastAsia="宋体" w:cs="Times New Roman"/>
                      <w:color w:val="auto"/>
                      <w:sz w:val="21"/>
                      <w:szCs w:val="21"/>
                      <w:shd w:val="clear" w:color="auto" w:fill="FFFFFF"/>
                    </w:rPr>
                    <w:t>占用长江流域河湖岸线</w:t>
                  </w:r>
                  <w:r>
                    <w:rPr>
                      <w:rFonts w:hint="default" w:ascii="Times New Roman" w:hAnsi="Times New Roman" w:eastAsia="宋体" w:cs="Times New Roman"/>
                      <w:color w:val="auto"/>
                      <w:sz w:val="21"/>
                      <w:szCs w:val="21"/>
                      <w:shd w:val="clear" w:color="auto" w:fill="FFFFFF"/>
                      <w:lang w:eastAsia="zh-CN"/>
                    </w:rPr>
                    <w:t>项目。</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eastAsia="zh-CN"/>
                    </w:rPr>
                    <w:t>项目不属于过江基础设施项目，不涉及</w:t>
                  </w:r>
                  <w:r>
                    <w:rPr>
                      <w:rFonts w:hint="default" w:ascii="Times New Roman" w:hAnsi="Times New Roman" w:eastAsia="宋体" w:cs="Times New Roman"/>
                      <w:color w:val="auto"/>
                      <w:szCs w:val="21"/>
                    </w:rPr>
                    <w:t>新设、改设或扩大排污口</w:t>
                  </w:r>
                  <w:r>
                    <w:rPr>
                      <w:rFonts w:hint="default" w:ascii="Times New Roman" w:hAnsi="Times New Roman" w:eastAsia="宋体" w:cs="Times New Roman"/>
                      <w:color w:val="auto"/>
                      <w:szCs w:val="21"/>
                      <w:lang w:eastAsia="zh-CN"/>
                    </w:rPr>
                    <w:t>。</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禁止在金沙江干流、长江一级支流、水生生物保护区和长江流域禁捕水域开展天然渔业资源生产性捕捞。</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本项目不涉及</w:t>
                  </w:r>
                  <w:r>
                    <w:rPr>
                      <w:rFonts w:hint="default" w:ascii="Times New Roman" w:hAnsi="Times New Roman" w:eastAsia="宋体" w:cs="Times New Roman"/>
                      <w:color w:val="auto"/>
                      <w:sz w:val="21"/>
                      <w:szCs w:val="21"/>
                      <w:shd w:val="clear" w:color="auto" w:fill="FFFFFF"/>
                    </w:rPr>
                    <w:t>天然渔业资源生产性捕捞</w:t>
                  </w:r>
                  <w:r>
                    <w:rPr>
                      <w:rFonts w:hint="default" w:ascii="Times New Roman" w:hAnsi="Times New Roman" w:eastAsia="宋体" w:cs="Times New Roman"/>
                      <w:color w:val="auto"/>
                      <w:sz w:val="21"/>
                      <w:szCs w:val="21"/>
                      <w:lang w:eastAsia="zh-CN"/>
                    </w:rPr>
                    <w:t>。</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本项目</w:t>
                  </w:r>
                  <w:r>
                    <w:rPr>
                      <w:rFonts w:hint="default" w:ascii="Times New Roman" w:hAnsi="Times New Roman" w:eastAsia="宋体" w:cs="Times New Roman"/>
                      <w:color w:val="auto"/>
                      <w:sz w:val="21"/>
                      <w:szCs w:val="21"/>
                      <w:lang w:val="en-US" w:eastAsia="zh-CN"/>
                    </w:rPr>
                    <w:t>所在区域不属于</w:t>
                  </w:r>
                  <w:r>
                    <w:rPr>
                      <w:rFonts w:hint="default" w:ascii="Times New Roman" w:hAnsi="Times New Roman" w:eastAsia="宋体" w:cs="Times New Roman"/>
                      <w:color w:val="auto"/>
                      <w:sz w:val="21"/>
                      <w:szCs w:val="21"/>
                      <w:shd w:val="clear" w:color="auto" w:fill="FFFFFF"/>
                    </w:rPr>
                    <w:t>金沙江干流、长江一级支流、水生生物保护区</w:t>
                  </w:r>
                  <w:r>
                    <w:rPr>
                      <w:rFonts w:hint="default" w:ascii="Times New Roman" w:hAnsi="Times New Roman" w:eastAsia="宋体" w:cs="Times New Roman"/>
                      <w:color w:val="auto"/>
                      <w:sz w:val="21"/>
                      <w:szCs w:val="21"/>
                      <w:shd w:val="clear" w:color="auto" w:fill="FFFFFF"/>
                      <w:lang w:eastAsia="zh-CN"/>
                    </w:rPr>
                    <w:t>、</w:t>
                  </w:r>
                  <w:r>
                    <w:rPr>
                      <w:rFonts w:hint="default" w:ascii="Times New Roman" w:hAnsi="Times New Roman" w:eastAsia="宋体" w:cs="Times New Roman"/>
                      <w:color w:val="auto"/>
                      <w:sz w:val="21"/>
                      <w:szCs w:val="21"/>
                      <w:shd w:val="clear" w:color="auto" w:fill="FFFFFF"/>
                    </w:rPr>
                    <w:t>九大高原湖泊岸线一公里范围</w:t>
                  </w:r>
                  <w:r>
                    <w:rPr>
                      <w:rFonts w:hint="default" w:ascii="Times New Roman" w:hAnsi="Times New Roman" w:eastAsia="宋体" w:cs="Times New Roman"/>
                      <w:color w:val="auto"/>
                      <w:sz w:val="21"/>
                      <w:szCs w:val="21"/>
                      <w:shd w:val="clear" w:color="auto" w:fill="FFFFFF"/>
                      <w:lang w:eastAsia="zh-CN"/>
                    </w:rPr>
                    <w:t>。</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禁止在合规园区外新建、扩建钢铁、石化、化工、焦化、建材、有色、制浆造纸行业中的高污染项目。</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color w:val="auto"/>
                      <w:szCs w:val="21"/>
                    </w:rPr>
                    <w:t>项目</w:t>
                  </w:r>
                  <w:r>
                    <w:rPr>
                      <w:rFonts w:hint="eastAsia"/>
                      <w:color w:val="auto"/>
                      <w:szCs w:val="21"/>
                    </w:rPr>
                    <w:t>属于泡沫塑料制造，不属于</w:t>
                  </w:r>
                  <w:r>
                    <w:rPr>
                      <w:color w:val="auto"/>
                      <w:szCs w:val="21"/>
                      <w:shd w:val="clear" w:color="auto" w:fill="FFFFFF"/>
                    </w:rPr>
                    <w:t>钢铁、石化、化工、焦化、建材、有色等高污染项目。</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禁止新建、扩建不符合国家石化、现代煤化工等产业布局规划的项目。禁止列入《云南省城镇人口密集区危险化学品生产企业搬迁改造名单》的搬迁改造企业在原址新建、扩建危险化学品生产项目</w:t>
                  </w:r>
                  <w:r>
                    <w:rPr>
                      <w:rFonts w:hint="default" w:ascii="Times New Roman" w:hAnsi="Times New Roman" w:eastAsia="宋体" w:cs="Times New Roman"/>
                      <w:color w:val="auto"/>
                      <w:sz w:val="21"/>
                      <w:szCs w:val="21"/>
                      <w:shd w:val="clear" w:color="auto" w:fill="FFFFFF"/>
                      <w:lang w:eastAsia="zh-CN"/>
                    </w:rPr>
                    <w:t>。</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本项目不属于不符合</w:t>
                  </w:r>
                  <w:r>
                    <w:rPr>
                      <w:rFonts w:hint="default" w:ascii="Times New Roman" w:hAnsi="Times New Roman" w:eastAsia="宋体" w:cs="Times New Roman"/>
                      <w:color w:val="auto"/>
                      <w:sz w:val="21"/>
                      <w:szCs w:val="21"/>
                      <w:shd w:val="clear" w:color="auto" w:fill="FFFFFF"/>
                    </w:rPr>
                    <w:t>国家石化、现代煤化工等产业布局规划的项目</w:t>
                  </w:r>
                  <w:r>
                    <w:rPr>
                      <w:rFonts w:hint="default" w:ascii="Times New Roman" w:hAnsi="Times New Roman" w:eastAsia="宋体" w:cs="Times New Roman"/>
                      <w:color w:val="auto"/>
                      <w:sz w:val="21"/>
                      <w:szCs w:val="21"/>
                      <w:shd w:val="clear" w:color="auto" w:fill="FFFFFF"/>
                      <w:lang w:eastAsia="zh-CN"/>
                    </w:rPr>
                    <w:t>；本项目不属于危险化学品生产项目。</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0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shd w:val="clear" w:color="auto" w:fill="FFFFFF"/>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24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本项目不属于落后产能项目、过剩产能行业的项目、高能耗、高排放项目。本项目不涉及建设</w:t>
                  </w:r>
                  <w:r>
                    <w:rPr>
                      <w:rFonts w:hint="default" w:ascii="Times New Roman" w:hAnsi="Times New Roman" w:eastAsia="宋体" w:cs="Times New Roman"/>
                      <w:color w:val="auto"/>
                      <w:sz w:val="21"/>
                      <w:szCs w:val="21"/>
                      <w:shd w:val="clear" w:color="auto" w:fill="FFFFFF"/>
                    </w:rPr>
                    <w:t>高毒高残留以及对环境影响大的农药原药生产装置，</w:t>
                  </w:r>
                  <w:r>
                    <w:rPr>
                      <w:rFonts w:hint="default" w:ascii="Times New Roman" w:hAnsi="Times New Roman" w:eastAsia="宋体" w:cs="Times New Roman"/>
                      <w:color w:val="auto"/>
                      <w:sz w:val="21"/>
                      <w:szCs w:val="21"/>
                      <w:shd w:val="clear" w:color="auto" w:fill="FFFFFF"/>
                      <w:lang w:eastAsia="zh-CN"/>
                    </w:rPr>
                    <w:t>不属于</w:t>
                  </w:r>
                  <w:r>
                    <w:rPr>
                      <w:rFonts w:hint="default" w:ascii="Times New Roman" w:hAnsi="Times New Roman" w:eastAsia="宋体" w:cs="Times New Roman"/>
                      <w:color w:val="auto"/>
                      <w:sz w:val="21"/>
                      <w:szCs w:val="21"/>
                      <w:shd w:val="clear" w:color="auto" w:fill="FFFFFF"/>
                    </w:rPr>
                    <w:t>尿素、磷铵、电石、焦炭、黄磷、烧碱、纯碱、聚氯乙烯等行业。</w:t>
                  </w:r>
                </w:p>
              </w:tc>
              <w:tc>
                <w:tcPr>
                  <w:tcW w:w="65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相符</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highlight w:val="none"/>
              </w:rPr>
              <w:t>综上，本项目与《云南省长江经济带发展负面清单指南实施细则（试行）》规定的内容相符合。</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bookmarkStart w:id="12" w:name="_Toc26297"/>
            <w:r>
              <w:rPr>
                <w:rFonts w:hint="eastAsia" w:cs="Times New Roman"/>
                <w:b/>
                <w:color w:val="auto"/>
                <w:sz w:val="24"/>
                <w:highlight w:val="none"/>
                <w:lang w:val="en-US" w:eastAsia="zh-CN"/>
              </w:rPr>
              <w:t>7</w:t>
            </w:r>
            <w:r>
              <w:rPr>
                <w:rFonts w:hint="default" w:ascii="Times New Roman" w:hAnsi="Times New Roman" w:eastAsia="宋体" w:cs="Times New Roman"/>
                <w:b/>
                <w:color w:val="auto"/>
                <w:sz w:val="24"/>
                <w:highlight w:val="none"/>
              </w:rPr>
              <w:t>、与《云南省重点行业挥发性有机物综合治理实施方案》符合性分析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w:t>
            </w:r>
            <w:r>
              <w:rPr>
                <w:rFonts w:hint="default"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9</w:t>
            </w:r>
            <w:r>
              <w:rPr>
                <w:rFonts w:hint="default" w:ascii="Times New Roman" w:hAnsi="Times New Roman" w:eastAsia="宋体" w:cs="Times New Roman"/>
                <w:color w:val="auto"/>
                <w:sz w:val="24"/>
                <w:highlight w:val="none"/>
              </w:rPr>
              <w:t>。</w:t>
            </w:r>
          </w:p>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1-</w:t>
            </w:r>
            <w:r>
              <w:rPr>
                <w:rFonts w:hint="eastAsia" w:cs="Times New Roman"/>
                <w:b/>
                <w:color w:val="auto"/>
                <w:szCs w:val="21"/>
                <w:highlight w:val="none"/>
                <w:lang w:val="en-US" w:eastAsia="zh-CN"/>
              </w:rPr>
              <w:t>9</w:t>
            </w:r>
            <w:r>
              <w:rPr>
                <w:rFonts w:hint="default" w:ascii="Times New Roman" w:hAnsi="Times New Roman" w:eastAsia="宋体" w:cs="Times New Roman"/>
                <w:b/>
                <w:color w:val="auto"/>
                <w:szCs w:val="21"/>
                <w:highlight w:val="none"/>
              </w:rPr>
              <w:t xml:space="preserve">  项目与《云南省重点行业挥发性有机物综合治理实施方案》的相符性分析</w:t>
            </w:r>
          </w:p>
          <w:tbl>
            <w:tblPr>
              <w:tblStyle w:val="27"/>
              <w:tblW w:w="7932"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2915"/>
              <w:gridCol w:w="72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c>
                <w:tcPr>
                  <w:tcW w:w="4295" w:type="dxa"/>
                  <w:tcBorders>
                    <w:tl2br w:val="nil"/>
                    <w:tr2bl w:val="nil"/>
                  </w:tcBorders>
                  <w:noWrap w:val="0"/>
                  <w:vAlign w:val="center"/>
                </w:tcPr>
                <w:p>
                  <w:pPr>
                    <w:pStyle w:val="26"/>
                    <w:widowControl w:val="0"/>
                    <w:adjustRightInd w:val="0"/>
                    <w:snapToGrid w:val="0"/>
                    <w:spacing w:before="0" w:beforeAutospacing="0" w:after="0" w:afterAutospacing="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2915" w:type="dxa"/>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本项目</w:t>
                  </w:r>
                </w:p>
              </w:tc>
              <w:tc>
                <w:tcPr>
                  <w:tcW w:w="722" w:type="dxa"/>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相符性</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295" w:type="dxa"/>
                  <w:tcBorders>
                    <w:tl2br w:val="nil"/>
                    <w:tr2bl w:val="nil"/>
                  </w:tcBorders>
                  <w:noWrap w:val="0"/>
                  <w:vAlign w:val="center"/>
                </w:tcPr>
                <w:p>
                  <w:pPr>
                    <w:pStyle w:val="26"/>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 VOCs 物料（包括含 VOCs 原辅材料、含 VOCs 产品、含 VOCs 废料以及有机聚合物材料等）储存、转移和输送、设备与管线组件泄漏、敞开液面逸散以及工艺过程等五类排放源实施管控，通过采取设备与场所密闭、工艺改进、废气有效收集等措施，削减 VOCs 无组织排放。</w:t>
                  </w:r>
                </w:p>
              </w:tc>
              <w:tc>
                <w:tcPr>
                  <w:tcW w:w="2915" w:type="dxa"/>
                  <w:vMerge w:val="restart"/>
                  <w:tcBorders>
                    <w:tl2br w:val="nil"/>
                    <w:tr2bl w:val="nil"/>
                  </w:tcBorders>
                  <w:noWrap w:val="0"/>
                  <w:vAlign w:val="center"/>
                </w:tcPr>
                <w:p>
                  <w:pPr>
                    <w:adjustRightInd w:val="0"/>
                    <w:snapToGrid w:val="0"/>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耐高温</w:t>
                  </w:r>
                  <w:r>
                    <w:rPr>
                      <w:rFonts w:hint="eastAsia"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除尘</w:t>
                  </w:r>
                  <w:r>
                    <w:rPr>
                      <w:rFonts w:hint="default" w:ascii="Times New Roman" w:hAnsi="Times New Roman" w:eastAsia="宋体" w:cs="Times New Roman"/>
                      <w:bCs/>
                      <w:color w:val="auto"/>
                      <w:sz w:val="21"/>
                      <w:szCs w:val="21"/>
                      <w:highlight w:val="none"/>
                    </w:rPr>
                    <w:t>效率</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color w:val="auto"/>
                      <w:sz w:val="21"/>
                      <w:szCs w:val="21"/>
                      <w:highlight w:val="none"/>
                    </w:rPr>
                    <w:t>风机</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722" w:type="dxa"/>
                  <w:tcBorders>
                    <w:tl2br w:val="nil"/>
                    <w:tr2bl w:val="nil"/>
                  </w:tcBorders>
                  <w:noWrap w:val="0"/>
                  <w:vAlign w:val="center"/>
                </w:tcPr>
                <w:p>
                  <w:pPr>
                    <w:pStyle w:val="26"/>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4295" w:type="dxa"/>
                  <w:tcBorders>
                    <w:tl2br w:val="nil"/>
                    <w:tr2bl w:val="nil"/>
                  </w:tcBorders>
                  <w:noWrap w:val="0"/>
                  <w:vAlign w:val="center"/>
                </w:tcPr>
                <w:p>
                  <w:pPr>
                    <w:pStyle w:val="26"/>
                    <w:adjustRightInd w:val="0"/>
                    <w:snapToGrid w:val="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2915" w:type="dxa"/>
                  <w:vMerge w:val="continue"/>
                  <w:tcBorders>
                    <w:tl2br w:val="nil"/>
                    <w:tr2bl w:val="nil"/>
                  </w:tcBorders>
                  <w:noWrap w:val="0"/>
                  <w:vAlign w:val="center"/>
                </w:tcPr>
                <w:p>
                  <w:pPr>
                    <w:pStyle w:val="26"/>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p>
              </w:tc>
              <w:tc>
                <w:tcPr>
                  <w:tcW w:w="722" w:type="dxa"/>
                  <w:tcBorders>
                    <w:tl2br w:val="nil"/>
                    <w:tr2bl w:val="nil"/>
                  </w:tcBorders>
                  <w:noWrap w:val="0"/>
                  <w:vAlign w:val="center"/>
                </w:tcPr>
                <w:p>
                  <w:pPr>
                    <w:pStyle w:val="26"/>
                    <w:widowControl w:val="0"/>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bl>
          <w:p>
            <w:pPr>
              <w:pageBreakBefore w:val="0"/>
              <w:kinsoku/>
              <w:wordWrap/>
              <w:overflowPunct/>
              <w:topLinePunct w:val="0"/>
              <w:bidi w:val="0"/>
              <w:snapToGrid w:val="0"/>
              <w:spacing w:line="360" w:lineRule="auto"/>
              <w:ind w:firstLine="480" w:firstLineChars="200"/>
              <w:jc w:val="both"/>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color w:val="auto"/>
                <w:sz w:val="24"/>
                <w:highlight w:val="none"/>
              </w:rPr>
              <w:t>综上所述，项目与《云南省重点行业挥发性有机物综合治理实施方案》（云环通〔2019〕125号）相符。</w:t>
            </w:r>
          </w:p>
          <w:bookmarkEnd w:id="12"/>
          <w:p>
            <w:pPr>
              <w:pStyle w:val="13"/>
              <w:numPr>
                <w:ilvl w:val="-1"/>
                <w:numId w:val="0"/>
              </w:numPr>
              <w:spacing w:line="360" w:lineRule="auto"/>
              <w:ind w:firstLine="498" w:firstLineChars="200"/>
              <w:rPr>
                <w:rFonts w:hint="default" w:ascii="Times New Roman" w:hAnsi="Times New Roman" w:eastAsia="宋体" w:cs="Times New Roman"/>
                <w:color w:val="auto"/>
                <w:spacing w:val="4"/>
                <w:kern w:val="24"/>
                <w:sz w:val="24"/>
                <w:highlight w:val="none"/>
                <w:lang w:bidi="ar"/>
              </w:rPr>
            </w:pPr>
            <w:r>
              <w:rPr>
                <w:rFonts w:hint="eastAsia" w:cs="Times New Roman"/>
                <w:b/>
                <w:bCs/>
                <w:color w:val="auto"/>
                <w:spacing w:val="4"/>
                <w:kern w:val="24"/>
                <w:sz w:val="24"/>
                <w:highlight w:val="none"/>
                <w:lang w:val="en-US" w:eastAsia="zh-CN" w:bidi="ar"/>
              </w:rPr>
              <w:t>8</w:t>
            </w:r>
            <w:r>
              <w:rPr>
                <w:rFonts w:hint="default" w:ascii="Times New Roman" w:hAnsi="Times New Roman" w:eastAsia="宋体" w:cs="Times New Roman"/>
                <w:b/>
                <w:bCs/>
                <w:color w:val="auto"/>
                <w:spacing w:val="4"/>
                <w:kern w:val="24"/>
                <w:sz w:val="24"/>
                <w:highlight w:val="none"/>
                <w:lang w:val="en-US" w:eastAsia="zh-CN" w:bidi="ar"/>
              </w:rPr>
              <w:t>、</w:t>
            </w:r>
            <w:r>
              <w:rPr>
                <w:rFonts w:hint="default" w:ascii="Times New Roman" w:hAnsi="Times New Roman" w:eastAsia="宋体" w:cs="Times New Roman"/>
                <w:b/>
                <w:bCs/>
                <w:color w:val="auto"/>
                <w:spacing w:val="4"/>
                <w:kern w:val="24"/>
                <w:sz w:val="24"/>
                <w:highlight w:val="none"/>
                <w:lang w:bidi="ar"/>
              </w:rPr>
              <w:t>与《挥发性有机物污染防治技术政策》符合性分析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rPr>
              <w:t>项目与</w:t>
            </w:r>
            <w:r>
              <w:rPr>
                <w:rFonts w:hint="default" w:ascii="Times New Roman" w:hAnsi="Times New Roman" w:eastAsia="宋体" w:cs="Times New Roman"/>
                <w:color w:val="auto"/>
                <w:sz w:val="24"/>
                <w:highlight w:val="none"/>
              </w:rPr>
              <w:t>《挥发性有机物污染防治技术政策》相符性分析见表1-</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pPr>
              <w:spacing w:line="240" w:lineRule="auto"/>
              <w:ind w:firstLine="0" w:firstLineChars="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表1-</w:t>
            </w:r>
            <w:r>
              <w:rPr>
                <w:rFonts w:hint="eastAsia" w:cs="Times New Roman"/>
                <w:b/>
                <w:bCs/>
                <w:color w:val="auto"/>
                <w:szCs w:val="21"/>
                <w:highlight w:val="none"/>
                <w:lang w:val="en-US" w:eastAsia="zh-CN"/>
              </w:rPr>
              <w:t>10</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kern w:val="0"/>
                <w:szCs w:val="21"/>
                <w:highlight w:val="none"/>
              </w:rPr>
              <w:t>与</w:t>
            </w:r>
            <w:r>
              <w:rPr>
                <w:rFonts w:hint="default" w:ascii="Times New Roman" w:hAnsi="Times New Roman" w:eastAsia="宋体" w:cs="Times New Roman"/>
                <w:b/>
                <w:bCs/>
                <w:color w:val="auto"/>
                <w:szCs w:val="21"/>
                <w:highlight w:val="none"/>
              </w:rPr>
              <w:t>《挥发性有机物污染防治技术政策》符合性分析</w:t>
            </w:r>
          </w:p>
          <w:tbl>
            <w:tblPr>
              <w:tblStyle w:val="27"/>
              <w:tblW w:w="7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489"/>
              <w:gridCol w:w="3629"/>
              <w:gridCol w:w="233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dxa"/>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序号</w:t>
                  </w:r>
                </w:p>
              </w:tc>
              <w:tc>
                <w:tcPr>
                  <w:tcW w:w="4118" w:type="dxa"/>
                  <w:gridSpan w:val="2"/>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color w:val="auto"/>
                      <w:spacing w:val="4"/>
                      <w:kern w:val="24"/>
                      <w:szCs w:val="21"/>
                      <w:highlight w:val="none"/>
                      <w:lang w:bidi="ar"/>
                    </w:rPr>
                    <w:t>《挥发性有机物污染防治技术政策》内容如下</w:t>
                  </w:r>
                </w:p>
              </w:tc>
              <w:tc>
                <w:tcPr>
                  <w:tcW w:w="2332" w:type="dxa"/>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该项目情况</w:t>
                  </w:r>
                </w:p>
              </w:tc>
              <w:tc>
                <w:tcPr>
                  <w:tcW w:w="1021" w:type="dxa"/>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489" w:type="dxa"/>
                  <w:vMerge w:val="restar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源头和过程控制</w:t>
                  </w:r>
                </w:p>
              </w:tc>
              <w:tc>
                <w:tcPr>
                  <w:tcW w:w="3629"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鼓励使用通过环境标志产品认证的环保型涂料、油墨、胶粘剂和清洗剂。</w:t>
                  </w:r>
                </w:p>
              </w:tc>
              <w:tc>
                <w:tcPr>
                  <w:tcW w:w="2332"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本</w:t>
                  </w:r>
                  <w:r>
                    <w:rPr>
                      <w:rFonts w:hint="default" w:ascii="Times New Roman" w:hAnsi="Times New Roman" w:eastAsia="宋体" w:cs="Times New Roman"/>
                      <w:color w:val="auto"/>
                      <w:szCs w:val="21"/>
                      <w:highlight w:val="none"/>
                    </w:rPr>
                    <w:t>项目</w:t>
                  </w:r>
                  <w:r>
                    <w:rPr>
                      <w:rFonts w:hint="default" w:ascii="Times New Roman" w:hAnsi="Times New Roman" w:eastAsia="宋体" w:cs="Times New Roman"/>
                      <w:color w:val="auto"/>
                      <w:szCs w:val="21"/>
                      <w:highlight w:val="none"/>
                      <w:lang w:val="en-US" w:eastAsia="zh-CN"/>
                    </w:rPr>
                    <w:t>不</w:t>
                  </w:r>
                  <w:r>
                    <w:rPr>
                      <w:rFonts w:hint="default" w:ascii="Times New Roman" w:hAnsi="Times New Roman" w:eastAsia="宋体" w:cs="Times New Roman"/>
                      <w:color w:val="auto"/>
                      <w:szCs w:val="21"/>
                      <w:highlight w:val="none"/>
                    </w:rPr>
                    <w:t>使用</w:t>
                  </w:r>
                  <w:r>
                    <w:rPr>
                      <w:rFonts w:hint="default" w:ascii="Times New Roman" w:hAnsi="Times New Roman" w:eastAsia="宋体" w:cs="Times New Roman"/>
                      <w:color w:val="auto"/>
                      <w:szCs w:val="21"/>
                      <w:highlight w:val="none"/>
                      <w:lang w:val="zh-CN"/>
                    </w:rPr>
                    <w:t>油墨、胶粘剂和清洗剂。</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根据涂装工艺的不同，鼓励使用水性涂料、高固份涂料、</w:t>
                  </w:r>
                  <w:r>
                    <w:rPr>
                      <w:rFonts w:hint="eastAsia" w:cs="Times New Roman"/>
                      <w:color w:val="auto"/>
                      <w:sz w:val="21"/>
                      <w:szCs w:val="21"/>
                      <w:highlight w:val="none"/>
                      <w:lang w:val="zh-CN"/>
                    </w:rPr>
                    <w:t>粉末</w:t>
                  </w:r>
                  <w:r>
                    <w:rPr>
                      <w:rFonts w:hint="default" w:ascii="Times New Roman" w:hAnsi="Times New Roman" w:eastAsia="宋体" w:cs="Times New Roman"/>
                      <w:color w:val="auto"/>
                      <w:sz w:val="21"/>
                      <w:szCs w:val="21"/>
                      <w:highlight w:val="none"/>
                      <w:lang w:val="zh-CN"/>
                    </w:rPr>
                    <w:t>涂料、紫外光固化（UV）涂料等环保型涂料；推广采用静电喷涂、淋涂、辊涂、浸涂等效率较高的涂装工艺；应尽量避免无VoCs净化、回收措施的露天喷涂作业。</w:t>
                  </w:r>
                </w:p>
              </w:tc>
              <w:tc>
                <w:tcPr>
                  <w:tcW w:w="233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耐高温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淘汰以三氟三氯乙烷、甲基氯仿和四氯化碳为清洗剂或溶剂的生产工艺。清洗过程中产生的废溶剂宜密闭收集，有回收价值的废溶剂经处理后回用，其他废溶剂应妥善处置。</w:t>
                  </w:r>
                </w:p>
              </w:tc>
              <w:tc>
                <w:tcPr>
                  <w:tcW w:w="2332"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r>
                    <w:rPr>
                      <w:rFonts w:hint="default" w:ascii="Times New Roman" w:hAnsi="Times New Roman" w:eastAsia="宋体" w:cs="Times New Roman"/>
                      <w:color w:val="auto"/>
                      <w:szCs w:val="21"/>
                      <w:highlight w:val="none"/>
                      <w:lang w:val="zh-CN"/>
                    </w:rPr>
                    <w:t>以三氟三氯乙烷、甲基氯仿和四氯化碳为清洗剂或溶剂的生产工艺。</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含VOCs产品的使用过程中，应采取废气收集措施，提高废气收集效率，减少废气的无组织排放与逸散，并对收集后的废气进行回收或处理后达标排放。</w:t>
                  </w:r>
                </w:p>
              </w:tc>
              <w:tc>
                <w:tcPr>
                  <w:tcW w:w="2332" w:type="dxa"/>
                  <w:vMerge w:val="restart"/>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耐高温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。在采取相应的对策措施后，项目废气污染物均能达标排放。</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tc>
              <w:tc>
                <w:tcPr>
                  <w:tcW w:w="489" w:type="dxa"/>
                  <w:vMerge w:val="restart"/>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末端治理与综合利用</w:t>
                  </w:r>
                </w:p>
              </w:tc>
              <w:tc>
                <w:tcPr>
                  <w:tcW w:w="362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在工业生产过程中鼓励VOCs的回收利用，并优先鼓励在生产系统内回用。</w:t>
                  </w:r>
                </w:p>
              </w:tc>
              <w:tc>
                <w:tcPr>
                  <w:tcW w:w="23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8</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对于含高浓度VOCs的废气，宜优先采用冷凝回收、吸附回收技术进行回收利用，并辅助以其他治理技术实现达标排放。</w:t>
                  </w:r>
                </w:p>
              </w:tc>
              <w:tc>
                <w:tcPr>
                  <w:tcW w:w="2332" w:type="dxa"/>
                  <w:vMerge w:val="continue"/>
                  <w:vAlign w:val="center"/>
                </w:tcPr>
                <w:p>
                  <w:pPr>
                    <w:jc w:val="center"/>
                    <w:rPr>
                      <w:rFonts w:hint="default" w:ascii="Times New Roman" w:hAnsi="Times New Roman" w:eastAsia="宋体" w:cs="Times New Roman"/>
                      <w:color w:val="auto"/>
                      <w:sz w:val="21"/>
                      <w:szCs w:val="21"/>
                      <w:highlight w:val="none"/>
                    </w:rPr>
                  </w:pP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9</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对于含中等浓度VOCs的废气，可采用吸附技术回收有机溶剂，或采用催化燃烧和热力焚烧技术净化后达标排放。当采用催化燃烧和热力焚烧技术进行净化时，应进行余热回收利用。</w:t>
                  </w:r>
                </w:p>
              </w:tc>
              <w:tc>
                <w:tcPr>
                  <w:tcW w:w="2332" w:type="dxa"/>
                  <w:vMerge w:val="continue"/>
                  <w:vAlign w:val="center"/>
                </w:tcPr>
                <w:p>
                  <w:pPr>
                    <w:jc w:val="center"/>
                    <w:rPr>
                      <w:rFonts w:hint="default" w:ascii="Times New Roman" w:hAnsi="Times New Roman" w:eastAsia="宋体" w:cs="Times New Roman"/>
                      <w:color w:val="auto"/>
                      <w:szCs w:val="21"/>
                      <w:highlight w:val="none"/>
                    </w:rPr>
                  </w:pP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2332" w:type="dxa"/>
                  <w:vMerge w:val="continue"/>
                  <w:vAlign w:val="center"/>
                </w:tcPr>
                <w:p>
                  <w:pPr>
                    <w:jc w:val="center"/>
                    <w:rPr>
                      <w:rFonts w:hint="default" w:ascii="Times New Roman" w:hAnsi="Times New Roman" w:eastAsia="宋体" w:cs="Times New Roman"/>
                      <w:color w:val="auto"/>
                      <w:szCs w:val="21"/>
                      <w:highlight w:val="none"/>
                    </w:rPr>
                  </w:pP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含有有机卤素成分VOCs的废气，宜采用非焚烧技术处理。</w:t>
                  </w:r>
                </w:p>
              </w:tc>
              <w:tc>
                <w:tcPr>
                  <w:tcW w:w="2332"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w:t>恶臭气体污染源可采用生物技术、等离子体技术、吸附技术、吸收技术、紫外光高级氧化技术或组合技术等进行净化。净化后的恶臭气体除满足达标排放的要求外，还应采取高空排放等措施，避免产生扰民问题。</w:t>
                  </w:r>
                </w:p>
              </w:tc>
              <w:tc>
                <w:tcPr>
                  <w:tcW w:w="2332"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本项目不涉及。</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13</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严格控制VOCs处理过程中产生的二次污染，对于催化燃烧和热力焚烧过程中产生的含硫、氮、氯等无机废气，以及吸附、吸收、冷凝、生物等治理过程中所产生的含有机物废水，应处理后达标排放。</w:t>
                  </w:r>
                </w:p>
              </w:tc>
              <w:tc>
                <w:tcPr>
                  <w:tcW w:w="2332"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耐高温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。在采取相应的对策措施后，项目废气污染物均能达标排放。废气治理过程不涉及含有机物废水。</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14</w:t>
                  </w:r>
                </w:p>
              </w:tc>
              <w:tc>
                <w:tcPr>
                  <w:tcW w:w="489" w:type="dxa"/>
                  <w:vMerge w:val="continue"/>
                  <w:vAlign w:val="center"/>
                </w:tcPr>
                <w:p>
                  <w:pPr>
                    <w:jc w:val="center"/>
                    <w:rPr>
                      <w:rFonts w:hint="default" w:ascii="Times New Roman" w:hAnsi="Times New Roman" w:eastAsia="宋体" w:cs="Times New Roman"/>
                      <w:color w:val="auto"/>
                      <w:szCs w:val="21"/>
                      <w:highlight w:val="none"/>
                    </w:rPr>
                  </w:pPr>
                </w:p>
              </w:tc>
              <w:tc>
                <w:tcPr>
                  <w:tcW w:w="3629"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对于不能再生的过滤材料、吸附剂及催化剂等净化材料，应按照国家固体废物管理的相关规定处理处置。</w:t>
                  </w:r>
                </w:p>
              </w:tc>
              <w:tc>
                <w:tcPr>
                  <w:tcW w:w="2332" w:type="dxa"/>
                  <w:vAlign w:val="center"/>
                </w:tcPr>
                <w:p>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b w:val="0"/>
                      <w:bCs w:val="0"/>
                      <w:color w:val="auto"/>
                      <w:sz w:val="21"/>
                      <w:szCs w:val="21"/>
                      <w:highlight w:val="none"/>
                      <w:lang w:val="en-US" w:eastAsia="zh-CN"/>
                    </w:rPr>
                    <w:t>项目</w:t>
                  </w:r>
                  <w:r>
                    <w:rPr>
                      <w:rFonts w:hint="default" w:ascii="Times New Roman" w:hAnsi="Times New Roman" w:eastAsia="宋体" w:cs="Times New Roman"/>
                      <w:b w:val="0"/>
                      <w:bCs w:val="0"/>
                      <w:color w:val="auto"/>
                      <w:kern w:val="2"/>
                      <w:sz w:val="21"/>
                      <w:szCs w:val="21"/>
                      <w:highlight w:val="none"/>
                      <w:lang w:val="en-US" w:eastAsia="zh-CN" w:bidi="ar-SA"/>
                    </w:rPr>
                    <w:t>废包装材料外售给废品收购站；预发泡过程不合格颗粒、未成型产品、边角料、不合格产品定期外售给废品收购站；锅炉炉渣</w:t>
                  </w: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除尘器除尘灰</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rPr>
                    <w:t>絮凝沉淀池沉渣</w:t>
                  </w:r>
                  <w:r>
                    <w:rPr>
                      <w:rFonts w:hint="default" w:ascii="Times New Roman" w:hAnsi="Times New Roman" w:eastAsia="宋体" w:cs="Times New Roman"/>
                      <w:b w:val="0"/>
                      <w:bCs w:val="0"/>
                      <w:color w:val="auto"/>
                      <w:kern w:val="2"/>
                      <w:sz w:val="21"/>
                      <w:szCs w:val="21"/>
                      <w:highlight w:val="none"/>
                      <w:lang w:val="en-US" w:eastAsia="zh-CN" w:bidi="ar-SA"/>
                    </w:rPr>
                    <w:t>定期清理袋装后暂存于锅炉房内，</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b w:val="0"/>
                      <w:bCs w:val="0"/>
                      <w:color w:val="auto"/>
                      <w:kern w:val="2"/>
                      <w:sz w:val="21"/>
                      <w:szCs w:val="21"/>
                      <w:highlight w:val="none"/>
                      <w:lang w:val="en-US"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冷却池沉渣、浮渣</w:t>
                  </w:r>
                  <w:r>
                    <w:rPr>
                      <w:rFonts w:hint="default" w:ascii="Times New Roman" w:hAnsi="Times New Roman" w:eastAsia="宋体" w:cs="Times New Roman"/>
                      <w:b w:val="0"/>
                      <w:bCs w:val="0"/>
                      <w:color w:val="auto"/>
                      <w:kern w:val="2"/>
                      <w:sz w:val="21"/>
                      <w:szCs w:val="21"/>
                      <w:highlight w:val="none"/>
                      <w:lang w:val="en-US" w:eastAsia="zh-CN" w:bidi="ar-SA"/>
                    </w:rPr>
                    <w:t>定期清理袋装后同生活垃圾一同处置</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生活垃圾统一收集后由当地环卫部门定期清运、处置；食堂餐厨垃圾通过加盖塑料桶收集后由有资质的单位定期清运、处置；化粪池及一体化污水处理站污泥委托环卫部门定期清掏清运处置；废活性炭、废矿物油、废弃的含油抹布、劳保用品委托资质单位清运处置</w:t>
                  </w:r>
                  <w:r>
                    <w:rPr>
                      <w:rFonts w:hint="eastAsia" w:eastAsia="宋体"/>
                      <w:bCs/>
                      <w:color w:val="auto"/>
                      <w:sz w:val="21"/>
                      <w:szCs w:val="21"/>
                      <w:lang w:eastAsia="zh-CN"/>
                    </w:rPr>
                    <w:t>。</w:t>
                  </w:r>
                </w:p>
              </w:tc>
              <w:tc>
                <w:tcPr>
                  <w:tcW w:w="1021"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highlight w:val="none"/>
                <w:lang w:val="zh-CN"/>
              </w:rPr>
            </w:pPr>
            <w:r>
              <w:rPr>
                <w:rFonts w:hint="default" w:ascii="Times New Roman" w:hAnsi="Times New Roman" w:eastAsia="宋体" w:cs="Times New Roman"/>
                <w:color w:val="auto"/>
                <w:szCs w:val="21"/>
                <w:highlight w:val="none"/>
              </w:rPr>
              <w:t>综上，</w:t>
            </w:r>
            <w:r>
              <w:rPr>
                <w:rFonts w:hint="default" w:ascii="Times New Roman" w:hAnsi="Times New Roman" w:eastAsia="宋体" w:cs="Times New Roman"/>
                <w:color w:val="auto"/>
                <w:kern w:val="0"/>
                <w:sz w:val="24"/>
                <w:highlight w:val="none"/>
              </w:rPr>
              <w:t>项目建设与</w:t>
            </w:r>
            <w:r>
              <w:rPr>
                <w:rFonts w:hint="default" w:ascii="Times New Roman" w:hAnsi="Times New Roman" w:eastAsia="宋体" w:cs="Times New Roman"/>
                <w:color w:val="auto"/>
                <w:sz w:val="24"/>
                <w:highlight w:val="none"/>
              </w:rPr>
              <w:t>《挥发性有机物污染防治技术政策》相关要求相符。</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8" w:firstLineChars="200"/>
              <w:textAlignment w:val="auto"/>
              <w:rPr>
                <w:rFonts w:hint="default" w:ascii="Times New Roman" w:hAnsi="Times New Roman" w:eastAsia="宋体" w:cs="Times New Roman"/>
                <w:b/>
                <w:color w:val="auto"/>
                <w:spacing w:val="4"/>
                <w:kern w:val="24"/>
                <w:szCs w:val="21"/>
                <w:highlight w:val="none"/>
                <w:lang w:bidi="ar"/>
              </w:rPr>
            </w:pPr>
            <w:r>
              <w:rPr>
                <w:rFonts w:hint="eastAsia" w:cs="Times New Roman"/>
                <w:b/>
                <w:color w:val="auto"/>
                <w:spacing w:val="4"/>
                <w:kern w:val="24"/>
                <w:sz w:val="24"/>
                <w:highlight w:val="none"/>
                <w:lang w:val="en-US" w:eastAsia="zh-CN" w:bidi="ar"/>
              </w:rPr>
              <w:t>9</w:t>
            </w:r>
            <w:r>
              <w:rPr>
                <w:rFonts w:hint="default" w:ascii="Times New Roman" w:hAnsi="Times New Roman" w:eastAsia="宋体" w:cs="Times New Roman"/>
                <w:b/>
                <w:color w:val="auto"/>
                <w:spacing w:val="4"/>
                <w:kern w:val="24"/>
                <w:sz w:val="24"/>
                <w:highlight w:val="none"/>
                <w:lang w:val="en-US" w:eastAsia="zh-CN" w:bidi="ar"/>
              </w:rPr>
              <w:t>、</w:t>
            </w:r>
            <w:r>
              <w:rPr>
                <w:rFonts w:hint="default" w:ascii="Times New Roman" w:hAnsi="Times New Roman" w:eastAsia="宋体" w:cs="Times New Roman"/>
                <w:b/>
                <w:color w:val="auto"/>
                <w:spacing w:val="4"/>
                <w:kern w:val="24"/>
                <w:sz w:val="24"/>
                <w:highlight w:val="none"/>
                <w:lang w:bidi="ar"/>
              </w:rPr>
              <w:t>与《昆明市大气污染防治条例》相符性分析</w:t>
            </w:r>
          </w:p>
          <w:p>
            <w:pPr>
              <w:jc w:val="center"/>
              <w:rPr>
                <w:rFonts w:hint="default" w:ascii="Times New Roman" w:hAnsi="Times New Roman" w:eastAsia="宋体" w:cs="Times New Roman"/>
                <w:b/>
                <w:color w:val="auto"/>
                <w:spacing w:val="4"/>
                <w:kern w:val="24"/>
                <w:szCs w:val="21"/>
                <w:highlight w:val="none"/>
                <w:lang w:bidi="ar"/>
              </w:rPr>
            </w:pPr>
            <w:r>
              <w:rPr>
                <w:rFonts w:hint="default" w:ascii="Times New Roman" w:hAnsi="Times New Roman" w:eastAsia="宋体" w:cs="Times New Roman"/>
                <w:b/>
                <w:color w:val="auto"/>
                <w:spacing w:val="4"/>
                <w:kern w:val="24"/>
                <w:szCs w:val="21"/>
                <w:highlight w:val="none"/>
                <w:lang w:bidi="ar"/>
              </w:rPr>
              <w:t>表1-</w:t>
            </w:r>
            <w:r>
              <w:rPr>
                <w:rFonts w:hint="eastAsia" w:cs="Times New Roman"/>
                <w:b/>
                <w:color w:val="auto"/>
                <w:spacing w:val="4"/>
                <w:kern w:val="24"/>
                <w:szCs w:val="21"/>
                <w:highlight w:val="none"/>
                <w:lang w:val="en-US" w:eastAsia="zh-CN" w:bidi="ar"/>
              </w:rPr>
              <w:t>11</w:t>
            </w:r>
            <w:r>
              <w:rPr>
                <w:rFonts w:hint="default" w:ascii="Times New Roman" w:hAnsi="Times New Roman" w:eastAsia="宋体" w:cs="Times New Roman"/>
                <w:b/>
                <w:color w:val="auto"/>
                <w:spacing w:val="4"/>
                <w:kern w:val="24"/>
                <w:szCs w:val="21"/>
                <w:highlight w:val="none"/>
                <w:lang w:val="en-US" w:eastAsia="zh-CN" w:bidi="ar"/>
              </w:rPr>
              <w:t xml:space="preserve"> </w:t>
            </w:r>
            <w:r>
              <w:rPr>
                <w:rFonts w:hint="default" w:ascii="Times New Roman" w:hAnsi="Times New Roman" w:eastAsia="宋体" w:cs="Times New Roman"/>
                <w:b/>
                <w:color w:val="auto"/>
                <w:spacing w:val="4"/>
                <w:kern w:val="24"/>
                <w:szCs w:val="21"/>
                <w:highlight w:val="none"/>
                <w:lang w:bidi="ar"/>
              </w:rPr>
              <w:t xml:space="preserve"> 与《昆明市大气污染防治条例》符合性分析</w:t>
            </w:r>
          </w:p>
          <w:tbl>
            <w:tblPr>
              <w:tblStyle w:val="27"/>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7"/>
              <w:gridCol w:w="209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767"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相关要求</w:t>
                  </w:r>
                </w:p>
              </w:tc>
              <w:tc>
                <w:tcPr>
                  <w:tcW w:w="2090"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项目情况</w:t>
                  </w:r>
                </w:p>
              </w:tc>
              <w:tc>
                <w:tcPr>
                  <w:tcW w:w="1106" w:type="dxa"/>
                  <w:vAlign w:val="center"/>
                </w:tcPr>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kern w:val="0"/>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2090" w:type="dxa"/>
                  <w:vMerge w:val="restart"/>
                  <w:vAlign w:val="center"/>
                </w:tcPr>
                <w:p>
                  <w:pPr>
                    <w:widowControl/>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本项目锅炉废气经</w:t>
                  </w:r>
                  <w:r>
                    <w:rPr>
                      <w:rFonts w:hint="eastAsia" w:cs="Times New Roman"/>
                      <w:color w:val="auto"/>
                      <w:sz w:val="21"/>
                      <w:szCs w:val="21"/>
                      <w:highlight w:val="none"/>
                      <w:lang w:val="en-US" w:eastAsia="zh-CN"/>
                    </w:rPr>
                    <w:t>1套</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耐高温</w:t>
                  </w:r>
                  <w:r>
                    <w:rPr>
                      <w:rFonts w:hint="eastAsia" w:ascii="Times New Roman" w:hAnsi="Times New Roman" w:eastAsia="宋体" w:cs="Times New Roman"/>
                      <w:color w:val="auto"/>
                      <w:sz w:val="21"/>
                      <w:szCs w:val="21"/>
                      <w:lang w:val="en-US" w:eastAsia="zh-CN"/>
                    </w:rPr>
                    <w:t>布袋除尘器</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rPr>
                    <w:t>m高排气筒（</w:t>
                  </w:r>
                  <w:r>
                    <w:rPr>
                      <w:rFonts w:hint="default" w:ascii="Times New Roman" w:hAnsi="Times New Roman" w:eastAsia="宋体" w:cs="Times New Roman"/>
                      <w:color w:val="auto"/>
                      <w:sz w:val="21"/>
                      <w:szCs w:val="21"/>
                      <w:highlight w:val="none"/>
                      <w:lang w:val="en-US" w:eastAsia="zh-CN"/>
                    </w:rPr>
                    <w:t>DA001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w:t>
                  </w:r>
                  <w:r>
                    <w:rPr>
                      <w:rFonts w:hint="default" w:ascii="Times New Roman" w:hAnsi="Times New Roman" w:eastAsia="宋体" w:cs="Times New Roman"/>
                      <w:color w:val="auto"/>
                      <w:sz w:val="21"/>
                      <w:szCs w:val="21"/>
                      <w:highlight w:val="none"/>
                    </w:rPr>
                    <w:t>。本项目废气均设置合理的处置措施处理后达标排放，不存在偷排</w:t>
                  </w:r>
                  <w:r>
                    <w:rPr>
                      <w:rFonts w:hint="default" w:ascii="Times New Roman" w:hAnsi="Times New Roman" w:eastAsia="宋体" w:cs="Times New Roman"/>
                      <w:snapToGrid w:val="0"/>
                      <w:color w:val="auto"/>
                      <w:kern w:val="0"/>
                      <w:sz w:val="21"/>
                      <w:szCs w:val="21"/>
                      <w:highlight w:val="none"/>
                    </w:rPr>
                    <w:t>。</w:t>
                  </w:r>
                </w:p>
              </w:tc>
              <w:tc>
                <w:tcPr>
                  <w:tcW w:w="110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vAlign w:val="center"/>
                </w:tcPr>
                <w:p>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2090" w:type="dxa"/>
                  <w:vMerge w:val="continue"/>
                  <w:vAlign w:val="center"/>
                </w:tcPr>
                <w:p>
                  <w:pPr>
                    <w:widowControl/>
                    <w:jc w:val="center"/>
                    <w:rPr>
                      <w:rFonts w:hint="default" w:ascii="Times New Roman" w:hAnsi="Times New Roman" w:eastAsia="宋体" w:cs="Times New Roman"/>
                      <w:color w:val="auto"/>
                      <w:sz w:val="21"/>
                      <w:szCs w:val="21"/>
                      <w:highlight w:val="none"/>
                    </w:rPr>
                  </w:pPr>
                </w:p>
              </w:tc>
              <w:tc>
                <w:tcPr>
                  <w:tcW w:w="1106" w:type="dxa"/>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7" w:type="dxa"/>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2090" w:type="dxa"/>
                  <w:vAlign w:val="center"/>
                </w:tcPr>
                <w:p>
                  <w:pPr>
                    <w:widowControl/>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lang w:val="en-US" w:eastAsia="zh-CN"/>
                    </w:rPr>
                    <w:t>生产的产品</w:t>
                  </w:r>
                  <w:r>
                    <w:rPr>
                      <w:rFonts w:hint="default" w:ascii="Times New Roman" w:hAnsi="Times New Roman" w:eastAsia="宋体" w:cs="Times New Roman"/>
                      <w:color w:val="auto"/>
                      <w:highlight w:val="none"/>
                    </w:rPr>
                    <w:t>含挥发性有机物，挥发性有机物含量均符合质量标准要求。</w:t>
                  </w:r>
                </w:p>
              </w:tc>
              <w:tc>
                <w:tcPr>
                  <w:tcW w:w="1106" w:type="dxa"/>
                  <w:vAlign w:val="center"/>
                </w:tcPr>
                <w:p>
                  <w:pPr>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符合</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Cs/>
                <w:color w:val="auto"/>
                <w:spacing w:val="4"/>
                <w:kern w:val="24"/>
                <w:sz w:val="24"/>
                <w:szCs w:val="24"/>
                <w:highlight w:val="none"/>
                <w:lang w:bidi="ar"/>
              </w:rPr>
              <w:t>综上，</w:t>
            </w:r>
            <w:r>
              <w:rPr>
                <w:rFonts w:hint="default" w:ascii="Times New Roman" w:hAnsi="Times New Roman" w:eastAsia="宋体" w:cs="Times New Roman"/>
                <w:color w:val="auto"/>
                <w:kern w:val="0"/>
                <w:sz w:val="24"/>
                <w:highlight w:val="none"/>
              </w:rPr>
              <w:t>项目符合</w:t>
            </w:r>
            <w:r>
              <w:rPr>
                <w:rFonts w:hint="default" w:ascii="Times New Roman" w:hAnsi="Times New Roman" w:eastAsia="宋体" w:cs="Times New Roman"/>
                <w:color w:val="auto"/>
                <w:sz w:val="24"/>
                <w:highlight w:val="none"/>
              </w:rPr>
              <w:t>《昆明市大气污染防治条例》要求。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0</w:t>
            </w:r>
            <w:r>
              <w:rPr>
                <w:rFonts w:hint="default" w:ascii="Times New Roman" w:hAnsi="Times New Roman" w:eastAsia="宋体" w:cs="Times New Roman"/>
                <w:b/>
                <w:bCs w:val="0"/>
                <w:color w:val="auto"/>
                <w:sz w:val="24"/>
                <w:szCs w:val="24"/>
                <w:highlight w:val="none"/>
                <w:lang w:val="en-US" w:eastAsia="zh-CN"/>
              </w:rPr>
              <w:t>、选址合理性分析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本项目为泡沫塑料制造项目，位于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b w:val="0"/>
                <w:bCs w:val="0"/>
                <w:color w:val="auto"/>
                <w:kern w:val="0"/>
                <w:sz w:val="24"/>
                <w:szCs w:val="24"/>
                <w:highlight w:val="none"/>
                <w:lang w:val="en-US" w:eastAsia="zh-CN" w:bidi="ar"/>
              </w:rPr>
              <w:t>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color w:val="auto"/>
                <w:kern w:val="0"/>
                <w:sz w:val="24"/>
                <w:lang w:bidi="ar"/>
              </w:rPr>
              <w:t>用地性质属工业用地，符合园区规划。由于园区基础设施的建设，</w:t>
            </w:r>
            <w:r>
              <w:rPr>
                <w:rFonts w:hint="default" w:ascii="Times New Roman" w:hAnsi="Times New Roman" w:eastAsia="宋体" w:cs="Times New Roman"/>
                <w:b w:val="0"/>
                <w:bCs w:val="0"/>
                <w:color w:val="auto"/>
                <w:kern w:val="0"/>
                <w:sz w:val="24"/>
                <w:szCs w:val="24"/>
                <w:highlight w:val="none"/>
                <w:lang w:val="en-US" w:eastAsia="zh-CN" w:bidi="ar"/>
              </w:rPr>
              <w:t>所选厂地在供电、供水、交通等基础条件十分便利。在采取相应环保措施后，项目产生的废气均可达标排放，对周围环境影响不大；废水可做到不外排，对周围地表水环境影响不大；噪声厂界可达标，不会造成扰民现象；固体废物均能得到合理处置。目前项目周边环境质量良好，外环境较简单，无重大环境制约因素存在。建设用地周围无需要特殊保护的文物、名胜、古迹和文化、自然遗产，不属于自然保护区和风景名胜区的保护范围</w:t>
            </w:r>
            <w:r>
              <w:rPr>
                <w:rFonts w:hint="eastAsia"/>
                <w:color w:val="auto"/>
                <w:sz w:val="24"/>
                <w:lang w:val="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综上，项目建设场地条件、交通运输、环境保护和水、电、通信等条件好，无重大的环境制约因素，项目选址合理。</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、项目平面布置合理性分析</w:t>
            </w:r>
          </w:p>
          <w:p>
            <w:pPr>
              <w:adjustRightInd w:val="0"/>
              <w:snapToGrid w:val="0"/>
              <w:spacing w:line="360" w:lineRule="auto"/>
              <w:ind w:firstLine="480" w:firstLineChars="200"/>
              <w:rPr>
                <w:rFonts w:hint="eastAsia"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本项目位于</w:t>
            </w:r>
            <w:r>
              <w:rPr>
                <w:rFonts w:hint="default" w:ascii="Times New Roman" w:hAnsi="Times New Roman" w:eastAsia="宋体" w:cs="Times New Roman"/>
                <w:color w:val="auto"/>
                <w:sz w:val="24"/>
                <w:szCs w:val="24"/>
                <w:highlight w:val="none"/>
                <w:u w:val="none"/>
                <w:lang w:val="en-US" w:eastAsia="zh-CN"/>
              </w:rPr>
              <w:t>云南</w:t>
            </w:r>
            <w:r>
              <w:rPr>
                <w:rFonts w:hint="default" w:ascii="Times New Roman" w:hAnsi="Times New Roman" w:eastAsia="宋体" w:cs="Times New Roman"/>
                <w:b w:val="0"/>
                <w:bCs w:val="0"/>
                <w:color w:val="auto"/>
                <w:kern w:val="0"/>
                <w:sz w:val="24"/>
                <w:szCs w:val="24"/>
                <w:highlight w:val="none"/>
                <w:lang w:val="en-US" w:eastAsia="zh-CN" w:bidi="ar"/>
              </w:rPr>
              <w:t>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b w:val="0"/>
                <w:bCs w:val="0"/>
                <w:color w:val="auto"/>
                <w:kern w:val="0"/>
                <w:sz w:val="24"/>
                <w:szCs w:val="24"/>
                <w:highlight w:val="none"/>
                <w:lang w:val="en-US" w:eastAsia="zh-CN" w:bidi="ar"/>
              </w:rPr>
              <w:t>，厂区总图方案功能分区明确，总体划分为两个主要区域，即办公生活区及生产加工区。项目区场地呈</w:t>
            </w:r>
            <w:r>
              <w:rPr>
                <w:rFonts w:hint="eastAsia" w:cs="Times New Roman"/>
                <w:b w:val="0"/>
                <w:bCs w:val="0"/>
                <w:color w:val="auto"/>
                <w:kern w:val="0"/>
                <w:sz w:val="24"/>
                <w:szCs w:val="24"/>
                <w:highlight w:val="none"/>
                <w:lang w:val="en-US" w:eastAsia="zh-CN" w:bidi="ar"/>
              </w:rPr>
              <w:t>三角形</w:t>
            </w:r>
            <w:r>
              <w:rPr>
                <w:rFonts w:hint="default" w:ascii="Times New Roman" w:hAnsi="Times New Roman" w:eastAsia="宋体" w:cs="Times New Roman"/>
                <w:b w:val="0"/>
                <w:bCs w:val="0"/>
                <w:color w:val="auto"/>
                <w:kern w:val="0"/>
                <w:sz w:val="24"/>
                <w:szCs w:val="24"/>
                <w:highlight w:val="none"/>
                <w:lang w:val="en-US" w:eastAsia="zh-CN" w:bidi="ar"/>
              </w:rPr>
              <w:t>，根据项目区地形特点及生产生活的需求，项目区</w:t>
            </w:r>
            <w:r>
              <w:rPr>
                <w:rFonts w:hint="eastAsia" w:cs="Times New Roman"/>
                <w:b w:val="0"/>
                <w:bCs w:val="0"/>
                <w:color w:val="auto"/>
                <w:kern w:val="0"/>
                <w:sz w:val="24"/>
                <w:szCs w:val="24"/>
                <w:highlight w:val="none"/>
                <w:lang w:val="en-US" w:eastAsia="zh-CN" w:bidi="ar"/>
              </w:rPr>
              <w:t>西北侧为生产车间，</w:t>
            </w:r>
            <w:r>
              <w:rPr>
                <w:rFonts w:hint="default" w:ascii="Times New Roman" w:hAnsi="Times New Roman" w:eastAsia="宋体" w:cs="Times New Roman"/>
                <w:b w:val="0"/>
                <w:bCs w:val="0"/>
                <w:color w:val="auto"/>
                <w:kern w:val="0"/>
                <w:sz w:val="24"/>
                <w:szCs w:val="24"/>
                <w:highlight w:val="none"/>
                <w:lang w:val="en-US" w:eastAsia="zh-CN" w:bidi="ar"/>
              </w:rPr>
              <w:t>生产车间自</w:t>
            </w:r>
            <w:r>
              <w:rPr>
                <w:rFonts w:hint="eastAsia" w:cs="Times New Roman"/>
                <w:b w:val="0"/>
                <w:bCs w:val="0"/>
                <w:color w:val="auto"/>
                <w:kern w:val="0"/>
                <w:sz w:val="24"/>
                <w:szCs w:val="24"/>
                <w:highlight w:val="none"/>
                <w:lang w:val="en-US" w:eastAsia="zh-CN" w:bidi="ar"/>
              </w:rPr>
              <w:t>东</w:t>
            </w:r>
            <w:r>
              <w:rPr>
                <w:rFonts w:hint="default" w:ascii="Times New Roman" w:hAnsi="Times New Roman" w:eastAsia="宋体" w:cs="Times New Roman"/>
                <w:b w:val="0"/>
                <w:bCs w:val="0"/>
                <w:color w:val="auto"/>
                <w:kern w:val="0"/>
                <w:sz w:val="24"/>
                <w:szCs w:val="24"/>
                <w:highlight w:val="none"/>
                <w:lang w:val="en-US" w:eastAsia="zh-CN" w:bidi="ar"/>
              </w:rPr>
              <w:t>向</w:t>
            </w:r>
            <w:r>
              <w:rPr>
                <w:rFonts w:hint="eastAsia" w:cs="Times New Roman"/>
                <w:b w:val="0"/>
                <w:bCs w:val="0"/>
                <w:color w:val="auto"/>
                <w:kern w:val="0"/>
                <w:sz w:val="24"/>
                <w:szCs w:val="24"/>
                <w:highlight w:val="none"/>
                <w:lang w:val="en-US" w:eastAsia="zh-CN" w:bidi="ar"/>
              </w:rPr>
              <w:t>西</w:t>
            </w:r>
            <w:r>
              <w:rPr>
                <w:rFonts w:hint="default" w:ascii="Times New Roman" w:hAnsi="Times New Roman" w:eastAsia="宋体" w:cs="Times New Roman"/>
                <w:b w:val="0"/>
                <w:bCs w:val="0"/>
                <w:color w:val="auto"/>
                <w:kern w:val="0"/>
                <w:sz w:val="24"/>
                <w:szCs w:val="24"/>
                <w:highlight w:val="none"/>
                <w:lang w:val="en-US" w:eastAsia="zh-CN" w:bidi="ar"/>
              </w:rPr>
              <w:t>依次为</w:t>
            </w:r>
            <w:r>
              <w:rPr>
                <w:rFonts w:hint="eastAsia" w:cs="Times New Roman"/>
                <w:b w:val="0"/>
                <w:bCs w:val="0"/>
                <w:color w:val="auto"/>
                <w:kern w:val="0"/>
                <w:sz w:val="24"/>
                <w:szCs w:val="24"/>
                <w:highlight w:val="none"/>
                <w:lang w:val="en-US" w:eastAsia="zh-CN" w:bidi="ar"/>
              </w:rPr>
              <w:t>上料区、预发泡区</w:t>
            </w:r>
            <w:r>
              <w:rPr>
                <w:rFonts w:hint="default" w:ascii="Times New Roman" w:hAnsi="Times New Roman" w:eastAsia="宋体" w:cs="Times New Roman"/>
                <w:b w:val="0"/>
                <w:bCs w:val="0"/>
                <w:color w:val="auto"/>
                <w:kern w:val="0"/>
                <w:sz w:val="24"/>
                <w:szCs w:val="24"/>
                <w:highlight w:val="none"/>
                <w:lang w:val="en-US" w:eastAsia="zh-CN" w:bidi="ar"/>
              </w:rPr>
              <w:t>、</w:t>
            </w:r>
            <w:r>
              <w:rPr>
                <w:rFonts w:hint="eastAsia" w:cs="Times New Roman"/>
                <w:b w:val="0"/>
                <w:bCs w:val="0"/>
                <w:color w:val="auto"/>
                <w:kern w:val="0"/>
                <w:sz w:val="24"/>
                <w:szCs w:val="24"/>
                <w:highlight w:val="none"/>
                <w:lang w:val="en-US" w:eastAsia="zh-CN" w:bidi="ar"/>
              </w:rPr>
              <w:t>熟化区</w:t>
            </w:r>
            <w:r>
              <w:rPr>
                <w:rFonts w:hint="default" w:ascii="Times New Roman" w:hAnsi="Times New Roman" w:eastAsia="宋体" w:cs="Times New Roman"/>
                <w:b w:val="0"/>
                <w:bCs w:val="0"/>
                <w:color w:val="auto"/>
                <w:kern w:val="0"/>
                <w:sz w:val="24"/>
                <w:szCs w:val="24"/>
                <w:highlight w:val="none"/>
                <w:lang w:val="en-US" w:eastAsia="zh-CN" w:bidi="ar"/>
              </w:rPr>
              <w:t>、成型</w:t>
            </w:r>
            <w:r>
              <w:rPr>
                <w:rFonts w:hint="eastAsia" w:cs="Times New Roman"/>
                <w:b w:val="0"/>
                <w:bCs w:val="0"/>
                <w:color w:val="auto"/>
                <w:kern w:val="0"/>
                <w:sz w:val="24"/>
                <w:szCs w:val="24"/>
                <w:highlight w:val="none"/>
                <w:lang w:val="en-US" w:eastAsia="zh-CN" w:bidi="ar"/>
              </w:rPr>
              <w:t>区、成品区，原料区设置于生产车间2楼，锅炉房</w:t>
            </w:r>
            <w:r>
              <w:rPr>
                <w:rFonts w:hint="default" w:ascii="Times New Roman" w:hAnsi="Times New Roman" w:eastAsia="宋体" w:cs="Times New Roman"/>
                <w:b w:val="0"/>
                <w:bCs w:val="0"/>
                <w:color w:val="auto"/>
                <w:kern w:val="0"/>
                <w:sz w:val="24"/>
                <w:szCs w:val="24"/>
                <w:highlight w:val="none"/>
                <w:lang w:val="en-US" w:eastAsia="zh-CN" w:bidi="ar"/>
              </w:rPr>
              <w:t>位于项目区</w:t>
            </w:r>
            <w:r>
              <w:rPr>
                <w:rFonts w:hint="eastAsia" w:cs="Times New Roman"/>
                <w:b w:val="0"/>
                <w:bCs w:val="0"/>
                <w:color w:val="auto"/>
                <w:kern w:val="0"/>
                <w:sz w:val="24"/>
                <w:szCs w:val="24"/>
                <w:highlight w:val="none"/>
                <w:lang w:val="en-US" w:eastAsia="zh-CN" w:bidi="ar"/>
              </w:rPr>
              <w:t>北</w:t>
            </w:r>
            <w:r>
              <w:rPr>
                <w:rFonts w:hint="default" w:ascii="Times New Roman" w:hAnsi="Times New Roman" w:eastAsia="宋体" w:cs="Times New Roman"/>
                <w:b w:val="0"/>
                <w:bCs w:val="0"/>
                <w:color w:val="auto"/>
                <w:kern w:val="0"/>
                <w:sz w:val="24"/>
                <w:szCs w:val="24"/>
                <w:highlight w:val="none"/>
                <w:lang w:val="en-US" w:eastAsia="zh-CN" w:bidi="ar"/>
              </w:rPr>
              <w:t>侧，</w:t>
            </w:r>
            <w:r>
              <w:rPr>
                <w:rFonts w:hint="eastAsia" w:cs="Times New Roman"/>
                <w:b w:val="0"/>
                <w:bCs w:val="0"/>
                <w:color w:val="auto"/>
                <w:kern w:val="0"/>
                <w:sz w:val="24"/>
                <w:szCs w:val="24"/>
                <w:highlight w:val="none"/>
                <w:lang w:val="en-US" w:eastAsia="zh-CN" w:bidi="ar"/>
              </w:rPr>
              <w:t>循环水池位于锅炉房西侧及生产车间东侧，检测楼</w:t>
            </w:r>
            <w:r>
              <w:rPr>
                <w:rFonts w:hint="default" w:ascii="Times New Roman" w:hAnsi="Times New Roman" w:eastAsia="宋体" w:cs="Times New Roman"/>
                <w:b w:val="0"/>
                <w:bCs w:val="0"/>
                <w:color w:val="auto"/>
                <w:kern w:val="0"/>
                <w:sz w:val="24"/>
                <w:szCs w:val="24"/>
                <w:highlight w:val="none"/>
                <w:lang w:val="en-US" w:eastAsia="zh-CN" w:bidi="ar"/>
              </w:rPr>
              <w:t>位于项目区</w:t>
            </w:r>
            <w:r>
              <w:rPr>
                <w:rFonts w:hint="eastAsia" w:cs="Times New Roman"/>
                <w:b w:val="0"/>
                <w:bCs w:val="0"/>
                <w:color w:val="auto"/>
                <w:kern w:val="0"/>
                <w:sz w:val="24"/>
                <w:szCs w:val="24"/>
                <w:highlight w:val="none"/>
                <w:lang w:val="en-US" w:eastAsia="zh-CN" w:bidi="ar"/>
              </w:rPr>
              <w:t>西南</w:t>
            </w:r>
            <w:r>
              <w:rPr>
                <w:rFonts w:hint="default" w:ascii="Times New Roman" w:hAnsi="Times New Roman" w:eastAsia="宋体" w:cs="Times New Roman"/>
                <w:b w:val="0"/>
                <w:bCs w:val="0"/>
                <w:color w:val="auto"/>
                <w:kern w:val="0"/>
                <w:sz w:val="24"/>
                <w:szCs w:val="24"/>
                <w:highlight w:val="none"/>
                <w:lang w:val="en-US" w:eastAsia="zh-CN" w:bidi="ar"/>
              </w:rPr>
              <w:t>侧</w:t>
            </w:r>
            <w:r>
              <w:rPr>
                <w:rFonts w:hint="eastAsia" w:cs="Times New Roman"/>
                <w:b w:val="0"/>
                <w:bCs w:val="0"/>
                <w:color w:val="auto"/>
                <w:kern w:val="0"/>
                <w:sz w:val="24"/>
                <w:szCs w:val="24"/>
                <w:highlight w:val="none"/>
                <w:lang w:val="en-US" w:eastAsia="zh-CN" w:bidi="ar"/>
              </w:rPr>
              <w:t>；4间成品仓库，位于项目区南侧及东南侧，自西向东分为1#、2#、3#、4#仓库，设备房位于东北侧，办公楼位于项目区东南侧。耐高温布袋除尘器、</w:t>
            </w:r>
            <w:r>
              <w:rPr>
                <w:rFonts w:hint="default" w:ascii="Times New Roman" w:hAnsi="Times New Roman" w:eastAsia="宋体" w:cs="Times New Roman"/>
                <w:b w:val="0"/>
                <w:bCs w:val="0"/>
                <w:color w:val="auto"/>
                <w:kern w:val="0"/>
                <w:sz w:val="24"/>
                <w:szCs w:val="24"/>
                <w:highlight w:val="none"/>
                <w:lang w:val="en-US" w:eastAsia="zh-CN" w:bidi="ar"/>
              </w:rPr>
              <w:t>絮凝沉淀</w:t>
            </w:r>
            <w:r>
              <w:rPr>
                <w:rFonts w:hint="eastAsia" w:ascii="Times New Roman" w:hAnsi="Times New Roman" w:eastAsia="宋体" w:cs="Times New Roman"/>
                <w:b w:val="0"/>
                <w:bCs w:val="0"/>
                <w:color w:val="auto"/>
                <w:kern w:val="0"/>
                <w:sz w:val="24"/>
                <w:szCs w:val="24"/>
                <w:highlight w:val="none"/>
                <w:lang w:val="en-US" w:eastAsia="zh-CN" w:bidi="ar"/>
              </w:rPr>
              <w:t>池设</w:t>
            </w:r>
            <w:r>
              <w:rPr>
                <w:rFonts w:hint="eastAsia" w:cs="Times New Roman"/>
                <w:b w:val="0"/>
                <w:bCs w:val="0"/>
                <w:color w:val="auto"/>
                <w:kern w:val="0"/>
                <w:sz w:val="24"/>
                <w:szCs w:val="24"/>
                <w:highlight w:val="none"/>
                <w:lang w:val="en-US" w:eastAsia="zh-CN" w:bidi="ar"/>
              </w:rPr>
              <w:t>置于锅炉房北侧，三级活性炭吸附装置及循环冷却池设置于生产厂房东北侧及北侧</w:t>
            </w:r>
            <w:r>
              <w:rPr>
                <w:rFonts w:hint="eastAsia" w:ascii="Times New Roman" w:hAnsi="Times New Roman" w:eastAsia="宋体" w:cs="Times New Roman"/>
                <w:b w:val="0"/>
                <w:bCs w:val="0"/>
                <w:color w:val="auto"/>
                <w:kern w:val="0"/>
                <w:sz w:val="24"/>
                <w:szCs w:val="24"/>
                <w:highlight w:val="none"/>
                <w:lang w:val="en-US" w:eastAsia="zh-CN" w:bidi="ar"/>
              </w:rPr>
              <w:t>，</w:t>
            </w:r>
            <w:r>
              <w:rPr>
                <w:rFonts w:hint="default" w:ascii="Times New Roman" w:hAnsi="Times New Roman" w:eastAsia="宋体" w:cs="Times New Roman"/>
                <w:b w:val="0"/>
                <w:bCs w:val="0"/>
                <w:color w:val="auto"/>
                <w:kern w:val="0"/>
                <w:sz w:val="24"/>
                <w:szCs w:val="24"/>
                <w:highlight w:val="none"/>
                <w:lang w:val="en-US" w:eastAsia="zh-CN" w:bidi="ar"/>
              </w:rPr>
              <w:t>一体化污水处理站</w:t>
            </w:r>
            <w:r>
              <w:rPr>
                <w:rFonts w:hint="eastAsia" w:ascii="Times New Roman" w:hAnsi="Times New Roman" w:eastAsia="宋体" w:cs="Times New Roman"/>
                <w:b w:val="0"/>
                <w:bCs w:val="0"/>
                <w:color w:val="auto"/>
                <w:kern w:val="0"/>
                <w:sz w:val="24"/>
                <w:szCs w:val="24"/>
                <w:highlight w:val="none"/>
                <w:lang w:val="en-US" w:eastAsia="zh-CN" w:bidi="ar"/>
              </w:rPr>
              <w:t>设置于办公楼西侧。</w:t>
            </w:r>
          </w:p>
          <w:p>
            <w:pPr>
              <w:adjustRightInd w:val="0"/>
              <w:snapToGrid w:val="0"/>
              <w:spacing w:line="360" w:lineRule="auto"/>
              <w:ind w:firstLine="480" w:firstLineChars="200"/>
              <w:rPr>
                <w:color w:val="auto"/>
                <w:sz w:val="24"/>
              </w:rPr>
            </w:pPr>
            <w:r>
              <w:rPr>
                <w:color w:val="auto"/>
                <w:sz w:val="24"/>
              </w:rPr>
              <w:t>综上分析，项目平面布局生产区、办公生活区、</w:t>
            </w:r>
            <w:r>
              <w:rPr>
                <w:rFonts w:hint="eastAsia"/>
                <w:color w:val="auto"/>
                <w:sz w:val="24"/>
              </w:rPr>
              <w:t>原料区</w:t>
            </w:r>
            <w:r>
              <w:rPr>
                <w:color w:val="auto"/>
                <w:sz w:val="24"/>
              </w:rPr>
              <w:t>分开布置，满足生产人流、物流分离、互不交叉干扰的原则，结构明朗，流程顺畅，布局紧凑，符合生产工艺流程等需求。总体上做到按功能分区，系统分明，布置整齐。</w:t>
            </w:r>
            <w:r>
              <w:rPr>
                <w:rFonts w:hint="eastAsia"/>
                <w:color w:val="auto"/>
                <w:sz w:val="24"/>
              </w:rPr>
              <w:t>环保设施就近布设，方便废水回收利用以及废气就近处理。</w:t>
            </w:r>
          </w:p>
          <w:p>
            <w:pPr>
              <w:adjustRightInd w:val="0"/>
              <w:snapToGrid w:val="0"/>
              <w:spacing w:line="360" w:lineRule="auto"/>
              <w:ind w:firstLine="480" w:firstLineChars="200"/>
              <w:rPr>
                <w:rFonts w:hint="default" w:ascii="Times New Roman" w:hAnsi="Times New Roman" w:eastAsia="宋体" w:cs="Times New Roman"/>
                <w:b w:val="0"/>
                <w:bCs w:val="0"/>
                <w:color w:val="auto"/>
                <w:kern w:val="0"/>
                <w:sz w:val="24"/>
                <w:szCs w:val="24"/>
                <w:highlight w:val="none"/>
                <w:lang w:val="en-US" w:eastAsia="zh-CN" w:bidi="ar"/>
              </w:rPr>
            </w:pPr>
            <w:r>
              <w:rPr>
                <w:rFonts w:hint="eastAsia"/>
                <w:color w:val="auto"/>
                <w:sz w:val="24"/>
              </w:rPr>
              <w:t>综合分析</w:t>
            </w:r>
            <w:r>
              <w:rPr>
                <w:color w:val="auto"/>
                <w:sz w:val="24"/>
              </w:rPr>
              <w:t>，项目功能分区明确，做到统一协调，建、构筑物的布置紧凑合理，满足生产系统的储存、操作等主要环节的要求，项目平面布置合理。</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、环境相容性分析</w:t>
            </w:r>
          </w:p>
          <w:p>
            <w:pPr>
              <w:pStyle w:val="78"/>
              <w:rPr>
                <w:color w:val="auto"/>
              </w:rPr>
            </w:pPr>
            <w:r>
              <w:rPr>
                <w:rFonts w:hint="default" w:ascii="Times New Roman" w:hAnsi="Times New Roman" w:eastAsia="宋体" w:cs="Times New Roman"/>
                <w:color w:val="auto"/>
                <w:kern w:val="2"/>
                <w:sz w:val="24"/>
                <w:szCs w:val="24"/>
                <w:highlight w:val="none"/>
                <w:lang w:val="en-US" w:eastAsia="zh-CN" w:bidi="ar-SA"/>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kern w:val="2"/>
                <w:sz w:val="24"/>
                <w:szCs w:val="24"/>
                <w:highlight w:val="none"/>
                <w:lang w:val="en-US" w:eastAsia="zh-CN" w:bidi="ar-SA"/>
              </w:rPr>
              <w:t>。</w:t>
            </w:r>
            <w:r>
              <w:rPr>
                <w:color w:val="auto"/>
                <w:lang w:val="zh-CN"/>
              </w:rPr>
              <w:t>根据现场调查，</w:t>
            </w:r>
            <w:r>
              <w:rPr>
                <w:color w:val="auto"/>
              </w:rPr>
              <w:t>项目周边主要为生产加工型企业，具体企业分布情况见表。</w:t>
            </w:r>
          </w:p>
          <w:p>
            <w:pPr>
              <w:widowControl/>
              <w:adjustRightInd w:val="0"/>
              <w:snapToGrid w:val="0"/>
              <w:spacing w:line="276" w:lineRule="auto"/>
              <w:jc w:val="center"/>
              <w:rPr>
                <w:b/>
                <w:bCs/>
                <w:color w:val="auto"/>
                <w:spacing w:val="-2"/>
                <w:sz w:val="21"/>
                <w:szCs w:val="21"/>
              </w:rPr>
            </w:pPr>
            <w:r>
              <w:rPr>
                <w:b/>
                <w:bCs/>
                <w:color w:val="auto"/>
                <w:spacing w:val="-2"/>
                <w:sz w:val="21"/>
                <w:szCs w:val="21"/>
              </w:rPr>
              <w:t>表1-12   本项目周边情况一览表</w:t>
            </w:r>
          </w:p>
          <w:tbl>
            <w:tblPr>
              <w:tblStyle w:val="27"/>
              <w:tblW w:w="7908"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671"/>
              <w:gridCol w:w="1103"/>
              <w:gridCol w:w="2059"/>
              <w:gridCol w:w="2660"/>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b/>
                      <w:bCs/>
                      <w:color w:val="auto"/>
                      <w:sz w:val="21"/>
                      <w:szCs w:val="21"/>
                    </w:rPr>
                  </w:pPr>
                  <w:r>
                    <w:rPr>
                      <w:b/>
                      <w:bCs/>
                      <w:color w:val="auto"/>
                      <w:sz w:val="21"/>
                      <w:szCs w:val="21"/>
                    </w:rPr>
                    <w:t>序号</w:t>
                  </w:r>
                </w:p>
              </w:tc>
              <w:tc>
                <w:tcPr>
                  <w:tcW w:w="1671" w:type="dxa"/>
                  <w:tcBorders>
                    <w:tl2br w:val="nil"/>
                    <w:tr2bl w:val="nil"/>
                  </w:tcBorders>
                  <w:vAlign w:val="center"/>
                </w:tcPr>
                <w:p>
                  <w:pPr>
                    <w:pStyle w:val="84"/>
                    <w:jc w:val="center"/>
                    <w:rPr>
                      <w:b/>
                      <w:bCs/>
                      <w:color w:val="auto"/>
                      <w:sz w:val="21"/>
                      <w:szCs w:val="21"/>
                    </w:rPr>
                  </w:pPr>
                  <w:r>
                    <w:rPr>
                      <w:b/>
                      <w:bCs/>
                      <w:color w:val="auto"/>
                      <w:sz w:val="21"/>
                      <w:szCs w:val="21"/>
                    </w:rPr>
                    <w:t>工业企业单位名称</w:t>
                  </w:r>
                </w:p>
              </w:tc>
              <w:tc>
                <w:tcPr>
                  <w:tcW w:w="1103" w:type="dxa"/>
                  <w:tcBorders>
                    <w:tl2br w:val="nil"/>
                    <w:tr2bl w:val="nil"/>
                  </w:tcBorders>
                  <w:vAlign w:val="center"/>
                </w:tcPr>
                <w:p>
                  <w:pPr>
                    <w:pStyle w:val="84"/>
                    <w:jc w:val="center"/>
                    <w:rPr>
                      <w:b/>
                      <w:bCs/>
                      <w:color w:val="auto"/>
                      <w:sz w:val="21"/>
                      <w:szCs w:val="21"/>
                    </w:rPr>
                  </w:pPr>
                  <w:r>
                    <w:rPr>
                      <w:b/>
                      <w:bCs/>
                      <w:color w:val="auto"/>
                      <w:spacing w:val="-10"/>
                      <w:sz w:val="21"/>
                      <w:szCs w:val="21"/>
                    </w:rPr>
                    <w:t>与本项目厂界方位、距离</w:t>
                  </w:r>
                </w:p>
              </w:tc>
              <w:tc>
                <w:tcPr>
                  <w:tcW w:w="2059" w:type="dxa"/>
                  <w:tcBorders>
                    <w:tl2br w:val="nil"/>
                    <w:tr2bl w:val="nil"/>
                  </w:tcBorders>
                  <w:vAlign w:val="center"/>
                </w:tcPr>
                <w:p>
                  <w:pPr>
                    <w:pStyle w:val="84"/>
                    <w:jc w:val="center"/>
                    <w:rPr>
                      <w:b/>
                      <w:bCs/>
                      <w:color w:val="auto"/>
                      <w:spacing w:val="-10"/>
                      <w:sz w:val="21"/>
                      <w:szCs w:val="21"/>
                    </w:rPr>
                  </w:pPr>
                  <w:r>
                    <w:rPr>
                      <w:b/>
                      <w:bCs/>
                      <w:color w:val="auto"/>
                      <w:sz w:val="21"/>
                      <w:szCs w:val="21"/>
                    </w:rPr>
                    <w:t>主营业务</w:t>
                  </w:r>
                </w:p>
              </w:tc>
              <w:tc>
                <w:tcPr>
                  <w:tcW w:w="2660" w:type="dxa"/>
                  <w:tcBorders>
                    <w:tl2br w:val="nil"/>
                    <w:tr2bl w:val="nil"/>
                  </w:tcBorders>
                  <w:vAlign w:val="center"/>
                </w:tcPr>
                <w:p>
                  <w:pPr>
                    <w:pStyle w:val="84"/>
                    <w:jc w:val="center"/>
                    <w:rPr>
                      <w:b/>
                      <w:bCs/>
                      <w:color w:val="auto"/>
                      <w:sz w:val="21"/>
                      <w:szCs w:val="21"/>
                    </w:rPr>
                  </w:pPr>
                  <w:r>
                    <w:rPr>
                      <w:b/>
                      <w:bCs/>
                      <w:color w:val="auto"/>
                      <w:sz w:val="21"/>
                      <w:szCs w:val="21"/>
                    </w:rPr>
                    <w:t>主要污染物</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color w:val="auto"/>
                      <w:sz w:val="21"/>
                      <w:szCs w:val="21"/>
                    </w:rPr>
                  </w:pPr>
                  <w:r>
                    <w:rPr>
                      <w:color w:val="auto"/>
                      <w:sz w:val="21"/>
                      <w:szCs w:val="21"/>
                    </w:rPr>
                    <w:t>1</w:t>
                  </w:r>
                </w:p>
              </w:tc>
              <w:tc>
                <w:tcPr>
                  <w:tcW w:w="1671" w:type="dxa"/>
                  <w:tcBorders>
                    <w:tl2br w:val="nil"/>
                    <w:tr2bl w:val="nil"/>
                  </w:tcBorders>
                  <w:vAlign w:val="center"/>
                </w:tcPr>
                <w:p>
                  <w:pPr>
                    <w:jc w:val="center"/>
                    <w:rPr>
                      <w:color w:val="auto"/>
                      <w:sz w:val="21"/>
                      <w:szCs w:val="21"/>
                    </w:rPr>
                  </w:pPr>
                  <w:r>
                    <w:rPr>
                      <w:rFonts w:hint="default" w:ascii="Times New Roman" w:hAnsi="Times New Roman" w:cs="Times New Roman"/>
                      <w:color w:val="auto"/>
                      <w:sz w:val="21"/>
                      <w:szCs w:val="21"/>
                    </w:rPr>
                    <w:t>思奇海绵厂有限公司</w:t>
                  </w:r>
                </w:p>
              </w:tc>
              <w:tc>
                <w:tcPr>
                  <w:tcW w:w="1103" w:type="dxa"/>
                  <w:tcBorders>
                    <w:tl2br w:val="nil"/>
                    <w:tr2bl w:val="nil"/>
                  </w:tcBorders>
                  <w:vAlign w:val="center"/>
                </w:tcPr>
                <w:p>
                  <w:pPr>
                    <w:jc w:val="center"/>
                    <w:rPr>
                      <w:rFonts w:hint="eastAsia" w:eastAsia="宋体"/>
                      <w:color w:val="auto"/>
                      <w:sz w:val="21"/>
                      <w:szCs w:val="21"/>
                      <w:lang w:eastAsia="zh-CN"/>
                    </w:rPr>
                  </w:pPr>
                  <w:r>
                    <w:rPr>
                      <w:rFonts w:hint="eastAsia"/>
                      <w:color w:val="auto"/>
                      <w:sz w:val="21"/>
                      <w:szCs w:val="21"/>
                      <w:lang w:eastAsia="zh-CN"/>
                    </w:rPr>
                    <w:t>东</w:t>
                  </w:r>
                  <w:r>
                    <w:rPr>
                      <w:color w:val="auto"/>
                      <w:sz w:val="21"/>
                      <w:szCs w:val="21"/>
                    </w:rPr>
                    <w:t>侧</w:t>
                  </w:r>
                  <w:r>
                    <w:rPr>
                      <w:rFonts w:hint="eastAsia"/>
                      <w:color w:val="auto"/>
                      <w:sz w:val="21"/>
                      <w:szCs w:val="21"/>
                      <w:lang w:eastAsia="zh-CN"/>
                    </w:rPr>
                    <w:t>紧邻</w:t>
                  </w:r>
                </w:p>
              </w:tc>
              <w:tc>
                <w:tcPr>
                  <w:tcW w:w="2059" w:type="dxa"/>
                  <w:tcBorders>
                    <w:tl2br w:val="nil"/>
                    <w:tr2bl w:val="nil"/>
                  </w:tcBorders>
                  <w:vAlign w:val="center"/>
                </w:tcPr>
                <w:p>
                  <w:pPr>
                    <w:pStyle w:val="84"/>
                    <w:jc w:val="center"/>
                    <w:rPr>
                      <w:color w:val="auto"/>
                      <w:sz w:val="21"/>
                      <w:szCs w:val="21"/>
                    </w:rPr>
                  </w:pPr>
                  <w:r>
                    <w:rPr>
                      <w:rFonts w:hint="default" w:ascii="Times New Roman" w:hAnsi="Times New Roman" w:cs="Times New Roman"/>
                      <w:bCs/>
                      <w:color w:val="auto"/>
                      <w:sz w:val="21"/>
                      <w:szCs w:val="21"/>
                    </w:rPr>
                    <w:t>海绵生产</w:t>
                  </w:r>
                </w:p>
              </w:tc>
              <w:tc>
                <w:tcPr>
                  <w:tcW w:w="2660" w:type="dxa"/>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color w:val="auto"/>
                      <w:sz w:val="21"/>
                      <w:szCs w:val="21"/>
                    </w:rPr>
                  </w:pPr>
                  <w:r>
                    <w:rPr>
                      <w:color w:val="auto"/>
                      <w:sz w:val="21"/>
                      <w:szCs w:val="21"/>
                    </w:rPr>
                    <w:t>2</w:t>
                  </w:r>
                </w:p>
              </w:tc>
              <w:tc>
                <w:tcPr>
                  <w:tcW w:w="1671" w:type="dxa"/>
                  <w:tcBorders>
                    <w:tl2br w:val="nil"/>
                    <w:tr2bl w:val="nil"/>
                  </w:tcBorders>
                  <w:vAlign w:val="center"/>
                </w:tcPr>
                <w:p>
                  <w:pPr>
                    <w:jc w:val="center"/>
                    <w:rPr>
                      <w:color w:val="auto"/>
                      <w:szCs w:val="21"/>
                    </w:rPr>
                  </w:pPr>
                  <w:r>
                    <w:rPr>
                      <w:rFonts w:hint="default" w:ascii="Times New Roman" w:hAnsi="Times New Roman" w:cs="Times New Roman"/>
                      <w:color w:val="auto"/>
                      <w:szCs w:val="21"/>
                    </w:rPr>
                    <w:t>云南格威电器有限公司</w:t>
                  </w:r>
                </w:p>
              </w:tc>
              <w:tc>
                <w:tcPr>
                  <w:tcW w:w="1103" w:type="dxa"/>
                  <w:tcBorders>
                    <w:tl2br w:val="nil"/>
                    <w:tr2bl w:val="nil"/>
                  </w:tcBorders>
                  <w:vAlign w:val="center"/>
                </w:tcPr>
                <w:p>
                  <w:pPr>
                    <w:jc w:val="center"/>
                    <w:rPr>
                      <w:color w:val="auto"/>
                      <w:szCs w:val="21"/>
                    </w:rPr>
                  </w:pPr>
                  <w:r>
                    <w:rPr>
                      <w:rFonts w:hint="eastAsia"/>
                      <w:color w:val="auto"/>
                      <w:szCs w:val="21"/>
                      <w:lang w:eastAsia="zh-CN"/>
                    </w:rPr>
                    <w:t>南</w:t>
                  </w:r>
                  <w:r>
                    <w:rPr>
                      <w:color w:val="auto"/>
                      <w:szCs w:val="21"/>
                    </w:rPr>
                    <w:t>侧</w:t>
                  </w:r>
                  <w:r>
                    <w:rPr>
                      <w:rFonts w:hint="eastAsia"/>
                      <w:color w:val="auto"/>
                      <w:szCs w:val="21"/>
                      <w:lang w:val="en-US" w:eastAsia="zh-CN"/>
                    </w:rPr>
                    <w:t>21</w:t>
                  </w:r>
                  <w:r>
                    <w:rPr>
                      <w:color w:val="auto"/>
                      <w:szCs w:val="21"/>
                    </w:rPr>
                    <w:t>m</w:t>
                  </w:r>
                </w:p>
              </w:tc>
              <w:tc>
                <w:tcPr>
                  <w:tcW w:w="2059" w:type="dxa"/>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电器</w:t>
                  </w:r>
                </w:p>
              </w:tc>
              <w:tc>
                <w:tcPr>
                  <w:tcW w:w="2660" w:type="dxa"/>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color w:val="auto"/>
                      <w:sz w:val="21"/>
                      <w:szCs w:val="21"/>
                    </w:rPr>
                  </w:pPr>
                  <w:r>
                    <w:rPr>
                      <w:color w:val="auto"/>
                      <w:sz w:val="21"/>
                      <w:szCs w:val="21"/>
                    </w:rPr>
                    <w:t>3</w:t>
                  </w:r>
                </w:p>
              </w:tc>
              <w:tc>
                <w:tcPr>
                  <w:tcW w:w="1671" w:type="dxa"/>
                  <w:tcBorders>
                    <w:tl2br w:val="nil"/>
                    <w:tr2bl w:val="nil"/>
                  </w:tcBorders>
                  <w:vAlign w:val="center"/>
                </w:tcPr>
                <w:p>
                  <w:pPr>
                    <w:jc w:val="center"/>
                    <w:rPr>
                      <w:color w:val="auto"/>
                      <w:szCs w:val="21"/>
                    </w:rPr>
                  </w:pPr>
                  <w:r>
                    <w:rPr>
                      <w:rFonts w:hint="default" w:ascii="Times New Roman" w:hAnsi="Times New Roman" w:cs="Times New Roman"/>
                      <w:color w:val="auto"/>
                      <w:szCs w:val="21"/>
                    </w:rPr>
                    <w:t>署燕局家居有限公司</w:t>
                  </w:r>
                </w:p>
              </w:tc>
              <w:tc>
                <w:tcPr>
                  <w:tcW w:w="1103" w:type="dxa"/>
                  <w:tcBorders>
                    <w:tl2br w:val="nil"/>
                    <w:tr2bl w:val="nil"/>
                  </w:tcBorders>
                  <w:vAlign w:val="center"/>
                </w:tcPr>
                <w:p>
                  <w:pPr>
                    <w:jc w:val="center"/>
                    <w:rPr>
                      <w:color w:val="auto"/>
                      <w:szCs w:val="21"/>
                    </w:rPr>
                  </w:pPr>
                  <w:r>
                    <w:rPr>
                      <w:rFonts w:hint="eastAsia"/>
                      <w:color w:val="auto"/>
                      <w:szCs w:val="21"/>
                      <w:lang w:eastAsia="zh-CN"/>
                    </w:rPr>
                    <w:t>东南</w:t>
                  </w:r>
                  <w:r>
                    <w:rPr>
                      <w:color w:val="auto"/>
                      <w:szCs w:val="21"/>
                    </w:rPr>
                    <w:t>侧</w:t>
                  </w:r>
                  <w:r>
                    <w:rPr>
                      <w:rFonts w:hint="eastAsia"/>
                      <w:color w:val="auto"/>
                      <w:szCs w:val="21"/>
                      <w:lang w:val="en-US" w:eastAsia="zh-CN"/>
                    </w:rPr>
                    <w:t>32</w:t>
                  </w:r>
                  <w:r>
                    <w:rPr>
                      <w:color w:val="auto"/>
                      <w:szCs w:val="21"/>
                    </w:rPr>
                    <w:t>m</w:t>
                  </w:r>
                </w:p>
              </w:tc>
              <w:tc>
                <w:tcPr>
                  <w:tcW w:w="2059" w:type="dxa"/>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家具</w:t>
                  </w:r>
                </w:p>
              </w:tc>
              <w:tc>
                <w:tcPr>
                  <w:tcW w:w="2660" w:type="dxa"/>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color w:val="auto"/>
                      <w:sz w:val="21"/>
                      <w:szCs w:val="21"/>
                    </w:rPr>
                  </w:pPr>
                  <w:r>
                    <w:rPr>
                      <w:color w:val="auto"/>
                      <w:sz w:val="21"/>
                      <w:szCs w:val="21"/>
                    </w:rPr>
                    <w:t>4</w:t>
                  </w:r>
                </w:p>
              </w:tc>
              <w:tc>
                <w:tcPr>
                  <w:tcW w:w="1671" w:type="dxa"/>
                  <w:tcBorders>
                    <w:tl2br w:val="nil"/>
                    <w:tr2bl w:val="nil"/>
                  </w:tcBorders>
                  <w:vAlign w:val="center"/>
                </w:tcPr>
                <w:p>
                  <w:pPr>
                    <w:jc w:val="center"/>
                    <w:rPr>
                      <w:color w:val="auto"/>
                      <w:szCs w:val="21"/>
                    </w:rPr>
                  </w:pPr>
                  <w:r>
                    <w:rPr>
                      <w:rFonts w:hint="default" w:ascii="Times New Roman" w:hAnsi="Times New Roman" w:cs="Times New Roman"/>
                      <w:color w:val="auto"/>
                      <w:szCs w:val="21"/>
                    </w:rPr>
                    <w:t>昆明澳松人造板制造有限公司</w:t>
                  </w:r>
                </w:p>
              </w:tc>
              <w:tc>
                <w:tcPr>
                  <w:tcW w:w="1103" w:type="dxa"/>
                  <w:tcBorders>
                    <w:tl2br w:val="nil"/>
                    <w:tr2bl w:val="nil"/>
                  </w:tcBorders>
                  <w:vAlign w:val="center"/>
                </w:tcPr>
                <w:p>
                  <w:pPr>
                    <w:jc w:val="center"/>
                    <w:rPr>
                      <w:color w:val="auto"/>
                      <w:szCs w:val="21"/>
                    </w:rPr>
                  </w:pPr>
                  <w:r>
                    <w:rPr>
                      <w:rFonts w:hint="eastAsia"/>
                      <w:color w:val="auto"/>
                      <w:szCs w:val="21"/>
                      <w:lang w:eastAsia="zh-CN"/>
                    </w:rPr>
                    <w:t>南</w:t>
                  </w:r>
                  <w:r>
                    <w:rPr>
                      <w:color w:val="auto"/>
                      <w:szCs w:val="21"/>
                    </w:rPr>
                    <w:t>侧</w:t>
                  </w:r>
                  <w:r>
                    <w:rPr>
                      <w:rFonts w:hint="eastAsia"/>
                      <w:color w:val="auto"/>
                      <w:szCs w:val="21"/>
                      <w:lang w:val="en-US" w:eastAsia="zh-CN"/>
                    </w:rPr>
                    <w:t>1</w:t>
                  </w:r>
                  <w:r>
                    <w:rPr>
                      <w:color w:val="auto"/>
                      <w:szCs w:val="21"/>
                    </w:rPr>
                    <w:t>0m</w:t>
                  </w:r>
                </w:p>
              </w:tc>
              <w:tc>
                <w:tcPr>
                  <w:tcW w:w="2059" w:type="dxa"/>
                  <w:tcBorders>
                    <w:tl2br w:val="nil"/>
                    <w:tr2bl w:val="nil"/>
                  </w:tcBorders>
                  <w:vAlign w:val="center"/>
                </w:tcPr>
                <w:p>
                  <w:pPr>
                    <w:pStyle w:val="84"/>
                    <w:jc w:val="center"/>
                    <w:rPr>
                      <w:rFonts w:hint="eastAsia" w:eastAsia="宋体"/>
                      <w:color w:val="auto"/>
                      <w:sz w:val="21"/>
                      <w:szCs w:val="21"/>
                      <w:lang w:eastAsia="zh-CN"/>
                    </w:rPr>
                  </w:pPr>
                  <w:r>
                    <w:rPr>
                      <w:rFonts w:hint="eastAsia"/>
                      <w:color w:val="auto"/>
                      <w:sz w:val="21"/>
                      <w:szCs w:val="21"/>
                      <w:lang w:eastAsia="zh-CN"/>
                    </w:rPr>
                    <w:t>人造板制造</w:t>
                  </w:r>
                </w:p>
              </w:tc>
              <w:tc>
                <w:tcPr>
                  <w:tcW w:w="2660" w:type="dxa"/>
                  <w:tcBorders>
                    <w:tl2br w:val="nil"/>
                    <w:tr2bl w:val="nil"/>
                  </w:tcBorders>
                  <w:vAlign w:val="center"/>
                </w:tcPr>
                <w:p>
                  <w:pPr>
                    <w:pStyle w:val="84"/>
                    <w:jc w:val="center"/>
                    <w:rPr>
                      <w:color w:val="auto"/>
                      <w:sz w:val="21"/>
                      <w:szCs w:val="21"/>
                    </w:rPr>
                  </w:pPr>
                  <w:r>
                    <w:rPr>
                      <w:color w:val="auto"/>
                      <w:sz w:val="21"/>
                      <w:szCs w:val="21"/>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云南丛林家具有限公司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w:t>
                  </w:r>
                  <w:r>
                    <w:rPr>
                      <w:rFonts w:hint="default" w:ascii="Times New Roman" w:hAnsi="Times New Roman" w:eastAsia="宋体" w:cs="Times New Roman"/>
                      <w:color w:val="auto"/>
                      <w:kern w:val="2"/>
                      <w:sz w:val="21"/>
                      <w:szCs w:val="21"/>
                      <w:lang w:val="en-US" w:eastAsia="zh-CN" w:bidi="ar-SA"/>
                    </w:rPr>
                    <w:t>侧</w:t>
                  </w:r>
                  <w:r>
                    <w:rPr>
                      <w:rFonts w:hint="eastAsia" w:ascii="Times New Roman" w:hAnsi="Times New Roman" w:eastAsia="宋体" w:cs="Times New Roman"/>
                      <w:color w:val="auto"/>
                      <w:kern w:val="2"/>
                      <w:sz w:val="21"/>
                      <w:szCs w:val="21"/>
                      <w:lang w:val="en-US" w:eastAsia="zh-CN" w:bidi="ar-SA"/>
                    </w:rPr>
                    <w:t>19</w:t>
                  </w:r>
                  <w:r>
                    <w:rPr>
                      <w:rFonts w:hint="default" w:ascii="Times New Roman" w:hAnsi="Times New Roman" w:eastAsia="宋体" w:cs="Times New Roman"/>
                      <w:color w:val="auto"/>
                      <w:kern w:val="2"/>
                      <w:sz w:val="21"/>
                      <w:szCs w:val="21"/>
                      <w:lang w:val="en-US" w:eastAsia="zh-CN" w:bidi="ar-SA"/>
                    </w:rPr>
                    <w:t>m</w:t>
                  </w:r>
                </w:p>
              </w:tc>
              <w:tc>
                <w:tcPr>
                  <w:tcW w:w="2059" w:type="dxa"/>
                  <w:tcBorders>
                    <w:tl2br w:val="nil"/>
                    <w:tr2bl w:val="nil"/>
                  </w:tcBorders>
                  <w:vAlign w:val="center"/>
                </w:tcPr>
                <w:p>
                  <w:pPr>
                    <w:pStyle w:val="84"/>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家具生产</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福仕多门窗制造有限公司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北侧32m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门窗制造</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w:t>
                  </w:r>
                </w:p>
              </w:tc>
              <w:tc>
                <w:tcPr>
                  <w:tcW w:w="1671"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云南恒澳教学设备制造有限公司</w:t>
                  </w:r>
                </w:p>
              </w:tc>
              <w:tc>
                <w:tcPr>
                  <w:tcW w:w="1103"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东南侧146m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办公用品、教学设备制造</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昆明耘宏工业气体有限公司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南侧140m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rPr>
                    <w:t>气体工业</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9</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云南亚力特工贸有限公司</w:t>
                  </w:r>
                </w:p>
              </w:tc>
              <w:tc>
                <w:tcPr>
                  <w:tcW w:w="1103" w:type="dxa"/>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南侧140m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家具生产</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10</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昆明龙亿木业有限公司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东南侧272m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rPr>
                    <w:t>木业制造</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云南美佳森家居有限公司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南侧250m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家居用品生产</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昆明宏硕科技有限公司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南侧250m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rPr>
                    <w:t>包装材料</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w:t>
                  </w:r>
                </w:p>
              </w:tc>
              <w:tc>
                <w:tcPr>
                  <w:tcW w:w="1671" w:type="dxa"/>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云南钎艺铝业有限公司</w:t>
                  </w:r>
                </w:p>
              </w:tc>
              <w:tc>
                <w:tcPr>
                  <w:tcW w:w="1103" w:type="dxa"/>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东南侧378m</w:t>
                  </w:r>
                </w:p>
              </w:tc>
              <w:tc>
                <w:tcPr>
                  <w:tcW w:w="2059" w:type="dxa"/>
                  <w:tcBorders>
                    <w:tl2br w:val="nil"/>
                    <w:tr2bl w:val="nil"/>
                  </w:tcBorders>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铝板制造</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w:t>
                  </w:r>
                </w:p>
              </w:tc>
              <w:tc>
                <w:tcPr>
                  <w:tcW w:w="1671"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云南良盾防护工程有限公司</w:t>
                  </w:r>
                </w:p>
              </w:tc>
              <w:tc>
                <w:tcPr>
                  <w:tcW w:w="1103"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南侧367m</w:t>
                  </w:r>
                </w:p>
              </w:tc>
              <w:tc>
                <w:tcPr>
                  <w:tcW w:w="2059"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rPr>
                    <w:t>防护物资供销</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w:t>
                  </w:r>
                </w:p>
              </w:tc>
              <w:tc>
                <w:tcPr>
                  <w:tcW w:w="1671"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Cs w:val="21"/>
                    </w:rPr>
                    <w:t>寻甸匠人手家家具有限公司</w:t>
                  </w:r>
                </w:p>
              </w:tc>
              <w:tc>
                <w:tcPr>
                  <w:tcW w:w="1103" w:type="dxa"/>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南侧367m</w:t>
                  </w:r>
                </w:p>
              </w:tc>
              <w:tc>
                <w:tcPr>
                  <w:tcW w:w="2059"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rPr>
                    <w:t>家具生产</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废水：生活污水；废气：颗粒物、TVOC；噪声；固废；</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jc w:val="center"/>
              </w:trPr>
              <w:tc>
                <w:tcPr>
                  <w:tcW w:w="415"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w:t>
                  </w:r>
                </w:p>
              </w:tc>
              <w:tc>
                <w:tcPr>
                  <w:tcW w:w="1671"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云南国宣实业发展有限公司</w:t>
                  </w:r>
                </w:p>
              </w:tc>
              <w:tc>
                <w:tcPr>
                  <w:tcW w:w="1103" w:type="dxa"/>
                  <w:tcBorders>
                    <w:tl2br w:val="nil"/>
                    <w:tr2bl w:val="nil"/>
                  </w:tcBorders>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南侧367m</w:t>
                  </w:r>
                </w:p>
              </w:tc>
              <w:tc>
                <w:tcPr>
                  <w:tcW w:w="2059"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rPr>
                    <w:t>教学设备</w:t>
                  </w:r>
                </w:p>
              </w:tc>
              <w:tc>
                <w:tcPr>
                  <w:tcW w:w="2660" w:type="dxa"/>
                  <w:tcBorders>
                    <w:tl2br w:val="nil"/>
                    <w:tr2bl w:val="nil"/>
                  </w:tcBorders>
                  <w:vAlign w:val="center"/>
                </w:tcPr>
                <w:p>
                  <w:pPr>
                    <w:pStyle w:val="84"/>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废水：生活污水；废气：颗粒物；噪声；固废；</w:t>
                  </w:r>
                </w:p>
              </w:tc>
            </w:tr>
          </w:tbl>
          <w:p>
            <w:pPr>
              <w:pStyle w:val="78"/>
              <w:rPr>
                <w:color w:val="auto"/>
                <w:lang w:val="zh-CN"/>
              </w:rPr>
            </w:pPr>
            <w:r>
              <w:rPr>
                <w:color w:val="auto"/>
              </w:rPr>
              <w:t>从对项目周边企业情况调查可知，周围的企业对本项目无制约性因素。根据工程分析，</w:t>
            </w:r>
            <w:r>
              <w:rPr>
                <w:color w:val="auto"/>
                <w:lang w:val="zh-CN"/>
              </w:rPr>
              <w:t>项目</w:t>
            </w:r>
            <w:r>
              <w:rPr>
                <w:color w:val="auto"/>
              </w:rPr>
              <w:t>产生的</w:t>
            </w:r>
            <w:r>
              <w:rPr>
                <w:color w:val="auto"/>
                <w:lang w:val="zh-CN"/>
              </w:rPr>
              <w:t>噪声、废气均能达标排放</w:t>
            </w:r>
            <w:r>
              <w:rPr>
                <w:rFonts w:hint="eastAsia"/>
                <w:color w:val="auto"/>
                <w:lang w:val="zh-CN"/>
              </w:rPr>
              <w:t>，废水不外排</w:t>
            </w:r>
            <w:r>
              <w:rPr>
                <w:color w:val="auto"/>
                <w:lang w:val="zh-CN"/>
              </w:rPr>
              <w:t>，</w:t>
            </w:r>
            <w:r>
              <w:rPr>
                <w:color w:val="auto"/>
              </w:rPr>
              <w:t>固体废物100%合理处置，</w:t>
            </w:r>
            <w:r>
              <w:rPr>
                <w:color w:val="auto"/>
                <w:lang w:val="zh-CN"/>
              </w:rPr>
              <w:t>项目的生产对周围企业的影响不大。</w:t>
            </w:r>
          </w:p>
          <w:p>
            <w:pPr>
              <w:pStyle w:val="78"/>
              <w:rPr>
                <w:color w:val="auto"/>
                <w:lang w:val="zh-CN"/>
              </w:rPr>
            </w:pPr>
            <w:r>
              <w:rPr>
                <w:color w:val="auto"/>
                <w:lang w:val="zh-CN"/>
              </w:rPr>
              <w:t>综上所述，本项目与</w:t>
            </w:r>
            <w:r>
              <w:rPr>
                <w:color w:val="auto"/>
              </w:rPr>
              <w:t>周边</w:t>
            </w:r>
            <w:r>
              <w:rPr>
                <w:color w:val="auto"/>
                <w:lang w:val="zh-CN"/>
              </w:rPr>
              <w:t>环境是相容的。</w:t>
            </w:r>
          </w:p>
          <w:p>
            <w:pPr>
              <w:pStyle w:val="7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Times New Roman" w:hAnsi="Times New Roman" w:eastAsia="宋体" w:cs="Times New Roman"/>
                <w:color w:val="auto"/>
                <w:kern w:val="0"/>
                <w:sz w:val="24"/>
                <w:szCs w:val="24"/>
                <w:highlight w:val="none"/>
                <w:lang w:eastAsia="zh-CN"/>
              </w:rPr>
            </w:pPr>
          </w:p>
        </w:tc>
      </w:tr>
    </w:tbl>
    <w:p>
      <w:pPr>
        <w:spacing w:line="360" w:lineRule="auto"/>
        <w:outlineLvl w:val="9"/>
        <w:rPr>
          <w:rFonts w:hint="default" w:ascii="Times New Roman" w:hAnsi="Times New Roman" w:eastAsia="宋体" w:cs="Times New Roman"/>
          <w:color w:val="auto"/>
          <w:sz w:val="30"/>
          <w:highlight w:val="none"/>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13" w:name="_Toc22458"/>
      <w:bookmarkStart w:id="14" w:name="_Toc1587"/>
      <w:r>
        <w:rPr>
          <w:rFonts w:hint="default" w:ascii="Times New Roman" w:hAnsi="Times New Roman" w:eastAsia="宋体" w:cs="Times New Roman"/>
          <w:b/>
          <w:bCs/>
          <w:snapToGrid w:val="0"/>
          <w:color w:val="auto"/>
          <w:sz w:val="30"/>
          <w:szCs w:val="30"/>
          <w:highlight w:val="none"/>
        </w:rPr>
        <w:t>二、建设项目工程分析</w:t>
      </w:r>
      <w:bookmarkEnd w:id="13"/>
      <w:bookmarkEnd w:id="14"/>
    </w:p>
    <w:tbl>
      <w:tblPr>
        <w:tblStyle w:val="27"/>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87" w:hRule="atLeast"/>
          <w:jc w:val="center"/>
        </w:trPr>
        <w:tc>
          <w:tcPr>
            <w:tcW w:w="452" w:type="dxa"/>
            <w:vAlign w:val="center"/>
          </w:tcPr>
          <w:p>
            <w:pPr>
              <w:pStyle w:val="26"/>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建设内容</w:t>
            </w:r>
          </w:p>
        </w:tc>
        <w:tc>
          <w:tcPr>
            <w:tcW w:w="8608" w:type="dxa"/>
            <w:vAlign w:val="top"/>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一、项目由来</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泡沫箱（</w:t>
            </w:r>
            <w:r>
              <w:rPr>
                <w:rFonts w:hint="default" w:ascii="Times New Roman" w:hAnsi="Times New Roman" w:eastAsia="宋体" w:cs="Times New Roman"/>
                <w:color w:val="auto"/>
                <w:sz w:val="24"/>
                <w:highlight w:val="none"/>
                <w:lang w:val="en-US" w:eastAsia="zh-CN"/>
              </w:rPr>
              <w:t>聚苯乙烯</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具有质轻、导热系数小、吸水率低、耐水、耐老化、耐低温、易加工等优点，是蔬菜保鲜、保温箱、冷库、海产品冷冻等方面不可缺少的保温保鲜材料</w:t>
            </w:r>
            <w:r>
              <w:rPr>
                <w:rFonts w:hint="eastAsia"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易回收再利用，是良好的绿色包装材料。</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云南广兴塑料泡沫有限责任公司</w:t>
            </w:r>
            <w:r>
              <w:rPr>
                <w:rFonts w:hint="default" w:ascii="Times New Roman" w:hAnsi="Times New Roman" w:eastAsia="宋体" w:cs="Times New Roman"/>
                <w:color w:val="auto"/>
                <w:sz w:val="24"/>
                <w:highlight w:val="none"/>
                <w:lang w:val="en-US" w:eastAsia="zh-CN"/>
              </w:rPr>
              <w:t>成立于20</w:t>
            </w:r>
            <w:r>
              <w:rPr>
                <w:rFonts w:hint="eastAsia" w:cs="Times New Roman"/>
                <w:color w:val="auto"/>
                <w:sz w:val="24"/>
                <w:highlight w:val="none"/>
                <w:lang w:val="en-US" w:eastAsia="zh-CN"/>
              </w:rPr>
              <w:t>23</w:t>
            </w:r>
            <w:r>
              <w:rPr>
                <w:rFonts w:hint="default" w:ascii="Times New Roman" w:hAnsi="Times New Roman" w:eastAsia="宋体" w:cs="Times New Roman"/>
                <w:color w:val="auto"/>
                <w:sz w:val="24"/>
                <w:highlight w:val="none"/>
                <w:lang w:val="en-US" w:eastAsia="zh-CN"/>
              </w:rPr>
              <w:t>年</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lang w:val="en-US" w:eastAsia="zh-CN"/>
              </w:rPr>
              <w:t>日，</w:t>
            </w:r>
            <w:r>
              <w:rPr>
                <w:rFonts w:hint="default" w:ascii="Times New Roman" w:hAnsi="Times New Roman" w:eastAsia="宋体" w:cs="Times New Roman"/>
                <w:color w:val="auto"/>
                <w:sz w:val="24"/>
                <w:szCs w:val="24"/>
                <w:highlight w:val="none"/>
                <w:lang w:val="en-US" w:eastAsia="zh-CN"/>
              </w:rPr>
              <w:t>现</w:t>
            </w:r>
            <w:r>
              <w:rPr>
                <w:rFonts w:hint="default" w:ascii="Times New Roman" w:hAnsi="Times New Roman" w:eastAsia="宋体" w:cs="Times New Roman"/>
                <w:color w:val="auto"/>
                <w:sz w:val="24"/>
                <w:szCs w:val="24"/>
                <w:highlight w:val="none"/>
                <w:lang w:val="zh-CN"/>
              </w:rPr>
              <w:t>拟投资</w:t>
            </w:r>
            <w:r>
              <w:rPr>
                <w:rFonts w:hint="eastAsia" w:cs="Times New Roman"/>
                <w:color w:val="auto"/>
                <w:sz w:val="24"/>
                <w:szCs w:val="24"/>
                <w:highlight w:val="none"/>
                <w:lang w:val="en-US" w:eastAsia="zh-CN"/>
              </w:rPr>
              <w:t>9865.32</w:t>
            </w:r>
            <w:r>
              <w:rPr>
                <w:rFonts w:hint="default" w:ascii="Times New Roman" w:hAnsi="Times New Roman" w:eastAsia="宋体" w:cs="Times New Roman"/>
                <w:color w:val="auto"/>
                <w:sz w:val="24"/>
                <w:szCs w:val="24"/>
                <w:highlight w:val="none"/>
                <w:lang w:val="zh-CN"/>
              </w:rPr>
              <w:t>万元在</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rPr>
              <w:t>建设“</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default" w:ascii="Times New Roman" w:hAnsi="Times New Roman" w:eastAsia="宋体" w:cs="Times New Roman"/>
                <w:color w:val="auto"/>
                <w:sz w:val="24"/>
                <w:szCs w:val="24"/>
                <w:highlight w:val="none"/>
              </w:rPr>
              <w:t>”。</w:t>
            </w:r>
          </w:p>
          <w:p>
            <w:pPr>
              <w:snapToGrid w:val="0"/>
              <w:spacing w:line="360" w:lineRule="auto"/>
              <w:ind w:firstLine="480" w:firstLineChars="200"/>
              <w:rPr>
                <w:rFonts w:hint="default"/>
                <w:color w:val="auto"/>
                <w:sz w:val="24"/>
                <w:lang w:val="zh-CN"/>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项目已于</w:t>
            </w:r>
            <w:r>
              <w:rPr>
                <w:rFonts w:hint="default" w:ascii="Times New Roman" w:hAnsi="Times New Roman" w:eastAsia="宋体" w:cs="Times New Roman"/>
                <w:color w:val="auto"/>
                <w:sz w:val="24"/>
                <w:szCs w:val="24"/>
                <w:highlight w:val="none"/>
                <w:lang w:val="en-US" w:eastAsia="zh-CN"/>
              </w:rPr>
              <w:t>202</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日已取得寻甸特色产业园区管理委员会出具的云南广兴塑料泡沫有限责任公司塑料制品生产线建设项目入园同意书</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同意书中明确“项目符合本园区</w:t>
            </w:r>
            <w:r>
              <w:rPr>
                <w:rFonts w:hint="eastAsia" w:ascii="Times New Roman" w:hAnsi="Times New Roman" w:eastAsia="宋体" w:cs="Times New Roman"/>
                <w:color w:val="auto"/>
                <w:sz w:val="24"/>
                <w:szCs w:val="24"/>
                <w:highlight w:val="none"/>
                <w:lang w:val="en-US" w:eastAsia="zh-CN"/>
              </w:rPr>
              <w:t>配套</w:t>
            </w:r>
            <w:r>
              <w:rPr>
                <w:rFonts w:hint="default" w:ascii="Times New Roman" w:hAnsi="Times New Roman" w:eastAsia="宋体" w:cs="Times New Roman"/>
                <w:color w:val="auto"/>
                <w:sz w:val="24"/>
                <w:szCs w:val="24"/>
                <w:highlight w:val="none"/>
                <w:lang w:val="en-US" w:eastAsia="zh-CN"/>
              </w:rPr>
              <w:t>产业发展，同意云南广兴塑料泡沫有限责任公司塑料制品生产线建设项目入驻寻甸特色产业园区</w:t>
            </w:r>
            <w:r>
              <w:rPr>
                <w:rFonts w:hint="eastAsia" w:ascii="Times New Roman" w:hAnsi="Times New Roman" w:eastAsia="宋体" w:cs="Times New Roman"/>
                <w:color w:val="auto"/>
                <w:sz w:val="24"/>
                <w:szCs w:val="24"/>
                <w:highlight w:val="none"/>
                <w:lang w:val="en-US" w:eastAsia="zh-CN"/>
              </w:rPr>
              <w:t>羊街</w:t>
            </w:r>
            <w:r>
              <w:rPr>
                <w:rFonts w:hint="default" w:ascii="Times New Roman" w:hAnsi="Times New Roman" w:eastAsia="宋体" w:cs="Times New Roman"/>
                <w:color w:val="auto"/>
                <w:sz w:val="24"/>
                <w:szCs w:val="24"/>
                <w:highlight w:val="none"/>
                <w:lang w:val="en-US" w:eastAsia="zh-CN"/>
              </w:rPr>
              <w:t>片区”。</w:t>
            </w:r>
            <w:r>
              <w:rPr>
                <w:rFonts w:hint="default"/>
                <w:color w:val="auto"/>
                <w:sz w:val="24"/>
                <w:lang w:val="zh-CN"/>
              </w:rPr>
              <w:t>202</w:t>
            </w:r>
            <w:r>
              <w:rPr>
                <w:rFonts w:hint="eastAsia"/>
                <w:color w:val="auto"/>
                <w:sz w:val="24"/>
                <w:lang w:val="en-US" w:eastAsia="zh-CN"/>
              </w:rPr>
              <w:t>3</w:t>
            </w:r>
            <w:r>
              <w:rPr>
                <w:rFonts w:hint="eastAsia"/>
                <w:color w:val="auto"/>
                <w:sz w:val="24"/>
                <w:lang w:val="zh-CN"/>
              </w:rPr>
              <w:t>年</w:t>
            </w:r>
            <w:r>
              <w:rPr>
                <w:rFonts w:hint="eastAsia"/>
                <w:color w:val="auto"/>
                <w:sz w:val="24"/>
                <w:lang w:val="en-US" w:eastAsia="zh-CN"/>
              </w:rPr>
              <w:t>08</w:t>
            </w:r>
            <w:r>
              <w:rPr>
                <w:rFonts w:hint="eastAsia"/>
                <w:color w:val="auto"/>
                <w:sz w:val="24"/>
                <w:lang w:val="zh-CN"/>
              </w:rPr>
              <w:t>月</w:t>
            </w:r>
            <w:r>
              <w:rPr>
                <w:rFonts w:hint="eastAsia"/>
                <w:color w:val="auto"/>
                <w:sz w:val="24"/>
                <w:lang w:val="en-US" w:eastAsia="zh-CN"/>
              </w:rPr>
              <w:t>04</w:t>
            </w:r>
            <w:r>
              <w:rPr>
                <w:rFonts w:hint="eastAsia"/>
                <w:color w:val="auto"/>
                <w:sz w:val="24"/>
                <w:lang w:val="zh-CN"/>
              </w:rPr>
              <w:t>日，</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eastAsia"/>
                <w:color w:val="auto"/>
                <w:sz w:val="24"/>
                <w:lang w:val="zh-CN"/>
              </w:rPr>
              <w:t>取得了昆明市寻甸回族彝族自治县发展和改革局核发的投资项目备案证，项目代码为：</w:t>
            </w:r>
            <w:r>
              <w:rPr>
                <w:rFonts w:hint="default" w:ascii="Times New Roman" w:hAnsi="Times New Roman" w:eastAsia="宋体" w:cs="Times New Roman"/>
                <w:color w:val="auto"/>
                <w:sz w:val="24"/>
                <w:szCs w:val="24"/>
                <w:highlight w:val="none"/>
                <w:lang w:val="en-US" w:eastAsia="zh-CN"/>
              </w:rPr>
              <w:t>23</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-530129-04-01-</w:t>
            </w:r>
            <w:r>
              <w:rPr>
                <w:rFonts w:hint="eastAsia" w:cs="Times New Roman"/>
                <w:color w:val="auto"/>
                <w:sz w:val="24"/>
                <w:szCs w:val="24"/>
                <w:highlight w:val="none"/>
                <w:lang w:val="en-US" w:eastAsia="zh-CN"/>
              </w:rPr>
              <w:t>157212</w:t>
            </w:r>
            <w:r>
              <w:rPr>
                <w:rFonts w:hint="eastAsia"/>
                <w:color w:val="auto"/>
                <w:sz w:val="24"/>
                <w:lang w:val="zh-CN"/>
              </w:rPr>
              <w:t>。项目建成后主要以</w:t>
            </w:r>
            <w:r>
              <w:rPr>
                <w:rFonts w:hint="eastAsia"/>
                <w:color w:val="auto"/>
                <w:sz w:val="24"/>
                <w:lang w:val="zh-CN" w:eastAsia="zh-CN"/>
              </w:rPr>
              <w:t>泡沫箱</w:t>
            </w:r>
            <w:r>
              <w:rPr>
                <w:rFonts w:hint="eastAsia"/>
                <w:color w:val="auto"/>
                <w:sz w:val="24"/>
                <w:lang w:val="zh-CN"/>
              </w:rPr>
              <w:t>生产为主。项目占地面积</w:t>
            </w:r>
            <w:r>
              <w:rPr>
                <w:rFonts w:hint="eastAsia" w:cs="宋体"/>
                <w:color w:val="auto"/>
                <w:sz w:val="24"/>
                <w:lang w:val="en-US" w:eastAsia="zh-CN"/>
              </w:rPr>
              <w:t>25555.6</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，建筑面积约</w:t>
            </w:r>
            <w:r>
              <w:rPr>
                <w:rFonts w:hint="eastAsia"/>
                <w:color w:val="auto"/>
                <w:sz w:val="24"/>
                <w:lang w:val="en-US" w:eastAsia="zh-CN"/>
              </w:rPr>
              <w:t>17363.38</w:t>
            </w:r>
            <w:r>
              <w:rPr>
                <w:rFonts w:hint="eastAsia"/>
                <w:color w:val="auto"/>
                <w:sz w:val="24"/>
                <w:lang w:val="zh-CN"/>
              </w:rPr>
              <w:t>m</w:t>
            </w:r>
            <w:r>
              <w:rPr>
                <w:rFonts w:hint="default"/>
                <w:color w:val="auto"/>
                <w:sz w:val="24"/>
                <w:vertAlign w:val="superscript"/>
                <w:lang w:val="zh-CN"/>
              </w:rPr>
              <w:t>2</w:t>
            </w:r>
            <w:r>
              <w:rPr>
                <w:rFonts w:hint="eastAsia"/>
                <w:color w:val="auto"/>
                <w:sz w:val="24"/>
                <w:lang w:val="zh-CN"/>
              </w:rPr>
              <w:t>。本项目建成后年产泡沫箱</w:t>
            </w:r>
            <w:r>
              <w:rPr>
                <w:rFonts w:hint="eastAsia"/>
                <w:color w:val="auto"/>
                <w:sz w:val="24"/>
                <w:lang w:val="en-US" w:eastAsia="zh-CN"/>
              </w:rPr>
              <w:t>2000万个</w:t>
            </w:r>
            <w:r>
              <w:rPr>
                <w:rFonts w:hint="eastAsia"/>
                <w:color w:val="auto"/>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根据《中华人民共和国环境保护法》、《中华人民共和国环境影响评价法》、《建设项目环境保护管理条例》和《云南省建设项目环境保护管理规定》的规定，建设项目必须履行环境影响评价制度。根据《建设项目环境影响评价分类管理名录》（2021年版）等有关法律、法规的要求，项目属于“</w:t>
            </w:r>
            <w:r>
              <w:rPr>
                <w:rFonts w:hint="default" w:ascii="Times New Roman" w:hAnsi="Times New Roman" w:eastAsia="宋体" w:cs="Times New Roman"/>
                <w:color w:val="auto"/>
                <w:sz w:val="24"/>
                <w:szCs w:val="24"/>
                <w:highlight w:val="none"/>
                <w:lang w:val="en-US" w:eastAsia="zh-CN"/>
              </w:rPr>
              <w:t>二十六、橡胶和塑料制品业29-53、塑料制品业292—其他（年用非溶剂型低VOC</w:t>
            </w:r>
            <w:r>
              <w:rPr>
                <w:rFonts w:hint="default" w:ascii="Times New Roman" w:hAnsi="Times New Roman" w:eastAsia="宋体" w:cs="Times New Roman"/>
                <w:color w:val="auto"/>
                <w:sz w:val="24"/>
                <w:szCs w:val="24"/>
                <w:highlight w:val="none"/>
                <w:vertAlign w:val="subscript"/>
                <w:lang w:val="en-US" w:eastAsia="zh-CN"/>
              </w:rPr>
              <w:t>S</w:t>
            </w:r>
            <w:r>
              <w:rPr>
                <w:rFonts w:hint="default" w:ascii="Times New Roman" w:hAnsi="Times New Roman" w:eastAsia="宋体" w:cs="Times New Roman"/>
                <w:color w:val="auto"/>
                <w:sz w:val="24"/>
                <w:szCs w:val="24"/>
                <w:highlight w:val="none"/>
                <w:lang w:val="en-US" w:eastAsia="zh-CN"/>
              </w:rPr>
              <w:t>含量涂料10吨以下的除外）</w:t>
            </w:r>
            <w:r>
              <w:rPr>
                <w:rFonts w:hint="default" w:ascii="Times New Roman" w:hAnsi="Times New Roman" w:eastAsia="宋体" w:cs="Times New Roman"/>
                <w:color w:val="auto"/>
                <w:kern w:val="0"/>
                <w:sz w:val="24"/>
                <w:szCs w:val="24"/>
                <w:highlight w:val="none"/>
                <w:lang w:val="en-US" w:eastAsia="zh-CN" w:bidi="ar"/>
              </w:rPr>
              <w:t>”及“</w:t>
            </w:r>
            <w:r>
              <w:rPr>
                <w:rFonts w:hint="default" w:ascii="Times New Roman" w:hAnsi="Times New Roman" w:eastAsia="宋体" w:cs="Times New Roman"/>
                <w:color w:val="auto"/>
                <w:sz w:val="24"/>
                <w:szCs w:val="24"/>
                <w:highlight w:val="none"/>
              </w:rPr>
              <w:t>四十一、电力、热力生产和供应业</w:t>
            </w:r>
            <w:r>
              <w:rPr>
                <w:rFonts w:hint="default" w:ascii="Times New Roman" w:hAnsi="Times New Roman" w:eastAsia="宋体" w:cs="Times New Roman"/>
                <w:color w:val="auto"/>
                <w:sz w:val="24"/>
                <w:szCs w:val="24"/>
                <w:highlight w:val="none"/>
                <w:lang w:val="en-US" w:eastAsia="zh-CN"/>
              </w:rPr>
              <w:t>-91、</w:t>
            </w:r>
            <w:r>
              <w:rPr>
                <w:rFonts w:hint="default" w:ascii="Times New Roman" w:hAnsi="Times New Roman" w:eastAsia="宋体" w:cs="Times New Roman"/>
                <w:color w:val="auto"/>
                <w:sz w:val="24"/>
                <w:szCs w:val="24"/>
                <w:highlight w:val="none"/>
              </w:rPr>
              <w:t>热力生产和供应工</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rPr>
              <w:t>程（包括建设单位自建自用的供热工程）</w:t>
            </w:r>
            <w:r>
              <w:rPr>
                <w:rFonts w:hint="eastAsia" w:ascii="Times New Roman" w:hAnsi="Times New Roman" w:cs="Times New Roman"/>
                <w:color w:val="auto"/>
                <w:sz w:val="24"/>
                <w:szCs w:val="24"/>
                <w:highlight w:val="none"/>
                <w:lang w:eastAsia="zh-CN"/>
              </w:rPr>
              <w:t>；</w:t>
            </w:r>
            <w:r>
              <w:rPr>
                <w:rFonts w:hint="eastAsia"/>
                <w:color w:val="auto"/>
                <w:sz w:val="24"/>
                <w:lang w:val="en-US" w:eastAsia="zh-CN"/>
              </w:rPr>
              <w:t>燃煤、燃油锅炉总容量65吨/小时（45.5兆瓦）及以下的；天然气锅炉总容量1吨/小时（0.7兆瓦）以上的；使用其他高污染燃料的</w:t>
            </w:r>
            <w:r>
              <w:rPr>
                <w:rFonts w:hint="default" w:ascii="Times New Roman" w:hAnsi="Times New Roman" w:eastAsia="宋体" w:cs="Times New Roman"/>
                <w:color w:val="auto"/>
                <w:kern w:val="0"/>
                <w:sz w:val="24"/>
                <w:szCs w:val="24"/>
                <w:highlight w:val="none"/>
                <w:lang w:val="en-US" w:eastAsia="zh-CN" w:bidi="ar"/>
              </w:rPr>
              <w:t>”，需编制环境影响评价报告表。为此，</w:t>
            </w:r>
            <w:r>
              <w:rPr>
                <w:rFonts w:hint="default" w:ascii="Times New Roman" w:hAnsi="Times New Roman" w:eastAsia="宋体" w:cs="Times New Roman"/>
                <w:color w:val="auto"/>
                <w:sz w:val="24"/>
                <w:szCs w:val="24"/>
                <w:highlight w:val="none"/>
                <w:lang w:val="en-US" w:eastAsia="zh-CN"/>
              </w:rPr>
              <w:t>云南广兴塑料泡沫有限责任公司</w:t>
            </w:r>
            <w:r>
              <w:rPr>
                <w:rFonts w:hint="default" w:ascii="Times New Roman" w:hAnsi="Times New Roman" w:eastAsia="宋体" w:cs="Times New Roman"/>
                <w:color w:val="auto"/>
                <w:kern w:val="0"/>
                <w:sz w:val="24"/>
                <w:szCs w:val="24"/>
                <w:highlight w:val="none"/>
                <w:lang w:val="en-US" w:eastAsia="zh-CN" w:bidi="ar"/>
              </w:rPr>
              <w:t>委托</w:t>
            </w:r>
            <w:r>
              <w:rPr>
                <w:rFonts w:hint="eastAsia" w:ascii="Times New Roman" w:hAnsi="Times New Roman" w:eastAsia="宋体" w:cs="Times New Roman"/>
                <w:color w:val="auto"/>
                <w:kern w:val="0"/>
                <w:sz w:val="24"/>
                <w:szCs w:val="24"/>
                <w:highlight w:val="none"/>
                <w:lang w:val="en-US" w:eastAsia="zh-CN" w:bidi="ar"/>
              </w:rPr>
              <w:t>云南嘉衍环境工程有限公司</w:t>
            </w:r>
            <w:r>
              <w:rPr>
                <w:rFonts w:hint="default" w:ascii="Times New Roman" w:hAnsi="Times New Roman" w:eastAsia="宋体" w:cs="Times New Roman"/>
                <w:color w:val="auto"/>
                <w:kern w:val="0"/>
                <w:sz w:val="24"/>
                <w:szCs w:val="24"/>
                <w:highlight w:val="none"/>
                <w:lang w:val="en-US" w:eastAsia="zh-CN" w:bidi="ar"/>
              </w:rPr>
              <w:t>承担该项目的环境影响报告表编制工作（委托书见附件1）。我单位接受委托后，根据国家建设项目环境管理</w:t>
            </w:r>
            <w:r>
              <w:rPr>
                <w:rFonts w:hint="default" w:ascii="Times New Roman" w:hAnsi="Times New Roman" w:eastAsia="宋体" w:cs="Times New Roman"/>
                <w:color w:val="auto"/>
                <w:sz w:val="24"/>
                <w:szCs w:val="24"/>
                <w:highlight w:val="none"/>
              </w:rPr>
              <w:t>的有关规定，对项目建设地周围环境状况进行了实地调查，收集及核实了当地有关环境资料，按照环境影响评价有关技术规范编制了《</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r>
              <w:rPr>
                <w:rFonts w:hint="default" w:ascii="Times New Roman" w:hAnsi="Times New Roman" w:eastAsia="宋体" w:cs="Times New Roman"/>
                <w:color w:val="auto"/>
                <w:sz w:val="24"/>
                <w:szCs w:val="24"/>
                <w:highlight w:val="none"/>
              </w:rPr>
              <w:t>环境影响报告表》，供建设单位上报审批</w:t>
            </w:r>
            <w:r>
              <w:rPr>
                <w:rFonts w:hint="default" w:ascii="Times New Roman" w:hAnsi="Times New Roman" w:eastAsia="宋体" w:cs="Times New Roman"/>
                <w:color w:val="auto"/>
                <w:sz w:val="24"/>
                <w:szCs w:val="24"/>
                <w:highlight w:val="none"/>
                <w:lang w:eastAsia="zh-CN"/>
              </w:rPr>
              <w:t>。</w:t>
            </w:r>
          </w:p>
          <w:p>
            <w:pPr>
              <w:pStyle w:val="13"/>
              <w:keepNext w:val="0"/>
              <w:keepLines w:val="0"/>
              <w:pageBreakBefore w:val="0"/>
              <w:widowControl w:val="0"/>
              <w:tabs>
                <w:tab w:val="center" w:pos="4360"/>
              </w:tabs>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二、</w:t>
            </w:r>
            <w:r>
              <w:rPr>
                <w:rFonts w:hint="default" w:ascii="Times New Roman" w:hAnsi="Times New Roman" w:eastAsia="宋体" w:cs="Times New Roman"/>
                <w:b/>
                <w:color w:val="auto"/>
                <w:sz w:val="24"/>
                <w:szCs w:val="24"/>
                <w:highlight w:val="none"/>
              </w:rPr>
              <w:t>工程内容及规模</w:t>
            </w:r>
          </w:p>
          <w:p>
            <w:pPr>
              <w:pStyle w:val="19"/>
              <w:adjustRightInd w:val="0"/>
              <w:snapToGrid w:val="0"/>
              <w:spacing w:line="360" w:lineRule="auto"/>
              <w:ind w:firstLine="482" w:firstLineChars="200"/>
              <w:rPr>
                <w:rFonts w:hint="eastAsia" w:ascii="Times New Roman" w:hAnsi="Times New Roman" w:eastAsia="宋体" w:cs="Times New Roman"/>
                <w:b/>
                <w:color w:val="auto"/>
                <w:sz w:val="24"/>
                <w:lang w:eastAsia="zh-CN"/>
              </w:rPr>
            </w:pPr>
            <w:r>
              <w:rPr>
                <w:rFonts w:hint="default" w:ascii="Times New Roman" w:hAnsi="Times New Roman" w:eastAsia="宋体" w:cs="Times New Roman"/>
                <w:b/>
                <w:color w:val="auto"/>
                <w:sz w:val="24"/>
              </w:rPr>
              <w:t>1、</w:t>
            </w:r>
            <w:r>
              <w:rPr>
                <w:rFonts w:hint="eastAsia" w:ascii="Times New Roman" w:hAnsi="Times New Roman" w:cs="Times New Roman"/>
                <w:b/>
                <w:color w:val="auto"/>
                <w:sz w:val="24"/>
                <w:lang w:eastAsia="zh-CN"/>
              </w:rPr>
              <w:t>项目概况</w:t>
            </w:r>
          </w:p>
          <w:p>
            <w:pPr>
              <w:snapToGrid w:val="0"/>
              <w:spacing w:line="360" w:lineRule="auto"/>
              <w:ind w:firstLine="480" w:firstLineChars="200"/>
              <w:rPr>
                <w:color w:val="auto"/>
                <w:sz w:val="24"/>
              </w:rPr>
            </w:pPr>
            <w:r>
              <w:rPr>
                <w:color w:val="auto"/>
                <w:sz w:val="24"/>
              </w:rPr>
              <w:t>项目名称：</w:t>
            </w:r>
            <w:r>
              <w:rPr>
                <w:rFonts w:hint="default" w:ascii="Times New Roman" w:hAnsi="Times New Roman" w:eastAsia="宋体" w:cs="Times New Roman"/>
                <w:color w:val="auto"/>
                <w:sz w:val="24"/>
                <w:szCs w:val="24"/>
                <w:highlight w:val="none"/>
                <w:lang w:val="en-US" w:eastAsia="zh-CN"/>
              </w:rPr>
              <w:t>云南广兴塑料泡沫有限责任公司塑料制品生产线建设项目</w:t>
            </w:r>
          </w:p>
          <w:p>
            <w:pPr>
              <w:adjustRightInd w:val="0"/>
              <w:snapToGrid w:val="0"/>
              <w:spacing w:line="360" w:lineRule="auto"/>
              <w:ind w:firstLine="480" w:firstLineChars="200"/>
              <w:rPr>
                <w:color w:val="auto"/>
                <w:sz w:val="24"/>
              </w:rPr>
            </w:pPr>
            <w:r>
              <w:rPr>
                <w:color w:val="auto"/>
                <w:sz w:val="24"/>
              </w:rPr>
              <w:t>项目建设地点：</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eastAsia"/>
                <w:color w:val="auto"/>
                <w:sz w:val="24"/>
              </w:rPr>
              <w:t>，地理位置中心坐标东</w:t>
            </w:r>
            <w:r>
              <w:rPr>
                <w:color w:val="auto"/>
                <w:sz w:val="24"/>
              </w:rPr>
              <w:t>经</w:t>
            </w:r>
            <w:r>
              <w:rPr>
                <w:rFonts w:hint="eastAsia"/>
                <w:color w:val="auto"/>
                <w:sz w:val="24"/>
                <w:lang w:val="en-US" w:eastAsia="zh-CN"/>
              </w:rPr>
              <w:t>103</w:t>
            </w:r>
            <w:r>
              <w:rPr>
                <w:color w:val="auto"/>
                <w:sz w:val="24"/>
              </w:rPr>
              <w:t>°</w:t>
            </w:r>
            <w:r>
              <w:rPr>
                <w:rFonts w:hint="eastAsia"/>
                <w:color w:val="auto"/>
                <w:sz w:val="24"/>
                <w:lang w:val="en-US" w:eastAsia="zh-CN"/>
              </w:rPr>
              <w:t>9</w:t>
            </w:r>
            <w:r>
              <w:rPr>
                <w:color w:val="auto"/>
                <w:sz w:val="24"/>
              </w:rPr>
              <w:t>′</w:t>
            </w:r>
            <w:r>
              <w:rPr>
                <w:rFonts w:hint="eastAsia"/>
                <w:color w:val="auto"/>
                <w:sz w:val="24"/>
                <w:lang w:val="en-US" w:eastAsia="zh-CN"/>
              </w:rPr>
              <w:t>22.773</w:t>
            </w:r>
            <w:r>
              <w:rPr>
                <w:color w:val="auto"/>
                <w:sz w:val="24"/>
              </w:rPr>
              <w:t>″，北纬25°</w:t>
            </w:r>
            <w:r>
              <w:rPr>
                <w:rFonts w:hint="eastAsia"/>
                <w:color w:val="auto"/>
                <w:sz w:val="24"/>
              </w:rPr>
              <w:t>2</w:t>
            </w:r>
            <w:r>
              <w:rPr>
                <w:rFonts w:hint="eastAsia"/>
                <w:color w:val="auto"/>
                <w:sz w:val="24"/>
                <w:lang w:val="en-US" w:eastAsia="zh-CN"/>
              </w:rPr>
              <w:t>7</w:t>
            </w:r>
            <w:r>
              <w:rPr>
                <w:color w:val="auto"/>
                <w:sz w:val="24"/>
              </w:rPr>
              <w:t>′</w:t>
            </w:r>
            <w:r>
              <w:rPr>
                <w:rFonts w:hint="eastAsia"/>
                <w:color w:val="auto"/>
                <w:sz w:val="24"/>
                <w:lang w:val="en-US" w:eastAsia="zh-CN"/>
              </w:rPr>
              <w:t>58.255</w:t>
            </w:r>
            <w:r>
              <w:rPr>
                <w:color w:val="auto"/>
                <w:sz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color w:val="auto"/>
                <w:sz w:val="24"/>
              </w:rPr>
              <w:t>建设单位：</w:t>
            </w:r>
            <w:r>
              <w:rPr>
                <w:rFonts w:hint="default" w:ascii="Times New Roman" w:hAnsi="Times New Roman" w:eastAsia="宋体" w:cs="Times New Roman"/>
                <w:color w:val="auto"/>
                <w:sz w:val="24"/>
                <w:szCs w:val="24"/>
                <w:highlight w:val="none"/>
                <w:lang w:val="en-US" w:eastAsia="zh-CN"/>
              </w:rPr>
              <w:t>云南广兴塑料泡沫有限责任公司</w:t>
            </w:r>
          </w:p>
          <w:p>
            <w:pPr>
              <w:adjustRightInd w:val="0"/>
              <w:snapToGrid w:val="0"/>
              <w:spacing w:line="360" w:lineRule="auto"/>
              <w:ind w:firstLine="480" w:firstLineChars="200"/>
              <w:rPr>
                <w:color w:val="auto"/>
                <w:sz w:val="24"/>
              </w:rPr>
            </w:pPr>
            <w:r>
              <w:rPr>
                <w:color w:val="auto"/>
                <w:sz w:val="24"/>
              </w:rPr>
              <w:t>建设性质：新建</w:t>
            </w:r>
          </w:p>
          <w:p>
            <w:pPr>
              <w:adjustRightInd w:val="0"/>
              <w:snapToGrid w:val="0"/>
              <w:spacing w:line="360" w:lineRule="auto"/>
              <w:ind w:firstLine="480" w:firstLineChars="200"/>
              <w:rPr>
                <w:color w:val="auto"/>
                <w:sz w:val="24"/>
              </w:rPr>
            </w:pPr>
            <w:r>
              <w:rPr>
                <w:color w:val="auto"/>
                <w:sz w:val="24"/>
              </w:rPr>
              <w:t>项目投资：</w:t>
            </w:r>
            <w:r>
              <w:rPr>
                <w:rFonts w:hint="eastAsia" w:cs="Times New Roman"/>
                <w:color w:val="auto"/>
                <w:sz w:val="24"/>
                <w:szCs w:val="24"/>
                <w:highlight w:val="none"/>
                <w:lang w:val="en-US" w:eastAsia="zh-CN"/>
              </w:rPr>
              <w:t>9865.32</w:t>
            </w:r>
            <w:r>
              <w:rPr>
                <w:color w:val="auto"/>
                <w:sz w:val="24"/>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108.3</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1.10</w:t>
            </w:r>
            <w:r>
              <w:rPr>
                <w:rFonts w:hint="default" w:ascii="Times New Roman" w:hAnsi="Times New Roman" w:eastAsia="宋体" w:cs="Times New Roman"/>
                <w:color w:val="auto"/>
                <w:sz w:val="24"/>
                <w:highlight w:val="none"/>
              </w:rPr>
              <w:t>%</w:t>
            </w:r>
            <w:r>
              <w:rPr>
                <w:color w:val="auto"/>
                <w:sz w:val="24"/>
              </w:rPr>
              <w:t>。</w:t>
            </w:r>
          </w:p>
          <w:p>
            <w:pPr>
              <w:adjustRightInd w:val="0"/>
              <w:snapToGrid w:val="0"/>
              <w:spacing w:line="360" w:lineRule="auto"/>
              <w:ind w:firstLine="480" w:firstLineChars="200"/>
              <w:rPr>
                <w:color w:val="auto"/>
                <w:sz w:val="24"/>
              </w:rPr>
            </w:pPr>
            <w:r>
              <w:rPr>
                <w:rFonts w:hint="eastAsia"/>
                <w:color w:val="auto"/>
                <w:sz w:val="24"/>
              </w:rPr>
              <w:t>建设规模：</w:t>
            </w:r>
            <w:r>
              <w:rPr>
                <w:rFonts w:hint="eastAsia"/>
                <w:color w:val="auto"/>
                <w:sz w:val="24"/>
                <w:lang w:val="zh-CN"/>
              </w:rPr>
              <w:t>项目占地面积</w:t>
            </w:r>
            <w:r>
              <w:rPr>
                <w:rFonts w:hint="eastAsia" w:cs="宋体"/>
                <w:color w:val="auto"/>
                <w:sz w:val="24"/>
                <w:lang w:val="en-US" w:eastAsia="zh-CN"/>
              </w:rPr>
              <w:t>25555.6</w:t>
            </w:r>
            <w:r>
              <w:rPr>
                <w:rFonts w:hint="default"/>
                <w:color w:val="auto"/>
                <w:sz w:val="24"/>
                <w:lang w:val="zh-CN"/>
              </w:rPr>
              <w:t>m</w:t>
            </w:r>
            <w:r>
              <w:rPr>
                <w:rFonts w:hint="default"/>
                <w:color w:val="auto"/>
                <w:sz w:val="24"/>
                <w:vertAlign w:val="superscript"/>
                <w:lang w:val="zh-CN"/>
              </w:rPr>
              <w:t>2</w:t>
            </w:r>
            <w:r>
              <w:rPr>
                <w:rFonts w:hint="eastAsia"/>
                <w:color w:val="auto"/>
                <w:sz w:val="24"/>
                <w:lang w:val="zh-CN"/>
              </w:rPr>
              <w:t>，建筑面积约</w:t>
            </w:r>
            <w:r>
              <w:rPr>
                <w:rFonts w:hint="eastAsia"/>
                <w:color w:val="auto"/>
                <w:sz w:val="24"/>
                <w:lang w:val="en-US" w:eastAsia="zh-CN"/>
              </w:rPr>
              <w:t>17363.38</w:t>
            </w:r>
            <w:r>
              <w:rPr>
                <w:rFonts w:hint="eastAsia"/>
                <w:color w:val="auto"/>
                <w:sz w:val="24"/>
                <w:lang w:val="zh-CN"/>
              </w:rPr>
              <w:t>m</w:t>
            </w:r>
            <w:r>
              <w:rPr>
                <w:rFonts w:hint="default"/>
                <w:color w:val="auto"/>
                <w:sz w:val="24"/>
                <w:vertAlign w:val="superscript"/>
                <w:lang w:val="zh-CN"/>
              </w:rPr>
              <w:t>2</w:t>
            </w:r>
            <w:r>
              <w:rPr>
                <w:rFonts w:hint="eastAsia"/>
                <w:color w:val="auto"/>
                <w:sz w:val="24"/>
                <w:lang w:val="zh-CN"/>
              </w:rPr>
              <w:t>。建成后年产泡沫箱</w:t>
            </w:r>
            <w:r>
              <w:rPr>
                <w:rFonts w:hint="eastAsia"/>
                <w:color w:val="auto"/>
                <w:sz w:val="24"/>
                <w:lang w:val="en-US" w:eastAsia="zh-CN"/>
              </w:rPr>
              <w:t>2000万个</w:t>
            </w:r>
            <w:r>
              <w:rPr>
                <w:rFonts w:hint="eastAsia"/>
                <w:color w:val="auto"/>
                <w:sz w:val="24"/>
                <w:lang w:val="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、项目建设内容及规模</w:t>
            </w:r>
          </w:p>
          <w:p>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项目建设内容</w:t>
            </w:r>
            <w:r>
              <w:rPr>
                <w:rFonts w:hint="default" w:ascii="Times New Roman" w:hAnsi="Times New Roman" w:eastAsia="宋体" w:cs="Times New Roman"/>
                <w:color w:val="auto"/>
                <w:sz w:val="24"/>
                <w:szCs w:val="24"/>
                <w:highlight w:val="none"/>
              </w:rPr>
              <w:t>包括主体工程、辅助工程、公用工程、环保工</w:t>
            </w:r>
            <w:r>
              <w:rPr>
                <w:rFonts w:hint="default" w:ascii="Times New Roman" w:hAnsi="Times New Roman" w:eastAsia="宋体" w:cs="Times New Roman"/>
                <w:color w:val="auto"/>
                <w:sz w:val="24"/>
                <w:szCs w:val="24"/>
                <w:highlight w:val="none"/>
                <w:lang w:val="en-US" w:eastAsia="zh-CN"/>
              </w:rPr>
              <w:t>程。</w:t>
            </w:r>
            <w:r>
              <w:rPr>
                <w:color w:val="auto"/>
                <w:sz w:val="24"/>
              </w:rPr>
              <w:t>项目主要建设内容见表</w:t>
            </w:r>
            <w:r>
              <w:rPr>
                <w:rFonts w:hint="eastAsia"/>
                <w:color w:val="auto"/>
                <w:sz w:val="24"/>
              </w:rPr>
              <w:t>2</w:t>
            </w:r>
            <w:r>
              <w:rPr>
                <w:color w:val="auto"/>
                <w:sz w:val="24"/>
              </w:rPr>
              <w:t>-</w:t>
            </w:r>
            <w:r>
              <w:rPr>
                <w:rFonts w:hint="eastAsia"/>
                <w:color w:val="auto"/>
                <w:sz w:val="24"/>
              </w:rPr>
              <w:t>1</w:t>
            </w:r>
            <w:r>
              <w:rPr>
                <w:color w:val="auto"/>
                <w:sz w:val="24"/>
              </w:rPr>
              <w:t>。</w:t>
            </w:r>
          </w:p>
          <w:p>
            <w:pPr>
              <w:adjustRightInd w:val="0"/>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-1 </w:t>
            </w:r>
            <w:r>
              <w:rPr>
                <w:rFonts w:hint="default" w:ascii="Times New Roman" w:hAnsi="Times New Roman" w:eastAsia="宋体" w:cs="Times New Roman"/>
                <w:b/>
                <w:bCs/>
                <w:color w:val="auto"/>
                <w:szCs w:val="21"/>
                <w:highlight w:val="none"/>
                <w:lang w:val="en-US" w:eastAsia="zh-CN"/>
              </w:rPr>
              <w:t xml:space="preserve"> 本</w:t>
            </w:r>
            <w:r>
              <w:rPr>
                <w:rFonts w:hint="default" w:ascii="Times New Roman" w:hAnsi="Times New Roman" w:eastAsia="宋体" w:cs="Times New Roman"/>
                <w:b/>
                <w:bCs/>
                <w:color w:val="auto"/>
                <w:szCs w:val="21"/>
                <w:highlight w:val="none"/>
              </w:rPr>
              <w:t>项目组成一览表</w:t>
            </w:r>
          </w:p>
          <w:tbl>
            <w:tblPr>
              <w:tblStyle w:val="27"/>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426"/>
              <w:gridCol w:w="1240"/>
              <w:gridCol w:w="865"/>
              <w:gridCol w:w="4513"/>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工程分类</w:t>
                  </w:r>
                </w:p>
              </w:tc>
              <w:tc>
                <w:tcPr>
                  <w:tcW w:w="1666" w:type="dxa"/>
                  <w:gridSpan w:val="2"/>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项目名称</w:t>
                  </w:r>
                </w:p>
              </w:tc>
              <w:tc>
                <w:tcPr>
                  <w:tcW w:w="5378" w:type="dxa"/>
                  <w:gridSpan w:val="2"/>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建设内容及规模</w:t>
                  </w:r>
                </w:p>
              </w:tc>
              <w:tc>
                <w:tcPr>
                  <w:tcW w:w="669" w:type="dxa"/>
                  <w:vMerge w:val="restart"/>
                  <w:vAlign w:val="center"/>
                </w:tcPr>
                <w:p>
                  <w:pPr>
                    <w:adjustRightInd w:val="0"/>
                    <w:snapToGrid w:val="0"/>
                    <w:spacing w:line="0" w:lineRule="atLeas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5378" w:type="dxa"/>
                  <w:gridSpan w:val="2"/>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669"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主体工程</w:t>
                  </w:r>
                </w:p>
              </w:tc>
              <w:tc>
                <w:tcPr>
                  <w:tcW w:w="1666" w:type="dxa"/>
                  <w:gridSpan w:val="2"/>
                  <w:vMerge w:val="restart"/>
                  <w:vAlign w:val="center"/>
                </w:tcPr>
                <w:p>
                  <w:pPr>
                    <w:pStyle w:val="20"/>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生产车间</w:t>
                  </w:r>
                </w:p>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5378" w:type="dxa"/>
                  <w:gridSpan w:val="2"/>
                  <w:vAlign w:val="center"/>
                </w:tcPr>
                <w:p>
                  <w:pPr>
                    <w:keepNext w:val="0"/>
                    <w:keepLines w:val="0"/>
                    <w:widowControl w:val="0"/>
                    <w:suppressLineNumbers w:val="0"/>
                    <w:spacing w:before="0" w:beforeAutospacing="0" w:after="0" w:afterAutospacing="0"/>
                    <w:ind w:left="0" w:leftChars="0" w:right="0" w:rightChars="0"/>
                    <w:jc w:val="both"/>
                    <w:rPr>
                      <w:rFonts w:hint="default"/>
                      <w:color w:val="auto"/>
                      <w:lang w:val="en-US" w:eastAsia="zh-CN"/>
                    </w:rPr>
                  </w:pPr>
                  <w:r>
                    <w:rPr>
                      <w:rFonts w:hint="eastAsia" w:cs="Times New Roman"/>
                      <w:color w:val="auto"/>
                      <w:sz w:val="21"/>
                      <w:szCs w:val="21"/>
                      <w:highlight w:val="none"/>
                      <w:lang w:eastAsia="zh-CN"/>
                    </w:rPr>
                    <w:t>位于项目区西北侧，占地面积为</w:t>
                  </w:r>
                  <w:r>
                    <w:rPr>
                      <w:rFonts w:hint="eastAsia" w:cs="Times New Roman"/>
                      <w:color w:val="auto"/>
                      <w:sz w:val="21"/>
                      <w:szCs w:val="21"/>
                      <w:highlight w:val="none"/>
                      <w:lang w:val="en-US" w:eastAsia="zh-CN"/>
                    </w:rPr>
                    <w:t>2210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，建筑面积</w:t>
                  </w:r>
                  <w:r>
                    <w:rPr>
                      <w:rFonts w:hint="eastAsia" w:cs="Times New Roman"/>
                      <w:color w:val="auto"/>
                      <w:sz w:val="21"/>
                      <w:szCs w:val="21"/>
                      <w:highlight w:val="none"/>
                      <w:lang w:val="en-US" w:eastAsia="zh-CN"/>
                    </w:rPr>
                    <w:t>4420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框</w:t>
                  </w:r>
                  <w:r>
                    <w:rPr>
                      <w:rFonts w:hint="default" w:ascii="Times New Roman" w:hAnsi="Times New Roman" w:eastAsia="宋体" w:cs="Times New Roman"/>
                      <w:color w:val="auto"/>
                      <w:sz w:val="21"/>
                      <w:szCs w:val="21"/>
                      <w:highlight w:val="none"/>
                      <w:lang w:val="en-US" w:eastAsia="zh-CN"/>
                    </w:rPr>
                    <w:t>架</w:t>
                  </w:r>
                  <w:r>
                    <w:rPr>
                      <w:rFonts w:hint="default" w:ascii="Times New Roman" w:hAnsi="Times New Roman" w:eastAsia="宋体" w:cs="Times New Roman"/>
                      <w:color w:val="auto"/>
                      <w:sz w:val="21"/>
                      <w:szCs w:val="21"/>
                      <w:highlight w:val="none"/>
                      <w:lang w:eastAsia="zh-CN"/>
                    </w:rPr>
                    <w:t>结构厂房，</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2层建筑物，高度为16.482m，二楼为原料储存区，一楼</w:t>
                  </w:r>
                  <w:r>
                    <w:rPr>
                      <w:rFonts w:hint="default" w:ascii="Times New Roman" w:hAnsi="Times New Roman" w:eastAsia="宋体" w:cs="Times New Roman"/>
                      <w:color w:val="auto"/>
                      <w:sz w:val="21"/>
                      <w:szCs w:val="21"/>
                      <w:highlight w:val="none"/>
                      <w:lang w:val="en-US" w:eastAsia="zh-CN"/>
                    </w:rPr>
                    <w:t>自</w:t>
                  </w:r>
                  <w:r>
                    <w:rPr>
                      <w:rFonts w:hint="eastAsia" w:ascii="Times New Roman" w:hAnsi="Times New Roman" w:eastAsia="宋体"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向</w:t>
                  </w:r>
                  <w:r>
                    <w:rPr>
                      <w:rFonts w:hint="eastAsia" w:ascii="Times New Roman" w:hAnsi="Times New Roman" w:eastAsia="宋体"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lang w:val="en-US" w:eastAsia="zh-CN"/>
                    </w:rPr>
                    <w:t>依次为</w:t>
                  </w:r>
                  <w:r>
                    <w:rPr>
                      <w:rFonts w:hint="eastAsia" w:ascii="Times New Roman" w:hAnsi="Times New Roman" w:eastAsia="宋体" w:cs="Times New Roman"/>
                      <w:color w:val="auto"/>
                      <w:sz w:val="21"/>
                      <w:szCs w:val="21"/>
                      <w:highlight w:val="none"/>
                      <w:lang w:val="en-US" w:eastAsia="zh-CN"/>
                    </w:rPr>
                    <w:t>上料区、预发泡区</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熟化区</w:t>
                  </w:r>
                  <w:r>
                    <w:rPr>
                      <w:rFonts w:hint="default" w:ascii="Times New Roman" w:hAnsi="Times New Roman" w:eastAsia="宋体" w:cs="Times New Roman"/>
                      <w:color w:val="auto"/>
                      <w:sz w:val="21"/>
                      <w:szCs w:val="21"/>
                      <w:highlight w:val="none"/>
                      <w:lang w:val="en-US" w:eastAsia="zh-CN"/>
                    </w:rPr>
                    <w:t>、成型</w:t>
                  </w:r>
                  <w:r>
                    <w:rPr>
                      <w:rFonts w:hint="eastAsia" w:ascii="Times New Roman" w:hAnsi="Times New Roman" w:eastAsia="宋体" w:cs="Times New Roman"/>
                      <w:color w:val="auto"/>
                      <w:sz w:val="21"/>
                      <w:szCs w:val="21"/>
                      <w:highlight w:val="none"/>
                      <w:lang w:val="en-US" w:eastAsia="zh-CN"/>
                    </w:rPr>
                    <w:t>区、成品区。</w:t>
                  </w:r>
                </w:p>
              </w:tc>
              <w:tc>
                <w:tcPr>
                  <w:tcW w:w="669" w:type="dxa"/>
                  <w:vMerge w:val="restart"/>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64" w:type="dxa"/>
                  <w:vMerge w:val="continue"/>
                  <w:vAlign w:val="center"/>
                </w:tcPr>
                <w:p>
                  <w:pPr>
                    <w:pStyle w:val="4"/>
                    <w:rPr>
                      <w:color w:val="auto"/>
                    </w:rPr>
                  </w:pPr>
                </w:p>
              </w:tc>
              <w:tc>
                <w:tcPr>
                  <w:tcW w:w="1666" w:type="dxa"/>
                  <w:gridSpan w:val="2"/>
                  <w:vMerge w:val="continue"/>
                  <w:vAlign w:val="center"/>
                </w:tcPr>
                <w:p>
                  <w:pPr>
                    <w:pStyle w:val="4"/>
                    <w:rPr>
                      <w:color w:val="auto"/>
                    </w:rPr>
                  </w:pPr>
                </w:p>
              </w:tc>
              <w:tc>
                <w:tcPr>
                  <w:tcW w:w="865" w:type="dxa"/>
                  <w:vAlign w:val="center"/>
                </w:tcPr>
                <w:p>
                  <w:pPr>
                    <w:pStyle w:val="4"/>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预发泡区</w:t>
                  </w:r>
                </w:p>
              </w:tc>
              <w:tc>
                <w:tcPr>
                  <w:tcW w:w="451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sz w:val="21"/>
                      <w:szCs w:val="21"/>
                      <w:highlight w:val="none"/>
                      <w:lang w:val="en-US" w:eastAsia="zh-CN"/>
                    </w:rPr>
                    <w:t>全自动间歇式预发泡</w:t>
                  </w:r>
                  <w:r>
                    <w:rPr>
                      <w:rFonts w:hint="eastAsia" w:ascii="Times New Roman" w:hAnsi="Times New Roman" w:cs="Times New Roman"/>
                      <w:color w:val="auto"/>
                      <w:sz w:val="21"/>
                      <w:szCs w:val="21"/>
                      <w:highlight w:val="none"/>
                      <w:lang w:val="en-US" w:eastAsia="zh-CN"/>
                    </w:rPr>
                    <w:t>及配套</w:t>
                  </w:r>
                  <w:r>
                    <w:rPr>
                      <w:rFonts w:hint="eastAsia"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套流化床</w:t>
                  </w:r>
                  <w:r>
                    <w:rPr>
                      <w:rFonts w:hint="default" w:ascii="Times New Roman" w:hAnsi="Times New Roman" w:eastAsia="宋体" w:cs="Times New Roman"/>
                      <w:color w:val="auto"/>
                      <w:sz w:val="21"/>
                      <w:szCs w:val="21"/>
                      <w:highlight w:val="none"/>
                      <w:lang w:val="en-US" w:eastAsia="zh-CN"/>
                    </w:rPr>
                    <w:t>，</w:t>
                  </w:r>
                </w:p>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发泡机自带的抽料风机</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用于可发性聚苯乙烯</w:t>
                  </w:r>
                  <w:r>
                    <w:rPr>
                      <w:rFonts w:hint="default" w:ascii="Times New Roman" w:hAnsi="Times New Roman" w:eastAsia="宋体" w:cs="Times New Roman"/>
                      <w:color w:val="auto"/>
                      <w:sz w:val="21"/>
                      <w:szCs w:val="21"/>
                      <w:highlight w:val="none"/>
                      <w:lang w:eastAsia="zh-CN"/>
                    </w:rPr>
                    <w:t>预发泡处理</w:t>
                  </w:r>
                  <w:r>
                    <w:rPr>
                      <w:rFonts w:hint="eastAsia" w:cs="Times New Roman"/>
                      <w:color w:val="auto"/>
                      <w:sz w:val="21"/>
                      <w:szCs w:val="21"/>
                      <w:highlight w:val="none"/>
                      <w:lang w:eastAsia="zh-CN"/>
                    </w:rPr>
                    <w:t>；</w:t>
                  </w:r>
                </w:p>
              </w:tc>
              <w:tc>
                <w:tcPr>
                  <w:tcW w:w="669" w:type="dxa"/>
                  <w:vMerge w:val="continue"/>
                  <w:vAlign w:val="center"/>
                </w:tcPr>
                <w:p>
                  <w:pPr>
                    <w:pStyle w:val="4"/>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64" w:type="dxa"/>
                  <w:vMerge w:val="continue"/>
                  <w:vAlign w:val="center"/>
                </w:tcPr>
                <w:p>
                  <w:pPr>
                    <w:pStyle w:val="4"/>
                    <w:rPr>
                      <w:rFonts w:hint="default" w:ascii="Times New Roman" w:hAnsi="Times New Roman" w:eastAsia="宋体" w:cs="Times New Roman"/>
                      <w:color w:val="auto"/>
                      <w:sz w:val="21"/>
                      <w:szCs w:val="21"/>
                      <w:highlight w:val="none"/>
                      <w:lang w:eastAsia="zh-CN"/>
                    </w:rPr>
                  </w:pPr>
                </w:p>
              </w:tc>
              <w:tc>
                <w:tcPr>
                  <w:tcW w:w="1666" w:type="dxa"/>
                  <w:gridSpan w:val="2"/>
                  <w:vMerge w:val="continue"/>
                  <w:vAlign w:val="center"/>
                </w:tcPr>
                <w:p>
                  <w:pPr>
                    <w:pStyle w:val="4"/>
                    <w:rPr>
                      <w:rFonts w:hint="default" w:ascii="Times New Roman" w:hAnsi="Times New Roman" w:eastAsia="宋体" w:cs="Times New Roman"/>
                      <w:color w:val="auto"/>
                      <w:sz w:val="21"/>
                      <w:szCs w:val="21"/>
                      <w:highlight w:val="none"/>
                      <w:lang w:eastAsia="zh-CN"/>
                    </w:rPr>
                  </w:pPr>
                </w:p>
              </w:tc>
              <w:tc>
                <w:tcPr>
                  <w:tcW w:w="865" w:type="dxa"/>
                  <w:vAlign w:val="center"/>
                </w:tcPr>
                <w:p>
                  <w:pPr>
                    <w:pStyle w:val="4"/>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熟化区</w:t>
                  </w:r>
                </w:p>
              </w:tc>
              <w:tc>
                <w:tcPr>
                  <w:tcW w:w="4513" w:type="dxa"/>
                  <w:vAlign w:val="center"/>
                </w:tcPr>
                <w:p>
                  <w:pPr>
                    <w:pStyle w:val="4"/>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设</w:t>
                  </w:r>
                  <w:r>
                    <w:rPr>
                      <w:rFonts w:hint="eastAsia" w:cs="Times New Roman"/>
                      <w:color w:val="auto"/>
                      <w:sz w:val="21"/>
                      <w:szCs w:val="21"/>
                      <w:highlight w:val="none"/>
                      <w:lang w:val="en-US" w:eastAsia="zh-CN"/>
                    </w:rPr>
                    <w:t>130</w:t>
                  </w:r>
                  <w:r>
                    <w:rPr>
                      <w:rFonts w:hint="eastAsia" w:cs="Times New Roman"/>
                      <w:color w:val="auto"/>
                      <w:sz w:val="21"/>
                      <w:szCs w:val="21"/>
                      <w:highlight w:val="none"/>
                      <w:lang w:eastAsia="zh-CN"/>
                    </w:rPr>
                    <w:t>套</w:t>
                  </w:r>
                  <w:r>
                    <w:rPr>
                      <w:rFonts w:hint="default" w:ascii="Times New Roman" w:hAnsi="Times New Roman" w:eastAsia="宋体" w:cs="Times New Roman"/>
                      <w:color w:val="auto"/>
                      <w:sz w:val="21"/>
                      <w:szCs w:val="21"/>
                      <w:highlight w:val="none"/>
                      <w:lang w:eastAsia="zh-CN"/>
                    </w:rPr>
                    <w:t>熟化仓，用于</w:t>
                  </w:r>
                  <w:r>
                    <w:rPr>
                      <w:rFonts w:hint="default" w:ascii="Times New Roman" w:hAnsi="Times New Roman" w:eastAsia="宋体" w:cs="Times New Roman"/>
                      <w:color w:val="auto"/>
                      <w:sz w:val="21"/>
                      <w:szCs w:val="21"/>
                      <w:highlight w:val="none"/>
                      <w:lang w:val="en-US" w:eastAsia="zh-CN"/>
                    </w:rPr>
                    <w:t>预发泡物料</w:t>
                  </w:r>
                  <w:r>
                    <w:rPr>
                      <w:rFonts w:hint="default" w:ascii="Times New Roman" w:hAnsi="Times New Roman" w:eastAsia="宋体" w:cs="Times New Roman"/>
                      <w:color w:val="auto"/>
                      <w:sz w:val="21"/>
                      <w:szCs w:val="21"/>
                      <w:highlight w:val="none"/>
                      <w:lang w:eastAsia="zh-CN"/>
                    </w:rPr>
                    <w:t>熟化过程</w:t>
                  </w:r>
                  <w:r>
                    <w:rPr>
                      <w:rFonts w:hint="eastAsia" w:ascii="Times New Roman" w:hAnsi="Times New Roman" w:eastAsia="宋体" w:cs="Times New Roman"/>
                      <w:color w:val="auto"/>
                      <w:sz w:val="21"/>
                      <w:szCs w:val="21"/>
                      <w:highlight w:val="none"/>
                      <w:lang w:eastAsia="zh-CN"/>
                    </w:rPr>
                    <w:t>；</w:t>
                  </w:r>
                </w:p>
              </w:tc>
              <w:tc>
                <w:tcPr>
                  <w:tcW w:w="669" w:type="dxa"/>
                  <w:vMerge w:val="continue"/>
                  <w:vAlign w:val="center"/>
                </w:tcPr>
                <w:p>
                  <w:pPr>
                    <w:pStyle w:val="4"/>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64" w:type="dxa"/>
                  <w:vMerge w:val="continue"/>
                  <w:vAlign w:val="center"/>
                </w:tcPr>
                <w:p>
                  <w:pPr>
                    <w:pStyle w:val="4"/>
                    <w:rPr>
                      <w:rFonts w:hint="default" w:ascii="Times New Roman" w:hAnsi="Times New Roman" w:eastAsia="宋体" w:cs="Times New Roman"/>
                      <w:color w:val="auto"/>
                      <w:sz w:val="21"/>
                      <w:szCs w:val="21"/>
                      <w:highlight w:val="none"/>
                      <w:lang w:eastAsia="zh-CN"/>
                    </w:rPr>
                  </w:pPr>
                </w:p>
              </w:tc>
              <w:tc>
                <w:tcPr>
                  <w:tcW w:w="1666" w:type="dxa"/>
                  <w:gridSpan w:val="2"/>
                  <w:vMerge w:val="continue"/>
                  <w:vAlign w:val="center"/>
                </w:tcPr>
                <w:p>
                  <w:pPr>
                    <w:pStyle w:val="4"/>
                    <w:rPr>
                      <w:rFonts w:hint="default" w:ascii="Times New Roman" w:hAnsi="Times New Roman" w:eastAsia="宋体" w:cs="Times New Roman"/>
                      <w:color w:val="auto"/>
                      <w:sz w:val="21"/>
                      <w:szCs w:val="21"/>
                      <w:highlight w:val="none"/>
                      <w:lang w:eastAsia="zh-CN"/>
                    </w:rPr>
                  </w:pPr>
                </w:p>
              </w:tc>
              <w:tc>
                <w:tcPr>
                  <w:tcW w:w="865" w:type="dxa"/>
                  <w:vAlign w:val="center"/>
                </w:tcPr>
                <w:p>
                  <w:pPr>
                    <w:pStyle w:val="4"/>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成型</w:t>
                  </w:r>
                  <w:r>
                    <w:rPr>
                      <w:rFonts w:hint="default" w:ascii="Times New Roman" w:hAnsi="Times New Roman" w:eastAsia="宋体" w:cs="Times New Roman"/>
                      <w:color w:val="auto"/>
                      <w:sz w:val="21"/>
                      <w:szCs w:val="21"/>
                      <w:highlight w:val="none"/>
                      <w:lang w:val="en-US" w:eastAsia="zh-CN"/>
                    </w:rPr>
                    <w:t>区</w:t>
                  </w:r>
                </w:p>
              </w:tc>
              <w:tc>
                <w:tcPr>
                  <w:tcW w:w="4513"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35台</w:t>
                  </w: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w:t>
                  </w:r>
                  <w:r>
                    <w:rPr>
                      <w:rFonts w:hint="default" w:ascii="Times New Roman" w:hAnsi="Times New Roman" w:eastAsia="宋体" w:cs="Times New Roman"/>
                      <w:color w:val="auto"/>
                      <w:sz w:val="21"/>
                      <w:szCs w:val="21"/>
                      <w:highlight w:val="none"/>
                    </w:rPr>
                    <w:t>成型机</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kern w:val="2"/>
                      <w:sz w:val="21"/>
                      <w:szCs w:val="21"/>
                      <w:highlight w:val="none"/>
                      <w:lang w:val="en-US" w:eastAsia="zh-CN" w:bidi="ar-SA"/>
                    </w:rPr>
                    <w:t>HS-CXJ-2300</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台</w:t>
                  </w:r>
                  <w:r>
                    <w:rPr>
                      <w:rFonts w:hint="eastAsia" w:ascii="Times New Roman" w:hAnsi="Times New Roman" w:eastAsia="宋体" w:cs="Times New Roman"/>
                      <w:color w:val="auto"/>
                      <w:kern w:val="2"/>
                      <w:sz w:val="21"/>
                      <w:szCs w:val="21"/>
                      <w:highlight w:val="none"/>
                      <w:lang w:val="en-US" w:eastAsia="zh-CN" w:bidi="ar-SA"/>
                    </w:rPr>
                    <w:t>HS-CXJ-1750</w:t>
                  </w:r>
                  <w:r>
                    <w:rPr>
                      <w:rFonts w:hint="default" w:ascii="Times New Roman" w:hAnsi="Times New Roman" w:eastAsia="宋体" w:cs="Times New Roman"/>
                      <w:color w:val="auto"/>
                      <w:sz w:val="21"/>
                      <w:szCs w:val="21"/>
                      <w:highlight w:val="none"/>
                      <w:lang w:eastAsia="zh-CN"/>
                    </w:rPr>
                    <w:t>），用于泡沫箱成型处理，并按客户要求进行制造不同尺寸的泡沫箱，</w:t>
                  </w:r>
                  <w:r>
                    <w:rPr>
                      <w:rFonts w:hint="default" w:ascii="Times New Roman" w:hAnsi="Times New Roman" w:eastAsia="宋体" w:cs="Times New Roman"/>
                      <w:color w:val="auto"/>
                      <w:sz w:val="21"/>
                      <w:szCs w:val="21"/>
                      <w:highlight w:val="none"/>
                    </w:rPr>
                    <w:t>将</w:t>
                  </w:r>
                  <w:r>
                    <w:rPr>
                      <w:rFonts w:hint="default" w:ascii="Times New Roman" w:hAnsi="Times New Roman" w:eastAsia="宋体" w:cs="Times New Roman"/>
                      <w:color w:val="auto"/>
                      <w:sz w:val="21"/>
                      <w:szCs w:val="21"/>
                      <w:highlight w:val="none"/>
                      <w:lang w:eastAsia="zh-CN"/>
                    </w:rPr>
                    <w:t>成型后的泡沫箱</w:t>
                  </w:r>
                  <w:r>
                    <w:rPr>
                      <w:rFonts w:hint="default" w:ascii="Times New Roman" w:hAnsi="Times New Roman" w:eastAsia="宋体" w:cs="Times New Roman"/>
                      <w:color w:val="auto"/>
                      <w:sz w:val="21"/>
                      <w:szCs w:val="21"/>
                      <w:highlight w:val="none"/>
                    </w:rPr>
                    <w:t>按</w:t>
                  </w:r>
                  <w:r>
                    <w:rPr>
                      <w:rFonts w:hint="default" w:ascii="Times New Roman" w:hAnsi="Times New Roman" w:eastAsia="宋体" w:cs="Times New Roman"/>
                      <w:color w:val="auto"/>
                      <w:sz w:val="21"/>
                      <w:szCs w:val="21"/>
                      <w:highlight w:val="none"/>
                      <w:lang w:eastAsia="zh-CN"/>
                    </w:rPr>
                    <w:t>不同尺寸入库</w:t>
                  </w:r>
                  <w:r>
                    <w:rPr>
                      <w:rFonts w:hint="default" w:ascii="Times New Roman" w:hAnsi="Times New Roman" w:eastAsia="宋体" w:cs="Times New Roman"/>
                      <w:color w:val="auto"/>
                      <w:sz w:val="21"/>
                      <w:szCs w:val="21"/>
                      <w:highlight w:val="none"/>
                    </w:rPr>
                    <w:t>暂存</w:t>
                  </w:r>
                  <w:r>
                    <w:rPr>
                      <w:rFonts w:hint="eastAsia" w:ascii="Times New Roman" w:hAnsi="Times New Roman" w:eastAsia="宋体" w:cs="Times New Roman"/>
                      <w:color w:val="auto"/>
                      <w:sz w:val="21"/>
                      <w:szCs w:val="21"/>
                      <w:highlight w:val="none"/>
                      <w:lang w:eastAsia="zh-CN"/>
                    </w:rPr>
                    <w:t>；</w:t>
                  </w:r>
                </w:p>
              </w:tc>
              <w:tc>
                <w:tcPr>
                  <w:tcW w:w="669" w:type="dxa"/>
                  <w:vMerge w:val="continue"/>
                  <w:vAlign w:val="center"/>
                </w:tcPr>
                <w:p>
                  <w:pPr>
                    <w:pStyle w:val="4"/>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64" w:type="dxa"/>
                  <w:vMerge w:val="continue"/>
                  <w:vAlign w:val="center"/>
                </w:tcPr>
                <w:p>
                  <w:pPr>
                    <w:keepNext w:val="0"/>
                    <w:keepLines w:val="0"/>
                    <w:widowControl w:val="0"/>
                    <w:suppressLineNumbers w:val="0"/>
                    <w:spacing w:before="0" w:beforeAutospacing="0" w:after="0" w:afterAutospacing="0"/>
                    <w:ind w:left="0" w:leftChars="0" w:right="0" w:rightChars="0"/>
                    <w:jc w:val="both"/>
                    <w:rPr>
                      <w:color w:val="auto"/>
                    </w:rPr>
                  </w:pPr>
                </w:p>
              </w:tc>
              <w:tc>
                <w:tcPr>
                  <w:tcW w:w="1666" w:type="dxa"/>
                  <w:gridSpan w:val="2"/>
                  <w:vMerge w:val="continue"/>
                  <w:vAlign w:val="center"/>
                </w:tcPr>
                <w:p>
                  <w:pPr>
                    <w:keepNext w:val="0"/>
                    <w:keepLines w:val="0"/>
                    <w:widowControl w:val="0"/>
                    <w:suppressLineNumbers w:val="0"/>
                    <w:spacing w:before="0" w:beforeAutospacing="0" w:after="0" w:afterAutospacing="0"/>
                    <w:ind w:left="0" w:leftChars="0" w:right="0" w:rightChars="0"/>
                    <w:jc w:val="both"/>
                    <w:rPr>
                      <w:color w:val="auto"/>
                    </w:rPr>
                  </w:pPr>
                </w:p>
              </w:tc>
              <w:tc>
                <w:tcPr>
                  <w:tcW w:w="865"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空压机</w:t>
                  </w:r>
                  <w:r>
                    <w:rPr>
                      <w:rFonts w:hint="default" w:ascii="Times New Roman" w:hAnsi="Times New Roman" w:eastAsia="宋体" w:cs="Times New Roman"/>
                      <w:color w:val="auto"/>
                      <w:sz w:val="21"/>
                      <w:szCs w:val="21"/>
                      <w:highlight w:val="none"/>
                      <w:lang w:val="en-US" w:eastAsia="zh-CN"/>
                    </w:rPr>
                    <w:t>及各类储罐区</w:t>
                  </w:r>
                </w:p>
              </w:tc>
              <w:tc>
                <w:tcPr>
                  <w:tcW w:w="4513" w:type="dxa"/>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设</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台空压机（</w:t>
                  </w:r>
                  <w:r>
                    <w:rPr>
                      <w:rFonts w:hint="eastAsia" w:cs="Times New Roman"/>
                      <w:color w:val="auto"/>
                      <w:sz w:val="21"/>
                      <w:szCs w:val="21"/>
                      <w:highlight w:val="none"/>
                      <w:lang w:val="en-US" w:eastAsia="zh-CN"/>
                    </w:rPr>
                    <w:t>110kw</w:t>
                  </w:r>
                  <w:r>
                    <w:rPr>
                      <w:rFonts w:hint="default" w:ascii="Times New Roman" w:hAnsi="Times New Roman" w:eastAsia="宋体" w:cs="Times New Roman"/>
                      <w:color w:val="auto"/>
                      <w:sz w:val="21"/>
                      <w:szCs w:val="21"/>
                      <w:highlight w:val="none"/>
                      <w:vertAlign w:val="baseline"/>
                      <w:lang w:val="en-US" w:eastAsia="zh-CN"/>
                    </w:rPr>
                    <w:t>低</w:t>
                  </w:r>
                  <w:r>
                    <w:rPr>
                      <w:rFonts w:hint="default" w:ascii="Times New Roman" w:hAnsi="Times New Roman" w:eastAsia="宋体" w:cs="Times New Roman"/>
                      <w:color w:val="auto"/>
                      <w:sz w:val="21"/>
                      <w:szCs w:val="21"/>
                      <w:highlight w:val="none"/>
                      <w:lang w:val="en-US" w:eastAsia="zh-CN"/>
                    </w:rPr>
                    <w:t>压空压机）、</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个</w:t>
                  </w:r>
                  <w:r>
                    <w:rPr>
                      <w:rFonts w:hint="eastAsia" w:cs="Times New Roman"/>
                      <w:color w:val="auto"/>
                      <w:sz w:val="21"/>
                      <w:szCs w:val="21"/>
                      <w:highlight w:val="none"/>
                      <w:lang w:val="en-US" w:eastAsia="zh-CN"/>
                    </w:rPr>
                    <w:t>储气罐（</w:t>
                  </w:r>
                  <w:r>
                    <w:rPr>
                      <w:rFonts w:hint="default" w:ascii="Times New Roman" w:hAnsi="Times New Roman" w:eastAsia="宋体" w:cs="Times New Roman"/>
                      <w:color w:val="auto"/>
                      <w:sz w:val="21"/>
                      <w:szCs w:val="21"/>
                      <w:highlight w:val="none"/>
                      <w:lang w:val="en-US" w:eastAsia="zh-CN"/>
                    </w:rPr>
                    <w:t>1个</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空气储气罐</w:t>
                  </w:r>
                  <w:r>
                    <w:rPr>
                      <w:rFonts w:hint="default" w:ascii="Times New Roman" w:hAnsi="Times New Roman" w:eastAsia="宋体" w:cs="Times New Roman"/>
                      <w:color w:val="auto"/>
                      <w:sz w:val="21"/>
                      <w:szCs w:val="21"/>
                      <w:highlight w:val="none"/>
                      <w:lang w:val="en-US" w:eastAsia="zh-CN"/>
                    </w:rPr>
                    <w:t>、1个</w:t>
                  </w:r>
                  <w:r>
                    <w:rPr>
                      <w:rFonts w:hint="eastAsia"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空气储气罐</w:t>
                  </w:r>
                  <w:r>
                    <w:rPr>
                      <w:rFonts w:hint="eastAsia" w:cs="Times New Roman"/>
                      <w:color w:val="auto"/>
                      <w:sz w:val="21"/>
                      <w:szCs w:val="21"/>
                      <w:highlight w:val="none"/>
                      <w:lang w:val="en-US" w:eastAsia="zh-CN"/>
                    </w:rPr>
                    <w:t>）、1个储气罐（90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eastAsia" w:ascii="Times New Roman" w:hAnsi="Times New Roman" w:cs="Times New Roman"/>
                      <w:color w:val="auto"/>
                      <w:sz w:val="21"/>
                      <w:szCs w:val="21"/>
                      <w:highlight w:val="none"/>
                      <w:lang w:val="en-US" w:eastAsia="zh-CN"/>
                    </w:rPr>
                    <w:t>蒸汽储</w:t>
                  </w:r>
                  <w:r>
                    <w:rPr>
                      <w:rFonts w:hint="default" w:ascii="Times New Roman" w:hAnsi="Times New Roman" w:eastAsia="宋体" w:cs="Times New Roman"/>
                      <w:color w:val="auto"/>
                      <w:sz w:val="21"/>
                      <w:szCs w:val="21"/>
                      <w:highlight w:val="none"/>
                      <w:lang w:val="en-US" w:eastAsia="zh-CN"/>
                    </w:rPr>
                    <w:t>气罐</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w:t>
                  </w:r>
                </w:p>
              </w:tc>
              <w:tc>
                <w:tcPr>
                  <w:tcW w:w="669" w:type="dxa"/>
                  <w:vMerge w:val="continue"/>
                  <w:vAlign w:val="center"/>
                </w:tcPr>
                <w:p>
                  <w:pPr>
                    <w:keepNext w:val="0"/>
                    <w:keepLines w:val="0"/>
                    <w:widowControl w:val="0"/>
                    <w:suppressLineNumbers w:val="0"/>
                    <w:spacing w:before="0" w:beforeAutospacing="0" w:after="0" w:afterAutospacing="0"/>
                    <w:ind w:left="0" w:leftChars="0" w:right="0" w:rightChars="0"/>
                    <w:jc w:val="both"/>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水池区域</w:t>
                  </w:r>
                </w:p>
              </w:tc>
              <w:tc>
                <w:tcPr>
                  <w:tcW w:w="5378" w:type="dxa"/>
                  <w:gridSpan w:val="2"/>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w:t>
                  </w:r>
                  <w:r>
                    <w:rPr>
                      <w:rFonts w:hint="eastAsia" w:cs="Times New Roman"/>
                      <w:b w:val="0"/>
                      <w:bCs w:val="0"/>
                      <w:color w:val="auto"/>
                      <w:kern w:val="0"/>
                      <w:sz w:val="21"/>
                      <w:szCs w:val="21"/>
                      <w:highlight w:val="none"/>
                      <w:lang w:val="en-US" w:eastAsia="zh-CN" w:bidi="ar"/>
                    </w:rPr>
                    <w:t>锅炉房西侧及生产车间东侧</w:t>
                  </w:r>
                  <w:r>
                    <w:rPr>
                      <w:rFonts w:hint="eastAsia" w:cs="Times New Roman"/>
                      <w:color w:val="auto"/>
                      <w:sz w:val="21"/>
                      <w:szCs w:val="21"/>
                      <w:highlight w:val="none"/>
                      <w:lang w:eastAsia="zh-CN"/>
                    </w:rPr>
                    <w:t>，</w:t>
                  </w:r>
                  <w:r>
                    <w:rPr>
                      <w:color w:val="auto"/>
                      <w:szCs w:val="21"/>
                    </w:rPr>
                    <w:t>建筑面积</w:t>
                  </w:r>
                  <w:r>
                    <w:rPr>
                      <w:rFonts w:hint="eastAsia"/>
                      <w:color w:val="auto"/>
                      <w:szCs w:val="21"/>
                      <w:lang w:val="en-US" w:eastAsia="zh-CN"/>
                    </w:rPr>
                    <w:t>200</w:t>
                  </w:r>
                  <w:r>
                    <w:rPr>
                      <w:color w:val="auto"/>
                      <w:szCs w:val="21"/>
                    </w:rPr>
                    <w:t>m</w:t>
                  </w:r>
                  <w:r>
                    <w:rPr>
                      <w:color w:val="auto"/>
                      <w:szCs w:val="21"/>
                      <w:vertAlign w:val="superscript"/>
                    </w:rPr>
                    <w:t>2</w:t>
                  </w:r>
                  <w:r>
                    <w:rPr>
                      <w:color w:val="auto"/>
                      <w:szCs w:val="21"/>
                    </w:rPr>
                    <w:t>（长</w:t>
                  </w:r>
                  <w:r>
                    <w:rPr>
                      <w:rFonts w:hint="eastAsia"/>
                      <w:color w:val="auto"/>
                      <w:szCs w:val="21"/>
                      <w:lang w:val="en-US" w:eastAsia="zh-CN"/>
                    </w:rPr>
                    <w:t>18</w:t>
                  </w:r>
                  <w:r>
                    <w:rPr>
                      <w:color w:val="auto"/>
                      <w:szCs w:val="21"/>
                    </w:rPr>
                    <w:t>m*宽</w:t>
                  </w:r>
                  <w:r>
                    <w:rPr>
                      <w:rFonts w:hint="eastAsia"/>
                      <w:color w:val="auto"/>
                      <w:szCs w:val="21"/>
                      <w:lang w:val="en-US" w:eastAsia="zh-CN"/>
                    </w:rPr>
                    <w:t>11.1</w:t>
                  </w:r>
                  <w:r>
                    <w:rPr>
                      <w:color w:val="auto"/>
                      <w:szCs w:val="21"/>
                    </w:rPr>
                    <w:t>m），设置</w:t>
                  </w:r>
                  <w:r>
                    <w:rPr>
                      <w:rFonts w:hint="eastAsia"/>
                      <w:color w:val="auto"/>
                      <w:szCs w:val="21"/>
                      <w:lang w:eastAsia="zh-CN"/>
                    </w:rPr>
                    <w:t>循环冷却</w:t>
                  </w:r>
                  <w:r>
                    <w:rPr>
                      <w:color w:val="auto"/>
                      <w:szCs w:val="21"/>
                    </w:rPr>
                    <w:t>水池总容积为</w:t>
                  </w:r>
                  <w:r>
                    <w:rPr>
                      <w:rFonts w:hint="eastAsia"/>
                      <w:color w:val="auto"/>
                      <w:szCs w:val="21"/>
                      <w:lang w:val="en-US" w:eastAsia="zh-CN"/>
                    </w:rPr>
                    <w:t>400</w:t>
                  </w:r>
                  <w:r>
                    <w:rPr>
                      <w:color w:val="auto"/>
                      <w:szCs w:val="21"/>
                    </w:rPr>
                    <w:t>m</w:t>
                  </w:r>
                  <w:r>
                    <w:rPr>
                      <w:color w:val="auto"/>
                      <w:szCs w:val="21"/>
                      <w:vertAlign w:val="superscript"/>
                    </w:rPr>
                    <w:t>3</w:t>
                  </w:r>
                  <w:r>
                    <w:rPr>
                      <w:color w:val="auto"/>
                      <w:szCs w:val="21"/>
                    </w:rPr>
                    <w:t>（长</w:t>
                  </w:r>
                  <w:r>
                    <w:rPr>
                      <w:rFonts w:hint="eastAsia"/>
                      <w:color w:val="auto"/>
                      <w:szCs w:val="21"/>
                      <w:lang w:val="en-US" w:eastAsia="zh-CN"/>
                    </w:rPr>
                    <w:t>18</w:t>
                  </w:r>
                  <w:r>
                    <w:rPr>
                      <w:color w:val="auto"/>
                      <w:szCs w:val="21"/>
                    </w:rPr>
                    <w:t>m*宽</w:t>
                  </w:r>
                  <w:r>
                    <w:rPr>
                      <w:rFonts w:hint="eastAsia"/>
                      <w:color w:val="auto"/>
                      <w:szCs w:val="21"/>
                      <w:lang w:val="en-US" w:eastAsia="zh-CN"/>
                    </w:rPr>
                    <w:t>11.1</w:t>
                  </w:r>
                  <w:r>
                    <w:rPr>
                      <w:color w:val="auto"/>
                      <w:szCs w:val="21"/>
                    </w:rPr>
                    <w:t>m*深</w:t>
                  </w:r>
                  <w:r>
                    <w:rPr>
                      <w:rFonts w:hint="eastAsia"/>
                      <w:color w:val="auto"/>
                      <w:szCs w:val="21"/>
                      <w:lang w:val="en-US" w:eastAsia="zh-CN"/>
                    </w:rPr>
                    <w:t>2</w:t>
                  </w:r>
                  <w:r>
                    <w:rPr>
                      <w:color w:val="auto"/>
                      <w:szCs w:val="21"/>
                    </w:rPr>
                    <w:t>m），1个容积为</w:t>
                  </w:r>
                  <w:r>
                    <w:rPr>
                      <w:rFonts w:hint="eastAsia"/>
                      <w:color w:val="auto"/>
                      <w:szCs w:val="21"/>
                      <w:lang w:val="en-US" w:eastAsia="zh-CN"/>
                    </w:rPr>
                    <w:t>10</w:t>
                  </w:r>
                  <w:r>
                    <w:rPr>
                      <w:color w:val="auto"/>
                      <w:szCs w:val="21"/>
                    </w:rPr>
                    <w:t>m</w:t>
                  </w:r>
                  <w:r>
                    <w:rPr>
                      <w:color w:val="auto"/>
                      <w:szCs w:val="21"/>
                      <w:vertAlign w:val="superscript"/>
                    </w:rPr>
                    <w:t>3</w:t>
                  </w:r>
                  <w:r>
                    <w:rPr>
                      <w:color w:val="auto"/>
                      <w:szCs w:val="21"/>
                    </w:rPr>
                    <w:t>的絮凝沉淀池。</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64"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rPr>
                  </w:pPr>
                </w:p>
              </w:tc>
              <w:tc>
                <w:tcPr>
                  <w:tcW w:w="1666" w:type="dxa"/>
                  <w:gridSpan w:val="2"/>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锅炉房</w:t>
                  </w:r>
                </w:p>
              </w:tc>
              <w:tc>
                <w:tcPr>
                  <w:tcW w:w="5378" w:type="dxa"/>
                  <w:gridSpan w:val="2"/>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位于项目区</w:t>
                  </w:r>
                  <w:r>
                    <w:rPr>
                      <w:rFonts w:hint="eastAsia" w:cs="Times New Roman"/>
                      <w:b w:val="0"/>
                      <w:bCs w:val="0"/>
                      <w:color w:val="auto"/>
                      <w:kern w:val="0"/>
                      <w:sz w:val="21"/>
                      <w:szCs w:val="21"/>
                      <w:highlight w:val="none"/>
                      <w:lang w:val="en-US" w:eastAsia="zh-CN" w:bidi="ar"/>
                    </w:rPr>
                    <w:t>北</w:t>
                  </w:r>
                  <w:r>
                    <w:rPr>
                      <w:rFonts w:hint="default" w:ascii="Times New Roman" w:hAnsi="Times New Roman" w:eastAsia="宋体" w:cs="Times New Roman"/>
                      <w:b w:val="0"/>
                      <w:bCs w:val="0"/>
                      <w:color w:val="auto"/>
                      <w:kern w:val="0"/>
                      <w:sz w:val="21"/>
                      <w:szCs w:val="21"/>
                      <w:highlight w:val="none"/>
                      <w:lang w:val="en-US" w:eastAsia="zh-CN" w:bidi="ar"/>
                    </w:rPr>
                    <w:t>侧</w:t>
                  </w:r>
                  <w:r>
                    <w:rPr>
                      <w:rFonts w:hint="eastAsia" w:ascii="Times New Roman" w:hAnsi="Times New Roman" w:eastAsia="宋体" w:cs="Times New Roman"/>
                      <w:b w:val="0"/>
                      <w:bCs w:val="0"/>
                      <w:color w:val="auto"/>
                      <w:kern w:val="0"/>
                      <w:sz w:val="21"/>
                      <w:szCs w:val="21"/>
                      <w:highlight w:val="none"/>
                      <w:lang w:val="en-US" w:eastAsia="zh-CN" w:bidi="ar"/>
                    </w:rPr>
                    <w:t>，</w:t>
                  </w:r>
                  <w:r>
                    <w:rPr>
                      <w:rFonts w:hint="eastAsia" w:cs="Times New Roman"/>
                      <w:color w:val="auto"/>
                      <w:sz w:val="21"/>
                      <w:szCs w:val="21"/>
                      <w:highlight w:val="none"/>
                      <w:lang w:eastAsia="zh-CN"/>
                    </w:rPr>
                    <w:t>占地面积为</w:t>
                  </w:r>
                  <w:r>
                    <w:rPr>
                      <w:rFonts w:hint="eastAsia" w:cs="Times New Roman"/>
                      <w:color w:val="auto"/>
                      <w:sz w:val="21"/>
                      <w:szCs w:val="21"/>
                      <w:highlight w:val="none"/>
                      <w:lang w:val="en-US" w:eastAsia="zh-CN"/>
                    </w:rPr>
                    <w:t>492.96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钢</w:t>
                  </w:r>
                  <w:r>
                    <w:rPr>
                      <w:rFonts w:hint="default" w:ascii="Times New Roman" w:hAnsi="Times New Roman" w:eastAsia="宋体" w:cs="Times New Roman"/>
                      <w:color w:val="auto"/>
                      <w:sz w:val="21"/>
                      <w:szCs w:val="21"/>
                      <w:highlight w:val="none"/>
                      <w:lang w:val="en-US" w:eastAsia="zh-CN"/>
                    </w:rPr>
                    <w:t>架</w:t>
                  </w:r>
                  <w:r>
                    <w:rPr>
                      <w:rFonts w:hint="default" w:ascii="Times New Roman" w:hAnsi="Times New Roman" w:eastAsia="宋体" w:cs="Times New Roman"/>
                      <w:color w:val="auto"/>
                      <w:sz w:val="21"/>
                      <w:szCs w:val="21"/>
                      <w:highlight w:val="none"/>
                      <w:lang w:eastAsia="zh-CN"/>
                    </w:rPr>
                    <w:t>结构厂房，</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1层建筑物，高度为8.458m，</w:t>
                  </w:r>
                  <w:r>
                    <w:rPr>
                      <w:rFonts w:hint="default" w:ascii="Times New Roman" w:hAnsi="Times New Roman" w:eastAsia="宋体" w:cs="Times New Roman"/>
                      <w:color w:val="auto"/>
                      <w:sz w:val="21"/>
                      <w:szCs w:val="21"/>
                      <w:highlight w:val="none"/>
                    </w:rPr>
                    <w:t>内</w:t>
                  </w:r>
                  <w:r>
                    <w:rPr>
                      <w:rFonts w:hint="default" w:ascii="Times New Roman" w:hAnsi="Times New Roman" w:eastAsia="宋体" w:cs="Times New Roman"/>
                      <w:color w:val="auto"/>
                      <w:sz w:val="21"/>
                      <w:szCs w:val="21"/>
                      <w:highlight w:val="none"/>
                      <w:lang w:eastAsia="zh-CN"/>
                    </w:rPr>
                    <w:t>设</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rPr>
                    <w:t>蒸汽锅炉</w:t>
                  </w:r>
                  <w:r>
                    <w:rPr>
                      <w:rFonts w:hint="eastAsia" w:cs="Times New Roman"/>
                      <w:color w:val="auto"/>
                      <w:sz w:val="21"/>
                      <w:szCs w:val="21"/>
                      <w:highlight w:val="none"/>
                      <w:lang w:eastAsia="zh-CN"/>
                    </w:rPr>
                    <w:t>（一用一备）</w:t>
                  </w:r>
                  <w:r>
                    <w:rPr>
                      <w:rFonts w:hint="default" w:ascii="Times New Roman" w:hAnsi="Times New Roman" w:eastAsia="宋体" w:cs="Times New Roman"/>
                      <w:color w:val="auto"/>
                      <w:sz w:val="21"/>
                      <w:szCs w:val="21"/>
                      <w:highlight w:val="none"/>
                      <w:lang w:val="en-US" w:eastAsia="zh-CN"/>
                    </w:rPr>
                    <w:t>，为泡沫生产车间预发泡机及成型过程提供热量。</w:t>
                  </w:r>
                  <w:r>
                    <w:rPr>
                      <w:rFonts w:hint="eastAsia" w:cs="Times New Roman"/>
                      <w:color w:val="auto"/>
                      <w:sz w:val="21"/>
                      <w:szCs w:val="21"/>
                      <w:highlight w:val="none"/>
                      <w:lang w:val="en-US" w:eastAsia="zh-CN"/>
                    </w:rPr>
                    <w:t>锅炉使用生物质燃料，燃料堆放于锅炉房内南侧。</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64" w:type="dxa"/>
                  <w:vMerge w:val="continue"/>
                  <w:vAlign w:val="center"/>
                </w:tcPr>
                <w:p>
                  <w:pPr>
                    <w:pStyle w:val="20"/>
                    <w:adjustRightInd w:val="0"/>
                    <w:snapToGrid w:val="0"/>
                    <w:spacing w:line="0" w:lineRule="atLeast"/>
                    <w:jc w:val="center"/>
                    <w:rPr>
                      <w:color w:val="auto"/>
                    </w:rPr>
                  </w:pPr>
                </w:p>
              </w:tc>
              <w:tc>
                <w:tcPr>
                  <w:tcW w:w="1666" w:type="dxa"/>
                  <w:gridSpan w:val="2"/>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检测楼</w:t>
                  </w:r>
                </w:p>
              </w:tc>
              <w:tc>
                <w:tcPr>
                  <w:tcW w:w="5378" w:type="dxa"/>
                  <w:gridSpan w:val="2"/>
                  <w:vAlign w:val="center"/>
                </w:tcPr>
                <w:p>
                  <w:pPr>
                    <w:pStyle w:val="20"/>
                    <w:adjustRightInd w:val="0"/>
                    <w:snapToGrid w:val="0"/>
                    <w:spacing w:line="0" w:lineRule="atLeast"/>
                    <w:jc w:val="both"/>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位于项目区西侧，占地面积为</w:t>
                  </w:r>
                  <w:r>
                    <w:rPr>
                      <w:rFonts w:hint="eastAsia" w:cs="Times New Roman"/>
                      <w:color w:val="auto"/>
                      <w:sz w:val="21"/>
                      <w:szCs w:val="21"/>
                      <w:highlight w:val="none"/>
                      <w:lang w:val="en-US" w:eastAsia="zh-CN"/>
                    </w:rPr>
                    <w:t>536.76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2700.366</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5层建筑物，高度为18.45m，1层为综合办公、会议室、</w:t>
                  </w:r>
                  <w:r>
                    <w:rPr>
                      <w:rFonts w:hint="eastAsia" w:cs="Times New Roman"/>
                      <w:color w:val="auto"/>
                      <w:sz w:val="21"/>
                      <w:szCs w:val="21"/>
                      <w:highlight w:val="none"/>
                      <w:lang w:val="en-US" w:eastAsia="zh-CN"/>
                    </w:rPr>
                    <w:t>食堂</w:t>
                  </w:r>
                  <w:r>
                    <w:rPr>
                      <w:rFonts w:hint="eastAsia" w:ascii="Times New Roman" w:hAnsi="Times New Roman" w:eastAsia="宋体" w:cs="Times New Roman"/>
                      <w:color w:val="auto"/>
                      <w:sz w:val="21"/>
                      <w:szCs w:val="21"/>
                      <w:highlight w:val="none"/>
                      <w:lang w:val="en-US" w:eastAsia="zh-CN"/>
                    </w:rPr>
                    <w:t>等；2、3、4、5层均为检测室，对产品进行物理性检测。</w:t>
                  </w:r>
                </w:p>
              </w:tc>
              <w:tc>
                <w:tcPr>
                  <w:tcW w:w="669" w:type="dxa"/>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储运工程</w:t>
                  </w:r>
                </w:p>
              </w:tc>
              <w:tc>
                <w:tcPr>
                  <w:tcW w:w="1666" w:type="dxa"/>
                  <w:gridSpan w:val="2"/>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原料区</w:t>
                  </w:r>
                </w:p>
              </w:tc>
              <w:tc>
                <w:tcPr>
                  <w:tcW w:w="5378" w:type="dxa"/>
                  <w:gridSpan w:val="2"/>
                  <w:vAlign w:val="center"/>
                </w:tcPr>
                <w:p>
                  <w:pPr>
                    <w:pStyle w:val="20"/>
                    <w:adjustRightInd w:val="0"/>
                    <w:snapToGrid w:val="0"/>
                    <w:spacing w:line="0" w:lineRule="atLeast"/>
                    <w:jc w:val="center"/>
                    <w:rPr>
                      <w:rFonts w:hint="eastAsia" w:eastAsia="宋体" w:cs="Times New Roman"/>
                      <w:color w:val="auto"/>
                      <w:sz w:val="21"/>
                      <w:szCs w:val="21"/>
                      <w:highlight w:val="none"/>
                      <w:lang w:eastAsia="zh-CN"/>
                    </w:rPr>
                  </w:pPr>
                  <w:r>
                    <w:rPr>
                      <w:rFonts w:hint="eastAsia" w:cs="Times New Roman"/>
                      <w:color w:val="auto"/>
                      <w:sz w:val="21"/>
                      <w:szCs w:val="21"/>
                      <w:highlight w:val="none"/>
                      <w:lang w:eastAsia="zh-CN"/>
                    </w:rPr>
                    <w:t>位于生产车间</w:t>
                  </w:r>
                  <w:r>
                    <w:rPr>
                      <w:rFonts w:hint="eastAsia" w:cs="Times New Roman"/>
                      <w:color w:val="auto"/>
                      <w:sz w:val="21"/>
                      <w:szCs w:val="21"/>
                      <w:highlight w:val="none"/>
                      <w:lang w:val="en-US" w:eastAsia="zh-CN"/>
                    </w:rPr>
                    <w:t>2楼，</w:t>
                  </w:r>
                  <w:r>
                    <w:rPr>
                      <w:rFonts w:hint="eastAsia" w:cs="Times New Roman"/>
                      <w:color w:val="auto"/>
                      <w:sz w:val="21"/>
                      <w:szCs w:val="21"/>
                      <w:highlight w:val="none"/>
                      <w:lang w:eastAsia="zh-CN"/>
                    </w:rPr>
                    <w:t>占地面积为</w:t>
                  </w:r>
                  <w:r>
                    <w:rPr>
                      <w:rFonts w:hint="eastAsia" w:cs="Times New Roman"/>
                      <w:color w:val="auto"/>
                      <w:sz w:val="21"/>
                      <w:szCs w:val="21"/>
                      <w:highlight w:val="none"/>
                      <w:lang w:val="en-US" w:eastAsia="zh-CN"/>
                    </w:rPr>
                    <w:t>2210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，用于</w:t>
                  </w:r>
                  <w:r>
                    <w:rPr>
                      <w:rFonts w:hint="default" w:ascii="Times New Roman" w:hAnsi="Times New Roman" w:eastAsia="宋体" w:cs="Times New Roman"/>
                      <w:color w:val="auto"/>
                      <w:sz w:val="21"/>
                      <w:szCs w:val="21"/>
                      <w:highlight w:val="none"/>
                      <w:lang w:val="en-US" w:eastAsia="zh-CN"/>
                    </w:rPr>
                    <w:t>可发性聚苯乙烯新料</w:t>
                  </w:r>
                  <w:r>
                    <w:rPr>
                      <w:rFonts w:hint="default" w:ascii="Times New Roman" w:hAnsi="Times New Roman" w:eastAsia="宋体" w:cs="Times New Roman"/>
                      <w:color w:val="auto"/>
                      <w:sz w:val="21"/>
                      <w:szCs w:val="21"/>
                      <w:highlight w:val="none"/>
                    </w:rPr>
                    <w:t>的存放及转运</w:t>
                  </w:r>
                  <w:r>
                    <w:rPr>
                      <w:rFonts w:hint="eastAsia" w:cs="Times New Roman"/>
                      <w:color w:val="auto"/>
                      <w:sz w:val="21"/>
                      <w:szCs w:val="21"/>
                      <w:highlight w:val="none"/>
                      <w:lang w:eastAsia="zh-CN"/>
                    </w:rPr>
                    <w:t>。</w:t>
                  </w:r>
                </w:p>
              </w:tc>
              <w:tc>
                <w:tcPr>
                  <w:tcW w:w="669" w:type="dxa"/>
                  <w:vAlign w:val="center"/>
                </w:tcPr>
                <w:p>
                  <w:pPr>
                    <w:adjustRightInd w:val="0"/>
                    <w:snapToGrid w:val="0"/>
                    <w:spacing w:line="0" w:lineRule="atLeast"/>
                    <w:jc w:val="center"/>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vertAlign w:val="baseline"/>
                      <w:lang w:val="en-US" w:eastAsia="zh-CN" w:bidi="ar-S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64" w:type="dxa"/>
                  <w:vMerge w:val="continue"/>
                  <w:vAlign w:val="center"/>
                </w:tcPr>
                <w:p>
                  <w:pPr>
                    <w:adjustRightInd w:val="0"/>
                    <w:snapToGrid w:val="0"/>
                    <w:spacing w:line="0" w:lineRule="atLeast"/>
                    <w:jc w:val="center"/>
                    <w:rPr>
                      <w:color w:val="auto"/>
                    </w:rPr>
                  </w:pPr>
                </w:p>
              </w:tc>
              <w:tc>
                <w:tcPr>
                  <w:tcW w:w="1666" w:type="dxa"/>
                  <w:gridSpan w:val="2"/>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成品区</w:t>
                  </w:r>
                </w:p>
              </w:tc>
              <w:tc>
                <w:tcPr>
                  <w:tcW w:w="5378" w:type="dxa"/>
                  <w:gridSpan w:val="2"/>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cs="Times New Roman"/>
                      <w:b w:val="0"/>
                      <w:bCs w:val="0"/>
                      <w:color w:val="auto"/>
                      <w:kern w:val="0"/>
                      <w:sz w:val="21"/>
                      <w:szCs w:val="21"/>
                      <w:highlight w:val="none"/>
                      <w:lang w:val="en-US" w:eastAsia="zh-CN" w:bidi="ar"/>
                    </w:rPr>
                    <w:t>项目设4间成品仓库，位于项目区南侧及东南侧，自西向东分为1#（</w:t>
                  </w:r>
                  <w:r>
                    <w:rPr>
                      <w:rFonts w:hint="eastAsia" w:ascii="Times New Roman" w:hAnsi="Times New Roman" w:eastAsia="宋体" w:cs="Times New Roman"/>
                      <w:color w:val="auto"/>
                      <w:sz w:val="21"/>
                      <w:szCs w:val="21"/>
                      <w:highlight w:val="none"/>
                      <w:lang w:val="en-US" w:eastAsia="zh-CN"/>
                    </w:rPr>
                    <w:t>高度为9.098m</w:t>
                  </w:r>
                  <w:r>
                    <w:rPr>
                      <w:rFonts w:hint="eastAsia" w:cs="Times New Roman"/>
                      <w:b w:val="0"/>
                      <w:bCs w:val="0"/>
                      <w:color w:val="auto"/>
                      <w:kern w:val="0"/>
                      <w:sz w:val="21"/>
                      <w:szCs w:val="21"/>
                      <w:highlight w:val="none"/>
                      <w:lang w:val="en-US" w:eastAsia="zh-CN" w:bidi="ar"/>
                    </w:rPr>
                    <w:t>）、2#（</w:t>
                  </w:r>
                  <w:r>
                    <w:rPr>
                      <w:rFonts w:hint="eastAsia" w:ascii="Times New Roman" w:hAnsi="Times New Roman" w:eastAsia="宋体" w:cs="Times New Roman"/>
                      <w:color w:val="auto"/>
                      <w:sz w:val="21"/>
                      <w:szCs w:val="21"/>
                      <w:highlight w:val="none"/>
                      <w:lang w:val="en-US" w:eastAsia="zh-CN"/>
                    </w:rPr>
                    <w:t>高度为8.73m</w:t>
                  </w:r>
                  <w:r>
                    <w:rPr>
                      <w:rFonts w:hint="eastAsia" w:cs="Times New Roman"/>
                      <w:b w:val="0"/>
                      <w:bCs w:val="0"/>
                      <w:color w:val="auto"/>
                      <w:kern w:val="0"/>
                      <w:sz w:val="21"/>
                      <w:szCs w:val="21"/>
                      <w:highlight w:val="none"/>
                      <w:lang w:val="en-US" w:eastAsia="zh-CN" w:bidi="ar"/>
                    </w:rPr>
                    <w:t>）、3#（</w:t>
                  </w:r>
                  <w:r>
                    <w:rPr>
                      <w:rFonts w:hint="eastAsia" w:ascii="Times New Roman" w:hAnsi="Times New Roman" w:eastAsia="宋体" w:cs="Times New Roman"/>
                      <w:color w:val="auto"/>
                      <w:sz w:val="21"/>
                      <w:szCs w:val="21"/>
                      <w:highlight w:val="none"/>
                      <w:lang w:val="en-US" w:eastAsia="zh-CN"/>
                    </w:rPr>
                    <w:t>高度为8.672m</w:t>
                  </w:r>
                  <w:r>
                    <w:rPr>
                      <w:rFonts w:hint="eastAsia" w:cs="Times New Roman"/>
                      <w:b w:val="0"/>
                      <w:bCs w:val="0"/>
                      <w:color w:val="auto"/>
                      <w:kern w:val="0"/>
                      <w:sz w:val="21"/>
                      <w:szCs w:val="21"/>
                      <w:highlight w:val="none"/>
                      <w:lang w:val="en-US" w:eastAsia="zh-CN" w:bidi="ar"/>
                    </w:rPr>
                    <w:t>）、4#（</w:t>
                  </w:r>
                  <w:r>
                    <w:rPr>
                      <w:rFonts w:hint="eastAsia" w:ascii="Times New Roman" w:hAnsi="Times New Roman" w:eastAsia="宋体" w:cs="Times New Roman"/>
                      <w:color w:val="auto"/>
                      <w:sz w:val="21"/>
                      <w:szCs w:val="21"/>
                      <w:highlight w:val="none"/>
                      <w:lang w:val="en-US" w:eastAsia="zh-CN"/>
                    </w:rPr>
                    <w:t>高度为8.735m</w:t>
                  </w:r>
                  <w:r>
                    <w:rPr>
                      <w:rFonts w:hint="eastAsia" w:cs="Times New Roman"/>
                      <w:b w:val="0"/>
                      <w:bCs w:val="0"/>
                      <w:color w:val="auto"/>
                      <w:kern w:val="0"/>
                      <w:sz w:val="21"/>
                      <w:szCs w:val="21"/>
                      <w:highlight w:val="none"/>
                      <w:lang w:val="en-US" w:eastAsia="zh-CN" w:bidi="ar"/>
                    </w:rPr>
                    <w:t>）仓库，均</w:t>
                  </w:r>
                  <w:r>
                    <w:rPr>
                      <w:rFonts w:hint="default"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1层建筑物，</w:t>
                  </w:r>
                  <w:r>
                    <w:rPr>
                      <w:rFonts w:hint="default" w:ascii="Times New Roman" w:hAnsi="Times New Roman" w:eastAsia="宋体" w:cs="Times New Roman"/>
                      <w:color w:val="auto"/>
                      <w:sz w:val="21"/>
                      <w:szCs w:val="21"/>
                      <w:highlight w:val="none"/>
                      <w:lang w:val="en-US" w:eastAsia="zh-CN"/>
                    </w:rPr>
                    <w:t>钢架</w:t>
                  </w:r>
                  <w:r>
                    <w:rPr>
                      <w:rFonts w:hint="default" w:ascii="Times New Roman" w:hAnsi="Times New Roman" w:eastAsia="宋体" w:cs="Times New Roman"/>
                      <w:color w:val="auto"/>
                      <w:sz w:val="21"/>
                      <w:szCs w:val="21"/>
                      <w:highlight w:val="none"/>
                      <w:lang w:eastAsia="zh-CN"/>
                    </w:rPr>
                    <w:t>结构厂房，用于泡沫箱</w:t>
                  </w:r>
                  <w:r>
                    <w:rPr>
                      <w:rFonts w:hint="default" w:ascii="Times New Roman" w:hAnsi="Times New Roman" w:eastAsia="宋体" w:cs="Times New Roman"/>
                      <w:color w:val="auto"/>
                      <w:sz w:val="21"/>
                      <w:szCs w:val="21"/>
                      <w:highlight w:val="none"/>
                    </w:rPr>
                    <w:t>成品的存放及转运</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1#仓库占地面积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1640.73</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2#仓库占地面积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1797.08</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3#仓库占地面积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1998.10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4#仓库占地面积</w:t>
                  </w:r>
                  <w:r>
                    <w:rPr>
                      <w:rFonts w:hint="eastAsia" w:cs="Times New Roman"/>
                      <w:color w:val="auto"/>
                      <w:sz w:val="21"/>
                      <w:szCs w:val="21"/>
                      <w:highlight w:val="none"/>
                      <w:lang w:eastAsia="zh-CN"/>
                    </w:rPr>
                    <w:t>为</w:t>
                  </w:r>
                  <w:r>
                    <w:rPr>
                      <w:rFonts w:hint="eastAsia" w:cs="Times New Roman"/>
                      <w:color w:val="auto"/>
                      <w:sz w:val="21"/>
                      <w:szCs w:val="21"/>
                      <w:highlight w:val="none"/>
                      <w:lang w:val="en-US" w:eastAsia="zh-CN"/>
                    </w:rPr>
                    <w:t>2766.24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eastAsia" w:ascii="Times New Roman" w:hAnsi="Times New Roman" w:eastAsia="宋体" w:cs="Times New Roman"/>
                      <w:color w:val="auto"/>
                      <w:sz w:val="21"/>
                      <w:szCs w:val="21"/>
                      <w:highlight w:val="none"/>
                      <w:lang w:val="en-US" w:eastAsia="zh-CN"/>
                    </w:rPr>
                    <w:t>。</w:t>
                  </w:r>
                </w:p>
              </w:tc>
              <w:tc>
                <w:tcPr>
                  <w:tcW w:w="669" w:type="dxa"/>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4#仓库为购买</w:t>
                  </w:r>
                  <w:r>
                    <w:rPr>
                      <w:rFonts w:hint="default" w:ascii="Times New Roman" w:hAnsi="Times New Roman" w:eastAsia="宋体" w:cs="Times New Roman"/>
                      <w:color w:val="auto"/>
                      <w:kern w:val="2"/>
                      <w:sz w:val="21"/>
                      <w:szCs w:val="21"/>
                      <w:highlight w:val="none"/>
                      <w:vertAlign w:val="baseline"/>
                      <w:lang w:val="en-US" w:eastAsia="zh-CN" w:bidi="ar-SA"/>
                    </w:rPr>
                    <w:t>已建标准化厂房使用</w:t>
                  </w:r>
                  <w:r>
                    <w:rPr>
                      <w:rFonts w:hint="eastAsia" w:ascii="Times New Roman" w:hAnsi="Times New Roman" w:eastAsia="宋体" w:cs="Times New Roman"/>
                      <w:color w:val="auto"/>
                      <w:kern w:val="2"/>
                      <w:sz w:val="21"/>
                      <w:szCs w:val="21"/>
                      <w:highlight w:val="none"/>
                      <w:vertAlign w:val="baseline"/>
                      <w:lang w:val="en-US" w:eastAsia="zh-CN" w:bidi="ar-SA"/>
                    </w:rPr>
                    <w:t>，其余新建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辅助工程</w:t>
                  </w:r>
                </w:p>
              </w:tc>
              <w:tc>
                <w:tcPr>
                  <w:tcW w:w="1666" w:type="dxa"/>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办公楼</w:t>
                  </w:r>
                </w:p>
              </w:tc>
              <w:tc>
                <w:tcPr>
                  <w:tcW w:w="5378" w:type="dxa"/>
                  <w:gridSpan w:val="2"/>
                  <w:vAlign w:val="center"/>
                </w:tcPr>
                <w:p>
                  <w:pPr>
                    <w:widowControl/>
                    <w:adjustRightInd w:val="0"/>
                    <w:snapToGrid w:val="0"/>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位于项目区东南侧，占地面积为</w:t>
                  </w:r>
                  <w:r>
                    <w:rPr>
                      <w:rFonts w:hint="eastAsia" w:cs="Times New Roman"/>
                      <w:color w:val="auto"/>
                      <w:sz w:val="21"/>
                      <w:szCs w:val="21"/>
                      <w:highlight w:val="none"/>
                      <w:lang w:val="en-US" w:eastAsia="zh-CN"/>
                    </w:rPr>
                    <w:t>313.29</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1198.71</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层建筑物，高度为</w:t>
                  </w:r>
                  <w:r>
                    <w:rPr>
                      <w:rFonts w:hint="eastAsia" w:cs="Times New Roman"/>
                      <w:color w:val="auto"/>
                      <w:sz w:val="21"/>
                      <w:szCs w:val="21"/>
                      <w:highlight w:val="none"/>
                      <w:lang w:val="en-US" w:eastAsia="zh-CN"/>
                    </w:rPr>
                    <w:t>12.45</w:t>
                  </w:r>
                  <w:r>
                    <w:rPr>
                      <w:rFonts w:hint="eastAsia" w:ascii="Times New Roman" w:hAnsi="Times New Roman" w:eastAsia="宋体" w:cs="Times New Roman"/>
                      <w:color w:val="auto"/>
                      <w:sz w:val="21"/>
                      <w:szCs w:val="21"/>
                      <w:highlight w:val="none"/>
                      <w:lang w:val="en-US" w:eastAsia="zh-CN"/>
                    </w:rPr>
                    <w:t>m，1层</w:t>
                  </w:r>
                  <w:r>
                    <w:rPr>
                      <w:rFonts w:hint="eastAsia" w:cs="Times New Roman"/>
                      <w:color w:val="auto"/>
                      <w:sz w:val="21"/>
                      <w:szCs w:val="21"/>
                      <w:highlight w:val="none"/>
                      <w:lang w:val="en-US" w:eastAsia="zh-CN"/>
                    </w:rPr>
                    <w:t>为产品展示区及消防控制室</w:t>
                  </w: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层</w:t>
                  </w:r>
                  <w:r>
                    <w:rPr>
                      <w:rFonts w:hint="default" w:ascii="Times New Roman" w:hAnsi="Times New Roman" w:eastAsia="宋体" w:cs="Times New Roman"/>
                      <w:color w:val="auto"/>
                      <w:kern w:val="0"/>
                      <w:sz w:val="21"/>
                      <w:szCs w:val="21"/>
                      <w:highlight w:val="none"/>
                    </w:rPr>
                    <w:t>主要包含办公室</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会议室、</w:t>
                  </w:r>
                  <w:r>
                    <w:rPr>
                      <w:rFonts w:hint="default" w:ascii="Times New Roman" w:hAnsi="Times New Roman" w:eastAsia="宋体" w:cs="Times New Roman"/>
                      <w:color w:val="auto"/>
                      <w:kern w:val="0"/>
                      <w:sz w:val="21"/>
                      <w:szCs w:val="21"/>
                      <w:highlight w:val="none"/>
                    </w:rPr>
                    <w:t>员工宿舍</w:t>
                  </w:r>
                  <w:r>
                    <w:rPr>
                      <w:rFonts w:hint="default" w:ascii="Times New Roman" w:hAnsi="Times New Roman" w:eastAsia="宋体" w:cs="Times New Roman"/>
                      <w:color w:val="auto"/>
                      <w:kern w:val="0"/>
                      <w:sz w:val="21"/>
                      <w:szCs w:val="21"/>
                      <w:highlight w:val="none"/>
                      <w:lang w:val="en-US" w:eastAsia="zh-CN"/>
                    </w:rPr>
                    <w:t>等，设置公共卫生间</w:t>
                  </w:r>
                  <w:r>
                    <w:rPr>
                      <w:rFonts w:hint="default" w:ascii="Times New Roman" w:hAnsi="Times New Roman" w:eastAsia="宋体" w:cs="Times New Roman"/>
                      <w:color w:val="auto"/>
                      <w:kern w:val="0"/>
                      <w:sz w:val="21"/>
                      <w:szCs w:val="21"/>
                      <w:highlight w:val="none"/>
                    </w:rPr>
                    <w:t>。</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lang w:val="en-US" w:eastAsia="zh-CN" w:bidi="ar-SA"/>
                    </w:rPr>
                    <w:t>购买</w:t>
                  </w:r>
                  <w:r>
                    <w:rPr>
                      <w:rFonts w:hint="default" w:ascii="Times New Roman" w:hAnsi="Times New Roman" w:eastAsia="宋体" w:cs="Times New Roman"/>
                      <w:color w:val="auto"/>
                      <w:kern w:val="2"/>
                      <w:sz w:val="21"/>
                      <w:szCs w:val="21"/>
                      <w:highlight w:val="none"/>
                      <w:lang w:val="en-US" w:eastAsia="zh-CN" w:bidi="ar-SA"/>
                    </w:rPr>
                    <w:t>已建建筑物进行使用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64" w:type="dxa"/>
                  <w:vMerge w:val="continue"/>
                  <w:vAlign w:val="center"/>
                </w:tcPr>
                <w:p>
                  <w:pPr>
                    <w:adjustRightInd w:val="0"/>
                    <w:snapToGrid w:val="0"/>
                    <w:spacing w:line="0" w:lineRule="atLeast"/>
                    <w:jc w:val="center"/>
                    <w:rPr>
                      <w:color w:val="auto"/>
                    </w:rPr>
                  </w:pPr>
                </w:p>
              </w:tc>
              <w:tc>
                <w:tcPr>
                  <w:tcW w:w="1666" w:type="dxa"/>
                  <w:gridSpan w:val="2"/>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设备房</w:t>
                  </w:r>
                </w:p>
              </w:tc>
              <w:tc>
                <w:tcPr>
                  <w:tcW w:w="5378" w:type="dxa"/>
                  <w:gridSpan w:val="2"/>
                  <w:vAlign w:val="center"/>
                </w:tcPr>
                <w:p>
                  <w:pPr>
                    <w:pStyle w:val="20"/>
                    <w:adjustRightInd w:val="0"/>
                    <w:snapToGrid w:val="0"/>
                    <w:spacing w:line="0" w:lineRule="atLeast"/>
                    <w:jc w:val="both"/>
                    <w:rPr>
                      <w:rFonts w:hint="eastAsia" w:cs="Times New Roman"/>
                      <w:color w:val="auto"/>
                      <w:kern w:val="0"/>
                      <w:sz w:val="21"/>
                      <w:szCs w:val="21"/>
                      <w:highlight w:val="none"/>
                      <w:lang w:val="en-US" w:eastAsia="zh-CN"/>
                    </w:rPr>
                  </w:pPr>
                  <w:r>
                    <w:rPr>
                      <w:rFonts w:hint="eastAsia" w:cs="Times New Roman"/>
                      <w:color w:val="auto"/>
                      <w:sz w:val="21"/>
                      <w:szCs w:val="21"/>
                      <w:highlight w:val="none"/>
                      <w:lang w:eastAsia="zh-CN"/>
                    </w:rPr>
                    <w:t>位于项目区东北侧，占地面积为</w:t>
                  </w:r>
                  <w:r>
                    <w:rPr>
                      <w:rFonts w:hint="eastAsia" w:cs="Times New Roman"/>
                      <w:color w:val="auto"/>
                      <w:sz w:val="21"/>
                      <w:szCs w:val="21"/>
                      <w:highlight w:val="none"/>
                      <w:lang w:val="en-US" w:eastAsia="zh-CN"/>
                    </w:rPr>
                    <w:t>67.24</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建筑面积为</w:t>
                  </w:r>
                  <w:r>
                    <w:rPr>
                      <w:rFonts w:hint="eastAsia" w:cs="Times New Roman"/>
                      <w:color w:val="auto"/>
                      <w:sz w:val="21"/>
                      <w:szCs w:val="21"/>
                      <w:highlight w:val="none"/>
                      <w:lang w:val="en-US" w:eastAsia="zh-CN"/>
                    </w:rPr>
                    <w:t>349.20</w:t>
                  </w:r>
                  <w:r>
                    <w:rPr>
                      <w:rFonts w:hint="default" w:ascii="Times New Roman" w:hAnsi="Times New Roman" w:eastAsia="宋体" w:cs="Times New Roman"/>
                      <w:color w:val="auto"/>
                      <w:sz w:val="21"/>
                      <w:szCs w:val="21"/>
                      <w:highlight w:val="none"/>
                      <w:lang w:eastAsia="zh-CN"/>
                    </w:rPr>
                    <w:t>m</w:t>
                  </w:r>
                  <w:r>
                    <w:rPr>
                      <w:rFonts w:hint="default" w:ascii="Times New Roman" w:hAnsi="Times New Roman" w:eastAsia="宋体" w:cs="Times New Roman"/>
                      <w:color w:val="auto"/>
                      <w:sz w:val="21"/>
                      <w:szCs w:val="21"/>
                      <w:highlight w:val="none"/>
                      <w:vertAlign w:val="superscript"/>
                      <w:lang w:eastAsia="zh-CN"/>
                    </w:rPr>
                    <w:t>2</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eastAsia="zh-CN"/>
                    </w:rPr>
                    <w:t>为</w:t>
                  </w:r>
                  <w:r>
                    <w:rPr>
                      <w:rFonts w:hint="eastAsia" w:ascii="Times New Roman" w:hAnsi="Times New Roman" w:eastAsia="宋体" w:cs="Times New Roman"/>
                      <w:color w:val="auto"/>
                      <w:sz w:val="21"/>
                      <w:szCs w:val="21"/>
                      <w:highlight w:val="none"/>
                      <w:lang w:val="en-US" w:eastAsia="zh-CN"/>
                    </w:rPr>
                    <w:t>2层建筑物（地上1层、地下1层），地上层为柴油发电机房，地下一层为消防水池及消防水泵房。</w:t>
                  </w:r>
                </w:p>
              </w:tc>
              <w:tc>
                <w:tcPr>
                  <w:tcW w:w="669" w:type="dxa"/>
                  <w:vAlign w:val="center"/>
                </w:tcPr>
                <w:p>
                  <w:pPr>
                    <w:pStyle w:val="20"/>
                    <w:adjustRightInd w:val="0"/>
                    <w:snapToGrid w:val="0"/>
                    <w:spacing w:line="0" w:lineRule="atLeast"/>
                    <w:jc w:val="center"/>
                    <w:rPr>
                      <w:rFonts w:hint="eastAsia" w:cs="Times New Roman"/>
                      <w:color w:val="auto"/>
                      <w:kern w:val="0"/>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公用工程</w:t>
                  </w:r>
                </w:p>
              </w:tc>
              <w:tc>
                <w:tcPr>
                  <w:tcW w:w="166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供水</w:t>
                  </w:r>
                </w:p>
              </w:tc>
              <w:tc>
                <w:tcPr>
                  <w:tcW w:w="53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由园区供水管网供给</w:t>
                  </w:r>
                  <w:r>
                    <w:rPr>
                      <w:rFonts w:hint="eastAsia" w:cs="Times New Roman"/>
                      <w:color w:val="auto"/>
                      <w:kern w:val="0"/>
                      <w:sz w:val="21"/>
                      <w:szCs w:val="21"/>
                      <w:highlight w:val="none"/>
                      <w:lang w:eastAsia="zh-CN"/>
                    </w:rPr>
                    <w:t>（纯水由自来水通过设备生产）；</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排水</w:t>
                  </w:r>
                </w:p>
              </w:tc>
              <w:tc>
                <w:tcPr>
                  <w:tcW w:w="53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eastAsia="zh-CN"/>
                    </w:rPr>
                    <w:t>项目排水采用雨污分流的排水方式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color w:val="auto"/>
                      <w:sz w:val="21"/>
                      <w:szCs w:val="21"/>
                      <w:highlight w:val="none"/>
                      <w:lang w:eastAsia="zh-CN"/>
                    </w:rPr>
                    <w:t>；生产过程中冷却废水经循环水冷却池冷却后循环使用；</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highlight w:val="none"/>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rPr>
                    <w:t>冷凝水</w:t>
                  </w:r>
                  <w:r>
                    <w:rPr>
                      <w:rFonts w:hint="default" w:ascii="Times New Roman" w:hAnsi="Times New Roman" w:eastAsia="宋体" w:cs="Times New Roman"/>
                      <w:color w:val="auto"/>
                      <w:sz w:val="21"/>
                      <w:szCs w:val="21"/>
                      <w:lang w:val="en-US" w:eastAsia="zh-CN"/>
                    </w:rPr>
                    <w:t>用于锅炉</w:t>
                  </w:r>
                  <w:r>
                    <w:rPr>
                      <w:rFonts w:hint="default" w:ascii="Times New Roman" w:hAnsi="Times New Roman" w:eastAsia="宋体" w:cs="Times New Roman"/>
                      <w:color w:val="auto"/>
                      <w:sz w:val="21"/>
                      <w:szCs w:val="21"/>
                    </w:rPr>
                    <w:t>损耗补充</w:t>
                  </w:r>
                  <w:r>
                    <w:rPr>
                      <w:rFonts w:hint="default" w:ascii="Times New Roman" w:hAnsi="Times New Roman" w:eastAsia="宋体" w:cs="Times New Roman"/>
                      <w:color w:val="auto"/>
                      <w:sz w:val="21"/>
                      <w:szCs w:val="21"/>
                      <w:highlight w:val="none"/>
                    </w:rPr>
                    <w:t>水</w:t>
                  </w:r>
                  <w:r>
                    <w:rPr>
                      <w:rFonts w:hint="default" w:ascii="Times New Roman" w:hAnsi="Times New Roman" w:eastAsia="宋体" w:cs="Times New Roman"/>
                      <w:b w:val="0"/>
                      <w:bCs w:val="0"/>
                      <w:color w:val="auto"/>
                      <w:sz w:val="21"/>
                      <w:szCs w:val="21"/>
                      <w:highlight w:val="none"/>
                      <w:lang w:val="en-US" w:eastAsia="zh-CN"/>
                    </w:rPr>
                    <w:t>，生产废水不外排；食堂含油废水经隔油池预处理后与其他办公生活污水一并进入化粪池、一体化污水处理站处理达《城市污水再生利用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供电</w:t>
                  </w:r>
                </w:p>
              </w:tc>
              <w:tc>
                <w:tcPr>
                  <w:tcW w:w="53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从园区已有供电系统接入。</w:t>
                  </w:r>
                </w:p>
              </w:tc>
              <w:tc>
                <w:tcPr>
                  <w:tcW w:w="669" w:type="dxa"/>
                  <w:vAlign w:val="center"/>
                </w:tcPr>
                <w:p>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eastAsia="zh-CN"/>
                    </w:rPr>
                    <w:t>供热</w:t>
                  </w:r>
                </w:p>
              </w:tc>
              <w:tc>
                <w:tcPr>
                  <w:tcW w:w="53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项目生产过程中能量主要为蒸汽，</w:t>
                  </w:r>
                  <w:r>
                    <w:rPr>
                      <w:rFonts w:hint="default" w:ascii="Times New Roman" w:hAnsi="Times New Roman" w:eastAsia="宋体" w:cs="Times New Roman"/>
                      <w:bCs/>
                      <w:color w:val="auto"/>
                      <w:spacing w:val="6"/>
                      <w:sz w:val="21"/>
                      <w:szCs w:val="21"/>
                      <w:highlight w:val="none"/>
                    </w:rPr>
                    <w:t>本项目</w:t>
                  </w:r>
                  <w:r>
                    <w:rPr>
                      <w:rFonts w:hint="default" w:ascii="Times New Roman" w:hAnsi="Times New Roman" w:eastAsia="宋体" w:cs="Times New Roman"/>
                      <w:bCs/>
                      <w:color w:val="auto"/>
                      <w:spacing w:val="6"/>
                      <w:sz w:val="21"/>
                      <w:szCs w:val="21"/>
                      <w:highlight w:val="none"/>
                      <w:lang w:val="en-US" w:eastAsia="zh-CN"/>
                    </w:rPr>
                    <w:t>拟</w:t>
                  </w:r>
                  <w:r>
                    <w:rPr>
                      <w:rFonts w:hint="default" w:ascii="Times New Roman" w:hAnsi="Times New Roman" w:eastAsia="宋体" w:cs="Times New Roman"/>
                      <w:bCs/>
                      <w:color w:val="auto"/>
                      <w:spacing w:val="6"/>
                      <w:sz w:val="21"/>
                      <w:szCs w:val="21"/>
                      <w:highlight w:val="none"/>
                    </w:rPr>
                    <w:t>设置</w:t>
                  </w:r>
                  <w:r>
                    <w:rPr>
                      <w:rFonts w:hint="eastAsia" w:cs="Times New Roman"/>
                      <w:bCs/>
                      <w:color w:val="auto"/>
                      <w:spacing w:val="6"/>
                      <w:sz w:val="21"/>
                      <w:szCs w:val="21"/>
                      <w:highlight w:val="none"/>
                      <w:lang w:val="en-US" w:eastAsia="zh-CN"/>
                    </w:rPr>
                    <w:t>2</w:t>
                  </w:r>
                  <w:r>
                    <w:rPr>
                      <w:rFonts w:hint="default" w:ascii="Times New Roman" w:hAnsi="Times New Roman" w:eastAsia="宋体" w:cs="Times New Roman"/>
                      <w:bCs/>
                      <w:color w:val="auto"/>
                      <w:spacing w:val="6"/>
                      <w:sz w:val="21"/>
                      <w:szCs w:val="21"/>
                      <w:highlight w:val="none"/>
                      <w:lang w:val="en-US" w:eastAsia="zh-CN"/>
                    </w:rPr>
                    <w:t>台</w:t>
                  </w:r>
                  <w:r>
                    <w:rPr>
                      <w:rFonts w:hint="eastAsia" w:cs="Times New Roman"/>
                      <w:bCs/>
                      <w:color w:val="auto"/>
                      <w:spacing w:val="6"/>
                      <w:sz w:val="21"/>
                      <w:szCs w:val="21"/>
                      <w:highlight w:val="none"/>
                      <w:lang w:val="en-US" w:eastAsia="zh-CN"/>
                    </w:rPr>
                    <w:t>10</w:t>
                  </w:r>
                  <w:r>
                    <w:rPr>
                      <w:rFonts w:hint="default" w:ascii="Times New Roman" w:hAnsi="Times New Roman" w:eastAsia="宋体" w:cs="Times New Roman"/>
                      <w:bCs/>
                      <w:color w:val="auto"/>
                      <w:spacing w:val="6"/>
                      <w:sz w:val="21"/>
                      <w:szCs w:val="21"/>
                      <w:highlight w:val="none"/>
                      <w:lang w:val="en-US" w:eastAsia="zh-CN"/>
                    </w:rPr>
                    <w:t>t/h蒸汽锅炉</w:t>
                  </w:r>
                  <w:r>
                    <w:rPr>
                      <w:rFonts w:hint="eastAsia" w:cs="Times New Roman"/>
                      <w:bCs/>
                      <w:color w:val="auto"/>
                      <w:spacing w:val="6"/>
                      <w:sz w:val="21"/>
                      <w:szCs w:val="21"/>
                      <w:highlight w:val="none"/>
                      <w:lang w:val="en-US" w:eastAsia="zh-CN"/>
                    </w:rPr>
                    <w:t>（一用一备）</w:t>
                  </w:r>
                  <w:r>
                    <w:rPr>
                      <w:rFonts w:hint="default" w:ascii="Times New Roman" w:hAnsi="Times New Roman" w:eastAsia="宋体" w:cs="Times New Roman"/>
                      <w:bCs/>
                      <w:color w:val="auto"/>
                      <w:spacing w:val="6"/>
                      <w:sz w:val="21"/>
                      <w:szCs w:val="21"/>
                      <w:highlight w:val="none"/>
                      <w:lang w:val="en-US" w:eastAsia="zh-CN"/>
                    </w:rPr>
                    <w:t>为泡沫箱生产过程提供热量</w:t>
                  </w:r>
                  <w:r>
                    <w:rPr>
                      <w:rFonts w:hint="default" w:ascii="Times New Roman" w:hAnsi="Times New Roman" w:eastAsia="宋体" w:cs="Times New Roman"/>
                      <w:color w:val="auto"/>
                      <w:sz w:val="21"/>
                      <w:szCs w:val="21"/>
                      <w:highlight w:val="none"/>
                    </w:rPr>
                    <w:t>。办公生活区使用电能</w:t>
                  </w:r>
                  <w:r>
                    <w:rPr>
                      <w:rFonts w:hint="default" w:ascii="Times New Roman" w:hAnsi="Times New Roman" w:eastAsia="宋体" w:cs="Times New Roman"/>
                      <w:color w:val="auto"/>
                      <w:sz w:val="21"/>
                      <w:szCs w:val="21"/>
                      <w:highlight w:val="none"/>
                      <w:lang w:eastAsia="zh-CN"/>
                    </w:rPr>
                    <w:t>及液化石油气，辅以太阳能提供</w:t>
                  </w:r>
                  <w:r>
                    <w:rPr>
                      <w:rFonts w:hint="default" w:ascii="Times New Roman" w:hAnsi="Times New Roman" w:eastAsia="宋体" w:cs="Times New Roman"/>
                      <w:color w:val="auto"/>
                      <w:sz w:val="21"/>
                      <w:szCs w:val="21"/>
                      <w:highlight w:val="none"/>
                    </w:rPr>
                    <w:t>热水。</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166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消防</w:t>
                  </w:r>
                </w:p>
              </w:tc>
              <w:tc>
                <w:tcPr>
                  <w:tcW w:w="53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项目建筑均</w:t>
                  </w:r>
                  <w:r>
                    <w:rPr>
                      <w:rFonts w:hint="default" w:ascii="Times New Roman" w:hAnsi="Times New Roman" w:eastAsia="宋体" w:cs="Times New Roman"/>
                      <w:color w:val="auto"/>
                      <w:kern w:val="0"/>
                      <w:sz w:val="21"/>
                      <w:szCs w:val="21"/>
                      <w:highlight w:val="none"/>
                      <w:lang w:eastAsia="zh-CN"/>
                    </w:rPr>
                    <w:t>配置</w:t>
                  </w:r>
                  <w:r>
                    <w:rPr>
                      <w:rFonts w:hint="default" w:ascii="Times New Roman" w:hAnsi="Times New Roman" w:eastAsia="宋体" w:cs="Times New Roman"/>
                      <w:color w:val="auto"/>
                      <w:kern w:val="0"/>
                      <w:sz w:val="21"/>
                      <w:szCs w:val="21"/>
                      <w:highlight w:val="none"/>
                    </w:rPr>
                    <w:t>灭火</w:t>
                  </w:r>
                  <w:r>
                    <w:rPr>
                      <w:rFonts w:hint="default" w:ascii="Times New Roman" w:hAnsi="Times New Roman" w:eastAsia="宋体" w:cs="Times New Roman"/>
                      <w:color w:val="auto"/>
                      <w:kern w:val="0"/>
                      <w:sz w:val="21"/>
                      <w:szCs w:val="21"/>
                      <w:highlight w:val="none"/>
                      <w:lang w:eastAsia="zh-CN"/>
                    </w:rPr>
                    <w:t>器材</w:t>
                  </w:r>
                  <w:r>
                    <w:rPr>
                      <w:rFonts w:hint="default" w:ascii="Times New Roman" w:hAnsi="Times New Roman" w:eastAsia="宋体" w:cs="Times New Roman"/>
                      <w:color w:val="auto"/>
                      <w:kern w:val="0"/>
                      <w:sz w:val="21"/>
                      <w:szCs w:val="21"/>
                      <w:highlight w:val="none"/>
                    </w:rPr>
                    <w:t>，消防水源为市政管网水，水量水压能满足消防要求。</w:t>
                  </w:r>
                </w:p>
              </w:tc>
              <w:tc>
                <w:tcPr>
                  <w:tcW w:w="669" w:type="dxa"/>
                  <w:vAlign w:val="center"/>
                </w:tcPr>
                <w:p>
                  <w:pPr>
                    <w:adjustRightInd w:val="0"/>
                    <w:snapToGrid w:val="0"/>
                    <w:spacing w:line="0" w:lineRule="atLeast"/>
                    <w:jc w:val="center"/>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restart"/>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环保工程</w:t>
                  </w:r>
                </w:p>
              </w:tc>
              <w:tc>
                <w:tcPr>
                  <w:tcW w:w="426" w:type="dxa"/>
                  <w:vMerge w:val="restart"/>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废气处理设施</w:t>
                  </w:r>
                </w:p>
              </w:tc>
              <w:tc>
                <w:tcPr>
                  <w:tcW w:w="1240" w:type="dxa"/>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生物质锅炉废气（</w:t>
                  </w:r>
                  <w:r>
                    <w:rPr>
                      <w:rFonts w:hint="eastAsia" w:cs="Times New Roman"/>
                      <w:color w:val="auto"/>
                      <w:sz w:val="21"/>
                      <w:szCs w:val="21"/>
                      <w:highlight w:val="none"/>
                      <w:lang w:val="en-US" w:eastAsia="zh-CN"/>
                    </w:rPr>
                    <w:t>耐高温布袋除尘器</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w:t>
                  </w:r>
                </w:p>
              </w:tc>
              <w:tc>
                <w:tcPr>
                  <w:tcW w:w="5378" w:type="dxa"/>
                  <w:gridSpan w:val="2"/>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t/h的生物质锅炉</w:t>
                  </w:r>
                  <w:r>
                    <w:rPr>
                      <w:rFonts w:hint="eastAsia" w:cs="Times New Roman"/>
                      <w:color w:val="auto"/>
                      <w:sz w:val="21"/>
                      <w:szCs w:val="21"/>
                      <w:highlight w:val="none"/>
                      <w:lang w:val="en-US" w:eastAsia="zh-CN"/>
                    </w:rPr>
                    <w:t>（一用一备）</w:t>
                  </w:r>
                  <w:r>
                    <w:rPr>
                      <w:rFonts w:hint="default" w:ascii="Times New Roman" w:hAnsi="Times New Roman" w:eastAsia="宋体" w:cs="Times New Roman"/>
                      <w:color w:val="auto"/>
                      <w:sz w:val="21"/>
                      <w:szCs w:val="21"/>
                      <w:highlight w:val="none"/>
                      <w:lang w:val="en-US" w:eastAsia="zh-CN"/>
                    </w:rPr>
                    <w:t>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耐高温布袋除尘器</w:t>
                  </w:r>
                  <w:r>
                    <w:rPr>
                      <w:rFonts w:hint="default" w:ascii="Times New Roman" w:hAnsi="Times New Roman" w:eastAsia="宋体" w:cs="Times New Roman"/>
                      <w:color w:val="auto"/>
                      <w:sz w:val="21"/>
                      <w:szCs w:val="21"/>
                      <w:highlight w:val="none"/>
                      <w:lang w:val="en-US" w:eastAsia="zh-CN"/>
                    </w:rPr>
                    <w:t>”处理后由1根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w:t>
                  </w:r>
                  <w:r>
                    <w:rPr>
                      <w:rFonts w:hint="default" w:ascii="Times New Roman" w:hAnsi="Times New Roman" w:eastAsia="宋体" w:cs="Times New Roman"/>
                      <w:color w:val="auto"/>
                      <w:sz w:val="21"/>
                      <w:szCs w:val="21"/>
                      <w:highlight w:val="none"/>
                    </w:rPr>
                    <w:t>（预留标准的采样检测口）</w:t>
                  </w:r>
                  <w:r>
                    <w:rPr>
                      <w:rFonts w:hint="default" w:ascii="Times New Roman" w:hAnsi="Times New Roman" w:eastAsia="宋体" w:cs="Times New Roman"/>
                      <w:color w:val="auto"/>
                      <w:sz w:val="21"/>
                      <w:szCs w:val="21"/>
                      <w:highlight w:val="none"/>
                      <w:lang w:val="en-US" w:eastAsia="zh-CN"/>
                    </w:rPr>
                    <w:t>（DA001）排放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bCs/>
                      <w:color w:val="auto"/>
                      <w:sz w:val="21"/>
                      <w:szCs w:val="21"/>
                      <w:highlight w:val="none"/>
                      <w:lang w:eastAsia="zh-CN"/>
                    </w:rPr>
                    <w:t>耐高温</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none"/>
                    </w:rPr>
                  </w:pPr>
                </w:p>
              </w:tc>
              <w:tc>
                <w:tcPr>
                  <w:tcW w:w="426"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p>
              </w:tc>
              <w:tc>
                <w:tcPr>
                  <w:tcW w:w="1240" w:type="dxa"/>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预发泡、成型废气（三级活性炭+15m高排气筒DA002）</w:t>
                  </w:r>
                </w:p>
              </w:tc>
              <w:tc>
                <w:tcPr>
                  <w:tcW w:w="5378" w:type="dxa"/>
                  <w:gridSpan w:val="2"/>
                  <w:tcBorders>
                    <w:bottom w:val="single" w:color="auto" w:sz="4" w:space="0"/>
                  </w:tcBorders>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bCs/>
                      <w:color w:val="auto"/>
                      <w:sz w:val="21"/>
                      <w:szCs w:val="21"/>
                      <w:highlight w:val="yellow"/>
                    </w:rPr>
                  </w:pPr>
                </w:p>
              </w:tc>
              <w:tc>
                <w:tcPr>
                  <w:tcW w:w="426"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yellow"/>
                      <w:lang w:val="en-US" w:eastAsia="zh-CN"/>
                    </w:rPr>
                  </w:pPr>
                </w:p>
              </w:tc>
              <w:tc>
                <w:tcPr>
                  <w:tcW w:w="1240" w:type="dxa"/>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食堂油烟</w:t>
                  </w:r>
                </w:p>
              </w:tc>
              <w:tc>
                <w:tcPr>
                  <w:tcW w:w="5378" w:type="dxa"/>
                  <w:gridSpan w:val="2"/>
                  <w:vAlign w:val="center"/>
                </w:tcPr>
                <w:p>
                  <w:pPr>
                    <w:pStyle w:val="4"/>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rPr>
                    <w:t>食堂油烟配套“1个集气罩+1台油烟净化设施+</w:t>
                  </w:r>
                  <w:r>
                    <w:rPr>
                      <w:rFonts w:hint="eastAsia" w:cs="Times New Roman"/>
                      <w:color w:val="auto"/>
                      <w:sz w:val="21"/>
                      <w:szCs w:val="21"/>
                      <w:highlight w:val="none"/>
                      <w:lang w:eastAsia="zh-CN"/>
                    </w:rPr>
                    <w:t>高于自身建筑</w:t>
                  </w:r>
                  <w:r>
                    <w:rPr>
                      <w:rFonts w:hint="default" w:ascii="Times New Roman" w:hAnsi="Times New Roman" w:eastAsia="宋体" w:cs="Times New Roman"/>
                      <w:color w:val="auto"/>
                      <w:sz w:val="21"/>
                      <w:szCs w:val="21"/>
                      <w:highlight w:val="none"/>
                    </w:rPr>
                    <w:t>房顶1.5m高的排气筒”，油烟净化器净化效率不低于60%。</w:t>
                  </w:r>
                </w:p>
              </w:tc>
              <w:tc>
                <w:tcPr>
                  <w:tcW w:w="669" w:type="dxa"/>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restart"/>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废水</w:t>
                  </w:r>
                  <w:r>
                    <w:rPr>
                      <w:rFonts w:hint="default" w:ascii="Times New Roman" w:hAnsi="Times New Roman" w:eastAsia="宋体" w:cs="Times New Roman"/>
                      <w:color w:val="auto"/>
                      <w:sz w:val="21"/>
                      <w:szCs w:val="21"/>
                      <w:highlight w:val="none"/>
                      <w:lang w:val="en-US" w:eastAsia="zh-CN"/>
                    </w:rPr>
                    <w:t>处理设施</w:t>
                  </w:r>
                </w:p>
              </w:tc>
              <w:tc>
                <w:tcPr>
                  <w:tcW w:w="1240"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雨污分流</w:t>
                  </w:r>
                </w:p>
              </w:tc>
              <w:tc>
                <w:tcPr>
                  <w:tcW w:w="5378"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项目实行雨污分流制，</w:t>
                  </w:r>
                  <w:r>
                    <w:rPr>
                      <w:rFonts w:hint="default" w:ascii="Times New Roman" w:hAnsi="Times New Roman" w:eastAsia="宋体" w:cs="Times New Roman"/>
                      <w:color w:val="auto"/>
                      <w:sz w:val="21"/>
                      <w:szCs w:val="21"/>
                      <w:highlight w:val="none"/>
                      <w:lang w:eastAsia="zh-CN"/>
                    </w:rPr>
                    <w:t>雨水经厂区雨水沟收集后排入</w:t>
                  </w:r>
                  <w:r>
                    <w:rPr>
                      <w:rFonts w:hint="eastAsia" w:ascii="Times New Roman" w:hAnsi="Times New Roman" w:cs="Times New Roman"/>
                      <w:b w:val="0"/>
                      <w:bCs w:val="0"/>
                      <w:color w:val="auto"/>
                      <w:sz w:val="21"/>
                      <w:szCs w:val="21"/>
                      <w:highlight w:val="none"/>
                      <w:lang w:val="en-US" w:eastAsia="zh-CN"/>
                    </w:rPr>
                    <w:t>园区雨水管网</w:t>
                  </w:r>
                  <w:r>
                    <w:rPr>
                      <w:rFonts w:hint="default" w:ascii="Times New Roman" w:hAnsi="Times New Roman" w:eastAsia="宋体" w:cs="Times New Roman"/>
                      <w:color w:val="auto"/>
                      <w:sz w:val="21"/>
                      <w:szCs w:val="21"/>
                      <w:highlight w:val="none"/>
                    </w:rPr>
                    <w:t>。</w:t>
                  </w:r>
                </w:p>
              </w:tc>
              <w:tc>
                <w:tcPr>
                  <w:tcW w:w="669" w:type="dxa"/>
                  <w:vAlign w:val="center"/>
                </w:tcPr>
                <w:p>
                  <w:pPr>
                    <w:adjustRightInd w:val="0"/>
                    <w:snapToGrid w:val="0"/>
                    <w:spacing w:line="0" w:lineRule="atLeast"/>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240" w:type="dxa"/>
                  <w:vAlign w:val="center"/>
                </w:tcPr>
                <w:p>
                  <w:pPr>
                    <w:pStyle w:val="26"/>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Style w:val="108"/>
                      <w:rFonts w:hint="default" w:ascii="Times New Roman" w:hAnsi="Times New Roman" w:eastAsia="宋体" w:cs="Times New Roman"/>
                      <w:color w:val="auto"/>
                      <w:sz w:val="21"/>
                      <w:szCs w:val="21"/>
                    </w:rPr>
                    <w:t>冷却水循环系统</w:t>
                  </w:r>
                </w:p>
              </w:tc>
              <w:tc>
                <w:tcPr>
                  <w:tcW w:w="5378" w:type="dxa"/>
                  <w:gridSpan w:val="2"/>
                  <w:vAlign w:val="center"/>
                </w:tcPr>
                <w:p>
                  <w:pPr>
                    <w:pStyle w:val="26"/>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ascii="Times New Roman" w:hAnsi="Times New Roman"/>
                      <w:color w:val="auto"/>
                      <w:sz w:val="21"/>
                      <w:szCs w:val="21"/>
                    </w:rPr>
                    <w:t>包括1个容积为</w:t>
                  </w:r>
                  <w:r>
                    <w:rPr>
                      <w:rFonts w:hint="eastAsia" w:ascii="Times New Roman" w:hAnsi="Times New Roman"/>
                      <w:color w:val="auto"/>
                      <w:sz w:val="21"/>
                      <w:szCs w:val="21"/>
                      <w:lang w:val="en-US" w:eastAsia="zh-CN"/>
                    </w:rPr>
                    <w:t>400</w:t>
                  </w:r>
                  <w:r>
                    <w:rPr>
                      <w:rFonts w:ascii="Times New Roman" w:hAnsi="Times New Roman"/>
                      <w:color w:val="auto"/>
                      <w:sz w:val="21"/>
                      <w:szCs w:val="21"/>
                    </w:rPr>
                    <w:t>m</w:t>
                  </w:r>
                  <w:r>
                    <w:rPr>
                      <w:rFonts w:ascii="Times New Roman" w:hAnsi="Times New Roman"/>
                      <w:color w:val="auto"/>
                      <w:sz w:val="21"/>
                      <w:szCs w:val="21"/>
                      <w:vertAlign w:val="superscript"/>
                    </w:rPr>
                    <w:t>3</w:t>
                  </w:r>
                  <w:r>
                    <w:rPr>
                      <w:rStyle w:val="108"/>
                      <w:rFonts w:ascii="Times New Roman" w:hAnsi="Times New Roman"/>
                      <w:color w:val="auto"/>
                      <w:sz w:val="21"/>
                      <w:szCs w:val="21"/>
                    </w:rPr>
                    <w:t>的</w:t>
                  </w:r>
                  <w:r>
                    <w:rPr>
                      <w:rFonts w:ascii="Times New Roman" w:hAnsi="Times New Roman"/>
                      <w:color w:val="auto"/>
                      <w:sz w:val="21"/>
                      <w:szCs w:val="21"/>
                    </w:rPr>
                    <w:t>循环冷却水池及冷却水塔，设置于生产车间东侧，用于处理生产过程中产生的冷却废水。</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240" w:type="dxa"/>
                  <w:vAlign w:val="center"/>
                </w:tcPr>
                <w:p>
                  <w:pPr>
                    <w:pStyle w:val="26"/>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絮凝沉淀</w:t>
                  </w:r>
                  <w:r>
                    <w:rPr>
                      <w:rFonts w:hint="default" w:ascii="Times New Roman" w:hAnsi="Times New Roman" w:eastAsia="宋体" w:cs="Times New Roman"/>
                      <w:color w:val="auto"/>
                      <w:sz w:val="21"/>
                      <w:szCs w:val="21"/>
                      <w:highlight w:val="none"/>
                      <w:lang w:eastAsia="zh-CN"/>
                    </w:rPr>
                    <w:t>池</w:t>
                  </w:r>
                </w:p>
              </w:tc>
              <w:tc>
                <w:tcPr>
                  <w:tcW w:w="5378" w:type="dxa"/>
                  <w:gridSpan w:val="2"/>
                  <w:vAlign w:val="center"/>
                </w:tcPr>
                <w:p>
                  <w:pPr>
                    <w:pStyle w:val="26"/>
                    <w:spacing w:beforeAutospacing="0" w:afterAutospacing="0"/>
                    <w:jc w:val="center"/>
                    <w:rPr>
                      <w:rFonts w:hint="default" w:ascii="Times New Roman" w:hAnsi="Times New Roman" w:eastAsia="宋体" w:cs="Times New Roman"/>
                      <w:color w:val="auto"/>
                      <w:sz w:val="21"/>
                      <w:szCs w:val="21"/>
                      <w:highlight w:val="none"/>
                    </w:rPr>
                  </w:pPr>
                  <w:r>
                    <w:rPr>
                      <w:color w:val="auto"/>
                      <w:sz w:val="21"/>
                      <w:szCs w:val="21"/>
                      <w:highlight w:val="none"/>
                    </w:rPr>
                    <w:t>1个容积为</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Style w:val="108"/>
                      <w:color w:val="auto"/>
                      <w:sz w:val="21"/>
                      <w:szCs w:val="21"/>
                      <w:highlight w:val="none"/>
                    </w:rPr>
                    <w:t>的絮凝沉淀</w:t>
                  </w:r>
                  <w:r>
                    <w:rPr>
                      <w:color w:val="auto"/>
                      <w:sz w:val="21"/>
                      <w:szCs w:val="21"/>
                      <w:highlight w:val="none"/>
                    </w:rPr>
                    <w:t>水池，设置于锅炉房外，用于处理</w:t>
                  </w:r>
                  <w:r>
                    <w:rPr>
                      <w:rFonts w:hint="eastAsia"/>
                      <w:bCs/>
                      <w:iCs/>
                      <w:color w:val="auto"/>
                      <w:sz w:val="21"/>
                      <w:szCs w:val="21"/>
                      <w:highlight w:val="none"/>
                    </w:rPr>
                    <w:t>纯水制备废水</w:t>
                  </w:r>
                  <w:r>
                    <w:rPr>
                      <w:color w:val="auto"/>
                      <w:sz w:val="21"/>
                      <w:szCs w:val="21"/>
                      <w:highlight w:val="none"/>
                    </w:rPr>
                    <w:t>及锅炉排污水。</w:t>
                  </w:r>
                </w:p>
              </w:tc>
              <w:tc>
                <w:tcPr>
                  <w:tcW w:w="669"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240"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隔油池</w:t>
                  </w:r>
                </w:p>
              </w:tc>
              <w:tc>
                <w:tcPr>
                  <w:tcW w:w="5378"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的隔油池，项目区食堂外</w:t>
                  </w: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r>
                    <w:rPr>
                      <w:rFonts w:hint="default" w:ascii="Times New Roman" w:hAnsi="Times New Roman" w:eastAsia="宋体" w:cs="Times New Roman"/>
                      <w:color w:val="auto"/>
                      <w:sz w:val="21"/>
                      <w:szCs w:val="21"/>
                      <w:highlight w:val="none"/>
                    </w:rPr>
                    <w:t>，用于处理食堂产生的含油废水。</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240"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化粪池</w:t>
                  </w:r>
                </w:p>
              </w:tc>
              <w:tc>
                <w:tcPr>
                  <w:tcW w:w="5378"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的化粪池，设于</w:t>
                  </w:r>
                  <w:r>
                    <w:rPr>
                      <w:rFonts w:hint="default" w:ascii="Times New Roman" w:hAnsi="Times New Roman" w:eastAsia="宋体" w:cs="Times New Roman"/>
                      <w:color w:val="auto"/>
                      <w:sz w:val="21"/>
                      <w:szCs w:val="21"/>
                      <w:highlight w:val="none"/>
                      <w:lang w:val="en-US" w:eastAsia="zh-CN"/>
                    </w:rPr>
                    <w:t>办公</w:t>
                  </w:r>
                  <w:r>
                    <w:rPr>
                      <w:rFonts w:hint="default" w:ascii="Times New Roman" w:hAnsi="Times New Roman" w:eastAsia="宋体" w:cs="Times New Roman"/>
                      <w:color w:val="auto"/>
                      <w:sz w:val="21"/>
                      <w:szCs w:val="21"/>
                      <w:highlight w:val="none"/>
                    </w:rPr>
                    <w:t>楼</w:t>
                  </w:r>
                  <w:r>
                    <w:rPr>
                      <w:rFonts w:hint="eastAsia"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rPr>
                    <w:t>侧，用于预处理项目内所有办公生活废水。</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1240" w:type="dxa"/>
                  <w:vAlign w:val="center"/>
                </w:tcPr>
                <w:p>
                  <w:pPr>
                    <w:widowControl/>
                    <w:spacing w:line="240" w:lineRule="auto"/>
                    <w:ind w:firstLine="0" w:firstLineChars="0"/>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一体化生活污水处理</w:t>
                  </w:r>
                  <w:r>
                    <w:rPr>
                      <w:rFonts w:hint="eastAsia" w:cs="Times New Roman"/>
                      <w:color w:val="auto"/>
                      <w:sz w:val="21"/>
                      <w:szCs w:val="21"/>
                      <w:highlight w:val="none"/>
                      <w:lang w:eastAsia="zh-CN"/>
                    </w:rPr>
                    <w:t>站</w:t>
                  </w:r>
                </w:p>
              </w:tc>
              <w:tc>
                <w:tcPr>
                  <w:tcW w:w="5378"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/d的一体化生活污水处理设备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处理工艺为“MBR”</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，用于处理项目区产生的生活废水，项目运营期产生的食堂含油废水先经隔油池预处理后，与其他办公生活污水一同进入化粪池、自建一体化污水</w:t>
                  </w:r>
                  <w:r>
                    <w:rPr>
                      <w:rFonts w:hint="eastAsia" w:cs="Times New Roman"/>
                      <w:color w:val="auto"/>
                      <w:sz w:val="21"/>
                      <w:szCs w:val="21"/>
                      <w:highlight w:val="none"/>
                      <w:lang w:eastAsia="zh-CN"/>
                    </w:rPr>
                    <w:t>处理站</w:t>
                  </w:r>
                  <w:r>
                    <w:rPr>
                      <w:rFonts w:hint="default" w:ascii="Times New Roman" w:hAnsi="Times New Roman" w:eastAsia="宋体" w:cs="Times New Roman"/>
                      <w:color w:val="auto"/>
                      <w:sz w:val="21"/>
                      <w:szCs w:val="21"/>
                      <w:highlight w:val="none"/>
                    </w:rPr>
                    <w:t>处理达</w:t>
                  </w:r>
                  <w:r>
                    <w:rPr>
                      <w:rFonts w:hint="default" w:ascii="Times New Roman" w:hAnsi="Times New Roman" w:eastAsia="宋体" w:cs="Times New Roman"/>
                      <w:bCs/>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color w:val="auto"/>
                      <w:sz w:val="21"/>
                      <w:szCs w:val="21"/>
                      <w:highlight w:val="none"/>
                      <w:lang w:val="en-US" w:eastAsia="zh-CN"/>
                    </w:rPr>
                    <w:t>后，</w:t>
                  </w:r>
                  <w:r>
                    <w:rPr>
                      <w:rFonts w:hint="default" w:ascii="Times New Roman" w:hAnsi="Times New Roman" w:eastAsia="宋体" w:cs="Times New Roman"/>
                      <w:b w:val="0"/>
                      <w:bCs w:val="0"/>
                      <w:color w:val="auto"/>
                      <w:sz w:val="21"/>
                      <w:szCs w:val="21"/>
                      <w:highlight w:val="none"/>
                      <w:lang w:val="en-US" w:eastAsia="zh-CN"/>
                    </w:rPr>
                    <w:t>用于项目区内绿化及道路场地洒水降尘，不外排</w:t>
                  </w:r>
                  <w:r>
                    <w:rPr>
                      <w:rFonts w:hint="default" w:ascii="Times New Roman" w:hAnsi="Times New Roman" w:eastAsia="宋体" w:cs="Times New Roman"/>
                      <w:color w:val="auto"/>
                      <w:sz w:val="21"/>
                      <w:szCs w:val="21"/>
                      <w:highlight w:val="none"/>
                      <w:lang w:val="en-US" w:eastAsia="zh-CN"/>
                    </w:rPr>
                    <w:t>。</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蓄水池</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办公生活区外设置1个容积为</w:t>
                  </w: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的蓄水池，对雨天项目区内处理达标后的生活污水进行收集暂存。</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vMerge w:val="continue"/>
                  <w:vAlign w:val="center"/>
                </w:tcPr>
                <w:p>
                  <w:pPr>
                    <w:adjustRightInd w:val="0"/>
                    <w:snapToGrid w:val="0"/>
                    <w:spacing w:line="0" w:lineRule="atLeast"/>
                    <w:jc w:val="center"/>
                    <w:rPr>
                      <w:color w:val="auto"/>
                    </w:rPr>
                  </w:pPr>
                </w:p>
              </w:tc>
              <w:tc>
                <w:tcPr>
                  <w:tcW w:w="426" w:type="dxa"/>
                  <w:vMerge w:val="continue"/>
                  <w:vAlign w:val="center"/>
                </w:tcPr>
                <w:p>
                  <w:pPr>
                    <w:adjustRightInd w:val="0"/>
                    <w:snapToGrid w:val="0"/>
                    <w:spacing w:line="0" w:lineRule="atLeast"/>
                    <w:jc w:val="center"/>
                    <w:rPr>
                      <w:color w:val="auto"/>
                    </w:rPr>
                  </w:pP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事故应急池</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一体化生活污水处理设备</w:t>
                  </w:r>
                  <w:r>
                    <w:rPr>
                      <w:rFonts w:hint="default" w:ascii="Times New Roman" w:hAnsi="Times New Roman" w:eastAsia="宋体" w:cs="Times New Roman"/>
                      <w:color w:val="auto"/>
                      <w:sz w:val="21"/>
                      <w:szCs w:val="21"/>
                      <w:highlight w:val="none"/>
                      <w:lang w:val="en-US" w:eastAsia="zh-CN"/>
                    </w:rPr>
                    <w:t>旁设置1个容积约为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的事故应急池，用于暂存</w:t>
                  </w:r>
                  <w:r>
                    <w:rPr>
                      <w:rFonts w:hint="default" w:ascii="Times New Roman" w:hAnsi="Times New Roman" w:eastAsia="宋体" w:cs="Times New Roman"/>
                      <w:color w:val="auto"/>
                      <w:sz w:val="21"/>
                      <w:szCs w:val="21"/>
                      <w:highlight w:val="none"/>
                    </w:rPr>
                    <w:t>一体化生活污水处理</w:t>
                  </w:r>
                  <w:r>
                    <w:rPr>
                      <w:rFonts w:hint="default" w:ascii="Times New Roman" w:hAnsi="Times New Roman" w:eastAsia="宋体" w:cs="Times New Roman"/>
                      <w:color w:val="auto"/>
                      <w:sz w:val="21"/>
                      <w:szCs w:val="21"/>
                      <w:highlight w:val="none"/>
                      <w:lang w:val="en-US" w:eastAsia="zh-CN"/>
                    </w:rPr>
                    <w:t>故障时的废水。</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6618" w:type="dxa"/>
                  <w:gridSpan w:val="3"/>
                  <w:vAlign w:val="center"/>
                </w:tcPr>
                <w:p>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项目区所有生产设备</w:t>
                  </w:r>
                  <w:r>
                    <w:rPr>
                      <w:rFonts w:hint="default" w:ascii="Times New Roman" w:hAnsi="Times New Roman" w:eastAsia="宋体"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rPr>
                    <w:t>置于厂房内，高噪声设备安装消声、减振装置。</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restart"/>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固废处理设施</w:t>
                  </w: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带盖垃圾收集桶</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厂区内分散设置若干带盖垃圾收集桶，用于收集生活垃圾。</w:t>
                  </w:r>
                </w:p>
              </w:tc>
              <w:tc>
                <w:tcPr>
                  <w:tcW w:w="669" w:type="dxa"/>
                  <w:vAlign w:val="center"/>
                </w:tcPr>
                <w:p>
                  <w:pPr>
                    <w:adjustRightInd w:val="0"/>
                    <w:snapToGrid w:val="0"/>
                    <w:spacing w:line="0" w:lineRule="atLeast"/>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泔水桶</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食堂内设置2只泔水桶，1用1备，用于收集食堂泔水。</w:t>
                  </w:r>
                </w:p>
              </w:tc>
              <w:tc>
                <w:tcPr>
                  <w:tcW w:w="669"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05" w:type="dxa"/>
                  <w:gridSpan w:val="2"/>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废油脂收集桶</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2只，1用1备，用于收集食堂隔油池废油脂。</w:t>
                  </w:r>
                </w:p>
              </w:tc>
              <w:tc>
                <w:tcPr>
                  <w:tcW w:w="669"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一般固废暂存区</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建筑面积</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，用于收集暂存生产过程产生的一般固体废弃物</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定期收集后外售</w:t>
                  </w:r>
                  <w:r>
                    <w:rPr>
                      <w:rFonts w:hint="default" w:ascii="Times New Roman" w:hAnsi="Times New Roman" w:eastAsia="宋体" w:cs="Times New Roman"/>
                      <w:color w:val="auto"/>
                      <w:sz w:val="21"/>
                      <w:szCs w:val="21"/>
                      <w:highlight w:val="none"/>
                    </w:rPr>
                    <w:t>。</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426" w:type="dxa"/>
                  <w:vMerge w:val="continue"/>
                  <w:vAlign w:val="center"/>
                </w:tcPr>
                <w:p>
                  <w:pPr>
                    <w:pStyle w:val="20"/>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105" w:type="dxa"/>
                  <w:gridSpan w:val="2"/>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暂存</w:t>
                  </w:r>
                  <w:r>
                    <w:rPr>
                      <w:rFonts w:hint="default" w:ascii="Times New Roman" w:hAnsi="Times New Roman" w:eastAsia="宋体" w:cs="Times New Roman"/>
                      <w:color w:val="auto"/>
                      <w:sz w:val="21"/>
                      <w:szCs w:val="21"/>
                      <w:highlight w:val="none"/>
                    </w:rPr>
                    <w:t>间</w:t>
                  </w:r>
                </w:p>
              </w:tc>
              <w:tc>
                <w:tcPr>
                  <w:tcW w:w="4513"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vertAlign w:val="subscript"/>
                      <w:lang w:val="en-US"/>
                    </w:rPr>
                  </w:pPr>
                  <w:r>
                    <w:rPr>
                      <w:rFonts w:hint="default" w:ascii="Times New Roman" w:hAnsi="Times New Roman" w:eastAsia="宋体" w:cs="Times New Roman"/>
                      <w:color w:val="auto"/>
                      <w:sz w:val="21"/>
                      <w:szCs w:val="21"/>
                      <w:highlight w:val="none"/>
                    </w:rPr>
                    <w:t>生产车间</w:t>
                  </w:r>
                  <w:r>
                    <w:rPr>
                      <w:rFonts w:hint="default" w:ascii="Times New Roman" w:hAnsi="Times New Roman" w:eastAsia="宋体" w:cs="Times New Roman"/>
                      <w:color w:val="auto"/>
                      <w:sz w:val="21"/>
                      <w:szCs w:val="21"/>
                      <w:highlight w:val="none"/>
                      <w:lang w:val="en-US" w:eastAsia="zh-CN"/>
                    </w:rPr>
                    <w:t>外</w:t>
                  </w:r>
                  <w:r>
                    <w:rPr>
                      <w:rFonts w:hint="default" w:ascii="Times New Roman" w:hAnsi="Times New Roman" w:eastAsia="宋体" w:cs="Times New Roman"/>
                      <w:color w:val="auto"/>
                      <w:sz w:val="21"/>
                      <w:szCs w:val="21"/>
                      <w:highlight w:val="none"/>
                    </w:rPr>
                    <w:t>设置1间占地面积为</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的危废暂存间，并配套2个危险废物专用收集容器，用于收集暂存机修过程产生的废机油、</w:t>
                  </w:r>
                  <w:r>
                    <w:rPr>
                      <w:rFonts w:hint="default" w:ascii="Times New Roman" w:hAnsi="Times New Roman" w:eastAsia="宋体" w:cs="Times New Roman"/>
                      <w:color w:val="auto"/>
                      <w:sz w:val="21"/>
                      <w:szCs w:val="21"/>
                      <w:highlight w:val="none"/>
                      <w:lang w:val="en-US" w:eastAsia="zh-CN"/>
                    </w:rPr>
                    <w:t>机修废物、</w:t>
                  </w:r>
                  <w:r>
                    <w:rPr>
                      <w:rFonts w:hint="default" w:ascii="Times New Roman" w:hAnsi="Times New Roman" w:eastAsia="宋体" w:cs="Times New Roman"/>
                      <w:color w:val="auto"/>
                      <w:sz w:val="21"/>
                      <w:szCs w:val="21"/>
                      <w:highlight w:val="none"/>
                    </w:rPr>
                    <w:t>废气处理过程中饱和失效的活性炭。危险废物暂存间地面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color w:val="auto"/>
                      <w:sz w:val="21"/>
                      <w:szCs w:val="21"/>
                      <w:highlight w:val="none"/>
                    </w:rPr>
                    <w:t>抗渗混凝土</w:t>
                  </w:r>
                  <w:r>
                    <w:rPr>
                      <w:rFonts w:hint="default" w:ascii="Times New Roman" w:hAnsi="Times New Roman" w:eastAsia="宋体" w:cs="Times New Roman"/>
                      <w:color w:val="auto"/>
                      <w:sz w:val="21"/>
                      <w:szCs w:val="21"/>
                      <w:highlight w:val="none"/>
                      <w:lang w:val="zh-CN"/>
                    </w:rPr>
                    <w:t>+2mm</w:t>
                  </w:r>
                  <w:r>
                    <w:rPr>
                      <w:rFonts w:hint="default" w:ascii="Times New Roman" w:hAnsi="Times New Roman" w:eastAsia="宋体" w:cs="Times New Roman"/>
                      <w:color w:val="auto"/>
                      <w:lang w:val="zh-CN"/>
                    </w:rPr>
                    <w:t>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，渗透系数≤10</w:t>
                  </w:r>
                  <w:r>
                    <w:rPr>
                      <w:rFonts w:hint="default" w:ascii="Times New Roman" w:hAnsi="Times New Roman" w:eastAsia="宋体" w:cs="Times New Roman"/>
                      <w:color w:val="auto"/>
                      <w:sz w:val="21"/>
                      <w:szCs w:val="21"/>
                      <w:highlight w:val="none"/>
                      <w:vertAlign w:val="superscript"/>
                      <w:lang w:val="zh-CN"/>
                    </w:rPr>
                    <w:t>-10</w:t>
                  </w:r>
                  <w:r>
                    <w:rPr>
                      <w:rFonts w:hint="default" w:ascii="Times New Roman" w:hAnsi="Times New Roman" w:eastAsia="宋体" w:cs="Times New Roman"/>
                      <w:color w:val="auto"/>
                      <w:sz w:val="21"/>
                      <w:szCs w:val="21"/>
                      <w:highlight w:val="none"/>
                      <w:lang w:val="zh-CN"/>
                    </w:rPr>
                    <w:t>cm/s</w:t>
                  </w:r>
                  <w:r>
                    <w:rPr>
                      <w:rFonts w:hint="default" w:ascii="Times New Roman" w:hAnsi="Times New Roman" w:eastAsia="宋体" w:cs="Times New Roman"/>
                      <w:color w:val="auto"/>
                      <w:sz w:val="21"/>
                      <w:szCs w:val="21"/>
                      <w:highlight w:val="none"/>
                    </w:rPr>
                    <w:t>，并按照要求设置规范的标识标牌。</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64" w:type="dxa"/>
                  <w:vMerge w:val="continue"/>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p>
              </w:tc>
              <w:tc>
                <w:tcPr>
                  <w:tcW w:w="2531" w:type="dxa"/>
                  <w:gridSpan w:val="3"/>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分区防渗</w:t>
                  </w:r>
                </w:p>
              </w:tc>
              <w:tc>
                <w:tcPr>
                  <w:tcW w:w="4513" w:type="dxa"/>
                  <w:vAlign w:val="center"/>
                </w:tcPr>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重点防渗：</w:t>
                  </w:r>
                  <w:r>
                    <w:rPr>
                      <w:rFonts w:hint="default" w:ascii="Times New Roman" w:hAnsi="Times New Roman" w:eastAsia="宋体" w:cs="Times New Roman"/>
                      <w:b w:val="0"/>
                      <w:bCs w:val="0"/>
                      <w:color w:val="auto"/>
                      <w:lang w:val="en-US" w:eastAsia="zh-CN"/>
                    </w:rPr>
                    <w:t>危废暂存间地面及四周墙裙脚采用“混凝土+2mm厚HDPE+环氧树脂”进行重点防渗处理，渗透系数≤10-10cm/s，并按照要求设置规范的标识、标牌。</w:t>
                  </w:r>
                </w:p>
                <w:p>
                  <w:pPr>
                    <w:widowControl/>
                    <w:spacing w:line="240" w:lineRule="auto"/>
                    <w:ind w:firstLine="0" w:firstLineChars="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一般防渗区：</w:t>
                  </w:r>
                  <w:r>
                    <w:rPr>
                      <w:rFonts w:hint="default" w:ascii="Times New Roman" w:hAnsi="Times New Roman" w:eastAsia="宋体" w:cs="Times New Roman"/>
                      <w:b w:val="0"/>
                      <w:bCs w:val="0"/>
                      <w:color w:val="auto"/>
                      <w:lang w:val="en-US" w:eastAsia="zh-CN"/>
                    </w:rPr>
                    <w:t>絮凝沉淀池、循环冷却水池、隔油池、化粪池、一体化污水处理站、蓄水池、事故应急池、一般固体废物暂存区防渗技术要求达到等效黏土防渗层Mb≥1.5m，渗透系数≤10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w:t>
                  </w:r>
                </w:p>
                <w:p>
                  <w:pPr>
                    <w:widowControl/>
                    <w:spacing w:line="240" w:lineRule="auto"/>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lang w:val="en-US" w:eastAsia="zh-CN"/>
                    </w:rPr>
                    <w:t>简单防渗区：</w:t>
                  </w:r>
                  <w:r>
                    <w:rPr>
                      <w:rFonts w:hint="default" w:ascii="Times New Roman" w:hAnsi="Times New Roman" w:eastAsia="宋体" w:cs="Times New Roman"/>
                      <w:b w:val="0"/>
                      <w:bCs w:val="0"/>
                      <w:color w:val="auto"/>
                      <w:lang w:val="en-US" w:eastAsia="zh-CN"/>
                    </w:rPr>
                    <w:t>其余生产区、道路及办公区域（除绿化外）进行一般硬化处理。</w:t>
                  </w:r>
                </w:p>
              </w:tc>
              <w:tc>
                <w:tcPr>
                  <w:tcW w:w="669"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95" w:type="dxa"/>
                  <w:gridSpan w:val="4"/>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bookmarkStart w:id="15" w:name="_Toc5921"/>
                  <w:r>
                    <w:rPr>
                      <w:rFonts w:hint="default" w:ascii="Times New Roman" w:hAnsi="Times New Roman" w:eastAsia="宋体" w:cs="Times New Roman"/>
                      <w:color w:val="auto"/>
                      <w:sz w:val="21"/>
                      <w:szCs w:val="21"/>
                      <w:highlight w:val="none"/>
                      <w:lang w:val="en-US" w:eastAsia="zh-CN"/>
                    </w:rPr>
                    <w:t>绿化</w:t>
                  </w:r>
                </w:p>
              </w:tc>
              <w:tc>
                <w:tcPr>
                  <w:tcW w:w="4513" w:type="dxa"/>
                  <w:vAlign w:val="center"/>
                </w:tcPr>
                <w:p>
                  <w:pPr>
                    <w:widowControl/>
                    <w:spacing w:line="240" w:lineRule="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rPr>
                    <w:t>厂区</w:t>
                  </w:r>
                  <w:r>
                    <w:rPr>
                      <w:rFonts w:hint="default" w:ascii="Times New Roman" w:hAnsi="Times New Roman" w:eastAsia="宋体" w:cs="Times New Roman"/>
                      <w:color w:val="auto"/>
                      <w:kern w:val="0"/>
                      <w:sz w:val="21"/>
                      <w:szCs w:val="21"/>
                      <w:highlight w:val="none"/>
                      <w:lang w:val="en-US" w:eastAsia="zh-CN"/>
                    </w:rPr>
                    <w:t>设置</w:t>
                  </w:r>
                  <w:r>
                    <w:rPr>
                      <w:rFonts w:hint="default" w:ascii="Times New Roman" w:hAnsi="Times New Roman" w:eastAsia="宋体" w:cs="Times New Roman"/>
                      <w:color w:val="auto"/>
                      <w:kern w:val="0"/>
                      <w:sz w:val="21"/>
                      <w:szCs w:val="21"/>
                      <w:highlight w:val="none"/>
                    </w:rPr>
                    <w:t>面积约</w:t>
                  </w:r>
                  <w:r>
                    <w:rPr>
                      <w:rFonts w:hint="default" w:ascii="Times New Roman" w:hAnsi="Times New Roman" w:eastAsia="宋体" w:cs="Times New Roman"/>
                      <w:color w:val="auto"/>
                      <w:kern w:val="0"/>
                      <w:sz w:val="21"/>
                      <w:szCs w:val="21"/>
                      <w:highlight w:val="none"/>
                      <w:lang w:val="en-US" w:eastAsia="zh-CN"/>
                    </w:rPr>
                    <w:t>为</w:t>
                  </w:r>
                  <w:r>
                    <w:rPr>
                      <w:rFonts w:hint="eastAsia" w:cs="Times New Roman"/>
                      <w:color w:val="auto"/>
                      <w:kern w:val="0"/>
                      <w:sz w:val="21"/>
                      <w:szCs w:val="21"/>
                      <w:highlight w:val="none"/>
                      <w:lang w:val="en-US" w:eastAsia="zh-CN"/>
                    </w:rPr>
                    <w:t>3836.04</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2</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绿化。</w:t>
                  </w:r>
                </w:p>
              </w:tc>
              <w:tc>
                <w:tcPr>
                  <w:tcW w:w="669" w:type="dxa"/>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新建</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3、产品方案及规模</w:t>
            </w:r>
          </w:p>
          <w:p>
            <w:pPr>
              <w:adjustRightInd w:val="0"/>
              <w:snapToGrid w:val="0"/>
              <w:spacing w:line="360" w:lineRule="auto"/>
              <w:ind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建成后</w:t>
            </w:r>
            <w:r>
              <w:rPr>
                <w:rFonts w:hint="default" w:ascii="Times New Roman" w:hAnsi="Times New Roman" w:eastAsia="宋体" w:cs="Times New Roman"/>
                <w:color w:val="auto"/>
                <w:sz w:val="24"/>
                <w:szCs w:val="24"/>
                <w:highlight w:val="none"/>
                <w:lang w:val="en-US" w:eastAsia="zh-CN"/>
              </w:rPr>
              <w:t>年产</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泡沫箱，项目主要产品见表2-2。</w:t>
            </w:r>
          </w:p>
          <w:p>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-2  项目</w:t>
            </w:r>
            <w:r>
              <w:rPr>
                <w:rFonts w:hint="default" w:ascii="Times New Roman" w:hAnsi="Times New Roman" w:eastAsia="宋体" w:cs="Times New Roman"/>
                <w:b/>
                <w:bCs/>
                <w:color w:val="auto"/>
                <w:sz w:val="21"/>
                <w:szCs w:val="21"/>
                <w:highlight w:val="none"/>
                <w:lang w:val="en-US" w:eastAsia="zh-CN"/>
              </w:rPr>
              <w:t>产品方案</w:t>
            </w:r>
            <w:r>
              <w:rPr>
                <w:rFonts w:hint="default" w:ascii="Times New Roman" w:hAnsi="Times New Roman" w:eastAsia="宋体" w:cs="Times New Roman"/>
                <w:b/>
                <w:bCs/>
                <w:color w:val="auto"/>
                <w:sz w:val="21"/>
                <w:szCs w:val="21"/>
                <w:highlight w:val="none"/>
              </w:rPr>
              <w:t>一览表</w:t>
            </w:r>
          </w:p>
          <w:tbl>
            <w:tblPr>
              <w:tblStyle w:val="27"/>
              <w:tblW w:w="8384"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70"/>
              <w:gridCol w:w="1336"/>
              <w:gridCol w:w="1247"/>
              <w:gridCol w:w="1910"/>
              <w:gridCol w:w="207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17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产品</w:t>
                  </w:r>
                  <w:r>
                    <w:rPr>
                      <w:rFonts w:hint="default" w:ascii="Times New Roman" w:hAnsi="Times New Roman" w:eastAsia="宋体" w:cs="Times New Roman"/>
                      <w:b/>
                      <w:bCs/>
                      <w:color w:val="auto"/>
                      <w:sz w:val="21"/>
                      <w:szCs w:val="21"/>
                      <w:highlight w:val="none"/>
                    </w:rPr>
                    <w:t>名称</w:t>
                  </w:r>
                </w:p>
              </w:tc>
              <w:tc>
                <w:tcPr>
                  <w:tcW w:w="133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产品</w:t>
                  </w:r>
                  <w:r>
                    <w:rPr>
                      <w:rFonts w:hint="default" w:ascii="Times New Roman" w:hAnsi="Times New Roman" w:eastAsia="宋体" w:cs="Times New Roman"/>
                      <w:b/>
                      <w:bCs/>
                      <w:color w:val="auto"/>
                      <w:sz w:val="21"/>
                      <w:szCs w:val="21"/>
                      <w:highlight w:val="none"/>
                      <w:lang w:val="en-US" w:eastAsia="zh-CN"/>
                    </w:rPr>
                    <w:t>重量</w:t>
                  </w:r>
                </w:p>
              </w:tc>
              <w:tc>
                <w:tcPr>
                  <w:tcW w:w="124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产量</w:t>
                  </w:r>
                </w:p>
              </w:tc>
              <w:tc>
                <w:tcPr>
                  <w:tcW w:w="191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产品总重</w:t>
                  </w:r>
                </w:p>
              </w:tc>
              <w:tc>
                <w:tcPr>
                  <w:tcW w:w="20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原料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17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泡沫箱</w:t>
                  </w:r>
                </w:p>
              </w:tc>
              <w:tc>
                <w:tcPr>
                  <w:tcW w:w="133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kg/</w:t>
                  </w:r>
                  <w:r>
                    <w:rPr>
                      <w:rFonts w:hint="eastAsia" w:cs="Times New Roman"/>
                      <w:b w:val="0"/>
                      <w:bCs w:val="0"/>
                      <w:color w:val="auto"/>
                      <w:sz w:val="21"/>
                      <w:szCs w:val="21"/>
                      <w:highlight w:val="none"/>
                      <w:lang w:val="en-US" w:eastAsia="zh-CN"/>
                    </w:rPr>
                    <w:t>个</w:t>
                  </w:r>
                </w:p>
              </w:tc>
              <w:tc>
                <w:tcPr>
                  <w:tcW w:w="124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20</w:t>
                  </w:r>
                  <w:r>
                    <w:rPr>
                      <w:rFonts w:hint="default" w:ascii="Times New Roman" w:hAnsi="Times New Roman" w:eastAsia="宋体" w:cs="Times New Roman"/>
                      <w:b w:val="0"/>
                      <w:bCs w:val="0"/>
                      <w:color w:val="auto"/>
                      <w:sz w:val="21"/>
                      <w:szCs w:val="21"/>
                      <w:highlight w:val="none"/>
                      <w:lang w:val="en-US" w:eastAsia="zh-CN"/>
                    </w:rPr>
                    <w:t>00万</w:t>
                  </w:r>
                  <w:r>
                    <w:rPr>
                      <w:rFonts w:hint="eastAsia" w:cs="Times New Roman"/>
                      <w:b w:val="0"/>
                      <w:bCs w:val="0"/>
                      <w:color w:val="auto"/>
                      <w:sz w:val="21"/>
                      <w:szCs w:val="21"/>
                      <w:highlight w:val="none"/>
                      <w:lang w:val="en-US" w:eastAsia="zh-CN"/>
                    </w:rPr>
                    <w:t>个</w:t>
                  </w:r>
                  <w:r>
                    <w:rPr>
                      <w:rFonts w:hint="default" w:ascii="Times New Roman" w:hAnsi="Times New Roman" w:eastAsia="宋体" w:cs="Times New Roman"/>
                      <w:b w:val="0"/>
                      <w:bCs w:val="0"/>
                      <w:color w:val="auto"/>
                      <w:sz w:val="21"/>
                      <w:szCs w:val="21"/>
                      <w:highlight w:val="none"/>
                      <w:lang w:val="en-US" w:eastAsia="zh-CN"/>
                    </w:rPr>
                    <w:t>/a</w:t>
                  </w:r>
                </w:p>
              </w:tc>
              <w:tc>
                <w:tcPr>
                  <w:tcW w:w="191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80</w:t>
                  </w: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w:t>
                  </w:r>
                  <w:r>
                    <w:rPr>
                      <w:rFonts w:hint="default" w:ascii="Times New Roman" w:hAnsi="Times New Roman" w:eastAsia="宋体" w:cs="Times New Roman"/>
                      <w:b w:val="0"/>
                      <w:bCs w:val="0"/>
                      <w:color w:val="auto"/>
                      <w:sz w:val="21"/>
                      <w:szCs w:val="21"/>
                      <w:highlight w:val="none"/>
                      <w:lang w:val="en-US" w:eastAsia="zh-CN"/>
                    </w:rPr>
                    <w:t>t/a</w:t>
                  </w:r>
                </w:p>
              </w:tc>
              <w:tc>
                <w:tcPr>
                  <w:tcW w:w="20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可发性聚苯乙烯（EPS）新料</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4、主要原辅料及用量</w:t>
            </w:r>
          </w:p>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原辅料用量</w:t>
            </w:r>
          </w:p>
          <w:p>
            <w:pPr>
              <w:adjustRightInd w:val="0"/>
              <w:snapToGrid w:val="0"/>
              <w:spacing w:line="360" w:lineRule="auto"/>
              <w:ind w:firstLine="480" w:firstLineChars="200"/>
              <w:rPr>
                <w:rFonts w:hint="default" w:ascii="Times New Roman" w:hAnsi="Times New Roman" w:eastAsia="宋体" w:cs="Times New Roman"/>
                <w:b/>
                <w:color w:val="auto"/>
              </w:rPr>
            </w:pPr>
            <w:r>
              <w:rPr>
                <w:rFonts w:hint="default" w:ascii="Times New Roman" w:hAnsi="Times New Roman" w:eastAsia="宋体" w:cs="Times New Roman"/>
                <w:color w:val="auto"/>
                <w:sz w:val="24"/>
                <w:szCs w:val="24"/>
                <w:lang w:eastAsia="zh-CN"/>
              </w:rPr>
              <w:t>泡沫</w:t>
            </w:r>
            <w:r>
              <w:rPr>
                <w:rFonts w:hint="default" w:ascii="Times New Roman" w:hAnsi="Times New Roman" w:eastAsia="宋体" w:cs="Times New Roman"/>
                <w:color w:val="auto"/>
                <w:sz w:val="24"/>
                <w:szCs w:val="24"/>
              </w:rPr>
              <w:t>箱生产过程原辅料主要</w:t>
            </w:r>
            <w:r>
              <w:rPr>
                <w:rFonts w:hint="default" w:ascii="Times New Roman" w:hAnsi="Times New Roman" w:eastAsia="宋体" w:cs="Times New Roman"/>
                <w:color w:val="auto"/>
                <w:sz w:val="24"/>
                <w:szCs w:val="24"/>
                <w:lang w:eastAsia="zh-CN"/>
              </w:rPr>
              <w:t>为</w:t>
            </w:r>
            <w:r>
              <w:rPr>
                <w:rFonts w:hint="default" w:ascii="Times New Roman" w:hAnsi="Times New Roman" w:eastAsia="宋体" w:cs="Times New Roman"/>
                <w:color w:val="auto"/>
                <w:sz w:val="24"/>
                <w:szCs w:val="24"/>
              </w:rPr>
              <w:t>可发性聚苯乙烯树脂（EPS）</w:t>
            </w:r>
            <w:r>
              <w:rPr>
                <w:rFonts w:hint="default" w:ascii="Times New Roman" w:hAnsi="Times New Roman" w:eastAsia="宋体" w:cs="Times New Roman"/>
                <w:color w:val="auto"/>
                <w:sz w:val="24"/>
                <w:szCs w:val="24"/>
                <w:lang w:eastAsia="zh-CN"/>
              </w:rPr>
              <w:t>新料塑料颗粒</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rPr>
              <w:t>项目主要原辅材料及能源消耗情况见表2-3。</w:t>
            </w:r>
          </w:p>
          <w:p>
            <w:pPr>
              <w:ind w:firstLine="422" w:firstLineChars="200"/>
              <w:jc w:val="center"/>
              <w:rPr>
                <w:rFonts w:hint="default" w:ascii="Times New Roman" w:hAnsi="Times New Roman" w:eastAsia="宋体" w:cs="Times New Roman"/>
                <w:b/>
                <w:color w:val="auto"/>
              </w:rPr>
            </w:pPr>
            <w:r>
              <w:rPr>
                <w:rFonts w:hint="default" w:ascii="Times New Roman" w:hAnsi="Times New Roman" w:eastAsia="宋体" w:cs="Times New Roman"/>
                <w:b/>
                <w:color w:val="auto"/>
              </w:rPr>
              <w:t>表2-3  生产原辅材料用量情况一览表</w:t>
            </w:r>
          </w:p>
          <w:tbl>
            <w:tblPr>
              <w:tblStyle w:val="27"/>
              <w:tblW w:w="838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48"/>
              <w:gridCol w:w="1597"/>
              <w:gridCol w:w="1331"/>
              <w:gridCol w:w="2365"/>
              <w:gridCol w:w="116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序号</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材料</w:t>
                  </w:r>
                  <w:r>
                    <w:rPr>
                      <w:rFonts w:hint="default" w:ascii="Times New Roman" w:hAnsi="Times New Roman" w:eastAsia="宋体" w:cs="Times New Roman"/>
                      <w:b/>
                      <w:bCs/>
                      <w:color w:val="auto"/>
                      <w:sz w:val="21"/>
                      <w:szCs w:val="21"/>
                      <w:highlight w:val="none"/>
                    </w:rPr>
                    <w:t>名称</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年耗量</w:t>
                  </w:r>
                  <w:r>
                    <w:rPr>
                      <w:rFonts w:hint="default" w:ascii="Times New Roman" w:hAnsi="Times New Roman" w:eastAsia="宋体" w:cs="Times New Roman"/>
                      <w:b/>
                      <w:bCs/>
                      <w:color w:val="auto"/>
                      <w:sz w:val="21"/>
                      <w:szCs w:val="21"/>
                      <w:highlight w:val="none"/>
                      <w:lang w:val="en-US" w:eastAsia="zh-CN"/>
                    </w:rPr>
                    <w:t>(t/a）</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规格（成分）</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供应来源</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备注</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7" w:type="dxa"/>
                  <w:gridSpan w:val="6"/>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一、生产泡沫箱主要原辅料</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sz w:val="21"/>
                      <w:szCs w:val="21"/>
                      <w:highlight w:val="none"/>
                    </w:rPr>
                    <w:t>可发性聚苯乙烯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EPS</w:t>
                  </w:r>
                  <w:r>
                    <w:rPr>
                      <w:rFonts w:hint="default" w:ascii="Times New Roman" w:hAnsi="Times New Roman" w:eastAsia="宋体" w:cs="Times New Roman"/>
                      <w:color w:val="auto"/>
                      <w:sz w:val="21"/>
                      <w:szCs w:val="21"/>
                      <w:highlight w:val="none"/>
                      <w:lang w:eastAsia="zh-CN"/>
                    </w:rPr>
                    <w:t>）</w:t>
                  </w:r>
                </w:p>
              </w:tc>
              <w:tc>
                <w:tcPr>
                  <w:tcW w:w="159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8044.28818</w:t>
                  </w:r>
                </w:p>
              </w:tc>
              <w:tc>
                <w:tcPr>
                  <w:tcW w:w="1331"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rPr>
                    <w:t>25kg/袋</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就近外购新料塑料；</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袋装</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87" w:type="dxa"/>
                  <w:gridSpan w:val="6"/>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b/>
                      <w:bCs/>
                      <w:color w:val="auto"/>
                      <w:sz w:val="21"/>
                      <w:szCs w:val="21"/>
                      <w:highlight w:val="none"/>
                      <w:lang w:val="en-US" w:eastAsia="zh-CN"/>
                    </w:rPr>
                    <w:t>二、能耗消耗</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8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生产</w:t>
                  </w:r>
                  <w:r>
                    <w:rPr>
                      <w:rFonts w:hint="default" w:ascii="Times New Roman" w:hAnsi="Times New Roman" w:eastAsia="宋体" w:cs="Times New Roman"/>
                      <w:color w:val="auto"/>
                      <w:sz w:val="21"/>
                      <w:szCs w:val="21"/>
                      <w:highlight w:val="none"/>
                    </w:rPr>
                    <w:t>新鲜水</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u w:val="none"/>
                      <w:lang w:val="en-US" w:eastAsia="zh-CN" w:bidi="ar"/>
                    </w:rPr>
                    <w:t>518224.8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val="en-US" w:eastAsia="zh-CN"/>
                    </w:rPr>
                    <w:t>管网；</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8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生活新鲜水</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2160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vertAlign w:val="baseline"/>
                      <w:lang w:val="en-US" w:eastAsia="zh-CN"/>
                    </w:rPr>
                    <w:t>/a</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园区</w:t>
                  </w:r>
                  <w:r>
                    <w:rPr>
                      <w:rFonts w:hint="default" w:ascii="Times New Roman" w:hAnsi="Times New Roman" w:eastAsia="宋体" w:cs="Times New Roman"/>
                      <w:color w:val="auto"/>
                      <w:sz w:val="21"/>
                      <w:szCs w:val="21"/>
                      <w:highlight w:val="none"/>
                      <w:lang w:val="en-US" w:eastAsia="zh-CN"/>
                    </w:rPr>
                    <w:t>管网；</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00</w:t>
                  </w:r>
                  <w:r>
                    <w:rPr>
                      <w:rFonts w:hint="default" w:ascii="Times New Roman" w:hAnsi="Times New Roman" w:eastAsia="宋体" w:cs="Times New Roman"/>
                      <w:color w:val="auto"/>
                      <w:sz w:val="21"/>
                      <w:szCs w:val="21"/>
                      <w:highlight w:val="none"/>
                    </w:rPr>
                    <w:t>×10</w:t>
                  </w:r>
                  <w:r>
                    <w:rPr>
                      <w:rFonts w:hint="default" w:ascii="Times New Roman" w:hAnsi="Times New Roman" w:eastAsia="宋体" w:cs="Times New Roman"/>
                      <w:color w:val="auto"/>
                      <w:sz w:val="21"/>
                      <w:szCs w:val="21"/>
                      <w:highlight w:val="none"/>
                      <w:vertAlign w:val="superscript"/>
                    </w:rPr>
                    <w:t>4</w:t>
                  </w:r>
                  <w:r>
                    <w:rPr>
                      <w:rFonts w:hint="default" w:ascii="Times New Roman" w:hAnsi="Times New Roman" w:eastAsia="宋体" w:cs="Times New Roman"/>
                      <w:color w:val="auto"/>
                      <w:sz w:val="21"/>
                      <w:szCs w:val="21"/>
                      <w:highlight w:val="none"/>
                    </w:rPr>
                    <w:t>kW·h</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市政电网接入；</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6248.7940</w:t>
                  </w:r>
                  <w:r>
                    <w:rPr>
                      <w:rFonts w:hint="default" w:ascii="Times New Roman" w:hAnsi="Times New Roman" w:eastAsia="宋体" w:cs="Times New Roman"/>
                      <w:color w:val="auto"/>
                      <w:sz w:val="21"/>
                      <w:szCs w:val="21"/>
                      <w:highlight w:val="none"/>
                    </w:rPr>
                    <w:t>t/a</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352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Cs/>
                      <w:color w:val="auto"/>
                      <w:szCs w:val="21"/>
                      <w:highlight w:val="none"/>
                    </w:rPr>
                    <w:t>提供热量，本项目</w:t>
                  </w:r>
                  <w:r>
                    <w:rPr>
                      <w:rFonts w:hint="default" w:ascii="Times New Roman" w:hAnsi="Times New Roman" w:eastAsia="宋体" w:cs="Times New Roman"/>
                      <w:bCs/>
                      <w:color w:val="auto"/>
                      <w:szCs w:val="21"/>
                      <w:highlight w:val="none"/>
                      <w:lang w:val="en-US" w:eastAsia="zh-CN"/>
                    </w:rPr>
                    <w:t>最大暂存量为150t。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24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活性炭</w:t>
                  </w:r>
                </w:p>
              </w:tc>
              <w:tc>
                <w:tcPr>
                  <w:tcW w:w="159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21.065</w:t>
                  </w:r>
                  <w:r>
                    <w:rPr>
                      <w:rFonts w:hint="default" w:ascii="Times New Roman" w:hAnsi="Times New Roman" w:eastAsia="宋体" w:cs="Times New Roman"/>
                      <w:color w:val="auto"/>
                      <w:sz w:val="21"/>
                      <w:szCs w:val="21"/>
                      <w:highlight w:val="none"/>
                    </w:rPr>
                    <w:t>t/a</w:t>
                  </w:r>
                </w:p>
              </w:tc>
              <w:tc>
                <w:tcPr>
                  <w:tcW w:w="13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sz w:val="21"/>
                      <w:szCs w:val="21"/>
                      <w:highlight w:val="none"/>
                    </w:rPr>
                    <w:t>25kg/</w:t>
                  </w:r>
                  <w:r>
                    <w:rPr>
                      <w:rFonts w:hint="default" w:ascii="Times New Roman" w:hAnsi="Times New Roman" w:eastAsia="宋体" w:cs="Times New Roman"/>
                      <w:color w:val="auto"/>
                      <w:sz w:val="21"/>
                      <w:szCs w:val="21"/>
                      <w:highlight w:val="none"/>
                      <w:lang w:eastAsia="zh-CN"/>
                    </w:rPr>
                    <w:t>箱</w:t>
                  </w:r>
                </w:p>
              </w:tc>
              <w:tc>
                <w:tcPr>
                  <w:tcW w:w="236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就近购买</w:t>
                  </w:r>
                </w:p>
              </w:tc>
              <w:tc>
                <w:tcPr>
                  <w:tcW w:w="11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84"/>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lang w:val="en-US" w:eastAsia="zh-CN"/>
              </w:rPr>
              <w:t>2</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原辅料</w:t>
            </w:r>
            <w:r>
              <w:rPr>
                <w:rFonts w:hint="default" w:ascii="Times New Roman" w:hAnsi="Times New Roman" w:eastAsia="宋体" w:cs="Times New Roman"/>
                <w:b/>
                <w:color w:val="auto"/>
                <w:sz w:val="24"/>
                <w:highlight w:val="none"/>
                <w:lang w:val="en-US" w:eastAsia="zh-CN"/>
              </w:rPr>
              <w:t>理化</w:t>
            </w:r>
            <w:r>
              <w:rPr>
                <w:rFonts w:hint="default" w:ascii="Times New Roman" w:hAnsi="Times New Roman" w:eastAsia="宋体" w:cs="Times New Roman"/>
                <w:b/>
                <w:color w:val="auto"/>
                <w:sz w:val="24"/>
                <w:highlight w:val="none"/>
              </w:rPr>
              <w:t>性质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rPr>
              <w:t>可发性聚苯乙烯（EPS）</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leftChars="0" w:right="0" w:rightChars="0" w:firstLine="480" w:firstLineChars="200"/>
              <w:jc w:val="both"/>
              <w:textAlignment w:val="auto"/>
              <w:outlineLvl w:val="9"/>
              <w:rPr>
                <w:rFonts w:hint="default" w:ascii="Times New Roman" w:hAnsi="Times New Roman" w:eastAsia="宋体" w:cs="Times New Roman"/>
                <w:b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szCs w:val="24"/>
              </w:rPr>
              <w:t>可发性聚苯乙烯</w:t>
            </w:r>
            <w:r>
              <w:rPr>
                <w:rFonts w:hint="default" w:ascii="Times New Roman" w:hAnsi="Times New Roman" w:eastAsia="宋体" w:cs="Times New Roman"/>
                <w:color w:val="auto"/>
                <w:sz w:val="24"/>
                <w:szCs w:val="24"/>
                <w:lang w:eastAsia="zh-CN"/>
              </w:rPr>
              <w:t>，</w:t>
            </w:r>
            <w:r>
              <w:rPr>
                <w:rStyle w:val="117"/>
                <w:rFonts w:hint="default" w:ascii="Times New Roman" w:hAnsi="Times New Roman" w:eastAsia="宋体" w:cs="Times New Roman"/>
                <w:color w:val="auto"/>
                <w:kern w:val="0"/>
                <w:sz w:val="24"/>
                <w:szCs w:val="24"/>
                <w:highlight w:val="none"/>
              </w:rPr>
              <w:t>简称</w:t>
            </w:r>
            <w:r>
              <w:rPr>
                <w:rFonts w:hint="default" w:ascii="Times New Roman" w:hAnsi="Times New Roman" w:eastAsia="宋体" w:cs="Times New Roman"/>
                <w:color w:val="auto"/>
                <w:sz w:val="24"/>
                <w:szCs w:val="24"/>
              </w:rPr>
              <w:t>EPS</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通称聚苯乙烯和苯乙烯系共聚物，是一种树脂与物理性发泡剂和其他添加剂的混合物。原料呈珠粒状，白色，相对密度1.05g/cm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，珠粒直径为0.7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mm。珠粒内含有发泡剂，发泡剂为戊烷，戊烷含量约为2-4%的重量，发泡剂在珠粒内以液态形式储存。可发性聚苯乙烯热导率低，吸水性小，耐冲击震动、隔热、隔音、防潮、减震，介电性能优良。溶于丙酮、醋酸乙酯、苯、甲苯、二氯乙烷、氯仿，不溶于乙醇、正己烷、溶剂汽油等。单纯的聚苯乙烯是苯乙烯单体经自由基缩聚反应合成的聚合物，是一种无色透明的热塑性塑料，常被用来制作各种需要承受开水温度的一次性容器。普通聚苯乙烯为无毒无臭无色的透</w:t>
            </w:r>
            <w:r>
              <w:rPr>
                <w:rFonts w:hint="default" w:ascii="Times New Roman" w:hAnsi="Times New Roman" w:eastAsia="宋体" w:cs="Times New Roman"/>
                <w:color w:val="auto"/>
                <w:sz w:val="24"/>
                <w:szCs w:val="24"/>
                <w:highlight w:val="none"/>
              </w:rPr>
              <w:t>明颗粒，似玻璃状脆性材料，其制品具有极高的透明度，电绝缘性能好，易着色，加工流动性好。聚苯乙烯具有加热软化、冷却硬化的特性，加工过程需要加热</w:t>
            </w:r>
            <w:r>
              <w:rPr>
                <w:rFonts w:hint="default" w:ascii="Times New Roman" w:hAnsi="Times New Roman" w:eastAsia="宋体" w:cs="Times New Roman"/>
                <w:b w:val="0"/>
                <w:bCs w:val="0"/>
                <w:color w:val="auto"/>
                <w:sz w:val="24"/>
                <w:szCs w:val="24"/>
                <w:highlight w:val="none"/>
              </w:rPr>
              <w:t>，热变形温度70-90℃，加工</w:t>
            </w:r>
            <w:r>
              <w:rPr>
                <w:rFonts w:hint="eastAsia" w:cs="Times New Roman"/>
                <w:b w:val="0"/>
                <w:bCs w:val="0"/>
                <w:color w:val="auto"/>
                <w:sz w:val="24"/>
                <w:szCs w:val="24"/>
                <w:highlight w:val="none"/>
                <w:lang w:eastAsia="zh-CN"/>
              </w:rPr>
              <w:t>熔化</w:t>
            </w:r>
            <w:r>
              <w:rPr>
                <w:rFonts w:hint="default" w:ascii="Times New Roman" w:hAnsi="Times New Roman" w:eastAsia="宋体" w:cs="Times New Roman"/>
                <w:b w:val="0"/>
                <w:bCs w:val="0"/>
                <w:color w:val="auto"/>
                <w:sz w:val="24"/>
                <w:szCs w:val="24"/>
                <w:highlight w:val="none"/>
              </w:rPr>
              <w:t>温度140℃-180℃，聚苯乙烯熔融温度240℃，裂解温度为330℃，裂解产物为苯乙烯。</w:t>
            </w:r>
          </w:p>
          <w:p>
            <w:pPr>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②生物质颗粒</w:t>
            </w:r>
          </w:p>
          <w:p>
            <w:pPr>
              <w:keepNext w:val="0"/>
              <w:keepLines w:val="0"/>
              <w:pageBreakBefore w:val="0"/>
              <w:widowControl w:val="0"/>
              <w:kinsoku/>
              <w:wordWrap/>
              <w:overflowPunct/>
              <w:topLinePunct w:val="0"/>
              <w:autoSpaceDE/>
              <w:autoSpaceDN/>
              <w:bidi w:val="0"/>
              <w:spacing w:line="348" w:lineRule="auto"/>
              <w:ind w:firstLine="460" w:firstLineChars="200"/>
              <w:textAlignment w:val="auto"/>
              <w:rPr>
                <w:rFonts w:hint="default" w:ascii="Times New Roman" w:hAnsi="Times New Roman" w:eastAsia="宋体" w:cs="Times New Roman"/>
                <w:b w:val="0"/>
                <w:bCs/>
                <w:color w:val="auto"/>
                <w:sz w:val="24"/>
                <w:szCs w:val="24"/>
                <w:highlight w:val="yellow"/>
                <w:lang w:eastAsia="zh-CN"/>
              </w:rPr>
            </w:pPr>
            <w:r>
              <w:rPr>
                <w:rFonts w:hint="default" w:ascii="Times New Roman" w:hAnsi="Times New Roman" w:eastAsia="宋体" w:cs="Times New Roman"/>
                <w:color w:val="auto"/>
                <w:spacing w:val="-5"/>
                <w:sz w:val="24"/>
                <w:szCs w:val="24"/>
              </w:rPr>
              <w:t>由秸秆、稻草、稻壳、花生壳、玉米芯、油茶壳</w:t>
            </w:r>
            <w:r>
              <w:rPr>
                <w:rFonts w:hint="default" w:ascii="Times New Roman" w:hAnsi="Times New Roman" w:eastAsia="宋体" w:cs="Times New Roman"/>
                <w:b w:val="0"/>
                <w:bCs w:val="0"/>
                <w:color w:val="auto"/>
                <w:sz w:val="24"/>
                <w:szCs w:val="24"/>
                <w:highlight w:val="none"/>
              </w:rPr>
              <w:t>、棉籽壳等以及“三剩物”经过加工产生的柱状环保新能源。生物质颗粒的直径一般为</w:t>
            </w:r>
            <w:r>
              <w:rPr>
                <w:rFonts w:hint="default" w:ascii="Times New Roman" w:hAnsi="Times New Roman" w:eastAsia="宋体" w:cs="Times New Roman"/>
                <w:b w:val="0"/>
                <w:bCs w:val="0"/>
                <w:color w:val="auto"/>
                <w:sz w:val="24"/>
                <w:szCs w:val="24"/>
                <w:highlight w:val="none"/>
                <w:lang w:val="en-US" w:eastAsia="zh-CN"/>
              </w:rPr>
              <w:t>6-10</w:t>
            </w:r>
            <w:r>
              <w:rPr>
                <w:rFonts w:hint="default" w:ascii="Times New Roman" w:hAnsi="Times New Roman" w:eastAsia="宋体" w:cs="Times New Roman"/>
                <w:b w:val="0"/>
                <w:bCs w:val="0"/>
                <w:color w:val="auto"/>
                <w:sz w:val="24"/>
                <w:szCs w:val="24"/>
                <w:highlight w:val="none"/>
              </w:rPr>
              <w:t>毫</w:t>
            </w:r>
            <w:r>
              <w:rPr>
                <w:rFonts w:hint="default" w:ascii="Times New Roman" w:hAnsi="Times New Roman" w:eastAsia="宋体" w:cs="Times New Roman"/>
                <w:color w:val="auto"/>
                <w:spacing w:val="-3"/>
                <w:sz w:val="24"/>
                <w:szCs w:val="24"/>
              </w:rPr>
              <w:t>米。</w:t>
            </w:r>
          </w:p>
          <w:p>
            <w:pPr>
              <w:keepNext w:val="0"/>
              <w:keepLines w:val="0"/>
              <w:pageBreakBefore w:val="0"/>
              <w:widowControl w:val="0"/>
              <w:kinsoku/>
              <w:wordWrap/>
              <w:overflowPunct/>
              <w:topLinePunct w:val="0"/>
              <w:autoSpaceDE/>
              <w:autoSpaceDN/>
              <w:bidi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eastAsia="zh-CN"/>
              </w:rPr>
              <w:t>本</w:t>
            </w:r>
            <w:r>
              <w:rPr>
                <w:rFonts w:hint="default" w:ascii="Times New Roman" w:hAnsi="Times New Roman" w:eastAsia="宋体" w:cs="Times New Roman"/>
                <w:b w:val="0"/>
                <w:bCs/>
                <w:color w:val="auto"/>
                <w:sz w:val="24"/>
                <w:szCs w:val="24"/>
                <w:highlight w:val="none"/>
              </w:rPr>
              <w:t>项</w:t>
            </w:r>
            <w:r>
              <w:rPr>
                <w:rFonts w:hint="default" w:ascii="Times New Roman" w:hAnsi="Times New Roman" w:eastAsia="宋体" w:cs="Times New Roman"/>
                <w:bCs/>
                <w:color w:val="auto"/>
                <w:sz w:val="24"/>
                <w:szCs w:val="24"/>
                <w:highlight w:val="none"/>
              </w:rPr>
              <w:t>目</w:t>
            </w:r>
            <w:r>
              <w:rPr>
                <w:rFonts w:hint="default" w:ascii="Times New Roman" w:hAnsi="Times New Roman" w:eastAsia="宋体" w:cs="Times New Roman"/>
                <w:color w:val="auto"/>
                <w:sz w:val="24"/>
                <w:szCs w:val="24"/>
                <w:highlight w:val="none"/>
                <w:lang w:eastAsia="zh-CN"/>
              </w:rPr>
              <w:t>锅炉使</w:t>
            </w:r>
            <w:r>
              <w:rPr>
                <w:rFonts w:hint="default" w:ascii="Times New Roman" w:hAnsi="Times New Roman" w:eastAsia="宋体" w:cs="Times New Roman"/>
                <w:color w:val="auto"/>
                <w:sz w:val="24"/>
                <w:szCs w:val="24"/>
                <w:highlight w:val="none"/>
              </w:rPr>
              <w:t>用</w:t>
            </w:r>
            <w:r>
              <w:rPr>
                <w:rFonts w:hint="default" w:ascii="Times New Roman" w:hAnsi="Times New Roman" w:eastAsia="宋体" w:cs="Times New Roman"/>
                <w:color w:val="auto"/>
                <w:sz w:val="24"/>
                <w:szCs w:val="24"/>
                <w:highlight w:val="none"/>
                <w:lang w:eastAsia="zh-CN"/>
              </w:rPr>
              <w:t>的生物质</w:t>
            </w:r>
            <w:r>
              <w:rPr>
                <w:rFonts w:hint="default" w:ascii="Times New Roman" w:hAnsi="Times New Roman" w:eastAsia="宋体" w:cs="Times New Roman"/>
                <w:color w:val="auto"/>
                <w:sz w:val="24"/>
                <w:szCs w:val="24"/>
                <w:highlight w:val="none"/>
                <w:lang w:val="en-US" w:eastAsia="zh-CN"/>
              </w:rPr>
              <w:t>为</w:t>
            </w:r>
            <w:r>
              <w:rPr>
                <w:rFonts w:hint="default" w:ascii="Times New Roman" w:hAnsi="Times New Roman" w:eastAsia="宋体" w:cs="Times New Roman"/>
                <w:bCs/>
                <w:color w:val="auto"/>
                <w:spacing w:val="6"/>
                <w:sz w:val="24"/>
                <w:highlight w:val="none"/>
                <w:lang w:val="en-US" w:eastAsia="zh-CN"/>
              </w:rPr>
              <w:t>云南沿发新能源有限公司提供</w:t>
            </w:r>
            <w:r>
              <w:rPr>
                <w:rFonts w:hint="default" w:ascii="Times New Roman" w:hAnsi="Times New Roman" w:eastAsia="宋体" w:cs="Times New Roman"/>
                <w:color w:val="auto"/>
                <w:sz w:val="24"/>
                <w:szCs w:val="24"/>
                <w:highlight w:val="none"/>
                <w:lang w:val="en-US" w:eastAsia="zh-CN"/>
              </w:rPr>
              <w:t>的成型生物质颗粒，生物质成分检测报告详见附件。</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5、主要设备</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lang w:eastAsia="zh-CN"/>
              </w:rPr>
            </w:pPr>
            <w:bookmarkStart w:id="16" w:name="_Toc22683"/>
            <w:r>
              <w:rPr>
                <w:rFonts w:hint="default" w:ascii="Times New Roman" w:hAnsi="Times New Roman" w:eastAsia="宋体" w:cs="Times New Roman"/>
                <w:color w:val="auto"/>
                <w:sz w:val="24"/>
                <w:szCs w:val="24"/>
                <w:highlight w:val="none"/>
                <w:shd w:val="clear" w:color="auto" w:fill="FFFFFF"/>
                <w:lang w:eastAsia="zh-CN"/>
              </w:rPr>
              <w:t>本项目主要生产设备及设施详见表</w:t>
            </w:r>
            <w:r>
              <w:rPr>
                <w:rFonts w:hint="default" w:ascii="Times New Roman" w:hAnsi="Times New Roman" w:eastAsia="宋体" w:cs="Times New Roman"/>
                <w:color w:val="auto"/>
                <w:sz w:val="24"/>
                <w:szCs w:val="24"/>
                <w:highlight w:val="none"/>
                <w:shd w:val="clear" w:color="auto" w:fill="FFFFFF"/>
                <w:lang w:val="en-US" w:eastAsia="zh-CN"/>
              </w:rPr>
              <w:t>2-4</w:t>
            </w:r>
            <w:r>
              <w:rPr>
                <w:rFonts w:hint="default" w:ascii="Times New Roman" w:hAnsi="Times New Roman" w:eastAsia="宋体" w:cs="Times New Roman"/>
                <w:color w:val="auto"/>
                <w:sz w:val="24"/>
                <w:szCs w:val="24"/>
                <w:highlight w:val="none"/>
                <w:shd w:val="clear" w:color="auto" w:fill="FFFFFF"/>
                <w:lang w:eastAsia="zh-CN"/>
              </w:rPr>
              <w:t>。</w:t>
            </w:r>
          </w:p>
          <w:p>
            <w:pPr>
              <w:pStyle w:val="19"/>
              <w:widowControl w:val="0"/>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2-4</w:t>
            </w:r>
            <w:r>
              <w:rPr>
                <w:rFonts w:hint="default" w:ascii="Times New Roman" w:hAnsi="Times New Roman" w:eastAsia="宋体" w:cs="Times New Roman"/>
                <w:b/>
                <w:bCs/>
                <w:color w:val="auto"/>
                <w:sz w:val="21"/>
                <w:szCs w:val="21"/>
                <w:highlight w:val="none"/>
                <w:lang w:eastAsia="zh-CN"/>
              </w:rPr>
              <w:t xml:space="preserve">  项目主要生产设备及设施一览表</w:t>
            </w:r>
          </w:p>
          <w:tbl>
            <w:tblPr>
              <w:tblStyle w:val="27"/>
              <w:tblW w:w="8387"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956"/>
              <w:gridCol w:w="2256"/>
              <w:gridCol w:w="1325"/>
              <w:gridCol w:w="219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设备参数</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数</w:t>
                  </w:r>
                  <w:r>
                    <w:rPr>
                      <w:rFonts w:hint="default" w:ascii="Times New Roman" w:hAnsi="Times New Roman" w:eastAsia="宋体" w:cs="Times New Roman"/>
                      <w:b/>
                      <w:bCs/>
                      <w:color w:val="auto"/>
                      <w:sz w:val="21"/>
                      <w:szCs w:val="21"/>
                      <w:highlight w:val="none"/>
                      <w:lang w:eastAsia="zh-CN"/>
                    </w:rPr>
                    <w:t>量（台</w:t>
                  </w:r>
                  <w:r>
                    <w:rPr>
                      <w:rFonts w:hint="default" w:ascii="Times New Roman" w:hAnsi="Times New Roman" w:eastAsia="宋体" w:cs="Times New Roman"/>
                      <w:b/>
                      <w:bCs/>
                      <w:color w:val="auto"/>
                      <w:sz w:val="21"/>
                      <w:szCs w:val="21"/>
                      <w:highlight w:val="none"/>
                      <w:lang w:val="en-US" w:eastAsia="zh-CN"/>
                    </w:rPr>
                    <w:t>/套</w:t>
                  </w:r>
                  <w:r>
                    <w:rPr>
                      <w:rFonts w:hint="default" w:ascii="Times New Roman" w:hAnsi="Times New Roman" w:eastAsia="宋体" w:cs="Times New Roman"/>
                      <w:b/>
                      <w:bCs/>
                      <w:color w:val="auto"/>
                      <w:sz w:val="21"/>
                      <w:szCs w:val="21"/>
                      <w:highlight w:val="none"/>
                      <w:lang w:eastAsia="zh-CN"/>
                    </w:rPr>
                    <w:t>）</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用途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7"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w:t>
                  </w:r>
                  <w:r>
                    <w:rPr>
                      <w:rFonts w:hint="default" w:ascii="Times New Roman" w:hAnsi="Times New Roman" w:eastAsia="宋体" w:cs="Times New Roman"/>
                      <w:b/>
                      <w:bCs/>
                      <w:color w:val="auto"/>
                      <w:sz w:val="21"/>
                      <w:szCs w:val="21"/>
                      <w:highlight w:val="none"/>
                      <w:lang w:eastAsia="zh-CN"/>
                    </w:rPr>
                    <w:t>泡沫箱</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EPS</w:t>
                  </w:r>
                  <w:r>
                    <w:rPr>
                      <w:rFonts w:hint="default" w:ascii="Times New Roman" w:hAnsi="Times New Roman" w:eastAsia="宋体" w:cs="Times New Roman"/>
                      <w:b/>
                      <w:bCs/>
                      <w:color w:val="auto"/>
                      <w:sz w:val="21"/>
                      <w:szCs w:val="21"/>
                      <w:highlight w:val="none"/>
                    </w:rPr>
                    <w:t>）生产系统</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p>
              </w:tc>
              <w:tc>
                <w:tcPr>
                  <w:tcW w:w="2256"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HS-CXJ-2300</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成型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p>
              </w:tc>
              <w:tc>
                <w:tcPr>
                  <w:tcW w:w="2256"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HS-CXJ-1750</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成型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全自动间歇式预发泡机</w:t>
                  </w:r>
                </w:p>
              </w:tc>
              <w:tc>
                <w:tcPr>
                  <w:tcW w:w="2256"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FK-BP1500</w:t>
                  </w:r>
                </w:p>
              </w:tc>
              <w:tc>
                <w:tcPr>
                  <w:tcW w:w="1325"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预发泡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流化床</w:t>
                  </w:r>
                </w:p>
              </w:tc>
              <w:tc>
                <w:tcPr>
                  <w:tcW w:w="2256"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w:t>
                  </w:r>
                </w:p>
              </w:tc>
              <w:tc>
                <w:tcPr>
                  <w:tcW w:w="1325"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16"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r>
                    <w:rPr>
                      <w:rFonts w:hint="eastAsia" w:ascii="Times New Roman" w:hAnsi="Times New Roman" w:cs="Times New Roman"/>
                      <w:color w:val="auto"/>
                      <w:kern w:val="2"/>
                      <w:sz w:val="21"/>
                      <w:szCs w:val="21"/>
                      <w:highlight w:val="none"/>
                      <w:lang w:val="en-US" w:eastAsia="zh-CN" w:bidi="ar-SA"/>
                    </w:rPr>
                    <w:t>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预发泡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半自动料仓系统（熟化仓）</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2.5×2.5×8m</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130套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熟化过程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模具箱底</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1714</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65套</w:t>
                  </w:r>
                </w:p>
              </w:tc>
              <w:tc>
                <w:tcPr>
                  <w:tcW w:w="219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成模</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箱盖</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2214</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r>
                    <w:rPr>
                      <w:rFonts w:hint="eastAsia" w:ascii="Times New Roman" w:hAnsi="Times New Roman" w:eastAsia="宋体" w:cs="Times New Roman"/>
                      <w:color w:val="auto"/>
                      <w:sz w:val="21"/>
                      <w:szCs w:val="21"/>
                      <w:highlight w:val="none"/>
                      <w:lang w:val="en-US" w:eastAsia="zh-CN"/>
                    </w:rPr>
                    <w:t>套</w:t>
                  </w:r>
                </w:p>
              </w:tc>
              <w:tc>
                <w:tcPr>
                  <w:tcW w:w="219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生物质</w:t>
                  </w:r>
                  <w:r>
                    <w:rPr>
                      <w:rFonts w:hint="default" w:ascii="Times New Roman" w:hAnsi="Times New Roman" w:eastAsia="宋体" w:cs="Times New Roman"/>
                      <w:color w:val="auto"/>
                      <w:sz w:val="21"/>
                      <w:szCs w:val="21"/>
                      <w:highlight w:val="none"/>
                    </w:rPr>
                    <w:t>锅炉</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（一用一备）</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为泡沫箱生产过程提供热量</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387"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二、其它设备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中央真空</w:t>
                  </w:r>
                  <w:r>
                    <w:rPr>
                      <w:rFonts w:hint="eastAsia" w:ascii="Times New Roman" w:hAnsi="Times New Roman" w:eastAsia="宋体" w:cs="Times New Roman"/>
                      <w:color w:val="auto"/>
                      <w:sz w:val="21"/>
                      <w:szCs w:val="21"/>
                      <w:highlight w:val="none"/>
                      <w:lang w:val="en-US" w:eastAsia="zh-CN"/>
                    </w:rPr>
                    <w:t>系统</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台机</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捷豹永磁低压</w:t>
                  </w:r>
                  <w:r>
                    <w:rPr>
                      <w:rFonts w:hint="default" w:ascii="Times New Roman" w:hAnsi="Times New Roman" w:eastAsia="宋体" w:cs="Times New Roman"/>
                      <w:color w:val="auto"/>
                      <w:sz w:val="21"/>
                      <w:szCs w:val="21"/>
                      <w:highlight w:val="none"/>
                      <w:lang w:val="en-US" w:eastAsia="zh-CN"/>
                    </w:rPr>
                    <w:t>空压机</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HS-BL-300</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工作介质压缩空气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捷豹永磁抵</w:t>
                  </w:r>
                  <w:r>
                    <w:rPr>
                      <w:rFonts w:hint="eastAsia" w:cs="Times New Roman"/>
                      <w:color w:val="auto"/>
                      <w:sz w:val="21"/>
                      <w:szCs w:val="21"/>
                      <w:highlight w:val="none"/>
                      <w:lang w:val="en-US" w:eastAsia="zh-CN"/>
                    </w:rPr>
                    <w:t>压</w:t>
                  </w:r>
                  <w:r>
                    <w:rPr>
                      <w:rFonts w:hint="eastAsia" w:ascii="Times New Roman" w:hAnsi="Times New Roman" w:eastAsia="宋体" w:cs="Times New Roman"/>
                      <w:color w:val="auto"/>
                      <w:sz w:val="21"/>
                      <w:szCs w:val="21"/>
                      <w:highlight w:val="none"/>
                      <w:lang w:val="en-US" w:eastAsia="zh-CN"/>
                    </w:rPr>
                    <w:t>空压机</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0KW</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工作介质压缩空气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蒸汽</w:t>
                  </w:r>
                  <w:r>
                    <w:rPr>
                      <w:rFonts w:hint="eastAsia" w:cs="Times New Roman"/>
                      <w:color w:val="auto"/>
                      <w:sz w:val="21"/>
                      <w:szCs w:val="21"/>
                      <w:highlight w:val="none"/>
                      <w:lang w:val="en-US" w:eastAsia="zh-CN"/>
                    </w:rPr>
                    <w:t>储气</w:t>
                  </w:r>
                  <w:r>
                    <w:rPr>
                      <w:rFonts w:hint="eastAsia" w:ascii="Times New Roman" w:hAnsi="Times New Roman" w:eastAsia="宋体" w:cs="Times New Roman"/>
                      <w:color w:val="auto"/>
                      <w:sz w:val="21"/>
                      <w:szCs w:val="21"/>
                      <w:highlight w:val="none"/>
                      <w:lang w:val="en-US" w:eastAsia="zh-CN"/>
                    </w:rPr>
                    <w:t>罐</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90m³</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储存蒸汽</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空气储气罐</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6m³</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w:t>
                  </w:r>
                  <w:r>
                    <w:rPr>
                      <w:rFonts w:hint="eastAsia" w:ascii="Times New Roman" w:hAnsi="Times New Roman" w:eastAsia="宋体" w:cs="Times New Roman"/>
                      <w:color w:val="auto"/>
                      <w:sz w:val="21"/>
                      <w:szCs w:val="21"/>
                      <w:highlight w:val="none"/>
                      <w:lang w:val="en-US" w:eastAsia="zh-CN"/>
                    </w:rPr>
                    <w:t>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空气储气罐</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25m³</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1个</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储存</w:t>
                  </w:r>
                  <w:r>
                    <w:rPr>
                      <w:rFonts w:hint="eastAsia" w:ascii="Times New Roman" w:hAnsi="Times New Roman" w:eastAsia="宋体" w:cs="Times New Roman"/>
                      <w:color w:val="auto"/>
                      <w:sz w:val="21"/>
                      <w:szCs w:val="21"/>
                      <w:highlight w:val="none"/>
                      <w:lang w:val="en-US" w:eastAsia="zh-CN"/>
                    </w:rPr>
                    <w:t>空气</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水冷稳压罐</w:t>
                  </w:r>
                </w:p>
              </w:tc>
              <w:tc>
                <w:tcPr>
                  <w:tcW w:w="2256"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3" w:line="288" w:lineRule="auto"/>
                    <w:ind w:left="54" w:leftChars="0" w:right="46"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20</w:t>
                  </w:r>
                  <w:r>
                    <w:rPr>
                      <w:rFonts w:hint="eastAsia" w:ascii="Times New Roman" w:hAnsi="Times New Roman" w:eastAsia="宋体" w:cs="Times New Roman"/>
                      <w:color w:val="auto"/>
                      <w:kern w:val="2"/>
                      <w:sz w:val="21"/>
                      <w:szCs w:val="21"/>
                      <w:highlight w:val="none"/>
                      <w:lang w:val="en-US" w:eastAsia="zh-CN" w:bidi="ar-SA"/>
                    </w:rPr>
                    <w:t>m³</w:t>
                  </w:r>
                </w:p>
              </w:tc>
              <w:tc>
                <w:tcPr>
                  <w:tcW w:w="1325" w:type="dxa"/>
                  <w:tcBorders>
                    <w:tl2br w:val="nil"/>
                    <w:tr2bl w:val="nil"/>
                  </w:tcBorders>
                  <w:noWrap w:val="0"/>
                  <w:vAlign w:val="center"/>
                </w:tcPr>
                <w:p>
                  <w:pPr>
                    <w:pStyle w:val="84"/>
                    <w:keepNext w:val="0"/>
                    <w:keepLines w:val="0"/>
                    <w:pageBreakBefore w:val="0"/>
                    <w:widowControl w:val="0"/>
                    <w:kinsoku/>
                    <w:wordWrap/>
                    <w:overflowPunct/>
                    <w:topLinePunct w:val="0"/>
                    <w:autoSpaceDE w:val="0"/>
                    <w:autoSpaceDN w:val="0"/>
                    <w:bidi w:val="0"/>
                    <w:adjustRightInd/>
                    <w:snapToGrid/>
                    <w:spacing w:before="3" w:line="288"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1个</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稳压</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冷却塔</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1个</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产品冷却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default" w:cs="Times New Roman"/>
                      <w:color w:val="auto"/>
                      <w:sz w:val="21"/>
                      <w:szCs w:val="21"/>
                      <w:highlight w:val="none"/>
                      <w:lang w:val="en-US" w:eastAsia="zh-CN"/>
                    </w:rPr>
                    <w:t>循环水冷却池</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r>
                    <w:rPr>
                      <w:rFonts w:hint="eastAsia" w:ascii="Times New Roman" w:hAnsi="Times New Roman" w:eastAsia="宋体" w:cs="Times New Roman"/>
                      <w:color w:val="auto"/>
                      <w:kern w:val="2"/>
                      <w:sz w:val="21"/>
                      <w:szCs w:val="21"/>
                      <w:highlight w:val="none"/>
                      <w:lang w:val="en-US" w:eastAsia="zh-CN" w:bidi="ar-SA"/>
                    </w:rPr>
                    <w:t>m³</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1个</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产品冷却</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反渗透水处理设备</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10T</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锅炉运行</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1956" w:type="dxa"/>
                  <w:tcBorders>
                    <w:tl2br w:val="nil"/>
                    <w:tr2bl w:val="nil"/>
                  </w:tcBorders>
                  <w:noWrap w:val="0"/>
                  <w:vAlign w:val="center"/>
                </w:tcPr>
                <w:p>
                  <w:pPr>
                    <w:pStyle w:val="26"/>
                    <w:keepNext w:val="0"/>
                    <w:keepLines w:val="0"/>
                    <w:widowControl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絮凝沉淀</w:t>
                  </w:r>
                  <w:r>
                    <w:rPr>
                      <w:rFonts w:hint="default" w:ascii="Times New Roman" w:hAnsi="Times New Roman" w:eastAsia="宋体" w:cs="Times New Roman"/>
                      <w:color w:val="auto"/>
                      <w:sz w:val="21"/>
                      <w:szCs w:val="21"/>
                      <w:highlight w:val="none"/>
                      <w:lang w:eastAsia="zh-CN"/>
                    </w:rPr>
                    <w:t>池</w:t>
                  </w:r>
                </w:p>
              </w:tc>
              <w:tc>
                <w:tcPr>
                  <w:tcW w:w="2256" w:type="dxa"/>
                  <w:tcBorders>
                    <w:tl2br w:val="nil"/>
                    <w:tr2bl w:val="nil"/>
                  </w:tcBorders>
                  <w:noWrap w:val="0"/>
                  <w:vAlign w:val="center"/>
                </w:tcPr>
                <w:p>
                  <w:pPr>
                    <w:pStyle w:val="26"/>
                    <w:keepNext w:val="0"/>
                    <w:keepLines w:val="0"/>
                    <w:widowControl w:val="0"/>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容积为</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个</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锅炉废水处理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105" w:firstLineChars="5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耐高温</w:t>
                  </w:r>
                  <w:r>
                    <w:rPr>
                      <w:rFonts w:hint="eastAsia" w:ascii="Times New Roman" w:hAnsi="Times New Roman" w:eastAsia="宋体" w:cs="Times New Roman"/>
                      <w:color w:val="auto"/>
                      <w:sz w:val="21"/>
                      <w:szCs w:val="21"/>
                      <w:highlight w:val="none"/>
                      <w:lang w:val="en-US" w:eastAsia="zh-CN"/>
                    </w:rPr>
                    <w:t>布袋除尘器</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风量</w:t>
                  </w:r>
                  <w:r>
                    <w:rPr>
                      <w:rFonts w:hint="default" w:ascii="Times New Roman" w:hAnsi="Times New Roman" w:eastAsia="宋体" w:cs="Times New Roman"/>
                      <w:color w:val="auto"/>
                      <w:sz w:val="21"/>
                      <w:szCs w:val="21"/>
                      <w:highlight w:val="none"/>
                      <w:lang w:val="en-US" w:eastAsia="zh-CN"/>
                    </w:rPr>
                    <w:t>为</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锅炉废气除尘处理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19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105" w:firstLineChars="5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活性炭吸附净化装置</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风量</w:t>
                  </w:r>
                  <w:r>
                    <w:rPr>
                      <w:rFonts w:hint="default" w:ascii="Times New Roman" w:hAnsi="Times New Roman" w:eastAsia="宋体" w:cs="Times New Roman"/>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1套</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泡</w:t>
                  </w:r>
                  <w:r>
                    <w:rPr>
                      <w:rFonts w:hint="default" w:ascii="Times New Roman" w:hAnsi="Times New Roman" w:eastAsia="宋体" w:cs="Times New Roman"/>
                      <w:color w:val="auto"/>
                      <w:sz w:val="21"/>
                      <w:szCs w:val="21"/>
                      <w:highlight w:val="none"/>
                      <w:lang w:val="en-US" w:eastAsia="zh-CN"/>
                    </w:rPr>
                    <w:t>沫箱生产有机废气</w:t>
                  </w:r>
                  <w:r>
                    <w:rPr>
                      <w:rFonts w:hint="eastAsia" w:ascii="Times New Roman" w:hAnsi="Times New Roman" w:eastAsia="宋体" w:cs="Times New Roman"/>
                      <w:color w:val="auto"/>
                      <w:sz w:val="21"/>
                      <w:szCs w:val="21"/>
                      <w:highlight w:val="none"/>
                      <w:lang w:val="en-US" w:eastAsia="zh-CN"/>
                    </w:rPr>
                    <w:t>处理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电动叉车</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3T</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15</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装载车</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5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16</w:t>
                  </w:r>
                </w:p>
              </w:tc>
              <w:tc>
                <w:tcPr>
                  <w:tcW w:w="1956"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天平秤</w:t>
                  </w:r>
                </w:p>
              </w:tc>
              <w:tc>
                <w:tcPr>
                  <w:tcW w:w="22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32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3台</w:t>
                  </w:r>
                </w:p>
              </w:tc>
              <w:tc>
                <w:tcPr>
                  <w:tcW w:w="21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检测产品重量</w:t>
                  </w:r>
                </w:p>
              </w:tc>
            </w:tr>
            <w:bookmarkEnd w:id="16"/>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注：本项目检测仅对产品重量、硬度、密度等进行检测，均为物理性检测，不涉及化学试剂等检测。</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6、劳动定员及工作制度</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劳动定员：</w:t>
            </w:r>
            <w:r>
              <w:rPr>
                <w:rFonts w:hint="default" w:ascii="Times New Roman" w:hAnsi="Times New Roman" w:eastAsia="宋体" w:cs="Times New Roman"/>
                <w:color w:val="auto"/>
                <w:sz w:val="24"/>
                <w:szCs w:val="24"/>
                <w:highlight w:val="none"/>
              </w:rPr>
              <w:t>本项目运营期间工作人员数量为</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人，项目区设有食堂及宿舍，</w:t>
            </w:r>
            <w:r>
              <w:rPr>
                <w:rFonts w:hint="eastAsia" w:cs="Times New Roman"/>
                <w:color w:val="auto"/>
                <w:sz w:val="24"/>
                <w:szCs w:val="24"/>
                <w:highlight w:val="none"/>
                <w:lang w:eastAsia="zh-CN"/>
              </w:rPr>
              <w:t>均</w:t>
            </w:r>
            <w:r>
              <w:rPr>
                <w:rFonts w:hint="eastAsia"/>
                <w:color w:val="auto"/>
                <w:sz w:val="24"/>
                <w:lang w:val="en-US" w:eastAsia="zh-CN"/>
              </w:rPr>
              <w:t>在项目区食宿</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t>工作制度：</w:t>
            </w:r>
            <w:r>
              <w:rPr>
                <w:rFonts w:hint="default" w:ascii="Times New Roman" w:hAnsi="Times New Roman" w:eastAsia="宋体" w:cs="Times New Roman"/>
                <w:color w:val="auto"/>
                <w:sz w:val="24"/>
                <w:szCs w:val="24"/>
                <w:highlight w:val="none"/>
              </w:rPr>
              <w:t>年工作天数300天，实行</w:t>
            </w:r>
            <w:r>
              <w:rPr>
                <w:rFonts w:hint="eastAsia" w:cs="Times New Roman"/>
                <w:color w:val="auto"/>
                <w:sz w:val="24"/>
                <w:szCs w:val="24"/>
                <w:highlight w:val="none"/>
                <w:lang w:eastAsia="zh-CN"/>
              </w:rPr>
              <w:t>两</w:t>
            </w:r>
            <w:r>
              <w:rPr>
                <w:rFonts w:hint="default" w:ascii="Times New Roman" w:hAnsi="Times New Roman" w:eastAsia="宋体" w:cs="Times New Roman"/>
                <w:color w:val="auto"/>
                <w:sz w:val="24"/>
                <w:szCs w:val="24"/>
                <w:highlight w:val="none"/>
              </w:rPr>
              <w:t>班制，每班工作</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小时</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年总生产时间为</w:t>
            </w:r>
            <w:r>
              <w:rPr>
                <w:rFonts w:hint="eastAsia" w:cs="Times New Roman"/>
                <w:color w:val="auto"/>
                <w:sz w:val="24"/>
                <w:szCs w:val="24"/>
                <w:highlight w:val="none"/>
                <w:lang w:val="en-US" w:eastAsia="zh-CN"/>
              </w:rPr>
              <w:t>3600</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bidi="en-US"/>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7、施工进度</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项目开发建设时段划分为两个时段，分别为施工期和运营期。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本项目现还未动工，计划于</w:t>
            </w:r>
            <w:r>
              <w:rPr>
                <w:rFonts w:hint="default" w:ascii="Times New Roman" w:hAnsi="Times New Roman" w:eastAsia="宋体" w:cs="Times New Roman"/>
                <w:color w:val="auto"/>
                <w:sz w:val="24"/>
                <w:highlight w:val="none"/>
                <w:lang w:val="en-US" w:eastAsia="zh-CN"/>
              </w:rPr>
              <w:t>2023</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月开始</w:t>
            </w:r>
            <w:r>
              <w:rPr>
                <w:rFonts w:hint="eastAsia" w:cs="Times New Roman"/>
                <w:color w:val="auto"/>
                <w:sz w:val="24"/>
                <w:highlight w:val="none"/>
                <w:lang w:eastAsia="zh-CN"/>
              </w:rPr>
              <w:t>动工</w:t>
            </w:r>
            <w:r>
              <w:rPr>
                <w:rFonts w:hint="default" w:ascii="Times New Roman" w:hAnsi="Times New Roman" w:eastAsia="宋体" w:cs="Times New Roman"/>
                <w:color w:val="auto"/>
                <w:sz w:val="24"/>
                <w:highlight w:val="none"/>
              </w:rPr>
              <w:t>，预计于202</w:t>
            </w:r>
            <w:r>
              <w:rPr>
                <w:rFonts w:hint="eastAsia" w:cs="Times New Roman"/>
                <w:color w:val="auto"/>
                <w:sz w:val="24"/>
                <w:highlight w:val="none"/>
                <w:lang w:val="en-US" w:eastAsia="zh-CN"/>
              </w:rPr>
              <w:t>4</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月竣工</w:t>
            </w:r>
            <w:r>
              <w:rPr>
                <w:rFonts w:hint="default" w:ascii="Times New Roman" w:hAnsi="Times New Roman" w:eastAsia="宋体" w:cs="Times New Roman"/>
                <w:color w:val="auto"/>
                <w:sz w:val="24"/>
                <w:highlight w:val="none"/>
                <w:lang w:eastAsia="zh-CN"/>
              </w:rPr>
              <w:t>，施工期约</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lang w:val="en-US" w:eastAsia="zh-CN"/>
              </w:rPr>
              <w:t>个月</w:t>
            </w:r>
            <w:r>
              <w:rPr>
                <w:rFonts w:hint="default" w:ascii="Times New Roman" w:hAnsi="Times New Roman" w:eastAsia="宋体" w:cs="Times New Roman"/>
                <w:color w:val="auto"/>
                <w:sz w:val="24"/>
                <w:highlight w:val="none"/>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8、环保投资</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shd w:val="clear" w:color="auto" w:fill="FFFF00"/>
              </w:rPr>
            </w:pPr>
            <w:r>
              <w:rPr>
                <w:rFonts w:hint="default" w:ascii="Times New Roman" w:hAnsi="Times New Roman" w:eastAsia="宋体" w:cs="Times New Roman"/>
                <w:color w:val="auto"/>
                <w:sz w:val="24"/>
                <w:highlight w:val="none"/>
              </w:rPr>
              <w:t>项目总投资</w:t>
            </w:r>
            <w:r>
              <w:rPr>
                <w:rFonts w:hint="eastAsia" w:cs="Times New Roman"/>
                <w:color w:val="auto"/>
                <w:sz w:val="24"/>
                <w:highlight w:val="none"/>
                <w:lang w:val="en-US" w:eastAsia="zh-CN"/>
              </w:rPr>
              <w:t>9865.32</w:t>
            </w:r>
            <w:r>
              <w:rPr>
                <w:rFonts w:hint="default" w:ascii="Times New Roman" w:hAnsi="Times New Roman" w:eastAsia="宋体" w:cs="Times New Roman"/>
                <w:color w:val="auto"/>
                <w:sz w:val="24"/>
                <w:highlight w:val="none"/>
              </w:rPr>
              <w:t>万元，</w:t>
            </w:r>
            <w:r>
              <w:rPr>
                <w:rFonts w:hint="default" w:ascii="Times New Roman" w:hAnsi="Times New Roman" w:eastAsia="宋体" w:cs="Times New Roman"/>
                <w:color w:val="auto"/>
                <w:sz w:val="24"/>
                <w:highlight w:val="none"/>
                <w:lang w:val="en-US" w:eastAsia="zh-CN"/>
              </w:rPr>
              <w:t>其中环保</w:t>
            </w:r>
            <w:r>
              <w:rPr>
                <w:rFonts w:hint="default" w:ascii="Times New Roman" w:hAnsi="Times New Roman" w:eastAsia="宋体" w:cs="Times New Roman"/>
                <w:color w:val="auto"/>
                <w:sz w:val="24"/>
                <w:highlight w:val="none"/>
              </w:rPr>
              <w:t>投资</w:t>
            </w:r>
            <w:r>
              <w:rPr>
                <w:rFonts w:hint="eastAsia" w:cs="Times New Roman"/>
                <w:color w:val="auto"/>
                <w:sz w:val="24"/>
                <w:highlight w:val="none"/>
                <w:lang w:val="en-US" w:eastAsia="zh-CN"/>
              </w:rPr>
              <w:t>108.3</w:t>
            </w:r>
            <w:r>
              <w:rPr>
                <w:rFonts w:hint="default" w:ascii="Times New Roman" w:hAnsi="Times New Roman" w:eastAsia="宋体" w:cs="Times New Roman"/>
                <w:color w:val="auto"/>
                <w:sz w:val="24"/>
                <w:highlight w:val="none"/>
              </w:rPr>
              <w:t>万元，占总投资的</w:t>
            </w:r>
            <w:r>
              <w:rPr>
                <w:rFonts w:hint="eastAsia" w:cs="Times New Roman"/>
                <w:color w:val="auto"/>
                <w:sz w:val="24"/>
                <w:highlight w:val="none"/>
                <w:lang w:val="en-US" w:eastAsia="zh-CN"/>
              </w:rPr>
              <w:t>1.10</w:t>
            </w:r>
            <w:r>
              <w:rPr>
                <w:rFonts w:hint="default" w:ascii="Times New Roman" w:hAnsi="Times New Roman" w:eastAsia="宋体" w:cs="Times New Roman"/>
                <w:color w:val="auto"/>
                <w:sz w:val="24"/>
                <w:highlight w:val="none"/>
              </w:rPr>
              <w:t>%，项目环保投资情况见表</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w:t>
            </w:r>
          </w:p>
          <w:p>
            <w:pPr>
              <w:pStyle w:val="14"/>
              <w:spacing w:after="0" w:line="240" w:lineRule="auto"/>
              <w:ind w:left="0" w:leftChars="0" w:firstLine="422"/>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2-5</w:t>
            </w:r>
            <w:r>
              <w:rPr>
                <w:rFonts w:hint="default" w:ascii="Times New Roman" w:hAnsi="Times New Roman" w:eastAsia="宋体" w:cs="Times New Roman"/>
                <w:b/>
                <w:color w:val="auto"/>
                <w:sz w:val="21"/>
                <w:szCs w:val="21"/>
                <w:highlight w:val="none"/>
              </w:rPr>
              <w:t xml:space="preserve">  环保投资概算表   单位：万</w:t>
            </w:r>
          </w:p>
          <w:tbl>
            <w:tblPr>
              <w:tblStyle w:val="27"/>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274"/>
              <w:gridCol w:w="4469"/>
              <w:gridCol w:w="709"/>
              <w:gridCol w:w="80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noWrap w:val="0"/>
                  <w:vAlign w:val="center"/>
                </w:tcPr>
                <w:p>
                  <w:pPr>
                    <w:pStyle w:val="9"/>
                    <w:spacing w:line="240" w:lineRule="auto"/>
                    <w:ind w:firstLine="0" w:firstLineChars="0"/>
                    <w:jc w:val="center"/>
                    <w:rPr>
                      <w:rFonts w:hint="default" w:ascii="Times New Roman" w:hAnsi="Times New Roman" w:eastAsia="宋体" w:cs="Times New Roman"/>
                      <w:b/>
                      <w:color w:val="auto"/>
                      <w:sz w:val="21"/>
                      <w:szCs w:val="21"/>
                      <w:highlight w:val="none"/>
                      <w:lang w:val="en-US" w:eastAsia="zh-CN"/>
                    </w:rPr>
                  </w:pPr>
                  <w:r>
                    <w:rPr>
                      <w:rFonts w:hint="default" w:ascii="Times New Roman" w:hAnsi="Times New Roman" w:eastAsia="宋体" w:cs="Times New Roman"/>
                      <w:b/>
                      <w:color w:val="auto"/>
                      <w:sz w:val="21"/>
                      <w:szCs w:val="21"/>
                      <w:highlight w:val="none"/>
                      <w:lang w:val="en-US" w:eastAsia="zh-CN"/>
                    </w:rPr>
                    <w:t>类别</w:t>
                  </w:r>
                </w:p>
              </w:tc>
              <w:tc>
                <w:tcPr>
                  <w:tcW w:w="1274" w:type="dxa"/>
                  <w:noWrap w:val="0"/>
                  <w:vAlign w:val="center"/>
                </w:tcPr>
                <w:p>
                  <w:pPr>
                    <w:pStyle w:val="9"/>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污染物</w:t>
                  </w:r>
                </w:p>
              </w:tc>
              <w:tc>
                <w:tcPr>
                  <w:tcW w:w="4469" w:type="dxa"/>
                  <w:noWrap w:val="0"/>
                  <w:vAlign w:val="center"/>
                </w:tcPr>
                <w:p>
                  <w:pPr>
                    <w:pStyle w:val="9"/>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环保设施</w:t>
                  </w:r>
                </w:p>
              </w:tc>
              <w:tc>
                <w:tcPr>
                  <w:tcW w:w="709" w:type="dxa"/>
                  <w:noWrap w:val="0"/>
                  <w:vAlign w:val="center"/>
                </w:tcPr>
                <w:p>
                  <w:pPr>
                    <w:pStyle w:val="9"/>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809" w:type="dxa"/>
                  <w:noWrap w:val="0"/>
                  <w:vAlign w:val="center"/>
                </w:tcPr>
                <w:p>
                  <w:pPr>
                    <w:pStyle w:val="9"/>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w:t>
                  </w:r>
                </w:p>
              </w:tc>
              <w:tc>
                <w:tcPr>
                  <w:tcW w:w="689" w:type="dxa"/>
                  <w:noWrap w:val="0"/>
                  <w:vAlign w:val="center"/>
                </w:tcPr>
                <w:p>
                  <w:pPr>
                    <w:pStyle w:val="9"/>
                    <w:spacing w:line="240" w:lineRule="auto"/>
                    <w:ind w:firstLine="0" w:firstLineChars="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274" w:type="dxa"/>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锅炉燃料燃烧废气</w:t>
                  </w:r>
                </w:p>
              </w:tc>
              <w:tc>
                <w:tcPr>
                  <w:tcW w:w="4469" w:type="dxa"/>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生物质锅炉废气经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耐高温布袋</w:t>
                  </w:r>
                  <w:r>
                    <w:rPr>
                      <w:rFonts w:hint="default" w:ascii="Times New Roman" w:hAnsi="Times New Roman" w:eastAsia="宋体" w:cs="Times New Roman"/>
                      <w:color w:val="auto"/>
                      <w:sz w:val="21"/>
                      <w:szCs w:val="21"/>
                      <w:highlight w:val="none"/>
                      <w:lang w:val="en-US" w:eastAsia="zh-CN"/>
                    </w:rPr>
                    <w:t>除尘器”处理后由1根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bCs/>
                      <w:color w:val="auto"/>
                      <w:sz w:val="21"/>
                      <w:szCs w:val="21"/>
                      <w:highlight w:val="none"/>
                      <w:lang w:eastAsia="zh-CN"/>
                    </w:rPr>
                    <w:t>耐高温</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lang w:val="en-US" w:eastAsia="zh-CN"/>
                    </w:rPr>
                    <w:t>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10.0</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lang w:val="en-US" w:eastAsia="zh-CN"/>
                    </w:rPr>
                    <w:t>预发泡、成型废气</w:t>
                  </w:r>
                </w:p>
              </w:tc>
              <w:tc>
                <w:tcPr>
                  <w:tcW w:w="4469" w:type="dxa"/>
                  <w:noWrap w:val="0"/>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eastAsia="宋体" w:cs="Times New Roman"/>
                      <w:b w:val="0"/>
                      <w:bCs/>
                      <w:color w:val="auto"/>
                      <w:sz w:val="21"/>
                      <w:szCs w:val="21"/>
                      <w:highlight w:val="none"/>
                      <w:lang w:val="en-US" w:eastAsia="zh-CN"/>
                    </w:rPr>
                    <w:t>38个集气罩+1套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rPr>
                  </w:pPr>
                  <w:r>
                    <w:rPr>
                      <w:rFonts w:hint="eastAsia" w:cs="Times New Roman"/>
                      <w:bCs/>
                      <w:color w:val="auto"/>
                      <w:sz w:val="21"/>
                      <w:szCs w:val="21"/>
                      <w:highlight w:val="none"/>
                      <w:lang w:val="en-US" w:eastAsia="zh-CN"/>
                    </w:rPr>
                    <w:t>40.0</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食堂油烟</w:t>
                  </w:r>
                </w:p>
              </w:tc>
              <w:tc>
                <w:tcPr>
                  <w:tcW w:w="4469" w:type="dxa"/>
                  <w:noWrap w:val="0"/>
                  <w:vAlign w:val="center"/>
                </w:tcPr>
                <w:p>
                  <w:pPr>
                    <w:pStyle w:val="4"/>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雨污</w:t>
                  </w:r>
                  <w:r>
                    <w:rPr>
                      <w:rFonts w:hint="default" w:ascii="Times New Roman" w:hAnsi="Times New Roman" w:eastAsia="宋体" w:cs="Times New Roman"/>
                      <w:color w:val="auto"/>
                      <w:sz w:val="21"/>
                      <w:szCs w:val="21"/>
                      <w:highlight w:val="none"/>
                      <w:lang w:val="en-US" w:eastAsia="zh-CN"/>
                    </w:rPr>
                    <w:t>分流</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项目区“雨污分流、清污分流”系统。</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10.5</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锅炉运行</w:t>
                  </w:r>
                </w:p>
              </w:tc>
              <w:tc>
                <w:tcPr>
                  <w:tcW w:w="4469"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锅炉排污水、</w:t>
                  </w:r>
                  <w:r>
                    <w:rPr>
                      <w:rFonts w:hint="eastAsia" w:cs="Times New Roman"/>
                      <w:b w:val="0"/>
                      <w:bCs/>
                      <w:iCs/>
                      <w:color w:val="auto"/>
                      <w:sz w:val="21"/>
                      <w:szCs w:val="21"/>
                      <w:highlight w:val="none"/>
                      <w:lang w:val="en-US" w:eastAsia="zh-CN"/>
                    </w:rPr>
                    <w:t>纯水制备废水</w:t>
                  </w:r>
                  <w:r>
                    <w:rPr>
                      <w:rFonts w:hint="default" w:ascii="Times New Roman" w:hAnsi="Times New Roman" w:eastAsia="宋体" w:cs="Times New Roman"/>
                      <w:color w:val="auto"/>
                      <w:sz w:val="21"/>
                      <w:szCs w:val="21"/>
                      <w:highlight w:val="none"/>
                      <w:lang w:val="en-US" w:eastAsia="zh-CN"/>
                    </w:rPr>
                    <w:t>统一收集经1个容积约为</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的絮凝沉淀池处理后作为生产冷却循环水补充使用</w:t>
                  </w:r>
                  <w:r>
                    <w:rPr>
                      <w:rFonts w:hint="default" w:ascii="Times New Roman" w:hAnsi="Times New Roman" w:eastAsia="宋体" w:cs="Times New Roman"/>
                      <w:color w:val="auto"/>
                      <w:sz w:val="21"/>
                      <w:szCs w:val="21"/>
                      <w:lang w:val="en-US" w:eastAsia="zh-CN"/>
                    </w:rPr>
                    <w:t>。</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2.2</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冷却</w:t>
                  </w:r>
                  <w:r>
                    <w:rPr>
                      <w:rFonts w:hint="default" w:ascii="Times New Roman" w:hAnsi="Times New Roman" w:eastAsia="宋体" w:cs="Times New Roman"/>
                      <w:color w:val="auto"/>
                      <w:sz w:val="21"/>
                      <w:szCs w:val="21"/>
                      <w:lang w:eastAsia="zh-CN"/>
                    </w:rPr>
                    <w:t>、脱模</w:t>
                  </w:r>
                  <w:r>
                    <w:rPr>
                      <w:rFonts w:hint="default" w:ascii="Times New Roman" w:hAnsi="Times New Roman" w:eastAsia="宋体" w:cs="Times New Roman"/>
                      <w:color w:val="auto"/>
                      <w:sz w:val="21"/>
                      <w:szCs w:val="21"/>
                    </w:rPr>
                    <w:t>工序</w:t>
                  </w:r>
                </w:p>
              </w:tc>
              <w:tc>
                <w:tcPr>
                  <w:tcW w:w="4469" w:type="dxa"/>
                  <w:noWrap w:val="0"/>
                  <w:vAlign w:val="center"/>
                </w:tcPr>
                <w:p>
                  <w:pPr>
                    <w:keepNext w:val="0"/>
                    <w:keepLines w:val="0"/>
                    <w:pageBreakBefore w:val="0"/>
                    <w:widowControl w:val="0"/>
                    <w:kinsoku/>
                    <w:wordWrap/>
                    <w:overflowPunct/>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lang w:eastAsia="zh-CN"/>
                    </w:rPr>
                    <w:t>循环冷却水</w:t>
                  </w:r>
                  <w:r>
                    <w:rPr>
                      <w:rFonts w:hint="default" w:ascii="Times New Roman" w:hAnsi="Times New Roman" w:eastAsia="宋体" w:cs="Times New Roman"/>
                      <w:color w:val="auto"/>
                      <w:sz w:val="21"/>
                      <w:szCs w:val="21"/>
                      <w:highlight w:val="none"/>
                      <w:lang w:val="en-US" w:eastAsia="zh-CN"/>
                    </w:rPr>
                    <w:t>生产车间东侧新建</w:t>
                  </w:r>
                  <w:r>
                    <w:rPr>
                      <w:rFonts w:hint="eastAsia" w:cs="Times New Roman"/>
                      <w:color w:val="auto"/>
                      <w:sz w:val="21"/>
                      <w:szCs w:val="21"/>
                      <w:highlight w:val="none"/>
                      <w:lang w:val="en-US" w:eastAsia="zh-CN"/>
                    </w:rPr>
                    <w:t>1个总</w:t>
                  </w:r>
                  <w:r>
                    <w:rPr>
                      <w:rFonts w:hint="default" w:ascii="Times New Roman" w:hAnsi="Times New Roman" w:eastAsia="宋体" w:cs="Times New Roman"/>
                      <w:color w:val="auto"/>
                      <w:sz w:val="21"/>
                      <w:szCs w:val="21"/>
                      <w:highlight w:val="none"/>
                      <w:lang w:val="en-US" w:eastAsia="zh-CN"/>
                    </w:rPr>
                    <w:t>容积为</w:t>
                  </w:r>
                  <w:r>
                    <w:rPr>
                      <w:rFonts w:hint="eastAsia" w:cs="Times New Roman"/>
                      <w:color w:val="auto"/>
                      <w:sz w:val="21"/>
                      <w:szCs w:val="21"/>
                      <w:highlight w:val="none"/>
                      <w:lang w:val="en-US" w:eastAsia="zh-CN"/>
                    </w:rPr>
                    <w:t>400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eastAsia="zh-CN"/>
                    </w:rPr>
                    <w:t>循环水冷却池</w:t>
                  </w:r>
                  <w:r>
                    <w:rPr>
                      <w:rFonts w:hint="default" w:ascii="Times New Roman" w:hAnsi="Times New Roman" w:eastAsia="宋体" w:cs="Times New Roman"/>
                      <w:color w:val="auto"/>
                      <w:sz w:val="21"/>
                      <w:szCs w:val="21"/>
                      <w:highlight w:val="none"/>
                      <w:lang w:val="en-US" w:eastAsia="zh-CN"/>
                    </w:rPr>
                    <w:t>及冷却水塔</w:t>
                  </w:r>
                  <w:r>
                    <w:rPr>
                      <w:rFonts w:hint="default" w:ascii="Times New Roman" w:hAnsi="Times New Roman" w:eastAsia="宋体" w:cs="Times New Roman"/>
                      <w:color w:val="auto"/>
                      <w:sz w:val="21"/>
                      <w:szCs w:val="21"/>
                      <w:highlight w:val="none"/>
                      <w:lang w:eastAsia="zh-CN"/>
                    </w:rPr>
                    <w:t>。</w:t>
                  </w:r>
                </w:p>
              </w:tc>
              <w:tc>
                <w:tcPr>
                  <w:tcW w:w="709" w:type="dxa"/>
                  <w:noWrap w:val="0"/>
                  <w:vAlign w:val="center"/>
                </w:tcPr>
                <w:p>
                  <w:pPr>
                    <w:pStyle w:val="85"/>
                    <w:adjustRightInd/>
                    <w:spacing w:before="0" w:after="0" w:line="240" w:lineRule="auto"/>
                    <w:ind w:firstLine="0" w:firstLineChars="0"/>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15.0</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restart"/>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的隔油池。</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个容积为</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的化粪池。</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w:t>
                  </w:r>
                  <w:r>
                    <w:rPr>
                      <w:rFonts w:hint="default" w:ascii="Times New Roman" w:hAnsi="Times New Roman" w:eastAsia="宋体" w:cs="Times New Roman"/>
                      <w:b w:val="0"/>
                      <w:bCs/>
                      <w:color w:val="auto"/>
                      <w:sz w:val="21"/>
                      <w:szCs w:val="21"/>
                      <w:highlight w:val="none"/>
                    </w:rPr>
                    <w:t>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3.5</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1套处理规模为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/d的</w:t>
                  </w:r>
                  <w:r>
                    <w:rPr>
                      <w:rFonts w:hint="default" w:ascii="Times New Roman" w:hAnsi="Times New Roman" w:eastAsia="宋体" w:cs="Times New Roman"/>
                      <w:color w:val="auto"/>
                      <w:sz w:val="21"/>
                      <w:szCs w:val="21"/>
                      <w:highlight w:val="none"/>
                      <w:lang w:val="en-US" w:eastAsia="zh-CN"/>
                    </w:rPr>
                    <w:t>一体化</w:t>
                  </w:r>
                  <w:r>
                    <w:rPr>
                      <w:rFonts w:hint="default" w:ascii="Times New Roman" w:hAnsi="Times New Roman" w:eastAsia="宋体" w:cs="Times New Roman"/>
                      <w:color w:val="auto"/>
                      <w:sz w:val="21"/>
                      <w:szCs w:val="21"/>
                      <w:highlight w:val="none"/>
                    </w:rPr>
                    <w:t>生活污水处理站。</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1套</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10.7</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vMerge w:val="continue"/>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的蓄水池。</w:t>
                  </w:r>
                </w:p>
              </w:tc>
              <w:tc>
                <w:tcPr>
                  <w:tcW w:w="709" w:type="dxa"/>
                  <w:noWrap w:val="0"/>
                  <w:vAlign w:val="center"/>
                </w:tcPr>
                <w:p>
                  <w:pPr>
                    <w:pStyle w:val="85"/>
                    <w:adjustRightInd/>
                    <w:spacing w:before="0" w:after="0" w:line="240" w:lineRule="auto"/>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1个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5.5</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7" w:type="dxa"/>
                  <w:vMerge w:val="continue"/>
                  <w:noWrap w:val="0"/>
                  <w:vAlign w:val="center"/>
                </w:tcPr>
                <w:p>
                  <w:pPr>
                    <w:spacing w:line="240" w:lineRule="auto"/>
                    <w:ind w:firstLine="0" w:firstLineChars="0"/>
                    <w:jc w:val="center"/>
                    <w:rPr>
                      <w:color w:val="auto"/>
                    </w:rPr>
                  </w:pPr>
                </w:p>
              </w:tc>
              <w:tc>
                <w:tcPr>
                  <w:tcW w:w="1274" w:type="dxa"/>
                  <w:vMerge w:val="continue"/>
                  <w:noWrap w:val="0"/>
                  <w:vAlign w:val="center"/>
                </w:tcPr>
                <w:p>
                  <w:pPr>
                    <w:spacing w:line="240" w:lineRule="auto"/>
                    <w:ind w:firstLine="0" w:firstLineChars="0"/>
                    <w:jc w:val="center"/>
                    <w:rPr>
                      <w:color w:val="auto"/>
                    </w:rPr>
                  </w:pP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1个容积为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的事故应急池。</w:t>
                  </w:r>
                </w:p>
              </w:tc>
              <w:tc>
                <w:tcPr>
                  <w:tcW w:w="709" w:type="dxa"/>
                  <w:noWrap w:val="0"/>
                  <w:vAlign w:val="center"/>
                </w:tcPr>
                <w:p>
                  <w:pPr>
                    <w:pStyle w:val="85"/>
                    <w:adjustRightInd/>
                    <w:spacing w:before="0" w:after="0"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1个</w:t>
                  </w:r>
                </w:p>
              </w:tc>
              <w:tc>
                <w:tcPr>
                  <w:tcW w:w="80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rPr>
                  </w:pPr>
                  <w:r>
                    <w:rPr>
                      <w:rFonts w:hint="eastAsia" w:cs="Times New Roman"/>
                      <w:bCs/>
                      <w:color w:val="auto"/>
                      <w:sz w:val="21"/>
                      <w:szCs w:val="21"/>
                      <w:highlight w:val="none"/>
                      <w:lang w:val="en-US" w:eastAsia="zh-CN"/>
                    </w:rPr>
                    <w:t>3.3</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生产设备噪声</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厂房隔音，高噪声设备安装消声、减振装置。</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0.</w:t>
                  </w:r>
                  <w:r>
                    <w:rPr>
                      <w:rFonts w:hint="eastAsia" w:cs="Times New Roman"/>
                      <w:bCs/>
                      <w:color w:val="auto"/>
                      <w:sz w:val="21"/>
                      <w:szCs w:val="21"/>
                      <w:highlight w:val="none"/>
                      <w:lang w:val="en-US" w:eastAsia="zh-CN"/>
                    </w:rPr>
                    <w:t>5</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数个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泔水桶</w:t>
                  </w:r>
                </w:p>
              </w:tc>
              <w:tc>
                <w:tcPr>
                  <w:tcW w:w="4469"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2只，1用1备，用于收集食堂泔水。</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废油脂收集桶</w:t>
                  </w:r>
                </w:p>
              </w:tc>
              <w:tc>
                <w:tcPr>
                  <w:tcW w:w="4469" w:type="dxa"/>
                  <w:noWrap w:val="0"/>
                  <w:vAlign w:val="center"/>
                </w:tcPr>
                <w:p>
                  <w:pPr>
                    <w:widowControl/>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2只，1用1备，用于收集食堂隔油池废油脂。</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2只</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0.1</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一般固废暂存区</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面积为</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的一般固体废物暂存区，收集、暂存设施、清运处置</w:t>
                  </w:r>
                  <w:r>
                    <w:rPr>
                      <w:rFonts w:hint="default" w:ascii="Times New Roman" w:hAnsi="Times New Roman" w:eastAsia="宋体" w:cs="Times New Roman"/>
                      <w:color w:val="auto"/>
                      <w:sz w:val="21"/>
                      <w:szCs w:val="21"/>
                      <w:highlight w:val="none"/>
                      <w:lang w:eastAsia="zh-CN"/>
                    </w:rPr>
                    <w:t>。</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5</w:t>
                  </w:r>
                  <w:r>
                    <w:rPr>
                      <w:rFonts w:hint="default" w:ascii="Times New Roman" w:hAnsi="Times New Roman" w:eastAsia="宋体" w:cs="Times New Roman"/>
                      <w:bCs/>
                      <w:color w:val="auto"/>
                      <w:sz w:val="21"/>
                      <w:szCs w:val="21"/>
                      <w:highlight w:val="none"/>
                    </w:rPr>
                    <w:t>0m</w:t>
                  </w:r>
                  <w:r>
                    <w:rPr>
                      <w:rFonts w:hint="default" w:ascii="Times New Roman" w:hAnsi="Times New Roman" w:eastAsia="宋体" w:cs="Times New Roman"/>
                      <w:bCs/>
                      <w:color w:val="auto"/>
                      <w:sz w:val="21"/>
                      <w:szCs w:val="21"/>
                      <w:highlight w:val="none"/>
                      <w:vertAlign w:val="superscript"/>
                    </w:rPr>
                    <w:t>2</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1.5</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continue"/>
                  <w:noWrap w:val="0"/>
                  <w:vAlign w:val="center"/>
                </w:tcPr>
                <w:p>
                  <w:pPr>
                    <w:pStyle w:val="9"/>
                    <w:spacing w:line="240" w:lineRule="auto"/>
                    <w:ind w:firstLine="0" w:firstLineChars="0"/>
                    <w:jc w:val="center"/>
                    <w:rPr>
                      <w:rFonts w:hint="default" w:ascii="Times New Roman" w:hAnsi="Times New Roman" w:eastAsia="宋体" w:cs="Times New Roman"/>
                      <w:color w:val="auto"/>
                      <w:sz w:val="21"/>
                      <w:szCs w:val="21"/>
                      <w:highlight w:val="none"/>
                    </w:rPr>
                  </w:pPr>
                </w:p>
              </w:tc>
              <w:tc>
                <w:tcPr>
                  <w:tcW w:w="1274"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活性炭、废机油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机修废物</w:t>
                  </w:r>
                </w:p>
              </w:tc>
              <w:tc>
                <w:tcPr>
                  <w:tcW w:w="446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项目区内</w:t>
                  </w:r>
                  <w:r>
                    <w:rPr>
                      <w:rFonts w:hint="default" w:ascii="Times New Roman" w:hAnsi="Times New Roman" w:eastAsia="宋体" w:cs="Times New Roman"/>
                      <w:color w:val="auto"/>
                      <w:sz w:val="21"/>
                      <w:szCs w:val="21"/>
                      <w:highlight w:val="none"/>
                      <w:lang w:val="en-US" w:eastAsia="zh-CN"/>
                    </w:rPr>
                    <w:t>拟</w:t>
                  </w:r>
                  <w:r>
                    <w:rPr>
                      <w:rFonts w:hint="default" w:ascii="Times New Roman" w:hAnsi="Times New Roman" w:eastAsia="宋体" w:cs="Times New Roman"/>
                      <w:color w:val="auto"/>
                      <w:sz w:val="21"/>
                      <w:szCs w:val="21"/>
                      <w:highlight w:val="none"/>
                    </w:rPr>
                    <w:t>设置1间</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2</w:t>
                  </w:r>
                  <w:r>
                    <w:rPr>
                      <w:rFonts w:hint="default" w:ascii="Times New Roman" w:hAnsi="Times New Roman" w:eastAsia="宋体" w:cs="Times New Roman"/>
                      <w:color w:val="auto"/>
                      <w:sz w:val="21"/>
                      <w:szCs w:val="21"/>
                      <w:highlight w:val="none"/>
                    </w:rPr>
                    <w:t>的危废暂存间，内设2个危废收集容器，渗透系数≤1×10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cm/s，危险废物分区暂存，并设危废暂存间标识牌和转移台账，委托资质单位清运、处置。</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rPr>
                  </w:pPr>
                  <w:r>
                    <w:rPr>
                      <w:rFonts w:hint="eastAsia" w:cs="Times New Roman"/>
                      <w:bCs/>
                      <w:color w:val="auto"/>
                      <w:sz w:val="21"/>
                      <w:szCs w:val="21"/>
                      <w:highlight w:val="none"/>
                      <w:lang w:val="en-US" w:eastAsia="zh-CN"/>
                    </w:rPr>
                    <w:t>8</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2</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4.2</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70" w:type="dxa"/>
                  <w:gridSpan w:val="3"/>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合计</w:t>
                  </w:r>
                </w:p>
              </w:tc>
              <w:tc>
                <w:tcPr>
                  <w:tcW w:w="7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809" w:type="dxa"/>
                  <w:noWrap w:val="0"/>
                  <w:vAlign w:val="center"/>
                </w:tcPr>
                <w:p>
                  <w:pPr>
                    <w:spacing w:line="240" w:lineRule="auto"/>
                    <w:ind w:firstLine="0" w:firstLineChars="0"/>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108.3</w:t>
                  </w:r>
                </w:p>
              </w:tc>
              <w:tc>
                <w:tcPr>
                  <w:tcW w:w="689"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9、水平衡</w:t>
            </w:r>
          </w:p>
          <w:p>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482" w:firstLineChars="200"/>
              <w:textAlignment w:val="auto"/>
              <w:rPr>
                <w:rFonts w:hint="default" w:ascii="Times New Roman" w:hAnsi="Times New Roman" w:eastAsia="宋体" w:cs="Times New Roman"/>
                <w:b/>
                <w:bCs/>
                <w:caps w:val="0"/>
                <w:snapToGrid w:val="0"/>
                <w:color w:val="auto"/>
                <w:spacing w:val="0"/>
                <w:w w:val="100"/>
                <w:position w:val="0"/>
                <w:sz w:val="24"/>
                <w:szCs w:val="24"/>
                <w:highlight w:val="none"/>
              </w:rPr>
            </w:pPr>
            <w:r>
              <w:rPr>
                <w:rFonts w:hint="default" w:ascii="Times New Roman" w:hAnsi="Times New Roman" w:eastAsia="宋体" w:cs="Times New Roman"/>
                <w:b/>
                <w:bCs/>
                <w:caps w:val="0"/>
                <w:snapToGrid w:val="0"/>
                <w:color w:val="auto"/>
                <w:spacing w:val="0"/>
                <w:w w:val="100"/>
                <w:position w:val="0"/>
                <w:sz w:val="24"/>
                <w:szCs w:val="24"/>
                <w:highlight w:val="none"/>
              </w:rPr>
              <w:t>（</w:t>
            </w:r>
            <w:r>
              <w:rPr>
                <w:rFonts w:hint="default" w:ascii="Times New Roman" w:hAnsi="Times New Roman" w:eastAsia="宋体" w:cs="Times New Roman"/>
                <w:b/>
                <w:bCs/>
                <w:caps w:val="0"/>
                <w:snapToGrid w:val="0"/>
                <w:color w:val="auto"/>
                <w:spacing w:val="0"/>
                <w:w w:val="100"/>
                <w:position w:val="0"/>
                <w:sz w:val="24"/>
                <w:szCs w:val="24"/>
                <w:highlight w:val="none"/>
                <w:lang w:val="en-US" w:eastAsia="zh-CN"/>
              </w:rPr>
              <w:t>1</w:t>
            </w:r>
            <w:r>
              <w:rPr>
                <w:rFonts w:hint="default" w:ascii="Times New Roman" w:hAnsi="Times New Roman" w:eastAsia="宋体" w:cs="Times New Roman"/>
                <w:b/>
                <w:bCs/>
                <w:caps w:val="0"/>
                <w:snapToGrid w:val="0"/>
                <w:color w:val="auto"/>
                <w:spacing w:val="0"/>
                <w:w w:val="100"/>
                <w:position w:val="0"/>
                <w:sz w:val="24"/>
                <w:szCs w:val="24"/>
                <w:highlight w:val="none"/>
              </w:rPr>
              <w:t>）产排污参数计算</w:t>
            </w:r>
          </w:p>
          <w:p>
            <w:pPr>
              <w:pStyle w:val="4"/>
              <w:widowControl/>
              <w:snapToGrid w:val="0"/>
              <w:spacing w:after="0" w:line="360" w:lineRule="auto"/>
              <w:ind w:firstLine="480" w:firstLineChars="200"/>
              <w:rPr>
                <w:rFonts w:hint="default" w:ascii="Times New Roman" w:hAnsi="Times New Roman" w:eastAsia="宋体" w:cs="Times New Roman"/>
                <w:snapToGrid w:val="0"/>
                <w:color w:val="auto"/>
                <w:sz w:val="24"/>
              </w:rPr>
            </w:pPr>
            <w:r>
              <w:rPr>
                <w:rFonts w:hint="default" w:ascii="Times New Roman" w:hAnsi="Times New Roman" w:eastAsia="宋体" w:cs="Times New Roman"/>
                <w:color w:val="auto"/>
                <w:sz w:val="24"/>
                <w:szCs w:val="24"/>
              </w:rPr>
              <w:t>本项目运营期用水包括</w:t>
            </w:r>
            <w:r>
              <w:rPr>
                <w:rFonts w:hint="default" w:ascii="Times New Roman" w:hAnsi="Times New Roman" w:eastAsia="宋体" w:cs="Times New Roman"/>
                <w:color w:val="auto"/>
                <w:sz w:val="24"/>
                <w:szCs w:val="24"/>
                <w:lang w:val="en-US" w:eastAsia="zh-CN"/>
              </w:rPr>
              <w:t>生产用水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办公生活</w:t>
            </w:r>
            <w:r>
              <w:rPr>
                <w:rFonts w:hint="default" w:ascii="Times New Roman" w:hAnsi="Times New Roman" w:eastAsia="宋体" w:cs="Times New Roman"/>
                <w:color w:val="auto"/>
                <w:sz w:val="24"/>
                <w:szCs w:val="24"/>
              </w:rPr>
              <w:t>用水，废水主要为</w:t>
            </w:r>
            <w:r>
              <w:rPr>
                <w:rFonts w:hint="default" w:ascii="Times New Roman" w:hAnsi="Times New Roman" w:eastAsia="宋体" w:cs="Times New Roman"/>
                <w:color w:val="auto"/>
                <w:sz w:val="24"/>
                <w:szCs w:val="24"/>
                <w:lang w:val="en-US" w:eastAsia="zh-CN"/>
              </w:rPr>
              <w:t>办公生活</w:t>
            </w:r>
            <w:r>
              <w:rPr>
                <w:rFonts w:hint="default" w:ascii="Times New Roman" w:hAnsi="Times New Roman" w:eastAsia="宋体" w:cs="Times New Roman"/>
                <w:color w:val="auto"/>
                <w:sz w:val="24"/>
                <w:szCs w:val="24"/>
              </w:rPr>
              <w:t>污水。</w:t>
            </w:r>
          </w:p>
          <w:p>
            <w:pPr>
              <w:pStyle w:val="4"/>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1）</w:t>
            </w:r>
            <w:r>
              <w:rPr>
                <w:rFonts w:hint="default" w:ascii="Times New Roman" w:hAnsi="Times New Roman" w:eastAsia="宋体" w:cs="Times New Roman"/>
                <w:b/>
                <w:bCs/>
                <w:color w:val="auto"/>
                <w:sz w:val="24"/>
                <w:szCs w:val="24"/>
                <w:lang w:val="en-US" w:eastAsia="zh-CN"/>
              </w:rPr>
              <w:t>泡沫箱生产车间用排水</w:t>
            </w:r>
          </w:p>
          <w:p>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eastAsia="zh-CN" w:bidi="ar"/>
              </w:rPr>
            </w:pPr>
            <w:r>
              <w:rPr>
                <w:rFonts w:hint="default" w:ascii="Times New Roman" w:hAnsi="Times New Roman" w:eastAsia="宋体" w:cs="Times New Roman"/>
                <w:color w:val="auto"/>
                <w:sz w:val="24"/>
                <w:szCs w:val="24"/>
                <w:lang w:eastAsia="zh-CN"/>
              </w:rPr>
              <w:t>泡沫箱</w:t>
            </w:r>
            <w:r>
              <w:rPr>
                <w:rFonts w:hint="default" w:ascii="Times New Roman" w:hAnsi="Times New Roman" w:eastAsia="宋体" w:cs="Times New Roman"/>
                <w:color w:val="auto"/>
                <w:sz w:val="24"/>
                <w:szCs w:val="24"/>
              </w:rPr>
              <w:t>生产过程中用水环节包括锅炉用水</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eastAsia="zh-CN"/>
              </w:rPr>
              <w:t>生产</w:t>
            </w:r>
            <w:r>
              <w:rPr>
                <w:rFonts w:hint="default" w:ascii="Times New Roman" w:hAnsi="Times New Roman" w:eastAsia="宋体" w:cs="Times New Roman"/>
                <w:color w:val="auto"/>
                <w:sz w:val="24"/>
                <w:szCs w:val="24"/>
              </w:rPr>
              <w:t>冷却用水。</w:t>
            </w:r>
            <w:r>
              <w:rPr>
                <w:rFonts w:hint="default" w:ascii="Times New Roman" w:hAnsi="Times New Roman" w:eastAsia="宋体" w:cs="Times New Roman"/>
                <w:color w:val="auto"/>
                <w:sz w:val="24"/>
                <w:szCs w:val="24"/>
                <w:lang w:eastAsia="zh-CN"/>
              </w:rPr>
              <w:t>废水包括：①</w:t>
            </w:r>
            <w:r>
              <w:rPr>
                <w:rFonts w:hint="default" w:ascii="Times New Roman" w:hAnsi="Times New Roman" w:eastAsia="宋体" w:cs="Times New Roman"/>
                <w:color w:val="auto"/>
                <w:sz w:val="24"/>
                <w:szCs w:val="24"/>
              </w:rPr>
              <w:t>锅炉软水</w:t>
            </w:r>
            <w:r>
              <w:rPr>
                <w:rFonts w:hint="default" w:ascii="Times New Roman" w:hAnsi="Times New Roman" w:eastAsia="宋体" w:cs="Times New Roman"/>
                <w:color w:val="auto"/>
                <w:sz w:val="24"/>
                <w:szCs w:val="24"/>
                <w:lang w:eastAsia="zh-CN"/>
              </w:rPr>
              <w:t>制备</w:t>
            </w:r>
            <w:r>
              <w:rPr>
                <w:rFonts w:hint="default" w:ascii="Times New Roman" w:hAnsi="Times New Roman" w:eastAsia="宋体" w:cs="Times New Roman"/>
                <w:color w:val="auto"/>
                <w:sz w:val="24"/>
                <w:szCs w:val="24"/>
              </w:rPr>
              <w:t>时产</w:t>
            </w:r>
            <w:r>
              <w:rPr>
                <w:rFonts w:hint="default" w:ascii="Times New Roman" w:hAnsi="Times New Roman" w:eastAsia="宋体" w:cs="Times New Roman"/>
                <w:color w:val="auto"/>
                <w:sz w:val="24"/>
                <w:szCs w:val="24"/>
                <w:highlight w:val="none"/>
              </w:rPr>
              <w:t>生的</w:t>
            </w:r>
            <w:r>
              <w:rPr>
                <w:rFonts w:hint="default" w:ascii="Times New Roman" w:hAnsi="Times New Roman" w:eastAsia="宋体" w:cs="Times New Roman"/>
                <w:color w:val="auto"/>
                <w:sz w:val="24"/>
                <w:szCs w:val="24"/>
                <w:highlight w:val="none"/>
                <w:lang w:eastAsia="zh-CN"/>
              </w:rPr>
              <w:t>废水；②为保证锅炉安全运营产生的锅炉排污水</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蒸汽冷凝水；</w:t>
            </w:r>
            <w:r>
              <w:rPr>
                <w:rFonts w:hint="default" w:ascii="Times New Roman" w:hAnsi="Times New Roman" w:eastAsia="宋体" w:cs="Times New Roman"/>
                <w:color w:val="auto"/>
                <w:sz w:val="24"/>
                <w:szCs w:val="24"/>
                <w:highlight w:val="none"/>
                <w:lang w:val="en-US" w:eastAsia="zh-CN"/>
              </w:rPr>
              <w:t>④生产过程</w:t>
            </w:r>
            <w:r>
              <w:rPr>
                <w:rFonts w:hint="default" w:ascii="Times New Roman" w:hAnsi="Times New Roman" w:eastAsia="宋体" w:cs="Times New Roman"/>
                <w:color w:val="auto"/>
                <w:sz w:val="24"/>
                <w:szCs w:val="24"/>
                <w:highlight w:val="none"/>
              </w:rPr>
              <w:t>冷却水</w:t>
            </w:r>
            <w:r>
              <w:rPr>
                <w:rFonts w:hint="default" w:ascii="Times New Roman" w:hAnsi="Times New Roman" w:eastAsia="宋体" w:cs="Times New Roman"/>
                <w:color w:val="auto"/>
                <w:sz w:val="24"/>
                <w:szCs w:val="24"/>
                <w:highlight w:val="none"/>
                <w:lang w:eastAsia="zh-CN"/>
              </w:rPr>
              <w:t>。</w:t>
            </w:r>
          </w:p>
          <w:p>
            <w:pPr>
              <w:widowControl w:val="0"/>
              <w:spacing w:line="360" w:lineRule="auto"/>
              <w:ind w:firstLine="480" w:firstLineChars="200"/>
              <w:jc w:val="both"/>
              <w:rPr>
                <w:rFonts w:hint="default" w:ascii="Times New Roman" w:hAnsi="Times New Roman" w:eastAsia="宋体" w:cs="Times New Roman"/>
                <w:b w:val="0"/>
                <w:bCs w:val="0"/>
                <w:color w:val="auto"/>
                <w:kern w:val="2"/>
                <w:sz w:val="24"/>
                <w:szCs w:val="24"/>
                <w:highlight w:val="none"/>
                <w:lang w:eastAsia="zh-CN" w:bidi="ar"/>
              </w:rPr>
            </w:pPr>
            <w:r>
              <w:rPr>
                <w:rFonts w:hint="default" w:ascii="Times New Roman" w:hAnsi="Times New Roman" w:eastAsia="宋体" w:cs="Times New Roman"/>
                <w:b w:val="0"/>
                <w:bCs w:val="0"/>
                <w:color w:val="auto"/>
                <w:kern w:val="2"/>
                <w:sz w:val="24"/>
                <w:szCs w:val="24"/>
                <w:highlight w:val="none"/>
                <w:lang w:eastAsia="zh-CN" w:bidi="ar"/>
              </w:rPr>
              <w:t>①</w:t>
            </w:r>
            <w:r>
              <w:rPr>
                <w:rFonts w:hint="eastAsia" w:cs="Times New Roman"/>
                <w:b w:val="0"/>
                <w:bCs w:val="0"/>
                <w:color w:val="auto"/>
                <w:sz w:val="24"/>
                <w:szCs w:val="24"/>
                <w:highlight w:val="none"/>
                <w:lang w:eastAsia="zh-CN"/>
              </w:rPr>
              <w:t>纯水制备</w:t>
            </w:r>
            <w:r>
              <w:rPr>
                <w:rFonts w:hint="default" w:ascii="Times New Roman" w:hAnsi="Times New Roman" w:eastAsia="宋体" w:cs="Times New Roman"/>
                <w:b w:val="0"/>
                <w:bCs w:val="0"/>
                <w:color w:val="auto"/>
                <w:sz w:val="24"/>
                <w:szCs w:val="24"/>
                <w:highlight w:val="none"/>
                <w:lang w:eastAsia="zh-CN"/>
              </w:rPr>
              <w:t>废水</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锅炉排污水</w:t>
            </w:r>
            <w:r>
              <w:rPr>
                <w:rFonts w:hint="default" w:ascii="Times New Roman" w:hAnsi="Times New Roman" w:eastAsia="宋体" w:cs="Times New Roman"/>
                <w:b w:val="0"/>
                <w:bCs w:val="0"/>
                <w:color w:val="auto"/>
                <w:sz w:val="24"/>
                <w:szCs w:val="24"/>
                <w:highlight w:val="none"/>
              </w:rPr>
              <w:t>及蒸汽</w:t>
            </w:r>
            <w:r>
              <w:rPr>
                <w:rFonts w:hint="default" w:ascii="Times New Roman" w:hAnsi="Times New Roman" w:eastAsia="宋体" w:cs="Times New Roman"/>
                <w:b w:val="0"/>
                <w:bCs w:val="0"/>
                <w:color w:val="auto"/>
                <w:sz w:val="24"/>
                <w:szCs w:val="24"/>
              </w:rPr>
              <w:t>冷凝水</w:t>
            </w:r>
          </w:p>
          <w:p>
            <w:pPr>
              <w:widowControl w:val="0"/>
              <w:spacing w:line="360" w:lineRule="auto"/>
              <w:ind w:firstLine="504" w:firstLineChars="200"/>
              <w:rPr>
                <w:rFonts w:hint="default" w:ascii="Times New Roman" w:hAnsi="Times New Roman" w:eastAsia="宋体" w:cs="Times New Roman"/>
                <w:strike w:val="0"/>
                <w:dstrike w:val="0"/>
                <w:color w:val="auto"/>
                <w:sz w:val="24"/>
                <w:szCs w:val="24"/>
                <w:u w:val="none"/>
                <w:lang w:val="en-US" w:eastAsia="zh-CN"/>
              </w:rPr>
            </w:pPr>
            <w:r>
              <w:rPr>
                <w:rFonts w:hint="default" w:ascii="Times New Roman" w:hAnsi="Times New Roman" w:eastAsia="宋体" w:cs="Times New Roman"/>
                <w:bCs/>
                <w:color w:val="auto"/>
                <w:spacing w:val="6"/>
                <w:sz w:val="24"/>
              </w:rPr>
              <w:t>项目</w:t>
            </w:r>
            <w:r>
              <w:rPr>
                <w:rFonts w:hint="default" w:ascii="Times New Roman" w:hAnsi="Times New Roman" w:eastAsia="宋体" w:cs="Times New Roman"/>
                <w:bCs/>
                <w:color w:val="auto"/>
                <w:spacing w:val="6"/>
                <w:sz w:val="24"/>
                <w:lang w:eastAsia="zh-CN"/>
              </w:rPr>
              <w:t>拟</w:t>
            </w:r>
            <w:r>
              <w:rPr>
                <w:rFonts w:hint="default" w:ascii="Times New Roman" w:hAnsi="Times New Roman" w:eastAsia="宋体" w:cs="Times New Roman"/>
                <w:bCs/>
                <w:color w:val="auto"/>
                <w:spacing w:val="6"/>
                <w:sz w:val="24"/>
              </w:rPr>
              <w:t>设置</w:t>
            </w:r>
            <w:r>
              <w:rPr>
                <w:rFonts w:hint="eastAsia" w:cs="Times New Roman"/>
                <w:bCs/>
                <w:color w:val="auto"/>
                <w:spacing w:val="6"/>
                <w:sz w:val="24"/>
                <w:lang w:val="en-US" w:eastAsia="zh-CN"/>
              </w:rPr>
              <w:t>2</w:t>
            </w:r>
            <w:r>
              <w:rPr>
                <w:rFonts w:hint="default" w:ascii="Times New Roman" w:hAnsi="Times New Roman" w:eastAsia="宋体" w:cs="Times New Roman"/>
                <w:bCs/>
                <w:color w:val="auto"/>
                <w:spacing w:val="6"/>
                <w:sz w:val="24"/>
                <w:lang w:val="en-US" w:eastAsia="zh-CN"/>
              </w:rPr>
              <w:t>台</w:t>
            </w:r>
            <w:r>
              <w:rPr>
                <w:rFonts w:hint="eastAsia" w:cs="Times New Roman"/>
                <w:bCs/>
                <w:color w:val="auto"/>
                <w:spacing w:val="6"/>
                <w:sz w:val="24"/>
                <w:lang w:val="en-US" w:eastAsia="zh-CN"/>
              </w:rPr>
              <w:t>10</w:t>
            </w:r>
            <w:r>
              <w:rPr>
                <w:rFonts w:hint="default" w:ascii="Times New Roman" w:hAnsi="Times New Roman" w:eastAsia="宋体" w:cs="Times New Roman"/>
                <w:bCs/>
                <w:color w:val="auto"/>
                <w:spacing w:val="6"/>
                <w:sz w:val="24"/>
                <w:lang w:val="en-US" w:eastAsia="zh-CN"/>
              </w:rPr>
              <w:t>t/h的生物质锅炉</w:t>
            </w:r>
            <w:r>
              <w:rPr>
                <w:rFonts w:hint="eastAsia" w:cs="Times New Roman"/>
                <w:bCs/>
                <w:color w:val="auto"/>
                <w:spacing w:val="6"/>
                <w:sz w:val="24"/>
                <w:lang w:val="en-US" w:eastAsia="zh-CN"/>
              </w:rPr>
              <w:t>（一用一备）</w:t>
            </w:r>
            <w:r>
              <w:rPr>
                <w:rFonts w:hint="default" w:ascii="Times New Roman" w:hAnsi="Times New Roman" w:eastAsia="宋体" w:cs="Times New Roman"/>
                <w:bCs/>
                <w:color w:val="auto"/>
                <w:spacing w:val="6"/>
                <w:sz w:val="24"/>
                <w:lang w:val="en-US" w:eastAsia="zh-CN"/>
              </w:rPr>
              <w:t>为泡沫箱生产过程提供</w:t>
            </w:r>
            <w:r>
              <w:rPr>
                <w:rFonts w:hint="default" w:ascii="Times New Roman" w:hAnsi="Times New Roman" w:eastAsia="宋体" w:cs="Times New Roman"/>
                <w:color w:val="auto"/>
                <w:sz w:val="24"/>
              </w:rPr>
              <w:t>所需</w:t>
            </w:r>
            <w:r>
              <w:rPr>
                <w:rFonts w:hint="default" w:ascii="Times New Roman" w:hAnsi="Times New Roman" w:eastAsia="宋体" w:cs="Times New Roman"/>
                <w:color w:val="auto"/>
                <w:sz w:val="24"/>
                <w:lang w:eastAsia="zh-CN"/>
              </w:rPr>
              <w:t>的</w:t>
            </w:r>
            <w:r>
              <w:rPr>
                <w:rFonts w:hint="default" w:ascii="Times New Roman" w:hAnsi="Times New Roman" w:eastAsia="宋体" w:cs="Times New Roman"/>
                <w:color w:val="auto"/>
                <w:sz w:val="24"/>
              </w:rPr>
              <w:t>蒸汽，</w:t>
            </w:r>
            <w:r>
              <w:rPr>
                <w:rFonts w:hint="default" w:ascii="Times New Roman" w:hAnsi="Times New Roman" w:eastAsia="宋体" w:cs="Times New Roman"/>
                <w:strike w:val="0"/>
                <w:dstrike w:val="0"/>
                <w:color w:val="auto"/>
                <w:sz w:val="24"/>
                <w:szCs w:val="24"/>
                <w:u w:val="none"/>
                <w:lang w:val="en-US" w:eastAsia="zh-CN"/>
              </w:rPr>
              <w:t>锅炉用水需对自来水进行除泥沙、除铁锰、除钙镁、降低浊度和总硬度处理。项目共设置</w:t>
            </w:r>
            <w:r>
              <w:rPr>
                <w:rFonts w:hint="eastAsia" w:cs="Times New Roman"/>
                <w:strike w:val="0"/>
                <w:dstrike w:val="0"/>
                <w:color w:val="auto"/>
                <w:sz w:val="24"/>
                <w:szCs w:val="24"/>
                <w:u w:val="none"/>
                <w:lang w:val="en-US" w:eastAsia="zh-CN"/>
              </w:rPr>
              <w:t>2</w:t>
            </w:r>
            <w:r>
              <w:rPr>
                <w:rFonts w:hint="default" w:ascii="Times New Roman" w:hAnsi="Times New Roman" w:eastAsia="宋体" w:cs="Times New Roman"/>
                <w:strike w:val="0"/>
                <w:dstrike w:val="0"/>
                <w:color w:val="auto"/>
                <w:sz w:val="24"/>
                <w:szCs w:val="24"/>
                <w:u w:val="none"/>
                <w:lang w:val="en-US" w:eastAsia="zh-CN"/>
              </w:rPr>
              <w:t>套软水制备系统</w:t>
            </w:r>
            <w:r>
              <w:rPr>
                <w:rFonts w:hint="eastAsia" w:cs="Times New Roman"/>
                <w:strike w:val="0"/>
                <w:dstrike w:val="0"/>
                <w:color w:val="auto"/>
                <w:sz w:val="24"/>
                <w:szCs w:val="24"/>
                <w:u w:val="none"/>
                <w:lang w:val="en-US" w:eastAsia="zh-CN"/>
              </w:rPr>
              <w:t>（一用一备）</w:t>
            </w:r>
            <w:r>
              <w:rPr>
                <w:rFonts w:hint="default" w:ascii="Times New Roman" w:hAnsi="Times New Roman" w:eastAsia="宋体" w:cs="Times New Roman"/>
                <w:strike w:val="0"/>
                <w:dstrike w:val="0"/>
                <w:color w:val="auto"/>
                <w:sz w:val="24"/>
                <w:szCs w:val="24"/>
                <w:u w:val="none"/>
                <w:lang w:val="en-US" w:eastAsia="zh-CN"/>
              </w:rPr>
              <w:t>对自来水进</w:t>
            </w:r>
            <w:r>
              <w:rPr>
                <w:rFonts w:hint="default" w:ascii="Times New Roman" w:hAnsi="Times New Roman" w:eastAsia="宋体" w:cs="Times New Roman"/>
                <w:strike w:val="0"/>
                <w:dstrike w:val="0"/>
                <w:color w:val="auto"/>
                <w:sz w:val="24"/>
                <w:szCs w:val="24"/>
                <w:highlight w:val="none"/>
                <w:u w:val="none"/>
                <w:lang w:val="en-US" w:eastAsia="zh-CN"/>
              </w:rPr>
              <w:t>行处理，采</w:t>
            </w:r>
            <w:r>
              <w:rPr>
                <w:rFonts w:hint="default" w:ascii="Times New Roman" w:hAnsi="Times New Roman" w:eastAsia="宋体" w:cs="Times New Roman"/>
                <w:strike w:val="0"/>
                <w:dstrike w:val="0"/>
                <w:color w:val="auto"/>
                <w:sz w:val="24"/>
                <w:szCs w:val="24"/>
                <w:u w:val="none"/>
                <w:lang w:val="en-US" w:eastAsia="zh-CN"/>
              </w:rPr>
              <w:t>用</w:t>
            </w:r>
            <w:r>
              <w:rPr>
                <w:rFonts w:hint="eastAsia" w:ascii="Times New Roman" w:hAnsi="Times New Roman" w:eastAsia="宋体" w:cs="Times New Roman"/>
                <w:strike w:val="0"/>
                <w:dstrike w:val="0"/>
                <w:color w:val="auto"/>
                <w:sz w:val="24"/>
                <w:szCs w:val="24"/>
                <w:u w:val="none"/>
                <w:lang w:val="en-US" w:eastAsia="zh-CN"/>
              </w:rPr>
              <w:t>反渗透水处理设备</w:t>
            </w:r>
            <w:r>
              <w:rPr>
                <w:rFonts w:hint="default" w:ascii="Times New Roman" w:hAnsi="Times New Roman" w:eastAsia="宋体" w:cs="Times New Roman"/>
                <w:strike w:val="0"/>
                <w:dstrike w:val="0"/>
                <w:color w:val="auto"/>
                <w:sz w:val="24"/>
                <w:szCs w:val="24"/>
                <w:u w:val="none"/>
                <w:lang w:val="en-US" w:eastAsia="zh-CN"/>
              </w:rPr>
              <w:t>进行</w:t>
            </w:r>
            <w:r>
              <w:rPr>
                <w:rFonts w:hint="default" w:ascii="Times New Roman" w:hAnsi="Times New Roman" w:eastAsia="宋体" w:cs="Times New Roman"/>
                <w:strike w:val="0"/>
                <w:dstrike w:val="0"/>
                <w:color w:val="auto"/>
                <w:sz w:val="24"/>
                <w:szCs w:val="24"/>
                <w:highlight w:val="none"/>
                <w:u w:val="none"/>
                <w:lang w:val="en-US" w:eastAsia="zh-CN"/>
              </w:rPr>
              <w:t>处理后对锅炉进行供水。其设备</w:t>
            </w:r>
            <w:r>
              <w:rPr>
                <w:rFonts w:hint="default" w:ascii="Times New Roman" w:hAnsi="Times New Roman" w:eastAsia="宋体" w:cs="Times New Roman"/>
                <w:strike w:val="0"/>
                <w:dstrike w:val="0"/>
                <w:color w:val="auto"/>
                <w:sz w:val="24"/>
                <w:szCs w:val="24"/>
                <w:u w:val="none"/>
                <w:lang w:val="en-US" w:eastAsia="zh-CN"/>
              </w:rPr>
              <w:t>最大制水量</w:t>
            </w:r>
            <w:r>
              <w:rPr>
                <w:rFonts w:hint="default" w:ascii="Times New Roman" w:hAnsi="Times New Roman" w:eastAsia="宋体" w:cs="Times New Roman"/>
                <w:strike w:val="0"/>
                <w:dstrike w:val="0"/>
                <w:color w:val="auto"/>
                <w:sz w:val="24"/>
                <w:szCs w:val="24"/>
                <w:highlight w:val="none"/>
                <w:u w:val="none"/>
                <w:lang w:val="en-US" w:eastAsia="zh-CN"/>
              </w:rPr>
              <w:t>为</w:t>
            </w:r>
            <w:r>
              <w:rPr>
                <w:rFonts w:hint="eastAsia" w:cs="Times New Roman"/>
                <w:strike w:val="0"/>
                <w:dstrike w:val="0"/>
                <w:color w:val="auto"/>
                <w:sz w:val="24"/>
                <w:szCs w:val="24"/>
                <w:highlight w:val="none"/>
                <w:u w:val="none"/>
                <w:lang w:val="en-US" w:eastAsia="zh-CN"/>
              </w:rPr>
              <w:t>10</w:t>
            </w:r>
            <w:r>
              <w:rPr>
                <w:rFonts w:hint="default" w:ascii="Times New Roman" w:hAnsi="Times New Roman" w:eastAsia="宋体" w:cs="Times New Roman"/>
                <w:strike w:val="0"/>
                <w:dstrike w:val="0"/>
                <w:color w:val="auto"/>
                <w:sz w:val="24"/>
                <w:szCs w:val="24"/>
                <w:highlight w:val="none"/>
                <w:u w:val="none"/>
              </w:rPr>
              <w:t>m</w:t>
            </w:r>
            <w:r>
              <w:rPr>
                <w:rFonts w:hint="default" w:ascii="Times New Roman" w:hAnsi="Times New Roman" w:eastAsia="宋体" w:cs="Times New Roman"/>
                <w:strike w:val="0"/>
                <w:dstrike w:val="0"/>
                <w:color w:val="auto"/>
                <w:sz w:val="24"/>
                <w:szCs w:val="24"/>
                <w:highlight w:val="none"/>
                <w:u w:val="none"/>
                <w:vertAlign w:val="superscript"/>
              </w:rPr>
              <w:t>3</w:t>
            </w:r>
            <w:r>
              <w:rPr>
                <w:rFonts w:hint="default" w:ascii="Times New Roman" w:hAnsi="Times New Roman" w:eastAsia="宋体" w:cs="Times New Roman"/>
                <w:strike w:val="0"/>
                <w:dstrike w:val="0"/>
                <w:color w:val="auto"/>
                <w:sz w:val="24"/>
                <w:szCs w:val="24"/>
                <w:highlight w:val="none"/>
                <w:u w:val="none"/>
                <w:vertAlign w:val="baseline"/>
                <w:lang w:val="en-US" w:eastAsia="zh-CN"/>
              </w:rPr>
              <w:t>/h，</w:t>
            </w:r>
            <w:r>
              <w:rPr>
                <w:rFonts w:hint="default" w:ascii="Times New Roman" w:hAnsi="Times New Roman" w:eastAsia="宋体" w:cs="Times New Roman"/>
                <w:strike w:val="0"/>
                <w:dstrike w:val="0"/>
                <w:color w:val="auto"/>
                <w:sz w:val="24"/>
                <w:szCs w:val="24"/>
                <w:u w:val="none"/>
                <w:lang w:val="en-US" w:eastAsia="zh-CN"/>
              </w:rPr>
              <w:t>设备由除泥沙过滤器、除铁锰过滤器、除钙镁过滤器及</w:t>
            </w:r>
            <w:r>
              <w:rPr>
                <w:rFonts w:hint="eastAsia" w:cs="Times New Roman"/>
                <w:strike w:val="0"/>
                <w:dstrike w:val="0"/>
                <w:color w:val="auto"/>
                <w:sz w:val="24"/>
                <w:szCs w:val="24"/>
                <w:u w:val="none"/>
                <w:lang w:val="en-US" w:eastAsia="zh-CN"/>
              </w:rPr>
              <w:t>反渗透膜</w:t>
            </w:r>
            <w:r>
              <w:rPr>
                <w:rFonts w:hint="default" w:ascii="Times New Roman" w:hAnsi="Times New Roman" w:eastAsia="宋体" w:cs="Times New Roman"/>
                <w:strike w:val="0"/>
                <w:dstrike w:val="0"/>
                <w:color w:val="auto"/>
                <w:sz w:val="24"/>
                <w:szCs w:val="24"/>
                <w:u w:val="none"/>
                <w:lang w:val="en-US" w:eastAsia="zh-CN"/>
              </w:rPr>
              <w:t>组成，软水制备完成后暂存于项目区软化水箱内。全套设备实现水池水满自动停机、水池缺水自动开机，单独再生、连续运行的功能，保证随时用水需求。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生物质锅炉排污水及</w:t>
            </w:r>
            <w:r>
              <w:rPr>
                <w:rFonts w:hint="eastAsia" w:cs="Times New Roman"/>
                <w:color w:val="auto"/>
                <w:sz w:val="24"/>
                <w:szCs w:val="24"/>
                <w:lang w:val="en-US" w:eastAsia="zh-CN"/>
              </w:rPr>
              <w:t>纯水制备</w:t>
            </w:r>
            <w:r>
              <w:rPr>
                <w:rFonts w:hint="default"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rPr>
              <w:t>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default" w:ascii="Times New Roman" w:hAnsi="Times New Roman" w:eastAsia="宋体" w:cs="Times New Roman"/>
                <w:color w:val="auto"/>
                <w:sz w:val="24"/>
                <w:szCs w:val="24"/>
                <w:highlight w:val="none"/>
                <w:lang w:val="en-US" w:eastAsia="zh-CN"/>
              </w:rPr>
              <w:t>工业废水量和“化学需氧量”中</w:t>
            </w:r>
            <w:r>
              <w:rPr>
                <w:rFonts w:hint="default" w:ascii="Times New Roman" w:hAnsi="Times New Roman" w:eastAsia="宋体" w:cs="Times New Roman"/>
                <w:color w:val="auto"/>
                <w:sz w:val="24"/>
                <w:szCs w:val="24"/>
                <w:highlight w:val="none"/>
                <w:lang w:eastAsia="zh-CN"/>
              </w:rPr>
              <w:t>生物质</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表2-6  工业锅炉（热力生产和供应行业）产排污系数表-工业废水量和“化学需氧量”</w:t>
            </w:r>
          </w:p>
          <w:tbl>
            <w:tblPr>
              <w:tblStyle w:val="27"/>
              <w:tblW w:w="8387"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46"/>
              <w:gridCol w:w="1033"/>
              <w:gridCol w:w="778"/>
              <w:gridCol w:w="1322"/>
              <w:gridCol w:w="1827"/>
              <w:gridCol w:w="206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产品名称</w:t>
                  </w:r>
                </w:p>
              </w:tc>
              <w:tc>
                <w:tcPr>
                  <w:tcW w:w="6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原料名称</w:t>
                  </w:r>
                </w:p>
              </w:tc>
              <w:tc>
                <w:tcPr>
                  <w:tcW w:w="1033"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工艺名称</w:t>
                  </w:r>
                </w:p>
              </w:tc>
              <w:tc>
                <w:tcPr>
                  <w:tcW w:w="778"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规模等级</w:t>
                  </w:r>
                </w:p>
              </w:tc>
              <w:tc>
                <w:tcPr>
                  <w:tcW w:w="132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污染物指标</w:t>
                  </w:r>
                </w:p>
              </w:tc>
              <w:tc>
                <w:tcPr>
                  <w:tcW w:w="1827"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单位</w:t>
                  </w:r>
                </w:p>
              </w:tc>
              <w:tc>
                <w:tcPr>
                  <w:tcW w:w="206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产污系数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19"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蒸汽/热水/其他</w:t>
                  </w:r>
                </w:p>
              </w:tc>
              <w:tc>
                <w:tcPr>
                  <w:tcW w:w="646"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iCs/>
                      <w:color w:val="auto"/>
                      <w:sz w:val="21"/>
                      <w:szCs w:val="21"/>
                      <w:highlight w:val="none"/>
                      <w:lang w:eastAsia="zh-CN"/>
                    </w:rPr>
                    <w:t>生物质</w:t>
                  </w:r>
                </w:p>
              </w:tc>
              <w:tc>
                <w:tcPr>
                  <w:tcW w:w="1033"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全部类型锅炉（炉外水处理）</w:t>
                  </w:r>
                </w:p>
              </w:tc>
              <w:tc>
                <w:tcPr>
                  <w:tcW w:w="778"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所有规模</w:t>
                  </w:r>
                </w:p>
              </w:tc>
              <w:tc>
                <w:tcPr>
                  <w:tcW w:w="132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工业废水量</w:t>
                  </w:r>
                </w:p>
              </w:tc>
              <w:tc>
                <w:tcPr>
                  <w:tcW w:w="1827"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206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0.356</w:t>
                  </w:r>
                </w:p>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（锅炉排污水0.259+软化处理废水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iCs/>
                      <w:color w:val="auto"/>
                      <w:sz w:val="21"/>
                      <w:szCs w:val="21"/>
                      <w:highlight w:val="none"/>
                      <w:lang w:val="en-US" w:eastAsia="zh-CN"/>
                    </w:rPr>
                    <w:t>0.097）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19"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46"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33"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78"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32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b w:val="0"/>
                      <w:bCs w:val="0"/>
                      <w:iCs/>
                      <w:color w:val="auto"/>
                      <w:sz w:val="21"/>
                      <w:szCs w:val="21"/>
                      <w:highlight w:val="none"/>
                      <w:lang w:val="en-US" w:eastAsia="zh-CN"/>
                    </w:rPr>
                    <w:t>化学需氧量</w:t>
                  </w:r>
                </w:p>
              </w:tc>
              <w:tc>
                <w:tcPr>
                  <w:tcW w:w="1827"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206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387" w:type="dxa"/>
                  <w:gridSpan w:val="7"/>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both"/>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color w:val="auto"/>
                      <w:szCs w:val="21"/>
                    </w:rPr>
                    <w:t>注：</w:t>
                  </w:r>
                  <w:r>
                    <w:rPr>
                      <w:rFonts w:hint="default" w:ascii="Times New Roman" w:hAnsi="Times New Roman" w:eastAsia="宋体" w:cs="Times New Roman"/>
                      <w:color w:val="auto"/>
                      <w:szCs w:val="21"/>
                      <w:lang w:val="en-US" w:eastAsia="zh-CN"/>
                    </w:rPr>
                    <w:t>①</w:t>
                  </w:r>
                  <w:r>
                    <w:rPr>
                      <w:rFonts w:hint="default" w:ascii="Times New Roman" w:hAnsi="Times New Roman" w:eastAsia="宋体" w:cs="Times New Roman"/>
                      <w:color w:val="auto"/>
                      <w:szCs w:val="21"/>
                    </w:rPr>
                    <w:t>锅外水处理：又称为锅外化学水处理，是指对进入锅炉之前的给水预先进行的各种预处理及软化、除碱或除盐等处理（主要是包括沉淀软化和水的离子交换软化），使水质达到各种类型锅炉的要求，是锅炉水质处理的主要方式。在锅外水处理过程中，会产生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，同时锅炉运行过程中同样会产生锅炉排污水。因此对于锅外水处理的情况应同时考虑锅炉排污水和软化处理废水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；表中锅外水处理系数包含锅炉排污水和软化处理废水</w:t>
                  </w: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Cs w:val="21"/>
                    </w:rPr>
                    <w:t>两部分。</w:t>
                  </w:r>
                </w:p>
              </w:tc>
            </w:tr>
          </w:tbl>
          <w:p>
            <w:pPr>
              <w:pStyle w:val="2"/>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trike w:val="0"/>
                <w:dstrike w:val="0"/>
                <w:color w:val="auto"/>
                <w:sz w:val="24"/>
                <w:szCs w:val="24"/>
                <w:u w:val="none"/>
              </w:rPr>
              <w:t>根据生产要求，</w:t>
            </w:r>
            <w:r>
              <w:rPr>
                <w:rFonts w:hint="default" w:ascii="Times New Roman" w:hAnsi="Times New Roman" w:eastAsia="宋体" w:cs="Times New Roman"/>
                <w:strike w:val="0"/>
                <w:dstrike w:val="0"/>
                <w:color w:val="auto"/>
                <w:sz w:val="24"/>
                <w:szCs w:val="24"/>
                <w:u w:val="none"/>
                <w:lang w:val="en-US" w:eastAsia="zh-CN"/>
              </w:rPr>
              <w:t>本</w:t>
            </w:r>
            <w:r>
              <w:rPr>
                <w:rFonts w:hint="default" w:ascii="Times New Roman" w:hAnsi="Times New Roman" w:eastAsia="宋体" w:cs="Times New Roman"/>
                <w:strike w:val="0"/>
                <w:dstrike w:val="0"/>
                <w:color w:val="auto"/>
                <w:sz w:val="24"/>
                <w:szCs w:val="24"/>
                <w:u w:val="none"/>
              </w:rPr>
              <w:t>项目</w:t>
            </w:r>
            <w:r>
              <w:rPr>
                <w:rFonts w:hint="default" w:ascii="Times New Roman" w:hAnsi="Times New Roman" w:eastAsia="宋体" w:cs="Times New Roman"/>
                <w:strike w:val="0"/>
                <w:dstrike w:val="0"/>
                <w:color w:val="auto"/>
                <w:spacing w:val="0"/>
                <w:sz w:val="24"/>
                <w:szCs w:val="24"/>
                <w:u w:val="none"/>
              </w:rPr>
              <w:t>锅炉补充用水均采用</w:t>
            </w:r>
            <w:r>
              <w:rPr>
                <w:rFonts w:hint="default" w:ascii="Times New Roman" w:hAnsi="Times New Roman" w:eastAsia="宋体" w:cs="Times New Roman"/>
                <w:strike w:val="0"/>
                <w:dstrike w:val="0"/>
                <w:color w:val="auto"/>
                <w:spacing w:val="0"/>
                <w:sz w:val="24"/>
                <w:szCs w:val="24"/>
                <w:u w:val="none"/>
                <w:lang w:val="en-US" w:eastAsia="zh-CN"/>
              </w:rPr>
              <w:t>炉外制备的</w:t>
            </w:r>
            <w:r>
              <w:rPr>
                <w:rFonts w:hint="default" w:ascii="Times New Roman" w:hAnsi="Times New Roman" w:eastAsia="宋体" w:cs="Times New Roman"/>
                <w:strike w:val="0"/>
                <w:dstrike w:val="0"/>
                <w:color w:val="auto"/>
                <w:spacing w:val="0"/>
                <w:sz w:val="24"/>
                <w:szCs w:val="24"/>
                <w:u w:val="none"/>
                <w:lang w:eastAsia="zh-CN"/>
              </w:rPr>
              <w:t>软</w:t>
            </w:r>
            <w:r>
              <w:rPr>
                <w:rFonts w:hint="default" w:ascii="Times New Roman" w:hAnsi="Times New Roman" w:eastAsia="宋体" w:cs="Times New Roman"/>
                <w:strike w:val="0"/>
                <w:dstrike w:val="0"/>
                <w:color w:val="auto"/>
                <w:spacing w:val="0"/>
                <w:sz w:val="24"/>
                <w:szCs w:val="24"/>
                <w:u w:val="none"/>
              </w:rPr>
              <w:t>水</w:t>
            </w:r>
            <w:r>
              <w:rPr>
                <w:rFonts w:hint="default" w:ascii="Times New Roman" w:hAnsi="Times New Roman" w:eastAsia="宋体" w:cs="Times New Roman"/>
                <w:strike w:val="0"/>
                <w:dstrike w:val="0"/>
                <w:color w:val="auto"/>
                <w:sz w:val="24"/>
                <w:szCs w:val="24"/>
                <w:u w:val="none"/>
              </w:rPr>
              <w:t>。</w:t>
            </w:r>
            <w:r>
              <w:rPr>
                <w:rFonts w:hint="default" w:ascii="Times New Roman" w:hAnsi="Times New Roman" w:eastAsia="宋体" w:cs="Times New Roman"/>
                <w:bCs/>
                <w:color w:val="auto"/>
                <w:spacing w:val="6"/>
                <w:sz w:val="24"/>
                <w:szCs w:val="24"/>
                <w:highlight w:val="none"/>
              </w:rPr>
              <w:t>项目</w:t>
            </w:r>
            <w:r>
              <w:rPr>
                <w:rFonts w:hint="default" w:ascii="Times New Roman" w:hAnsi="Times New Roman" w:eastAsia="宋体" w:cs="Times New Roman"/>
                <w:bCs/>
                <w:color w:val="auto"/>
                <w:spacing w:val="6"/>
                <w:sz w:val="24"/>
                <w:szCs w:val="24"/>
                <w:highlight w:val="none"/>
                <w:lang w:eastAsia="zh-CN"/>
              </w:rPr>
              <w:t>拟</w:t>
            </w:r>
            <w:r>
              <w:rPr>
                <w:rFonts w:hint="default" w:ascii="Times New Roman" w:hAnsi="Times New Roman" w:eastAsia="宋体" w:cs="Times New Roman"/>
                <w:bCs/>
                <w:color w:val="auto"/>
                <w:spacing w:val="6"/>
                <w:sz w:val="24"/>
                <w:szCs w:val="24"/>
                <w:highlight w:val="none"/>
              </w:rPr>
              <w:t>设置</w:t>
            </w:r>
            <w:r>
              <w:rPr>
                <w:rFonts w:hint="eastAsia" w:cs="Times New Roman"/>
                <w:bCs/>
                <w:color w:val="auto"/>
                <w:spacing w:val="6"/>
                <w:sz w:val="24"/>
                <w:szCs w:val="24"/>
                <w:highlight w:val="none"/>
                <w:lang w:val="en-US" w:eastAsia="zh-CN"/>
              </w:rPr>
              <w:t>2</w:t>
            </w:r>
            <w:r>
              <w:rPr>
                <w:rFonts w:hint="default" w:ascii="Times New Roman" w:hAnsi="Times New Roman" w:eastAsia="宋体" w:cs="Times New Roman"/>
                <w:bCs/>
                <w:color w:val="auto"/>
                <w:spacing w:val="6"/>
                <w:sz w:val="24"/>
                <w:szCs w:val="24"/>
                <w:highlight w:val="none"/>
                <w:lang w:val="en-US" w:eastAsia="zh-CN"/>
              </w:rPr>
              <w:t>台</w:t>
            </w:r>
            <w:r>
              <w:rPr>
                <w:rFonts w:hint="eastAsia" w:cs="Times New Roman"/>
                <w:bCs/>
                <w:color w:val="auto"/>
                <w:spacing w:val="6"/>
                <w:sz w:val="24"/>
                <w:szCs w:val="24"/>
                <w:highlight w:val="none"/>
                <w:lang w:val="en-US" w:eastAsia="zh-CN"/>
              </w:rPr>
              <w:t>10</w:t>
            </w:r>
            <w:r>
              <w:rPr>
                <w:rFonts w:hint="default" w:ascii="Times New Roman" w:hAnsi="Times New Roman" w:eastAsia="宋体" w:cs="Times New Roman"/>
                <w:bCs/>
                <w:color w:val="auto"/>
                <w:spacing w:val="6"/>
                <w:sz w:val="24"/>
                <w:szCs w:val="24"/>
                <w:highlight w:val="none"/>
                <w:lang w:val="en-US" w:eastAsia="zh-CN"/>
              </w:rPr>
              <w:t>t/h的生物质蒸汽锅炉</w:t>
            </w:r>
            <w:r>
              <w:rPr>
                <w:rFonts w:hint="eastAsia" w:cs="Times New Roman"/>
                <w:bCs/>
                <w:color w:val="auto"/>
                <w:spacing w:val="6"/>
                <w:sz w:val="24"/>
                <w:szCs w:val="24"/>
                <w:highlight w:val="none"/>
                <w:lang w:val="en-US" w:eastAsia="zh-CN"/>
              </w:rPr>
              <w:t>（一用一备）</w:t>
            </w:r>
            <w:r>
              <w:rPr>
                <w:rFonts w:hint="default" w:ascii="Times New Roman" w:hAnsi="Times New Roman" w:eastAsia="宋体" w:cs="Times New Roman"/>
                <w:bCs/>
                <w:color w:val="auto"/>
                <w:spacing w:val="6"/>
                <w:sz w:val="24"/>
                <w:szCs w:val="24"/>
                <w:highlight w:val="none"/>
                <w:lang w:val="en-US" w:eastAsia="zh-CN"/>
              </w:rPr>
              <w:t>为生产过程提供</w:t>
            </w:r>
            <w:r>
              <w:rPr>
                <w:rFonts w:hint="default" w:ascii="Times New Roman" w:hAnsi="Times New Roman" w:eastAsia="宋体" w:cs="Times New Roman"/>
                <w:color w:val="auto"/>
                <w:sz w:val="24"/>
                <w:szCs w:val="24"/>
                <w:highlight w:val="none"/>
                <w:lang w:eastAsia="zh-CN"/>
              </w:rPr>
              <w:t>热量，</w:t>
            </w:r>
            <w:r>
              <w:rPr>
                <w:rFonts w:hint="default" w:ascii="Times New Roman" w:hAnsi="Times New Roman" w:eastAsia="宋体" w:cs="Times New Roman"/>
                <w:color w:val="auto"/>
                <w:sz w:val="24"/>
                <w:szCs w:val="24"/>
                <w:highlight w:val="none"/>
                <w:lang w:val="en-US" w:eastAsia="zh-CN"/>
              </w:rPr>
              <w:t>生物质</w:t>
            </w:r>
            <w:r>
              <w:rPr>
                <w:rFonts w:hint="eastAsia" w:cs="Times New Roman"/>
                <w:color w:val="auto"/>
                <w:sz w:val="24"/>
                <w:szCs w:val="24"/>
                <w:highlight w:val="none"/>
                <w:lang w:val="en-US" w:eastAsia="zh-CN"/>
              </w:rPr>
              <w:t>燃料</w:t>
            </w:r>
            <w:r>
              <w:rPr>
                <w:rFonts w:hint="default" w:ascii="Times New Roman" w:hAnsi="Times New Roman" w:eastAsia="宋体" w:cs="Times New Roman"/>
                <w:color w:val="auto"/>
                <w:sz w:val="24"/>
                <w:szCs w:val="24"/>
                <w:highlight w:val="none"/>
                <w:lang w:val="en-US" w:eastAsia="zh-CN"/>
              </w:rPr>
              <w:t>用量为</w:t>
            </w:r>
            <w:r>
              <w:rPr>
                <w:rFonts w:hint="eastAsia"/>
                <w:color w:val="auto"/>
                <w:sz w:val="24"/>
                <w:lang w:val="en-US" w:eastAsia="zh-CN"/>
              </w:rPr>
              <w:t>1735.7761</w:t>
            </w:r>
            <w:r>
              <w:rPr>
                <w:color w:val="auto"/>
                <w:sz w:val="24"/>
              </w:rPr>
              <w:t>kg/h，</w:t>
            </w:r>
            <w:r>
              <w:rPr>
                <w:rFonts w:hint="eastAsia"/>
                <w:color w:val="auto"/>
                <w:sz w:val="24"/>
                <w:lang w:val="en-US" w:eastAsia="zh-CN"/>
              </w:rPr>
              <w:t>20.8293</w:t>
            </w:r>
            <w:r>
              <w:rPr>
                <w:color w:val="auto"/>
                <w:sz w:val="24"/>
              </w:rPr>
              <w:t>t/d，</w:t>
            </w:r>
            <w:r>
              <w:rPr>
                <w:rFonts w:hint="eastAsia"/>
                <w:color w:val="auto"/>
                <w:sz w:val="24"/>
                <w:lang w:val="en-US" w:eastAsia="zh-CN"/>
              </w:rPr>
              <w:t>6248.7940</w:t>
            </w:r>
            <w:r>
              <w:rPr>
                <w:color w:val="auto"/>
                <w:sz w:val="24"/>
              </w:rPr>
              <w:t>t/a。</w:t>
            </w:r>
            <w:r>
              <w:rPr>
                <w:rFonts w:hint="default" w:ascii="Times New Roman" w:hAnsi="Times New Roman" w:eastAsia="宋体" w:cs="Times New Roman"/>
                <w:color w:val="auto"/>
                <w:sz w:val="24"/>
                <w:szCs w:val="24"/>
                <w:highlight w:val="none"/>
                <w:lang w:val="en-US" w:eastAsia="zh-CN"/>
              </w:rPr>
              <w:t>根据上表计算可知则</w:t>
            </w:r>
            <w:r>
              <w:rPr>
                <w:rFonts w:hint="default" w:ascii="Times New Roman" w:hAnsi="Times New Roman" w:eastAsia="宋体" w:cs="Times New Roman"/>
                <w:color w:val="auto"/>
                <w:sz w:val="24"/>
                <w:szCs w:val="24"/>
                <w:highlight w:val="none"/>
                <w:lang w:eastAsia="zh-CN"/>
              </w:rPr>
              <w:t>锅炉排污水</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4496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rPr>
              <w:t>锅炉</w:t>
            </w:r>
            <w:r>
              <w:rPr>
                <w:rFonts w:hint="eastAsia" w:cs="Times New Roman"/>
                <w:color w:val="auto"/>
                <w:sz w:val="24"/>
                <w:szCs w:val="24"/>
                <w:highlight w:val="none"/>
                <w:lang w:eastAsia="zh-CN"/>
              </w:rPr>
              <w:t>纯水制备</w:t>
            </w:r>
            <w:r>
              <w:rPr>
                <w:rFonts w:hint="default" w:ascii="Times New Roman" w:hAnsi="Times New Roman" w:eastAsia="宋体" w:cs="Times New Roman"/>
                <w:color w:val="auto"/>
                <w:sz w:val="24"/>
                <w:szCs w:val="24"/>
                <w:highlight w:val="none"/>
                <w:lang w:eastAsia="zh-CN"/>
              </w:rPr>
              <w:t>废水</w:t>
            </w:r>
            <w:r>
              <w:rPr>
                <w:rFonts w:hint="default" w:ascii="Times New Roman" w:hAnsi="Times New Roman" w:eastAsia="宋体" w:cs="Times New Roman"/>
                <w:color w:val="auto"/>
                <w:sz w:val="24"/>
                <w:szCs w:val="24"/>
                <w:highlight w:val="none"/>
                <w:lang w:val="en-US" w:eastAsia="zh-CN"/>
              </w:rPr>
              <w:t>量为</w:t>
            </w:r>
            <w:r>
              <w:rPr>
                <w:rFonts w:hint="eastAsia" w:cs="Times New Roman"/>
                <w:color w:val="auto"/>
                <w:sz w:val="24"/>
                <w:szCs w:val="24"/>
                <w:highlight w:val="none"/>
                <w:lang w:val="en-US" w:eastAsia="zh-CN"/>
              </w:rPr>
              <w:t>0.1684</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lang w:eastAsia="zh-CN"/>
              </w:rPr>
              <w:t>锅炉</w:t>
            </w:r>
            <w:r>
              <w:rPr>
                <w:rFonts w:hint="default" w:ascii="Times New Roman" w:hAnsi="Times New Roman" w:eastAsia="宋体" w:cs="Times New Roman"/>
                <w:color w:val="auto"/>
                <w:sz w:val="24"/>
                <w:szCs w:val="24"/>
                <w:highlight w:val="none"/>
              </w:rPr>
              <w:t>每年运行时间为</w:t>
            </w:r>
            <w:r>
              <w:rPr>
                <w:rFonts w:hint="default" w:ascii="Times New Roman" w:hAnsi="Times New Roman" w:eastAsia="宋体" w:cs="Times New Roman"/>
                <w:color w:val="auto"/>
                <w:sz w:val="24"/>
                <w:szCs w:val="24"/>
                <w:highlight w:val="none"/>
                <w:lang w:val="en-US" w:eastAsia="zh-CN"/>
              </w:rPr>
              <w:t>300</w:t>
            </w:r>
            <w:r>
              <w:rPr>
                <w:rFonts w:hint="default" w:ascii="Times New Roman" w:hAnsi="Times New Roman" w:eastAsia="宋体" w:cs="Times New Roman"/>
                <w:color w:val="auto"/>
                <w:sz w:val="24"/>
                <w:szCs w:val="24"/>
                <w:highlight w:val="none"/>
              </w:rPr>
              <w:t>天，每天运行</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小时</w:t>
            </w:r>
            <w:r>
              <w:rPr>
                <w:rFonts w:hint="default" w:ascii="Times New Roman" w:hAnsi="Times New Roman" w:eastAsia="宋体" w:cs="Times New Roman"/>
                <w:color w:val="auto"/>
                <w:sz w:val="24"/>
                <w:szCs w:val="24"/>
                <w:highlight w:val="none"/>
                <w:lang w:val="en-US" w:eastAsia="zh-CN"/>
              </w:rPr>
              <w:t>。</w:t>
            </w:r>
          </w:p>
          <w:p>
            <w:pPr>
              <w:widowControl w:val="0"/>
              <w:spacing w:line="360" w:lineRule="auto"/>
              <w:ind w:firstLine="480" w:firstLineChars="200"/>
              <w:rPr>
                <w:rFonts w:hint="default" w:ascii="Times New Roman" w:hAnsi="Times New Roman" w:eastAsia="宋体" w:cs="Times New Roman"/>
                <w:strike w:val="0"/>
                <w:dstrike w:val="0"/>
                <w:color w:val="auto"/>
                <w:sz w:val="24"/>
                <w:szCs w:val="24"/>
                <w:u w:val="none"/>
              </w:rPr>
            </w:pP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eastAsia="zh-CN"/>
              </w:rPr>
              <w:t>锅炉</w:t>
            </w:r>
            <w:r>
              <w:rPr>
                <w:rFonts w:hint="default" w:ascii="Times New Roman" w:hAnsi="Times New Roman" w:eastAsia="宋体" w:cs="Times New Roman"/>
                <w:color w:val="auto"/>
                <w:sz w:val="24"/>
                <w:szCs w:val="24"/>
                <w:highlight w:val="none"/>
              </w:rPr>
              <w:t>蒸汽平衡</w:t>
            </w:r>
            <w:r>
              <w:rPr>
                <w:rFonts w:hint="default" w:ascii="Times New Roman" w:hAnsi="Times New Roman" w:eastAsia="宋体" w:cs="Times New Roman"/>
                <w:color w:val="auto"/>
                <w:sz w:val="24"/>
                <w:highlight w:val="none"/>
              </w:rPr>
              <w:t>见图</w:t>
            </w:r>
            <w:r>
              <w:rPr>
                <w:rFonts w:hint="default" w:ascii="Times New Roman" w:hAnsi="Times New Roman" w:eastAsia="宋体" w:cs="Times New Roman"/>
                <w:color w:val="auto"/>
                <w:sz w:val="24"/>
                <w:highlight w:val="none"/>
                <w:lang w:val="en-US" w:eastAsia="zh-CN"/>
              </w:rPr>
              <w:t>2-1、2-2、2-3所示</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5" o:spt="75" type="#_x0000_t75" style="height:184.15pt;width:413.9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2-1</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/h</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6" o:spt="75" type="#_x0000_t75" style="height:189.15pt;width:414.0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2-2</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object>
                <v:shape id="_x0000_i1027" o:spt="75" type="#_x0000_t75" style="height:185.95pt;width:407.05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rPr>
              <w:t>图</w:t>
            </w:r>
            <w:r>
              <w:rPr>
                <w:rFonts w:hint="default" w:ascii="Times New Roman" w:hAnsi="Times New Roman" w:eastAsia="宋体" w:cs="Times New Roman"/>
                <w:b/>
                <w:color w:val="auto"/>
                <w:sz w:val="21"/>
                <w:szCs w:val="21"/>
                <w:lang w:val="en-US" w:eastAsia="zh-CN"/>
              </w:rPr>
              <w:t>2-3</w:t>
            </w:r>
            <w:r>
              <w:rPr>
                <w:rFonts w:hint="default" w:ascii="Times New Roman" w:hAnsi="Times New Roman" w:eastAsia="宋体" w:cs="Times New Roman"/>
                <w:b/>
                <w:color w:val="auto"/>
                <w:sz w:val="21"/>
                <w:szCs w:val="21"/>
              </w:rPr>
              <w:t xml:space="preserve">  项目蒸汽平衡图</w:t>
            </w:r>
            <w:r>
              <w:rPr>
                <w:rFonts w:hint="default" w:ascii="Times New Roman" w:hAnsi="Times New Roman" w:eastAsia="宋体" w:cs="Times New Roman"/>
                <w:b/>
                <w:color w:val="auto"/>
                <w:sz w:val="21"/>
                <w:szCs w:val="21"/>
                <w:lang w:val="en-US" w:eastAsia="zh-CN"/>
              </w:rPr>
              <w:t xml:space="preserve">   单位:m</w:t>
            </w:r>
            <w:r>
              <w:rPr>
                <w:rFonts w:hint="default" w:ascii="Times New Roman" w:hAnsi="Times New Roman" w:eastAsia="宋体" w:cs="Times New Roman"/>
                <w:b/>
                <w:color w:val="auto"/>
                <w:sz w:val="21"/>
                <w:szCs w:val="21"/>
                <w:vertAlign w:val="superscript"/>
                <w:lang w:val="en-US" w:eastAsia="zh-CN"/>
              </w:rPr>
              <w:t>3</w:t>
            </w:r>
            <w:r>
              <w:rPr>
                <w:rFonts w:hint="default" w:ascii="Times New Roman" w:hAnsi="Times New Roman" w:eastAsia="宋体" w:cs="Times New Roman"/>
                <w:b/>
                <w:color w:val="auto"/>
                <w:sz w:val="21"/>
                <w:szCs w:val="21"/>
                <w:lang w:val="en-US" w:eastAsia="zh-CN"/>
              </w:rPr>
              <w:t>/a</w:t>
            </w:r>
          </w:p>
          <w:p>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highlight w:val="none"/>
              </w:rPr>
              <w:t>根据项目蒸汽平衡图可知，锅炉用水量为</w:t>
            </w:r>
            <w:r>
              <w:rPr>
                <w:rFonts w:hint="eastAsia" w:cs="Times New Roman"/>
                <w:color w:val="auto"/>
                <w:sz w:val="24"/>
                <w:szCs w:val="24"/>
                <w:highlight w:val="none"/>
                <w:lang w:val="en-US" w:eastAsia="zh-CN"/>
              </w:rPr>
              <w:t>10.618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127.416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（其中新水补充量为</w:t>
            </w:r>
            <w:r>
              <w:rPr>
                <w:rFonts w:hint="eastAsia" w:cs="Times New Roman"/>
                <w:color w:val="auto"/>
                <w:sz w:val="24"/>
                <w:szCs w:val="24"/>
                <w:highlight w:val="none"/>
                <w:lang w:val="en-US" w:eastAsia="zh-CN"/>
              </w:rPr>
              <w:t>2.368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28.416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，循环补水量为</w:t>
            </w:r>
            <w:r>
              <w:rPr>
                <w:rFonts w:hint="eastAsia" w:cs="Times New Roman"/>
                <w:color w:val="auto"/>
                <w:sz w:val="24"/>
                <w:szCs w:val="24"/>
                <w:highlight w:val="none"/>
                <w:lang w:val="en-US" w:eastAsia="zh-CN"/>
              </w:rPr>
              <w:t>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99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highlight w:val="none"/>
              </w:rPr>
              <w:t>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1684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2.0208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锅炉排污水</w:t>
            </w:r>
            <w:r>
              <w:rPr>
                <w:rFonts w:hint="default" w:ascii="Times New Roman" w:hAnsi="Times New Roman" w:eastAsia="宋体" w:cs="Times New Roman"/>
                <w:color w:val="auto"/>
                <w:sz w:val="24"/>
                <w:szCs w:val="24"/>
                <w:highlight w:val="none"/>
              </w:rPr>
              <w:t>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4496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5.3952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/d；蒸汽冷凝水产生量为</w:t>
            </w:r>
            <w:r>
              <w:rPr>
                <w:rFonts w:hint="eastAsia" w:cs="Times New Roman"/>
                <w:color w:val="auto"/>
                <w:sz w:val="24"/>
                <w:szCs w:val="24"/>
                <w:highlight w:val="none"/>
                <w:lang w:val="en-US" w:eastAsia="zh-CN"/>
              </w:rPr>
              <w:t>8.25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/h，</w:t>
            </w:r>
            <w:r>
              <w:rPr>
                <w:rFonts w:hint="eastAsia" w:cs="Times New Roman"/>
                <w:color w:val="auto"/>
                <w:sz w:val="24"/>
                <w:szCs w:val="24"/>
                <w:highlight w:val="none"/>
                <w:lang w:val="en-US" w:eastAsia="zh-CN"/>
              </w:rPr>
              <w:t>99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highlight w:val="none"/>
                <w:lang w:val="en-US" w:eastAsia="zh-CN"/>
              </w:rPr>
              <w:t>及锅炉排污水经絮凝沉淀处理后作为生产冷却循环水补充使用</w:t>
            </w:r>
            <w:r>
              <w:rPr>
                <w:rFonts w:hint="default" w:ascii="Times New Roman" w:hAnsi="Times New Roman" w:eastAsia="宋体" w:cs="Times New Roman"/>
                <w:color w:val="auto"/>
                <w:sz w:val="24"/>
                <w:szCs w:val="24"/>
                <w:highlight w:val="none"/>
                <w:lang w:val="en-US" w:eastAsia="zh-CN"/>
              </w:rPr>
              <w:t>，蒸汽冷凝水回用于锅炉补充水。</w:t>
            </w:r>
          </w:p>
          <w:p>
            <w:pPr>
              <w:pStyle w:val="4"/>
              <w:widowControl/>
              <w:snapToGrid w:val="0"/>
              <w:spacing w:after="0" w:line="360" w:lineRule="auto"/>
              <w:ind w:firstLine="482" w:firstLineChars="200"/>
              <w:rPr>
                <w:rFonts w:hint="default" w:ascii="Times New Roman" w:hAnsi="Times New Roman" w:eastAsia="宋体" w:cs="Times New Roman"/>
                <w:b/>
                <w:bCs/>
                <w:snapToGrid w:val="0"/>
                <w:color w:val="auto"/>
                <w:sz w:val="24"/>
              </w:rPr>
            </w:pPr>
            <w:r>
              <w:rPr>
                <w:rFonts w:hint="default" w:ascii="Times New Roman" w:hAnsi="Times New Roman" w:eastAsia="宋体" w:cs="Times New Roman"/>
                <w:b/>
                <w:bCs/>
                <w:snapToGrid w:val="0"/>
                <w:color w:val="auto"/>
                <w:sz w:val="24"/>
              </w:rPr>
              <w:t>2）冷却废水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项目生产</w:t>
            </w:r>
            <w:r>
              <w:rPr>
                <w:rFonts w:hint="default" w:ascii="Times New Roman" w:hAnsi="Times New Roman" w:eastAsia="宋体" w:cs="Times New Roman"/>
                <w:color w:val="auto"/>
                <w:sz w:val="24"/>
                <w:szCs w:val="24"/>
                <w:highlight w:val="none"/>
                <w:lang w:eastAsia="zh-CN"/>
              </w:rPr>
              <w:t>泡沫箱</w:t>
            </w:r>
            <w:r>
              <w:rPr>
                <w:rFonts w:hint="default" w:ascii="Times New Roman" w:hAnsi="Times New Roman" w:eastAsia="宋体" w:cs="Times New Roman"/>
                <w:color w:val="auto"/>
                <w:sz w:val="24"/>
                <w:szCs w:val="24"/>
                <w:highlight w:val="none"/>
              </w:rPr>
              <w:t>时成型</w:t>
            </w:r>
            <w:r>
              <w:rPr>
                <w:rFonts w:hint="default" w:ascii="Times New Roman" w:hAnsi="Times New Roman" w:eastAsia="宋体" w:cs="Times New Roman"/>
                <w:color w:val="auto"/>
                <w:sz w:val="24"/>
                <w:szCs w:val="24"/>
                <w:highlight w:val="none"/>
                <w:lang w:eastAsia="zh-CN"/>
              </w:rPr>
              <w:t>及脱模过程均需进行冷却，</w:t>
            </w:r>
            <w:r>
              <w:rPr>
                <w:rFonts w:hint="default" w:ascii="Times New Roman" w:hAnsi="Times New Roman" w:eastAsia="宋体" w:cs="Times New Roman"/>
                <w:color w:val="auto"/>
                <w:sz w:val="24"/>
                <w:szCs w:val="24"/>
                <w:highlight w:val="none"/>
              </w:rPr>
              <w:t>冷却过程产生冷却废水，</w:t>
            </w:r>
            <w:r>
              <w:rPr>
                <w:rFonts w:hint="default" w:ascii="Times New Roman" w:hAnsi="Times New Roman" w:eastAsia="宋体" w:cs="Times New Roman"/>
                <w:color w:val="auto"/>
                <w:kern w:val="2"/>
                <w:sz w:val="24"/>
                <w:szCs w:val="24"/>
                <w:highlight w:val="none"/>
                <w:lang w:eastAsia="zh-CN" w:bidi="ar-SA"/>
              </w:rPr>
              <w:t>冷却水与物料直接接触冷却。</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生产</w:t>
            </w:r>
            <w:r>
              <w:rPr>
                <w:rFonts w:hint="eastAsia" w:cs="Times New Roman"/>
                <w:color w:val="auto"/>
                <w:sz w:val="24"/>
                <w:szCs w:val="24"/>
                <w:lang w:val="en-US" w:eastAsia="zh-CN"/>
              </w:rPr>
              <w:t>车间</w:t>
            </w:r>
            <w:r>
              <w:rPr>
                <w:rFonts w:hint="default" w:ascii="Times New Roman" w:hAnsi="Times New Roman" w:eastAsia="宋体" w:cs="Times New Roman"/>
                <w:color w:val="auto"/>
                <w:sz w:val="24"/>
                <w:szCs w:val="24"/>
                <w:lang w:val="en-US" w:eastAsia="zh-CN"/>
              </w:rPr>
              <w:t>东侧拟</w:t>
            </w:r>
            <w:r>
              <w:rPr>
                <w:rFonts w:hint="default" w:ascii="Times New Roman" w:hAnsi="Times New Roman" w:eastAsia="宋体" w:cs="Times New Roman"/>
                <w:color w:val="auto"/>
                <w:sz w:val="24"/>
                <w:szCs w:val="24"/>
              </w:rPr>
              <w:t>设置</w:t>
            </w:r>
            <w:r>
              <w:rPr>
                <w:rFonts w:hint="default" w:ascii="Times New Roman" w:hAnsi="Times New Roman" w:eastAsia="宋体" w:cs="Times New Roman"/>
                <w:color w:val="auto"/>
                <w:sz w:val="24"/>
                <w:szCs w:val="24"/>
                <w:lang w:eastAsia="zh-CN"/>
              </w:rPr>
              <w:t>了</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容积为</w:t>
            </w:r>
            <w:r>
              <w:rPr>
                <w:rFonts w:hint="eastAsia" w:cs="Times New Roman"/>
                <w:color w:val="auto"/>
                <w:sz w:val="24"/>
                <w:szCs w:val="24"/>
                <w:highlight w:val="none"/>
                <w:lang w:val="en-US" w:eastAsia="zh-CN"/>
              </w:rPr>
              <w:t>400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lang w:eastAsia="zh-CN"/>
              </w:rPr>
              <w:t>水池，</w:t>
            </w:r>
            <w:r>
              <w:rPr>
                <w:rFonts w:hint="default" w:ascii="Times New Roman" w:hAnsi="Times New Roman" w:eastAsia="宋体" w:cs="Times New Roman"/>
                <w:color w:val="auto"/>
                <w:sz w:val="24"/>
                <w:szCs w:val="24"/>
              </w:rPr>
              <w:t>冷却废水经循环冷却池冷却后循环使用。</w:t>
            </w:r>
            <w:r>
              <w:rPr>
                <w:rFonts w:hint="default" w:ascii="Times New Roman" w:hAnsi="Times New Roman" w:eastAsia="宋体" w:cs="Times New Roman"/>
                <w:color w:val="auto"/>
                <w:sz w:val="24"/>
                <w:szCs w:val="24"/>
                <w:highlight w:val="none"/>
                <w:lang w:eastAsia="zh-CN"/>
              </w:rPr>
              <w:t>根据建设单位提供的设备技术参数资料可知，</w:t>
            </w:r>
            <w:r>
              <w:rPr>
                <w:rFonts w:hint="default" w:ascii="Times New Roman" w:hAnsi="Times New Roman" w:eastAsia="宋体" w:cs="Times New Roman"/>
                <w:color w:val="auto"/>
                <w:sz w:val="24"/>
                <w:szCs w:val="24"/>
                <w:highlight w:val="none"/>
                <w:lang w:val="en-US" w:eastAsia="zh-CN"/>
              </w:rPr>
              <w:t>成型机冷却水耗量为180kg/模，每模生产6个，则生产泡沫箱时冷却水耗量约为30kg/个。本项目泡沫箱生产量为</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/a，年产300d，每天</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eastAsia="zh-CN"/>
              </w:rPr>
              <w:t>班</w:t>
            </w:r>
            <w:r>
              <w:rPr>
                <w:rFonts w:hint="default" w:ascii="Times New Roman" w:hAnsi="Times New Roman" w:eastAsia="宋体" w:cs="Times New Roman"/>
                <w:color w:val="auto"/>
                <w:sz w:val="24"/>
                <w:szCs w:val="24"/>
                <w:highlight w:val="none"/>
                <w:lang w:val="en-US" w:eastAsia="zh-CN"/>
              </w:rPr>
              <w:t>，每班</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h，则泡沫箱生产过程冷却水用量为</w:t>
            </w:r>
            <w:r>
              <w:rPr>
                <w:rFonts w:hint="eastAsia"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lang w:val="en-US" w:eastAsia="zh-CN"/>
              </w:rPr>
              <w:t>0000m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eastAsia" w:cs="Times New Roman"/>
                <w:color w:val="auto"/>
                <w:sz w:val="24"/>
                <w:szCs w:val="24"/>
                <w:highlight w:val="none"/>
                <w:lang w:val="en-US" w:eastAsia="zh-CN"/>
              </w:rPr>
              <w:t>125</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kern w:val="2"/>
                <w:sz w:val="24"/>
                <w:szCs w:val="24"/>
                <w:highlight w:val="none"/>
                <w:lang w:eastAsia="zh-CN" w:bidi="ar"/>
              </w:rPr>
              <w:t>。</w:t>
            </w:r>
            <w:r>
              <w:rPr>
                <w:rFonts w:hint="default" w:ascii="Times New Roman" w:hAnsi="Times New Roman" w:eastAsia="宋体" w:cs="Times New Roman"/>
                <w:color w:val="auto"/>
                <w:sz w:val="24"/>
                <w:szCs w:val="24"/>
                <w:highlight w:val="none"/>
              </w:rPr>
              <w:t>冷</w:t>
            </w:r>
            <w:r>
              <w:rPr>
                <w:rFonts w:hint="default" w:ascii="Times New Roman" w:hAnsi="Times New Roman" w:eastAsia="宋体" w:cs="Times New Roman"/>
                <w:color w:val="auto"/>
                <w:sz w:val="24"/>
                <w:szCs w:val="24"/>
              </w:rPr>
              <w:t>却过程中由于</w:t>
            </w:r>
            <w:r>
              <w:rPr>
                <w:rFonts w:hint="default" w:ascii="Times New Roman" w:hAnsi="Times New Roman" w:eastAsia="宋体" w:cs="Times New Roman"/>
                <w:color w:val="auto"/>
                <w:sz w:val="24"/>
                <w:szCs w:val="24"/>
                <w:lang w:eastAsia="zh-CN"/>
              </w:rPr>
              <w:t>系统</w:t>
            </w:r>
            <w:r>
              <w:rPr>
                <w:rFonts w:hint="default" w:ascii="Times New Roman" w:hAnsi="Times New Roman" w:eastAsia="宋体" w:cs="Times New Roman"/>
                <w:color w:val="auto"/>
                <w:sz w:val="24"/>
                <w:szCs w:val="24"/>
              </w:rPr>
              <w:t>损耗</w:t>
            </w:r>
            <w:r>
              <w:rPr>
                <w:rFonts w:hint="default" w:ascii="Times New Roman" w:hAnsi="Times New Roman" w:eastAsia="宋体" w:cs="Times New Roman"/>
                <w:color w:val="auto"/>
                <w:kern w:val="2"/>
                <w:sz w:val="24"/>
                <w:szCs w:val="24"/>
                <w:highlight w:val="none"/>
                <w:lang w:eastAsia="zh-CN" w:bidi="ar"/>
              </w:rPr>
              <w:t>（工件带走、蒸发损耗等）</w:t>
            </w:r>
            <w:r>
              <w:rPr>
                <w:rFonts w:hint="default" w:ascii="Times New Roman" w:hAnsi="Times New Roman" w:eastAsia="宋体" w:cs="Times New Roman"/>
                <w:color w:val="auto"/>
                <w:sz w:val="24"/>
                <w:szCs w:val="24"/>
              </w:rPr>
              <w:t>，需要补充新鲜水。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蒸发损耗补水量参照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冷却塔补水量计算方法</w:t>
            </w:r>
            <w:r>
              <w:rPr>
                <w:rFonts w:hint="default" w:ascii="Times New Roman" w:hAnsi="Times New Roman" w:eastAsia="宋体" w:cs="Times New Roman"/>
                <w:color w:val="auto"/>
                <w:sz w:val="24"/>
                <w:szCs w:val="24"/>
                <w:highlight w:val="none"/>
                <w:lang w:eastAsia="zh-CN"/>
              </w:rPr>
              <w:t>》进行计算，</w:t>
            </w:r>
            <w:r>
              <w:rPr>
                <w:rFonts w:hint="default" w:ascii="Times New Roman" w:hAnsi="Times New Roman" w:eastAsia="宋体" w:cs="Times New Roman"/>
                <w:color w:val="auto"/>
                <w:sz w:val="24"/>
                <w:szCs w:val="24"/>
              </w:rPr>
              <w:t>补给水量</w:t>
            </w:r>
            <w:r>
              <w:rPr>
                <w:rFonts w:hint="default" w:ascii="Times New Roman" w:hAnsi="Times New Roman" w:eastAsia="宋体" w:cs="Times New Roman"/>
                <w:color w:val="auto"/>
                <w:sz w:val="24"/>
                <w:szCs w:val="24"/>
                <w:lang w:eastAsia="zh-CN"/>
              </w:rPr>
              <w:t>计算</w:t>
            </w:r>
            <w:r>
              <w:rPr>
                <w:rFonts w:hint="default" w:ascii="Times New Roman" w:hAnsi="Times New Roman" w:eastAsia="宋体" w:cs="Times New Roman"/>
                <w:color w:val="auto"/>
                <w:sz w:val="24"/>
                <w:szCs w:val="24"/>
              </w:rPr>
              <w:t>公式</w:t>
            </w:r>
            <w:r>
              <w:rPr>
                <w:rFonts w:hint="default" w:ascii="Times New Roman" w:hAnsi="Times New Roman" w:eastAsia="宋体" w:cs="Times New Roman"/>
                <w:color w:val="auto"/>
                <w:sz w:val="24"/>
                <w:szCs w:val="24"/>
                <w:lang w:eastAsia="zh-CN"/>
              </w:rPr>
              <w:t>如下</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E=（T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）*L/600</w:t>
            </w:r>
            <w:r>
              <w:rPr>
                <w:rFonts w:hint="default" w:ascii="Times New Roman" w:hAnsi="Times New Roman" w:eastAsia="宋体" w:cs="Times New Roman"/>
                <w:color w:val="auto"/>
                <w:sz w:val="24"/>
                <w:szCs w:val="24"/>
                <w:lang w:val="en-US" w:eastAsia="zh-CN"/>
              </w:rPr>
              <w:t xml:space="preserve">   （1）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其中：600代表水的蒸发潜热(Kcal/h)；</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T1代表</w:t>
            </w:r>
            <w:r>
              <w:rPr>
                <w:rFonts w:hint="eastAsia" w:cs="Times New Roman"/>
                <w:color w:val="auto"/>
                <w:sz w:val="24"/>
                <w:szCs w:val="24"/>
                <w:lang w:eastAsia="zh-CN"/>
              </w:rPr>
              <w:t>冷却塔出</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30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T2代表</w:t>
            </w:r>
            <w:r>
              <w:rPr>
                <w:rFonts w:hint="eastAsia" w:cs="Times New Roman"/>
                <w:color w:val="auto"/>
                <w:sz w:val="24"/>
                <w:szCs w:val="24"/>
                <w:lang w:eastAsia="zh-CN"/>
              </w:rPr>
              <w:t>冷却塔入</w:t>
            </w:r>
            <w:r>
              <w:rPr>
                <w:rFonts w:hint="default" w:ascii="Times New Roman" w:hAnsi="Times New Roman" w:eastAsia="宋体" w:cs="Times New Roman"/>
                <w:color w:val="auto"/>
                <w:sz w:val="24"/>
                <w:szCs w:val="24"/>
              </w:rPr>
              <w:t>水温度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），本项目取</w:t>
            </w:r>
            <w:r>
              <w:rPr>
                <w:rFonts w:hint="eastAsia" w:cs="Times New Roman"/>
                <w:color w:val="auto"/>
                <w:sz w:val="24"/>
                <w:szCs w:val="24"/>
                <w:lang w:val="en-US" w:eastAsia="zh-CN"/>
              </w:rPr>
              <w:t>70</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L代表循环水量(kg/h）</w:t>
            </w:r>
            <w:r>
              <w:rPr>
                <w:rFonts w:hint="default" w:ascii="Times New Roman" w:hAnsi="Times New Roman" w:eastAsia="宋体" w:cs="Times New Roman"/>
                <w:color w:val="auto"/>
                <w:sz w:val="24"/>
                <w:szCs w:val="24"/>
                <w:lang w:eastAsia="zh-CN"/>
              </w:rPr>
              <w:t>，由上计算可知循环水量为</w:t>
            </w:r>
            <w:r>
              <w:rPr>
                <w:rFonts w:hint="eastAsia" w:cs="Times New Roman"/>
                <w:color w:val="auto"/>
                <w:sz w:val="24"/>
                <w:szCs w:val="24"/>
                <w:lang w:val="en-US" w:eastAsia="zh-CN"/>
              </w:rPr>
              <w:t>125</w:t>
            </w:r>
            <w:r>
              <w:rPr>
                <w:rFonts w:hint="default" w:ascii="Times New Roman" w:hAnsi="Times New Roman" w:eastAsia="宋体" w:cs="Times New Roman"/>
                <w:color w:val="auto"/>
                <w:sz w:val="24"/>
                <w:szCs w:val="24"/>
                <w:lang w:val="en-US" w:eastAsia="zh-CN"/>
              </w:rPr>
              <w:t>000</w:t>
            </w:r>
            <w:r>
              <w:rPr>
                <w:rFonts w:hint="default" w:ascii="Times New Roman" w:hAnsi="Times New Roman" w:eastAsia="宋体" w:cs="Times New Roman"/>
                <w:color w:val="auto"/>
                <w:sz w:val="24"/>
                <w:szCs w:val="24"/>
              </w:rPr>
              <w:t>kg/h。</w:t>
            </w:r>
          </w:p>
          <w:p>
            <w:pPr>
              <w:adjustRightInd w:val="0"/>
              <w:snapToGrid w:val="0"/>
              <w:spacing w:line="360" w:lineRule="auto"/>
              <w:ind w:firstLine="480" w:firstLineChars="200"/>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szCs w:val="24"/>
              </w:rPr>
              <w:t>根据计算，</w:t>
            </w:r>
            <w:r>
              <w:rPr>
                <w:rFonts w:hint="default" w:ascii="Times New Roman" w:hAnsi="Times New Roman" w:eastAsia="宋体" w:cs="Times New Roman"/>
                <w:color w:val="auto"/>
                <w:sz w:val="24"/>
                <w:szCs w:val="24"/>
                <w:lang w:eastAsia="zh-CN"/>
              </w:rPr>
              <w:t>本项目泡沫箱生产车间</w:t>
            </w:r>
            <w:r>
              <w:rPr>
                <w:rFonts w:hint="default" w:ascii="Times New Roman" w:hAnsi="Times New Roman" w:eastAsia="宋体" w:cs="Times New Roman"/>
                <w:color w:val="auto"/>
                <w:sz w:val="24"/>
                <w:szCs w:val="24"/>
              </w:rPr>
              <w:t>蒸发损耗补水量为</w:t>
            </w:r>
            <w:r>
              <w:rPr>
                <w:rFonts w:hint="eastAsia" w:cs="Times New Roman"/>
                <w:color w:val="auto"/>
                <w:kern w:val="2"/>
                <w:sz w:val="24"/>
                <w:szCs w:val="24"/>
                <w:highlight w:val="none"/>
                <w:lang w:val="en-US" w:eastAsia="zh-CN" w:bidi="ar"/>
              </w:rPr>
              <w:t>8.3333</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/h，</w:t>
            </w:r>
            <w:r>
              <w:rPr>
                <w:rFonts w:hint="eastAsia" w:cs="Times New Roman"/>
                <w:color w:val="auto"/>
                <w:kern w:val="2"/>
                <w:sz w:val="24"/>
                <w:szCs w:val="24"/>
                <w:highlight w:val="none"/>
                <w:lang w:val="en-US" w:eastAsia="zh-CN" w:bidi="ar"/>
              </w:rPr>
              <w:t>99.9996</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/d，</w:t>
            </w:r>
            <w:r>
              <w:rPr>
                <w:rFonts w:hint="eastAsia" w:cs="Times New Roman"/>
                <w:color w:val="auto"/>
                <w:kern w:val="2"/>
                <w:sz w:val="24"/>
                <w:szCs w:val="24"/>
                <w:highlight w:val="none"/>
                <w:lang w:val="en-US" w:eastAsia="zh-CN" w:bidi="ar"/>
              </w:rPr>
              <w:t>30000</w:t>
            </w:r>
            <w:r>
              <w:rPr>
                <w:rFonts w:hint="default" w:ascii="Times New Roman" w:hAnsi="Times New Roman" w:eastAsia="宋体" w:cs="Times New Roman"/>
                <w:color w:val="auto"/>
                <w:kern w:val="2"/>
                <w:sz w:val="24"/>
                <w:szCs w:val="24"/>
                <w:highlight w:val="none"/>
                <w:lang w:eastAsia="zh-CN" w:bidi="ar"/>
              </w:rPr>
              <w:t>m</w:t>
            </w:r>
            <w:r>
              <w:rPr>
                <w:rFonts w:hint="default" w:ascii="Times New Roman" w:hAnsi="Times New Roman" w:eastAsia="宋体" w:cs="Times New Roman"/>
                <w:color w:val="auto"/>
                <w:kern w:val="2"/>
                <w:sz w:val="24"/>
                <w:szCs w:val="24"/>
                <w:highlight w:val="none"/>
                <w:vertAlign w:val="superscript"/>
                <w:lang w:eastAsia="zh-CN" w:bidi="ar"/>
              </w:rPr>
              <w:t>3</w:t>
            </w:r>
            <w:r>
              <w:rPr>
                <w:rFonts w:hint="default" w:ascii="Times New Roman" w:hAnsi="Times New Roman" w:eastAsia="宋体" w:cs="Times New Roman"/>
                <w:color w:val="auto"/>
                <w:kern w:val="2"/>
                <w:sz w:val="24"/>
                <w:szCs w:val="24"/>
                <w:highlight w:val="none"/>
                <w:lang w:eastAsia="zh-CN" w:bidi="ar"/>
              </w:rPr>
              <w:t>/a</w:t>
            </w:r>
            <w:r>
              <w:rPr>
                <w:rFonts w:hint="default" w:ascii="Times New Roman" w:hAnsi="Times New Roman" w:eastAsia="宋体" w:cs="Times New Roman"/>
                <w:color w:val="auto"/>
                <w:sz w:val="24"/>
                <w:szCs w:val="24"/>
                <w:highlight w:val="none"/>
              </w:rPr>
              <w:t>。蒸发损耗补水</w:t>
            </w:r>
            <w:r>
              <w:rPr>
                <w:rFonts w:hint="default" w:ascii="Times New Roman" w:hAnsi="Times New Roman" w:eastAsia="宋体" w:cs="Times New Roman"/>
                <w:color w:val="auto"/>
                <w:sz w:val="24"/>
                <w:szCs w:val="24"/>
              </w:rPr>
              <w:t>来源于</w:t>
            </w:r>
            <w:r>
              <w:rPr>
                <w:rFonts w:hint="default" w:ascii="Times New Roman" w:hAnsi="Times New Roman" w:eastAsia="宋体" w:cs="Times New Roman"/>
                <w:color w:val="auto"/>
                <w:sz w:val="24"/>
                <w:szCs w:val="24"/>
                <w:lang w:val="en-US" w:eastAsia="zh-CN"/>
              </w:rPr>
              <w:t>经絮凝沉淀处理后的锅炉排污水、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lang w:eastAsia="zh-CN"/>
              </w:rPr>
              <w:t>新鲜水</w:t>
            </w:r>
            <w:r>
              <w:rPr>
                <w:rFonts w:hint="default" w:ascii="Times New Roman" w:hAnsi="Times New Roman" w:eastAsia="宋体" w:cs="Times New Roman"/>
                <w:color w:val="auto"/>
                <w:sz w:val="24"/>
                <w:szCs w:val="24"/>
              </w:rPr>
              <w:t>。</w:t>
            </w:r>
          </w:p>
          <w:p>
            <w:pPr>
              <w:pStyle w:val="79"/>
              <w:adjustRightInd w:val="0"/>
              <w:snapToGrid w:val="0"/>
              <w:ind w:firstLine="600" w:firstLineChars="250"/>
              <w:rPr>
                <w:rFonts w:hint="default" w:ascii="Times New Roman" w:hAnsi="Times New Roman" w:eastAsia="宋体" w:cs="Times New Roman"/>
                <w:b/>
                <w:bCs/>
                <w:color w:val="auto"/>
                <w:sz w:val="24"/>
                <w:highlight w:val="none"/>
                <w:lang w:bidi="ar"/>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bCs/>
                <w:color w:val="auto"/>
                <w:kern w:val="2"/>
                <w:sz w:val="24"/>
                <w:szCs w:val="24"/>
                <w:lang w:val="en-US" w:eastAsia="zh-CN" w:bidi="ar-SA"/>
              </w:rPr>
              <w:t>业主提供资料，建设单位拟在项目生产车间内设置1套循环水处理系统，</w:t>
            </w:r>
            <w:r>
              <w:rPr>
                <w:rFonts w:hint="eastAsia" w:ascii="Times New Roman" w:hAnsi="Times New Roman" w:eastAsia="宋体" w:cs="Times New Roman"/>
                <w:bCs/>
                <w:color w:val="auto"/>
                <w:kern w:val="2"/>
                <w:sz w:val="24"/>
                <w:szCs w:val="24"/>
                <w:lang w:val="en-US" w:eastAsia="zh-CN" w:bidi="ar-SA"/>
              </w:rPr>
              <w:t>纯水制备废水</w:t>
            </w:r>
            <w:r>
              <w:rPr>
                <w:rFonts w:hint="default" w:ascii="Times New Roman" w:hAnsi="Times New Roman" w:eastAsia="宋体" w:cs="Times New Roman"/>
                <w:bCs/>
                <w:color w:val="auto"/>
                <w:kern w:val="2"/>
                <w:sz w:val="24"/>
                <w:szCs w:val="24"/>
                <w:lang w:val="en-US" w:eastAsia="zh-CN" w:bidi="ar-SA"/>
              </w:rPr>
              <w:t>及锅炉排污水经絮凝沉淀处理后作为生产冷却循环水补充使用；冷却废水经循环水冷却</w:t>
            </w:r>
            <w:r>
              <w:rPr>
                <w:rFonts w:hint="default" w:ascii="Times New Roman" w:hAnsi="Times New Roman" w:eastAsia="宋体" w:cs="Times New Roman"/>
                <w:color w:val="auto"/>
                <w:sz w:val="24"/>
              </w:rPr>
              <w:t>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highlight w:val="none"/>
              </w:rPr>
              <w:t>冷凝水</w:t>
            </w:r>
            <w:r>
              <w:rPr>
                <w:rFonts w:hint="default" w:ascii="Times New Roman" w:hAnsi="Times New Roman" w:eastAsia="宋体" w:cs="Times New Roman"/>
                <w:color w:val="auto"/>
                <w:sz w:val="24"/>
                <w:highlight w:val="none"/>
                <w:lang w:val="en-US" w:eastAsia="zh-CN"/>
              </w:rPr>
              <w:t>用于锅炉</w:t>
            </w:r>
            <w:r>
              <w:rPr>
                <w:rFonts w:hint="default" w:ascii="Times New Roman" w:hAnsi="Times New Roman" w:eastAsia="宋体" w:cs="Times New Roman"/>
                <w:color w:val="auto"/>
                <w:sz w:val="24"/>
                <w:highlight w:val="none"/>
              </w:rPr>
              <w:t>损耗补充水，生产废水不外排。</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绿化、道路场地洒水</w:t>
            </w:r>
          </w:p>
          <w:p>
            <w:pPr>
              <w:pStyle w:val="43"/>
              <w:ind w:firstLine="47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项目区内</w:t>
            </w:r>
            <w:r>
              <w:rPr>
                <w:rFonts w:hint="default" w:ascii="Times New Roman" w:hAnsi="Times New Roman" w:eastAsia="宋体" w:cs="Times New Roman"/>
                <w:b w:val="0"/>
                <w:bCs w:val="0"/>
                <w:color w:val="auto"/>
                <w:sz w:val="24"/>
                <w:szCs w:val="24"/>
                <w:highlight w:val="none"/>
                <w:lang w:val="en-US" w:eastAsia="zh-CN"/>
              </w:rPr>
              <w:t>绿化面积为</w:t>
            </w:r>
            <w:r>
              <w:rPr>
                <w:rFonts w:hint="eastAsia" w:eastAsia="宋体" w:cs="Times New Roman"/>
                <w:b w:val="0"/>
                <w:bCs w:val="0"/>
                <w:color w:val="auto"/>
                <w:sz w:val="24"/>
                <w:szCs w:val="24"/>
                <w:highlight w:val="none"/>
                <w:lang w:val="en-US" w:eastAsia="zh-CN"/>
              </w:rPr>
              <w:t>3836.04</w:t>
            </w:r>
            <w:r>
              <w:rPr>
                <w:rFonts w:hint="default" w:ascii="Times New Roman" w:hAnsi="Times New Roman" w:eastAsia="宋体" w:cs="Times New Roman"/>
                <w:b w:val="0"/>
                <w:bCs w:val="0"/>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vertAlign w:val="superscript"/>
                <w:lang w:val="en-US" w:eastAsia="zh-CN"/>
              </w:rPr>
              <w:t>2</w:t>
            </w:r>
            <w:r>
              <w:rPr>
                <w:rFonts w:hint="default" w:ascii="Times New Roman" w:hAnsi="Times New Roman" w:eastAsia="宋体" w:cs="Times New Roman"/>
                <w:b w:val="0"/>
                <w:bCs w:val="0"/>
                <w:color w:val="auto"/>
                <w:sz w:val="24"/>
                <w:szCs w:val="24"/>
                <w:highlight w:val="none"/>
                <w:lang w:val="en-US" w:eastAsia="zh-CN"/>
              </w:rPr>
              <w:t>，道路及空地面积</w:t>
            </w:r>
            <w:r>
              <w:rPr>
                <w:rFonts w:hint="default" w:ascii="Times New Roman" w:hAnsi="Times New Roman" w:eastAsia="宋体" w:cs="Times New Roman"/>
                <w:b w:val="0"/>
                <w:bCs w:val="0"/>
                <w:color w:val="auto"/>
                <w:sz w:val="24"/>
                <w:szCs w:val="24"/>
                <w:highlight w:val="none"/>
                <w:lang w:eastAsia="zh-CN"/>
              </w:rPr>
              <w:t>约为</w:t>
            </w:r>
            <w:r>
              <w:rPr>
                <w:rFonts w:hint="eastAsia" w:eastAsia="宋体" w:cs="Times New Roman"/>
                <w:color w:val="auto"/>
                <w:sz w:val="24"/>
                <w:szCs w:val="24"/>
                <w:highlight w:val="none"/>
                <w:lang w:val="en-US" w:eastAsia="zh-CN"/>
              </w:rPr>
              <w:t>9897.16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b w:val="0"/>
                <w:bCs w:val="0"/>
                <w:color w:val="auto"/>
                <w:sz w:val="24"/>
                <w:szCs w:val="24"/>
                <w:highlight w:val="none"/>
                <w:lang w:eastAsia="zh-CN"/>
              </w:rPr>
              <w:t>，根据</w:t>
            </w:r>
            <w:r>
              <w:rPr>
                <w:rFonts w:hint="default" w:ascii="Times New Roman" w:hAnsi="Times New Roman" w:eastAsia="宋体" w:cs="Times New Roman"/>
                <w:color w:val="auto"/>
                <w:sz w:val="24"/>
                <w:szCs w:val="24"/>
                <w:highlight w:val="none"/>
                <w:lang w:bidi="ar"/>
              </w:rPr>
              <w:t>《云南省地方标准 用水定额》（DB53/168-201</w:t>
            </w:r>
            <w:r>
              <w:rPr>
                <w:rFonts w:hint="default" w:ascii="Times New Roman" w:hAnsi="Times New Roman" w:eastAsia="宋体" w:cs="Times New Roman"/>
                <w:color w:val="auto"/>
                <w:sz w:val="24"/>
                <w:szCs w:val="24"/>
                <w:highlight w:val="none"/>
                <w:lang w:val="en-US" w:eastAsia="zh-CN" w:bidi="ar"/>
              </w:rPr>
              <w:t>9</w:t>
            </w:r>
            <w:r>
              <w:rPr>
                <w:rFonts w:hint="default" w:ascii="Times New Roman" w:hAnsi="Times New Roman" w:eastAsia="宋体" w:cs="Times New Roman"/>
                <w:color w:val="auto"/>
                <w:sz w:val="24"/>
                <w:szCs w:val="24"/>
                <w:highlight w:val="none"/>
                <w:lang w:bidi="ar"/>
              </w:rPr>
              <w:t>）</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b w:val="0"/>
                <w:bCs w:val="0"/>
                <w:color w:val="auto"/>
                <w:sz w:val="24"/>
                <w:szCs w:val="24"/>
                <w:highlight w:val="none"/>
                <w:lang w:val="en-US" w:eastAsia="zh-CN"/>
              </w:rPr>
              <w:t>场地</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按2</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计</w:t>
            </w:r>
            <w:r>
              <w:rPr>
                <w:rFonts w:hint="default" w:ascii="Times New Roman" w:hAnsi="Times New Roman" w:eastAsia="宋体" w:cs="Times New Roman"/>
                <w:b w:val="0"/>
                <w:bCs w:val="0"/>
                <w:color w:val="auto"/>
                <w:sz w:val="24"/>
                <w:szCs w:val="24"/>
                <w:highlight w:val="none"/>
                <w:lang w:eastAsia="zh-CN"/>
              </w:rPr>
              <w:t>，</w:t>
            </w:r>
            <w:r>
              <w:rPr>
                <w:rFonts w:hint="eastAsia" w:ascii="Times New Roman" w:hAnsi="Times New Roman" w:eastAsia="宋体" w:cs="Times New Roman"/>
                <w:b w:val="0"/>
                <w:bCs w:val="0"/>
                <w:color w:val="auto"/>
                <w:sz w:val="24"/>
                <w:szCs w:val="24"/>
                <w:highlight w:val="none"/>
                <w:lang w:val="en-US" w:eastAsia="zh-CN"/>
              </w:rPr>
              <w:t>绿化</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按</w:t>
            </w:r>
            <w:r>
              <w:rPr>
                <w:rFonts w:hint="eastAsia"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L/(m</w:t>
            </w:r>
            <w:r>
              <w:rPr>
                <w:rFonts w:hint="default" w:ascii="Times New Roman" w:hAnsi="Times New Roman" w:eastAsia="宋体" w:cs="Times New Roman"/>
                <w:b w:val="0"/>
                <w:bCs w:val="0"/>
                <w:color w:val="auto"/>
                <w:sz w:val="24"/>
                <w:szCs w:val="24"/>
                <w:highlight w:val="none"/>
                <w:vertAlign w:val="superscript"/>
                <w:lang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非雨天每天</w:t>
            </w:r>
            <w:r>
              <w:rPr>
                <w:rFonts w:hint="default" w:ascii="Times New Roman" w:hAnsi="Times New Roman" w:eastAsia="宋体" w:cs="Times New Roman"/>
                <w:color w:val="auto"/>
                <w:sz w:val="24"/>
                <w:szCs w:val="24"/>
                <w:highlight w:val="none"/>
                <w:lang w:val="en-US" w:eastAsia="zh-CN"/>
              </w:rPr>
              <w:t>浇洒</w:t>
            </w:r>
            <w:r>
              <w:rPr>
                <w:rFonts w:hint="default" w:ascii="Times New Roman" w:hAnsi="Times New Roman" w:eastAsia="宋体" w:cs="Times New Roman"/>
                <w:b w:val="0"/>
                <w:bCs w:val="0"/>
                <w:color w:val="auto"/>
                <w:sz w:val="24"/>
                <w:szCs w:val="24"/>
                <w:highlight w:val="none"/>
                <w:lang w:val="en-US" w:eastAsia="zh-CN"/>
              </w:rPr>
              <w:t>一次，</w:t>
            </w:r>
            <w:r>
              <w:rPr>
                <w:rFonts w:hint="default" w:ascii="Times New Roman" w:hAnsi="Times New Roman" w:eastAsia="宋体" w:cs="Times New Roman"/>
                <w:b w:val="0"/>
                <w:bCs w:val="0"/>
                <w:color w:val="auto"/>
                <w:sz w:val="24"/>
                <w:szCs w:val="24"/>
                <w:highlight w:val="none"/>
                <w:lang w:eastAsia="zh-CN"/>
              </w:rPr>
              <w:t>则</w:t>
            </w:r>
            <w:r>
              <w:rPr>
                <w:rFonts w:hint="default" w:ascii="Times New Roman" w:hAnsi="Times New Roman" w:eastAsia="宋体" w:cs="Times New Roman"/>
                <w:b w:val="0"/>
                <w:bCs w:val="0"/>
                <w:color w:val="auto"/>
                <w:sz w:val="24"/>
                <w:szCs w:val="24"/>
                <w:highlight w:val="none"/>
                <w:lang w:val="en-US" w:eastAsia="zh-CN"/>
              </w:rPr>
              <w:t>项目绿化及</w:t>
            </w:r>
            <w:r>
              <w:rPr>
                <w:rFonts w:hint="default" w:ascii="Times New Roman" w:hAnsi="Times New Roman" w:eastAsia="宋体" w:cs="Times New Roman"/>
                <w:color w:val="auto"/>
                <w:sz w:val="24"/>
                <w:szCs w:val="24"/>
                <w:highlight w:val="none"/>
                <w:lang w:val="en-US" w:eastAsia="zh-CN"/>
              </w:rPr>
              <w:t>道路场地</w:t>
            </w:r>
            <w:r>
              <w:rPr>
                <w:rFonts w:hint="default" w:ascii="Times New Roman" w:hAnsi="Times New Roman" w:eastAsia="宋体" w:cs="Times New Roman"/>
                <w:b w:val="0"/>
                <w:bCs w:val="0"/>
                <w:color w:val="auto"/>
                <w:sz w:val="24"/>
                <w:szCs w:val="24"/>
                <w:highlight w:val="none"/>
                <w:lang w:val="en-US" w:eastAsia="zh-CN"/>
              </w:rPr>
              <w:t>洒水</w:t>
            </w:r>
            <w:r>
              <w:rPr>
                <w:rFonts w:hint="default" w:ascii="Times New Roman" w:hAnsi="Times New Roman" w:eastAsia="宋体" w:cs="Times New Roman"/>
                <w:b w:val="0"/>
                <w:bCs w:val="0"/>
                <w:color w:val="auto"/>
                <w:sz w:val="24"/>
                <w:szCs w:val="24"/>
                <w:highlight w:val="none"/>
                <w:lang w:eastAsia="zh-CN"/>
              </w:rPr>
              <w:t>用水</w:t>
            </w:r>
            <w:r>
              <w:rPr>
                <w:rFonts w:hint="default" w:ascii="Times New Roman" w:hAnsi="Times New Roman" w:eastAsia="宋体" w:cs="Times New Roman"/>
                <w:b w:val="0"/>
                <w:bCs w:val="0"/>
                <w:color w:val="auto"/>
                <w:sz w:val="24"/>
                <w:szCs w:val="24"/>
                <w:highlight w:val="none"/>
                <w:lang w:val="en-US" w:eastAsia="zh-CN"/>
              </w:rPr>
              <w:t>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非雨天按209d计</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w:t>
            </w:r>
            <w:r>
              <w:rPr>
                <w:rFonts w:hint="default" w:ascii="Times New Roman" w:hAnsi="Times New Roman" w:eastAsia="宋体" w:cs="Times New Roman"/>
                <w:b w:val="0"/>
                <w:bCs w:val="0"/>
                <w:color w:val="auto"/>
                <w:sz w:val="24"/>
                <w:szCs w:val="24"/>
                <w:highlight w:val="none"/>
                <w:lang w:val="en-US" w:eastAsia="zh-CN"/>
              </w:rPr>
              <w:t>使用</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bidi="ar"/>
              </w:rPr>
              <w:t>生活</w:t>
            </w:r>
            <w:r>
              <w:rPr>
                <w:rFonts w:hint="default" w:ascii="Times New Roman" w:hAnsi="Times New Roman" w:eastAsia="宋体" w:cs="Times New Roman"/>
                <w:b w:val="0"/>
                <w:bCs w:val="0"/>
                <w:color w:val="auto"/>
                <w:sz w:val="24"/>
                <w:szCs w:val="24"/>
                <w:highlight w:val="none"/>
                <w:lang w:val="en-US" w:eastAsia="zh-CN"/>
              </w:rPr>
              <w:t>污水处理站处理达标的中水，不足部分补充新鲜水，</w:t>
            </w:r>
            <w:r>
              <w:rPr>
                <w:rFonts w:hint="default" w:ascii="Times New Roman" w:hAnsi="Times New Roman" w:eastAsia="宋体" w:cs="Times New Roman"/>
                <w:color w:val="auto"/>
                <w:sz w:val="24"/>
                <w:szCs w:val="24"/>
                <w:highlight w:val="none"/>
                <w:lang w:val="en-US" w:eastAsia="zh-CN"/>
              </w:rPr>
              <w:t>洒</w:t>
            </w:r>
            <w:r>
              <w:rPr>
                <w:rFonts w:hint="default" w:ascii="Times New Roman" w:hAnsi="Times New Roman" w:eastAsia="宋体" w:cs="Times New Roman"/>
                <w:b w:val="0"/>
                <w:bCs w:val="0"/>
                <w:color w:val="auto"/>
                <w:sz w:val="24"/>
                <w:szCs w:val="24"/>
                <w:highlight w:val="none"/>
                <w:lang w:val="en-US" w:eastAsia="zh-CN"/>
              </w:rPr>
              <w:t>水后水分自然蒸发，不产生废水。</w:t>
            </w:r>
          </w:p>
          <w:p>
            <w:pPr>
              <w:pStyle w:val="4"/>
              <w:keepNext w:val="0"/>
              <w:keepLines w:val="0"/>
              <w:pageBreakBefore w:val="0"/>
              <w:widowControl/>
              <w:kinsoku/>
              <w:wordWrap/>
              <w:overflowPunct/>
              <w:topLinePunct w:val="0"/>
              <w:autoSpaceDE/>
              <w:autoSpaceDN/>
              <w:bidi w:val="0"/>
              <w:adjustRightInd/>
              <w:snapToGrid w:val="0"/>
              <w:spacing w:before="0" w:after="0" w:line="360" w:lineRule="auto"/>
              <w:ind w:left="0" w:right="0" w:firstLine="482" w:firstLineChars="200"/>
              <w:jc w:val="both"/>
              <w:textAlignment w:val="auto"/>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pPr>
            <w:r>
              <w:rPr>
                <w:rFonts w:hint="eastAsia" w:cs="Times New Roman"/>
                <w:b/>
                <w:bCs/>
                <w:caps w:val="0"/>
                <w:snapToGrid w:val="0"/>
                <w:color w:val="auto"/>
                <w:spacing w:val="0"/>
                <w:w w:val="100"/>
                <w:kern w:val="2"/>
                <w:position w:val="0"/>
                <w:sz w:val="24"/>
                <w:szCs w:val="24"/>
                <w:highlight w:val="none"/>
                <w:lang w:val="en-US" w:eastAsia="zh-CN" w:bidi="ar-SA"/>
              </w:rPr>
              <w:t>4</w:t>
            </w:r>
            <w:r>
              <w:rPr>
                <w:rFonts w:hint="default" w:ascii="Times New Roman" w:hAnsi="Times New Roman" w:eastAsia="宋体" w:cs="Times New Roman"/>
                <w:b/>
                <w:bCs/>
                <w:caps w:val="0"/>
                <w:snapToGrid w:val="0"/>
                <w:color w:val="auto"/>
                <w:spacing w:val="0"/>
                <w:w w:val="100"/>
                <w:kern w:val="2"/>
                <w:position w:val="0"/>
                <w:sz w:val="24"/>
                <w:szCs w:val="24"/>
                <w:highlight w:val="none"/>
                <w:lang w:val="en-US" w:eastAsia="zh-CN" w:bidi="ar-SA"/>
              </w:rPr>
              <w:t>）生活用水</w:t>
            </w:r>
          </w:p>
          <w:p>
            <w:pPr>
              <w:adjustRightInd w:val="0"/>
              <w:snapToGrid w:val="0"/>
              <w:spacing w:line="360" w:lineRule="auto"/>
              <w:ind w:firstLine="480" w:firstLineChars="200"/>
              <w:rPr>
                <w:color w:val="auto"/>
                <w:sz w:val="24"/>
              </w:rPr>
            </w:pPr>
            <w:r>
              <w:rPr>
                <w:rFonts w:hint="eastAsia"/>
                <w:color w:val="auto"/>
                <w:sz w:val="24"/>
              </w:rPr>
              <w:t>①食堂用水</w:t>
            </w:r>
          </w:p>
          <w:p>
            <w:pPr>
              <w:spacing w:line="360" w:lineRule="auto"/>
              <w:ind w:firstLine="480" w:firstLineChars="200"/>
              <w:rPr>
                <w:color w:val="auto"/>
                <w:sz w:val="24"/>
              </w:rPr>
            </w:pPr>
            <w:r>
              <w:rPr>
                <w:rFonts w:hint="eastAsia" w:cs="宋体"/>
                <w:color w:val="auto"/>
                <w:sz w:val="24"/>
                <w:szCs w:val="22"/>
              </w:rPr>
              <w:t>根据《云南省地方标准用水定额》（DB53/T168-2019）“国家机构 办公楼 有食堂”用水量按50L/（人·d）计，“无食堂”用水量按30L/（人·d）计</w:t>
            </w:r>
            <w:r>
              <w:rPr>
                <w:rFonts w:hint="eastAsia" w:cs="宋体"/>
                <w:color w:val="auto"/>
                <w:sz w:val="24"/>
                <w:szCs w:val="22"/>
                <w:lang w:eastAsia="zh-CN"/>
              </w:rPr>
              <w:t>，</w:t>
            </w:r>
            <w:r>
              <w:rPr>
                <w:rFonts w:hint="eastAsia" w:cs="宋体"/>
                <w:color w:val="auto"/>
                <w:sz w:val="24"/>
                <w:szCs w:val="22"/>
              </w:rPr>
              <w:t>则</w:t>
            </w:r>
            <w:r>
              <w:rPr>
                <w:color w:val="auto"/>
                <w:sz w:val="24"/>
              </w:rPr>
              <w:t>项目区工作人员厨房用水定额按照</w:t>
            </w:r>
            <w:r>
              <w:rPr>
                <w:rFonts w:hint="eastAsia"/>
                <w:color w:val="auto"/>
                <w:sz w:val="24"/>
              </w:rPr>
              <w:t>2</w:t>
            </w:r>
            <w:r>
              <w:rPr>
                <w:color w:val="auto"/>
                <w:sz w:val="24"/>
              </w:rPr>
              <w:t>0L/人·d计。</w:t>
            </w:r>
            <w:r>
              <w:rPr>
                <w:rFonts w:hint="eastAsia"/>
                <w:color w:val="auto"/>
                <w:sz w:val="24"/>
                <w:lang w:eastAsia="zh-CN"/>
              </w:rPr>
              <w:t>在项目区就餐</w:t>
            </w:r>
            <w:r>
              <w:rPr>
                <w:rFonts w:hint="eastAsia"/>
                <w:color w:val="auto"/>
                <w:sz w:val="24"/>
                <w:lang w:val="zh-CN"/>
              </w:rPr>
              <w:t>人员</w:t>
            </w:r>
            <w:r>
              <w:rPr>
                <w:color w:val="auto"/>
                <w:sz w:val="24"/>
                <w:lang w:val="zh-CN"/>
              </w:rPr>
              <w:t>为</w:t>
            </w:r>
            <w:r>
              <w:rPr>
                <w:rFonts w:hint="eastAsia"/>
                <w:color w:val="auto"/>
                <w:sz w:val="24"/>
                <w:lang w:val="en-US" w:eastAsia="zh-CN"/>
              </w:rPr>
              <w:t>60</w:t>
            </w:r>
            <w:r>
              <w:rPr>
                <w:color w:val="auto"/>
                <w:sz w:val="24"/>
                <w:lang w:val="zh-CN"/>
              </w:rPr>
              <w:t>人，则食堂用水量约</w:t>
            </w:r>
            <w:r>
              <w:rPr>
                <w:rFonts w:hint="eastAsia"/>
                <w:color w:val="auto"/>
                <w:sz w:val="24"/>
                <w:lang w:val="en-US" w:eastAsia="zh-CN"/>
              </w:rPr>
              <w:t>1.2</w:t>
            </w:r>
            <w:r>
              <w:rPr>
                <w:color w:val="auto"/>
                <w:sz w:val="24"/>
              </w:rPr>
              <w:t>m</w:t>
            </w:r>
            <w:r>
              <w:rPr>
                <w:color w:val="auto"/>
                <w:sz w:val="24"/>
                <w:vertAlign w:val="superscript"/>
              </w:rPr>
              <w:t>3</w:t>
            </w:r>
            <w:r>
              <w:rPr>
                <w:color w:val="auto"/>
                <w:sz w:val="24"/>
              </w:rPr>
              <w:t>/d，</w:t>
            </w:r>
            <w:r>
              <w:rPr>
                <w:rFonts w:hint="eastAsia"/>
                <w:color w:val="auto"/>
                <w:sz w:val="24"/>
                <w:lang w:val="en-US" w:eastAsia="zh-CN"/>
              </w:rPr>
              <w:t>360</w:t>
            </w:r>
            <w:r>
              <w:rPr>
                <w:color w:val="auto"/>
                <w:sz w:val="24"/>
              </w:rPr>
              <w:t>m</w:t>
            </w:r>
            <w:r>
              <w:rPr>
                <w:color w:val="auto"/>
                <w:sz w:val="24"/>
                <w:vertAlign w:val="superscript"/>
              </w:rPr>
              <w:t>3</w:t>
            </w:r>
            <w:r>
              <w:rPr>
                <w:color w:val="auto"/>
                <w:sz w:val="24"/>
              </w:rPr>
              <w:t>/a；废水产生量按用水量的80%计，则废水量为</w:t>
            </w:r>
            <w:r>
              <w:rPr>
                <w:rFonts w:hint="eastAsia"/>
                <w:color w:val="auto"/>
                <w:sz w:val="24"/>
                <w:lang w:val="en-US" w:eastAsia="zh-CN"/>
              </w:rPr>
              <w:t>0.96</w:t>
            </w:r>
            <w:r>
              <w:rPr>
                <w:color w:val="auto"/>
                <w:sz w:val="24"/>
              </w:rPr>
              <w:t>m</w:t>
            </w:r>
            <w:r>
              <w:rPr>
                <w:color w:val="auto"/>
                <w:sz w:val="24"/>
                <w:vertAlign w:val="superscript"/>
              </w:rPr>
              <w:t>3</w:t>
            </w:r>
            <w:r>
              <w:rPr>
                <w:color w:val="auto"/>
                <w:sz w:val="24"/>
              </w:rPr>
              <w:t>/d，</w:t>
            </w:r>
            <w:r>
              <w:rPr>
                <w:rFonts w:hint="eastAsia"/>
                <w:color w:val="auto"/>
                <w:sz w:val="24"/>
                <w:lang w:val="en-US" w:eastAsia="zh-CN"/>
              </w:rPr>
              <w:t>288</w:t>
            </w:r>
            <w:r>
              <w:rPr>
                <w:color w:val="auto"/>
                <w:sz w:val="24"/>
              </w:rPr>
              <w:t>m</w:t>
            </w:r>
            <w:r>
              <w:rPr>
                <w:color w:val="auto"/>
                <w:sz w:val="24"/>
                <w:vertAlign w:val="superscript"/>
              </w:rPr>
              <w:t>3</w:t>
            </w:r>
            <w:r>
              <w:rPr>
                <w:color w:val="auto"/>
                <w:sz w:val="24"/>
              </w:rPr>
              <w:t>/a。</w:t>
            </w:r>
          </w:p>
          <w:p>
            <w:pPr>
              <w:adjustRightInd w:val="0"/>
              <w:snapToGrid w:val="0"/>
              <w:spacing w:line="360" w:lineRule="auto"/>
              <w:ind w:firstLine="480" w:firstLineChars="200"/>
              <w:rPr>
                <w:rFonts w:hint="eastAsia" w:eastAsia="宋体"/>
                <w:color w:val="auto"/>
                <w:sz w:val="24"/>
                <w:lang w:val="en-US" w:eastAsia="zh-CN"/>
              </w:rPr>
            </w:pPr>
            <w:r>
              <w:rPr>
                <w:rFonts w:hint="eastAsia"/>
                <w:color w:val="auto"/>
                <w:sz w:val="24"/>
              </w:rPr>
              <w:t>②</w:t>
            </w:r>
            <w:r>
              <w:rPr>
                <w:rFonts w:hint="eastAsia"/>
                <w:color w:val="auto"/>
                <w:sz w:val="24"/>
                <w:lang w:eastAsia="zh-CN"/>
              </w:rPr>
              <w:t>其他</w:t>
            </w:r>
            <w:r>
              <w:rPr>
                <w:rFonts w:hint="eastAsia"/>
                <w:color w:val="auto"/>
                <w:sz w:val="24"/>
                <w:szCs w:val="24"/>
                <w:lang w:val="en-US" w:eastAsia="zh-CN"/>
              </w:rPr>
              <w:t>办公生活用水</w:t>
            </w:r>
          </w:p>
          <w:p>
            <w:pPr>
              <w:keepNext w:val="0"/>
              <w:keepLines w:val="0"/>
              <w:suppressLineNumbers w:val="0"/>
              <w:spacing w:before="0" w:beforeAutospacing="0" w:after="0" w:afterAutospacing="0" w:line="360" w:lineRule="auto"/>
              <w:ind w:left="0" w:right="0" w:firstLine="480" w:firstLineChars="200"/>
              <w:rPr>
                <w:rFonts w:hint="default"/>
                <w:color w:val="auto"/>
                <w:sz w:val="24"/>
              </w:rPr>
            </w:pPr>
            <w:r>
              <w:rPr>
                <w:rFonts w:hint="default"/>
                <w:color w:val="auto"/>
                <w:sz w:val="24"/>
                <w:szCs w:val="22"/>
              </w:rPr>
              <w:t>根据《云南省地方标准用水定额》</w:t>
            </w:r>
            <w:r>
              <w:rPr>
                <w:rFonts w:hint="eastAsia"/>
                <w:color w:val="auto"/>
                <w:sz w:val="24"/>
                <w:szCs w:val="22"/>
              </w:rPr>
              <w:t>（</w:t>
            </w:r>
            <w:r>
              <w:rPr>
                <w:rFonts w:hint="default"/>
                <w:color w:val="auto"/>
                <w:sz w:val="24"/>
                <w:szCs w:val="22"/>
              </w:rPr>
              <w:t>DB53/T168-201</w:t>
            </w:r>
            <w:r>
              <w:rPr>
                <w:rFonts w:hint="eastAsia"/>
                <w:color w:val="auto"/>
                <w:sz w:val="24"/>
                <w:szCs w:val="22"/>
              </w:rPr>
              <w:t>9）</w:t>
            </w:r>
            <w:r>
              <w:rPr>
                <w:rFonts w:hint="default"/>
                <w:color w:val="auto"/>
                <w:sz w:val="24"/>
                <w:szCs w:val="22"/>
              </w:rPr>
              <w:t>规定-城镇居民生活用水量按100L/（人·d）计</w:t>
            </w:r>
            <w:r>
              <w:rPr>
                <w:rFonts w:hint="eastAsia"/>
                <w:color w:val="auto"/>
                <w:sz w:val="24"/>
                <w:szCs w:val="22"/>
              </w:rPr>
              <w:t>，</w:t>
            </w:r>
            <w:r>
              <w:rPr>
                <w:rFonts w:hint="default"/>
                <w:bCs/>
                <w:color w:val="auto"/>
                <w:sz w:val="24"/>
                <w:lang w:val="zh-CN"/>
              </w:rPr>
              <w:t>在项目区内住宿人数为</w:t>
            </w:r>
            <w:r>
              <w:rPr>
                <w:rFonts w:hint="eastAsia"/>
                <w:bCs/>
                <w:color w:val="auto"/>
                <w:sz w:val="24"/>
                <w:lang w:val="en-US" w:eastAsia="zh-CN"/>
              </w:rPr>
              <w:t>6</w:t>
            </w:r>
            <w:r>
              <w:rPr>
                <w:rFonts w:hint="default"/>
                <w:bCs/>
                <w:color w:val="auto"/>
                <w:sz w:val="24"/>
              </w:rPr>
              <w:t>0</w:t>
            </w:r>
            <w:r>
              <w:rPr>
                <w:rFonts w:hint="default"/>
                <w:bCs/>
                <w:color w:val="auto"/>
                <w:sz w:val="24"/>
                <w:lang w:val="zh-CN"/>
              </w:rPr>
              <w:t>人</w:t>
            </w:r>
            <w:r>
              <w:rPr>
                <w:rFonts w:hint="eastAsia"/>
                <w:bCs/>
                <w:color w:val="auto"/>
                <w:sz w:val="24"/>
                <w:lang w:val="zh-CN"/>
              </w:rPr>
              <w:t>，则</w:t>
            </w:r>
            <w:r>
              <w:rPr>
                <w:rFonts w:hint="default"/>
                <w:bCs/>
                <w:color w:val="auto"/>
                <w:sz w:val="24"/>
              </w:rPr>
              <w:t>清洁、盥洗</w:t>
            </w:r>
            <w:r>
              <w:rPr>
                <w:rFonts w:hint="eastAsia"/>
                <w:bCs/>
                <w:color w:val="auto"/>
                <w:sz w:val="24"/>
                <w:lang w:val="zh-CN"/>
              </w:rPr>
              <w:t>用水量</w:t>
            </w:r>
            <w:r>
              <w:rPr>
                <w:rFonts w:hint="default"/>
                <w:color w:val="auto"/>
                <w:sz w:val="24"/>
                <w:lang w:val="zh-CN"/>
              </w:rPr>
              <w:t>约</w:t>
            </w:r>
            <w:r>
              <w:rPr>
                <w:rFonts w:hint="eastAsia"/>
                <w:color w:val="auto"/>
                <w:sz w:val="24"/>
                <w:lang w:val="en-US" w:eastAsia="zh-CN"/>
              </w:rPr>
              <w:t>6</w:t>
            </w:r>
            <w:r>
              <w:rPr>
                <w:rFonts w:hint="eastAsia"/>
                <w:color w:val="auto"/>
                <w:sz w:val="24"/>
              </w:rPr>
              <w:t>.0</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18</w:t>
            </w:r>
            <w:r>
              <w:rPr>
                <w:rFonts w:hint="eastAsia"/>
                <w:color w:val="auto"/>
                <w:sz w:val="24"/>
              </w:rPr>
              <w:t>0</w:t>
            </w:r>
            <w:r>
              <w:rPr>
                <w:rFonts w:hint="default"/>
                <w:color w:val="auto"/>
                <w:sz w:val="24"/>
              </w:rPr>
              <w:t>0m</w:t>
            </w:r>
            <w:r>
              <w:rPr>
                <w:rFonts w:hint="default"/>
                <w:color w:val="auto"/>
                <w:sz w:val="24"/>
                <w:vertAlign w:val="superscript"/>
              </w:rPr>
              <w:t>3</w:t>
            </w:r>
            <w:r>
              <w:rPr>
                <w:rFonts w:hint="default"/>
                <w:color w:val="auto"/>
                <w:sz w:val="24"/>
              </w:rPr>
              <w:t>/a；废水产生量按用水量的80%计，则废水量为</w:t>
            </w:r>
            <w:r>
              <w:rPr>
                <w:rFonts w:hint="eastAsia"/>
                <w:color w:val="auto"/>
                <w:sz w:val="24"/>
                <w:lang w:val="en-US" w:eastAsia="zh-CN"/>
              </w:rPr>
              <w:t>4.8</w:t>
            </w:r>
            <w:r>
              <w:rPr>
                <w:rFonts w:hint="default"/>
                <w:color w:val="auto"/>
                <w:sz w:val="24"/>
              </w:rPr>
              <w:t>m</w:t>
            </w:r>
            <w:r>
              <w:rPr>
                <w:rFonts w:hint="default"/>
                <w:color w:val="auto"/>
                <w:sz w:val="24"/>
                <w:vertAlign w:val="superscript"/>
              </w:rPr>
              <w:t>3</w:t>
            </w:r>
            <w:r>
              <w:rPr>
                <w:rFonts w:hint="default"/>
                <w:color w:val="auto"/>
                <w:sz w:val="24"/>
              </w:rPr>
              <w:t>/d，</w:t>
            </w:r>
            <w:r>
              <w:rPr>
                <w:rFonts w:hint="eastAsia"/>
                <w:color w:val="auto"/>
                <w:sz w:val="24"/>
                <w:lang w:val="en-US" w:eastAsia="zh-CN"/>
              </w:rPr>
              <w:t>1440</w:t>
            </w:r>
            <w:r>
              <w:rPr>
                <w:rFonts w:hint="default"/>
                <w:color w:val="auto"/>
                <w:sz w:val="24"/>
              </w:rPr>
              <w:t>m</w:t>
            </w:r>
            <w:r>
              <w:rPr>
                <w:rFonts w:hint="default"/>
                <w:color w:val="auto"/>
                <w:sz w:val="24"/>
                <w:vertAlign w:val="superscript"/>
              </w:rPr>
              <w:t>3</w:t>
            </w:r>
            <w:r>
              <w:rPr>
                <w:rFonts w:hint="default"/>
                <w:color w:val="auto"/>
                <w:sz w:val="24"/>
              </w:rPr>
              <w:t>/a。</w:t>
            </w:r>
          </w:p>
          <w:p>
            <w:pPr>
              <w:pStyle w:val="84"/>
              <w:keepNext w:val="0"/>
              <w:keepLines w:val="0"/>
              <w:pageBreakBefore w:val="0"/>
              <w:widowControl w:val="0"/>
              <w:kinsoku/>
              <w:wordWrap/>
              <w:overflowPunct/>
              <w:topLinePunct w:val="0"/>
              <w:autoSpaceDE/>
              <w:autoSpaceDN/>
              <w:bidi w:val="0"/>
              <w:spacing w:beforeLines="0" w:afterLines="0" w:line="360" w:lineRule="auto"/>
              <w:ind w:left="0"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）项目用排水情况汇总统计</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pPr>
            <w:r>
              <w:rPr>
                <w:rFonts w:hint="default"/>
                <w:color w:val="auto"/>
                <w:sz w:val="24"/>
                <w:szCs w:val="24"/>
                <w:lang w:val="en-US" w:eastAsia="zh-CN"/>
              </w:rPr>
              <w:t>项目非雨天绿化用水量为</w:t>
            </w:r>
            <w:r>
              <w:rPr>
                <w:rFonts w:hint="eastAsia"/>
                <w:color w:val="auto"/>
                <w:sz w:val="24"/>
                <w:szCs w:val="24"/>
                <w:lang w:val="en-US" w:eastAsia="zh-CN"/>
              </w:rPr>
              <w:t>11.5081</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/d，</w:t>
            </w:r>
            <w:r>
              <w:rPr>
                <w:rFonts w:hint="eastAsia"/>
                <w:color w:val="auto"/>
                <w:sz w:val="24"/>
                <w:szCs w:val="24"/>
                <w:lang w:val="en-US" w:eastAsia="zh-CN"/>
              </w:rPr>
              <w:t>2405.1929</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/a</w:t>
            </w:r>
            <w:r>
              <w:rPr>
                <w:rFonts w:hint="eastAsia"/>
                <w:color w:val="auto"/>
                <w:sz w:val="24"/>
                <w:szCs w:val="24"/>
                <w:lang w:val="en-US" w:eastAsia="zh-CN"/>
              </w:rPr>
              <w:t>；</w:t>
            </w:r>
            <w:r>
              <w:rPr>
                <w:rFonts w:hint="default"/>
                <w:color w:val="auto"/>
                <w:sz w:val="24"/>
                <w:szCs w:val="24"/>
                <w:lang w:val="en-US" w:eastAsia="zh-CN"/>
              </w:rPr>
              <w:t>项目非雨天</w:t>
            </w:r>
            <w:r>
              <w:rPr>
                <w:rFonts w:hint="eastAsia"/>
                <w:color w:val="auto"/>
                <w:sz w:val="24"/>
                <w:szCs w:val="24"/>
                <w:lang w:val="en-US" w:eastAsia="zh-CN"/>
              </w:rPr>
              <w:t>道路浇洒</w:t>
            </w:r>
            <w:r>
              <w:rPr>
                <w:rFonts w:hint="default"/>
                <w:color w:val="auto"/>
                <w:sz w:val="24"/>
                <w:szCs w:val="24"/>
                <w:lang w:val="en-US" w:eastAsia="zh-CN"/>
              </w:rPr>
              <w:t>用水量为</w:t>
            </w:r>
            <w:r>
              <w:rPr>
                <w:rFonts w:hint="eastAsia"/>
                <w:color w:val="auto"/>
                <w:sz w:val="24"/>
                <w:szCs w:val="24"/>
                <w:lang w:val="en-US" w:eastAsia="zh-CN"/>
              </w:rPr>
              <w:t>19.7943</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/d，</w:t>
            </w:r>
            <w:r>
              <w:rPr>
                <w:rFonts w:hint="eastAsia"/>
                <w:color w:val="auto"/>
                <w:sz w:val="24"/>
                <w:szCs w:val="24"/>
                <w:lang w:val="en-US" w:eastAsia="zh-CN"/>
              </w:rPr>
              <w:t>4137.0087</w:t>
            </w:r>
            <w:r>
              <w:rPr>
                <w:rFonts w:hint="default"/>
                <w:color w:val="auto"/>
                <w:sz w:val="24"/>
                <w:szCs w:val="24"/>
                <w:lang w:val="en-US" w:eastAsia="zh-CN"/>
              </w:rPr>
              <w:t>m</w:t>
            </w:r>
            <w:r>
              <w:rPr>
                <w:rFonts w:hint="default"/>
                <w:color w:val="auto"/>
                <w:sz w:val="24"/>
                <w:szCs w:val="24"/>
                <w:vertAlign w:val="superscript"/>
                <w:lang w:val="en-US" w:eastAsia="zh-CN"/>
              </w:rPr>
              <w:t>3</w:t>
            </w:r>
            <w:r>
              <w:rPr>
                <w:rFonts w:hint="default"/>
                <w:color w:val="auto"/>
                <w:sz w:val="24"/>
                <w:szCs w:val="24"/>
                <w:lang w:val="en-US" w:eastAsia="zh-CN"/>
              </w:rPr>
              <w:t>/a</w:t>
            </w:r>
            <w:r>
              <w:rPr>
                <w:rFonts w:hint="eastAsia"/>
                <w:color w:val="auto"/>
                <w:sz w:val="24"/>
                <w:szCs w:val="24"/>
                <w:lang w:val="en-US" w:eastAsia="zh-CN"/>
              </w:rPr>
              <w:t>；则项目</w:t>
            </w:r>
            <w:r>
              <w:rPr>
                <w:color w:val="auto"/>
                <w:sz w:val="24"/>
              </w:rPr>
              <w:t>用于厂区绿化</w:t>
            </w:r>
            <w:r>
              <w:rPr>
                <w:rFonts w:hint="eastAsia"/>
                <w:color w:val="auto"/>
                <w:sz w:val="24"/>
              </w:rPr>
              <w:t>及道路洒水降尘</w:t>
            </w:r>
            <w:r>
              <w:rPr>
                <w:rFonts w:hint="eastAsia"/>
                <w:color w:val="auto"/>
                <w:sz w:val="24"/>
                <w:lang w:eastAsia="zh-CN"/>
              </w:rPr>
              <w:t>用水量为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eastAsia" w:cs="Times New Roman"/>
                <w:color w:val="auto"/>
                <w:sz w:val="24"/>
                <w:szCs w:val="24"/>
                <w:highlight w:val="none"/>
                <w:lang w:val="zh-CN"/>
              </w:rPr>
              <w:t>。</w:t>
            </w:r>
            <w:r>
              <w:rPr>
                <w:rFonts w:hint="eastAsia"/>
                <w:color w:val="auto"/>
                <w:sz w:val="24"/>
                <w:szCs w:val="24"/>
                <w:lang w:val="en-US" w:eastAsia="zh-CN"/>
              </w:rPr>
              <w:t>因此可满足不外排要求。</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综上，项目用水量、污水排放量详见表</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2</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r>
              <w:rPr>
                <w:rFonts w:hint="default" w:ascii="Times New Roman" w:hAnsi="Times New Roman" w:eastAsia="宋体" w:cs="Times New Roman"/>
                <w:caps w:val="0"/>
                <w:snapToGrid w:val="0"/>
                <w:color w:val="auto"/>
                <w:spacing w:val="0"/>
                <w:w w:val="100"/>
                <w:kern w:val="2"/>
                <w:position w:val="0"/>
                <w:sz w:val="24"/>
                <w:szCs w:val="24"/>
                <w:highlight w:val="none"/>
                <w:lang w:val="en-US" w:eastAsia="zh-CN" w:bidi="ar-SA"/>
              </w:rPr>
              <w:t>7</w:t>
            </w:r>
            <w:r>
              <w:rPr>
                <w:rFonts w:hint="default" w:ascii="Times New Roman" w:hAnsi="Times New Roman" w:eastAsia="宋体" w:cs="Times New Roman"/>
                <w:caps w:val="0"/>
                <w:snapToGrid w:val="0"/>
                <w:color w:val="auto"/>
                <w:spacing w:val="0"/>
                <w:w w:val="100"/>
                <w:kern w:val="2"/>
                <w:position w:val="0"/>
                <w:sz w:val="24"/>
                <w:szCs w:val="24"/>
                <w:highlight w:val="none"/>
                <w:lang w:val="zh-CN" w:eastAsia="zh-CN" w:bidi="ar-SA"/>
              </w:rPr>
              <w:t>。</w:t>
            </w:r>
          </w:p>
          <w:p>
            <w:pPr>
              <w:keepNext w:val="0"/>
              <w:keepLines w:val="0"/>
              <w:pageBreakBefore w:val="0"/>
              <w:widowControl w:val="0"/>
              <w:kinsoku/>
              <w:wordWrap/>
              <w:overflowPunct/>
              <w:topLinePunct w:val="0"/>
              <w:bidi w:val="0"/>
              <w:snapToGrid w:val="0"/>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caps w:val="0"/>
                <w:snapToGrid w:val="0"/>
                <w:color w:val="auto"/>
                <w:spacing w:val="0"/>
                <w:w w:val="100"/>
                <w:position w:val="0"/>
                <w:sz w:val="21"/>
                <w:szCs w:val="21"/>
                <w:highlight w:val="none"/>
              </w:rPr>
              <w:t>-</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7</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项目用排水情况一览表</w:t>
            </w:r>
          </w:p>
          <w:tbl>
            <w:tblPr>
              <w:tblStyle w:val="2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8"/>
              <w:gridCol w:w="426"/>
              <w:gridCol w:w="1019"/>
              <w:gridCol w:w="1130"/>
              <w:gridCol w:w="1109"/>
              <w:gridCol w:w="1319"/>
              <w:gridCol w:w="93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项目</w:t>
                  </w:r>
                </w:p>
              </w:tc>
              <w:tc>
                <w:tcPr>
                  <w:tcW w:w="101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用水定额</w:t>
                  </w:r>
                </w:p>
              </w:tc>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数量</w:t>
                  </w:r>
                </w:p>
              </w:tc>
              <w:tc>
                <w:tcPr>
                  <w:tcW w:w="242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用水量</w:t>
                  </w:r>
                </w:p>
              </w:tc>
              <w:tc>
                <w:tcPr>
                  <w:tcW w:w="93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产污率</w:t>
                  </w:r>
                </w:p>
              </w:tc>
              <w:tc>
                <w:tcPr>
                  <w:tcW w:w="158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污水量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101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c>
                <w:tcPr>
                  <w:tcW w:w="93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c>
                <w:tcPr>
                  <w:tcW w:w="79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bCs/>
                      <w:caps w:val="0"/>
                      <w:snapToGrid w:val="0"/>
                      <w:color w:val="auto"/>
                      <w:spacing w:val="0"/>
                      <w:w w:val="100"/>
                      <w:position w:val="0"/>
                      <w:sz w:val="21"/>
                      <w:szCs w:val="21"/>
                      <w:highlight w:val="none"/>
                    </w:rPr>
                    <w:t>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生产过程</w:t>
                  </w:r>
                </w:p>
              </w:tc>
              <w:tc>
                <w:tcPr>
                  <w:tcW w:w="854"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lang w:eastAsia="zh-CN"/>
                    </w:rPr>
                    <w:t>锅炉用水</w:t>
                  </w:r>
                </w:p>
              </w:tc>
              <w:tc>
                <w:tcPr>
                  <w:tcW w:w="1019" w:type="dxa"/>
                  <w:noWrap w:val="0"/>
                  <w:vAlign w:val="center"/>
                </w:tcPr>
                <w:p>
                  <w:pPr>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127.416</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38224.8</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Cs/>
                      <w:color w:val="auto"/>
                      <w:sz w:val="21"/>
                      <w:szCs w:val="21"/>
                      <w:highlight w:val="none"/>
                      <w:lang w:val="en-US" w:eastAsia="zh-CN"/>
                    </w:rPr>
                    <w:t>0.356t/t-燃料</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7.416</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854"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循环</w:t>
                  </w:r>
                  <w:r>
                    <w:rPr>
                      <w:rFonts w:hint="default" w:ascii="Times New Roman" w:hAnsi="Times New Roman" w:eastAsia="宋体" w:cs="Times New Roman"/>
                      <w:color w:val="auto"/>
                      <w:kern w:val="0"/>
                      <w:sz w:val="21"/>
                      <w:szCs w:val="21"/>
                      <w:highlight w:val="none"/>
                      <w:lang w:eastAsia="zh-CN"/>
                    </w:rPr>
                    <w:t>冷却水</w:t>
                  </w:r>
                  <w:r>
                    <w:rPr>
                      <w:rFonts w:hint="default" w:ascii="Times New Roman" w:hAnsi="Times New Roman" w:eastAsia="宋体" w:cs="Times New Roman"/>
                      <w:color w:val="auto"/>
                      <w:kern w:val="0"/>
                      <w:sz w:val="21"/>
                      <w:szCs w:val="21"/>
                      <w:highlight w:val="none"/>
                    </w:rPr>
                    <w:t>用量</w:t>
                  </w:r>
                </w:p>
              </w:tc>
              <w:tc>
                <w:tcPr>
                  <w:tcW w:w="1019" w:type="dxa"/>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30kg/个</w:t>
                  </w:r>
                  <w:r>
                    <w:rPr>
                      <w:rFonts w:hint="default" w:ascii="Times New Roman" w:hAnsi="Times New Roman" w:eastAsia="宋体" w:cs="Times New Roman"/>
                      <w:color w:val="auto"/>
                      <w:sz w:val="21"/>
                      <w:szCs w:val="21"/>
                      <w:highlight w:val="none"/>
                    </w:rPr>
                    <w:t>产品</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20</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00万个</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1500</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45</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0000</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854"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olor w:val="auto"/>
                      <w:kern w:val="0"/>
                      <w:sz w:val="21"/>
                      <w:szCs w:val="21"/>
                      <w:highlight w:val="none"/>
                    </w:rPr>
                    <w:t>冷却水</w:t>
                  </w:r>
                  <w:r>
                    <w:rPr>
                      <w:rFonts w:hint="default" w:ascii="Times New Roman" w:hAnsi="Times New Roman" w:eastAsia="宋体" w:cs="Times New Roman"/>
                      <w:color w:val="auto"/>
                      <w:kern w:val="0"/>
                      <w:sz w:val="21"/>
                      <w:szCs w:val="21"/>
                      <w:highlight w:val="none"/>
                      <w:lang w:eastAsia="zh-CN"/>
                    </w:rPr>
                    <w:t>池</w:t>
                  </w:r>
                  <w:r>
                    <w:rPr>
                      <w:rFonts w:hint="default" w:ascii="Times New Roman" w:hAnsi="Times New Roman" w:eastAsia="宋体" w:cs="Times New Roman"/>
                      <w:color w:val="auto"/>
                      <w:kern w:val="0"/>
                      <w:sz w:val="21"/>
                      <w:szCs w:val="21"/>
                      <w:highlight w:val="none"/>
                    </w:rPr>
                    <w:t>补充水</w:t>
                  </w:r>
                </w:p>
              </w:tc>
              <w:tc>
                <w:tcPr>
                  <w:tcW w:w="1019" w:type="dxa"/>
                  <w:noWrap w:val="0"/>
                  <w:vAlign w:val="center"/>
                </w:tcPr>
                <w:p>
                  <w:pPr>
                    <w:snapToGrid w:val="0"/>
                    <w:jc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99.9996</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30000</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29"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1727.4156</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518224.8</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7.416</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办公生活区</w:t>
                  </w:r>
                </w:p>
              </w:tc>
              <w:tc>
                <w:tcPr>
                  <w:tcW w:w="85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食堂</w:t>
                  </w:r>
                </w:p>
              </w:tc>
              <w:tc>
                <w:tcPr>
                  <w:tcW w:w="10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20L/人·d</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1.2</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360</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0.</w:t>
                  </w:r>
                  <w:r>
                    <w:rPr>
                      <w:rFonts w:hint="eastAsia" w:cs="Times New Roman"/>
                      <w:caps w:val="0"/>
                      <w:snapToGrid w:val="0"/>
                      <w:color w:val="auto"/>
                      <w:spacing w:val="0"/>
                      <w:w w:val="100"/>
                      <w:position w:val="0"/>
                      <w:sz w:val="21"/>
                      <w:szCs w:val="21"/>
                      <w:highlight w:val="none"/>
                      <w:lang w:val="en-US" w:eastAsia="zh-CN"/>
                    </w:rPr>
                    <w:t>96</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p>
              </w:tc>
              <w:tc>
                <w:tcPr>
                  <w:tcW w:w="4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其他</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办公生活</w:t>
                  </w:r>
                  <w:r>
                    <w:rPr>
                      <w:rFonts w:hint="eastAsia" w:cs="Times New Roman"/>
                      <w:caps w:val="0"/>
                      <w:snapToGrid w:val="0"/>
                      <w:color w:val="auto"/>
                      <w:spacing w:val="0"/>
                      <w:w w:val="100"/>
                      <w:position w:val="0"/>
                      <w:sz w:val="21"/>
                      <w:szCs w:val="21"/>
                      <w:highlight w:val="none"/>
                      <w:lang w:val="en-US" w:eastAsia="zh-CN"/>
                    </w:rPr>
                    <w:t>用水</w:t>
                  </w:r>
                </w:p>
              </w:tc>
              <w:tc>
                <w:tcPr>
                  <w:tcW w:w="42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eastAsia"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住宿</w:t>
                  </w:r>
                </w:p>
              </w:tc>
              <w:tc>
                <w:tcPr>
                  <w:tcW w:w="10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宋体" w:cs="Times New Roman"/>
                      <w:caps w:val="0"/>
                      <w:snapToGrid w:val="0"/>
                      <w:color w:val="auto"/>
                      <w:spacing w:val="0"/>
                      <w:w w:val="100"/>
                      <w:position w:val="0"/>
                      <w:sz w:val="21"/>
                      <w:szCs w:val="21"/>
                      <w:highlight w:val="none"/>
                    </w:rPr>
                  </w:pPr>
                  <w:r>
                    <w:rPr>
                      <w:rFonts w:hint="eastAsia" w:cs="Times New Roman"/>
                      <w:caps w:val="0"/>
                      <w:snapToGrid w:val="0"/>
                      <w:color w:val="auto"/>
                      <w:spacing w:val="0"/>
                      <w:w w:val="100"/>
                      <w:position w:val="0"/>
                      <w:sz w:val="21"/>
                      <w:szCs w:val="21"/>
                      <w:highlight w:val="none"/>
                      <w:lang w:val="en-US" w:eastAsia="zh-CN"/>
                    </w:rPr>
                    <w:t>10</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0L/人·d</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0人</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6.0</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1800</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4.8</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9"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2160</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0.8</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5.76</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绿化</w:t>
                  </w:r>
                </w:p>
              </w:tc>
              <w:tc>
                <w:tcPr>
                  <w:tcW w:w="10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3836.04</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m</w:t>
                  </w:r>
                  <w:r>
                    <w:rPr>
                      <w:rFonts w:hint="default" w:ascii="Times New Roman" w:hAnsi="Times New Roman" w:eastAsia="宋体" w:cs="Times New Roman"/>
                      <w:caps w:val="0"/>
                      <w:snapToGrid w:val="0"/>
                      <w:color w:val="auto"/>
                      <w:spacing w:val="0"/>
                      <w:w w:val="100"/>
                      <w:position w:val="0"/>
                      <w:sz w:val="21"/>
                      <w:szCs w:val="21"/>
                      <w:highlight w:val="none"/>
                      <w:vertAlign w:val="superscript"/>
                      <w:lang w:val="en-US" w:eastAsia="zh-CN"/>
                    </w:rPr>
                    <w:t>2</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11.5081</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2405.1929</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道路浇洒</w:t>
                  </w:r>
                </w:p>
              </w:tc>
              <w:tc>
                <w:tcPr>
                  <w:tcW w:w="101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L/m</w:t>
                  </w:r>
                  <w:r>
                    <w:rPr>
                      <w:rFonts w:hint="default" w:ascii="Times New Roman" w:hAnsi="Times New Roman" w:eastAsia="宋体" w:cs="Times New Roman"/>
                      <w:b w:val="0"/>
                      <w:bCs w:val="0"/>
                      <w:color w:val="auto"/>
                      <w:sz w:val="21"/>
                      <w:szCs w:val="21"/>
                      <w:highlight w:val="none"/>
                      <w:vertAlign w:val="superscript"/>
                      <w:lang w:eastAsia="zh-CN"/>
                    </w:rPr>
                    <w:t>2</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次</w:t>
                  </w:r>
                </w:p>
              </w:tc>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9897.16</w:t>
                  </w:r>
                  <w:r>
                    <w:rPr>
                      <w:rFonts w:hint="default" w:ascii="Times New Roman" w:hAnsi="Times New Roman" w:eastAsia="宋体" w:cs="Times New Roman"/>
                      <w:caps w:val="0"/>
                      <w:snapToGrid w:val="0"/>
                      <w:color w:val="auto"/>
                      <w:spacing w:val="0"/>
                      <w:w w:val="100"/>
                      <w:position w:val="0"/>
                      <w:sz w:val="21"/>
                      <w:szCs w:val="21"/>
                      <w:highlight w:val="none"/>
                      <w:lang w:val="en-US" w:eastAsia="zh-CN"/>
                    </w:rPr>
                    <w:t>m</w:t>
                  </w:r>
                  <w:r>
                    <w:rPr>
                      <w:rFonts w:hint="default" w:ascii="Times New Roman" w:hAnsi="Times New Roman" w:eastAsia="宋体" w:cs="Times New Roman"/>
                      <w:caps w:val="0"/>
                      <w:snapToGrid w:val="0"/>
                      <w:color w:val="auto"/>
                      <w:spacing w:val="0"/>
                      <w:w w:val="100"/>
                      <w:position w:val="0"/>
                      <w:sz w:val="21"/>
                      <w:szCs w:val="21"/>
                      <w:highlight w:val="none"/>
                      <w:vertAlign w:val="superscript"/>
                      <w:lang w:val="en-US" w:eastAsia="zh-CN"/>
                    </w:rPr>
                    <w:t>2</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19.7943</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eastAsia" w:cs="Times New Roman"/>
                      <w:caps w:val="0"/>
                      <w:snapToGrid w:val="0"/>
                      <w:color w:val="auto"/>
                      <w:spacing w:val="0"/>
                      <w:w w:val="100"/>
                      <w:position w:val="0"/>
                      <w:sz w:val="21"/>
                      <w:szCs w:val="21"/>
                      <w:highlight w:val="none"/>
                      <w:lang w:val="en-US" w:eastAsia="zh-CN"/>
                    </w:rPr>
                    <w:t>4137.0087</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2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caps w:val="0"/>
                      <w:snapToGrid w:val="0"/>
                      <w:color w:val="auto"/>
                      <w:spacing w:val="0"/>
                      <w:w w:val="100"/>
                      <w:position w:val="0"/>
                      <w:sz w:val="21"/>
                      <w:szCs w:val="21"/>
                      <w:highlight w:val="none"/>
                      <w:lang w:val="en-US" w:eastAsia="zh-CN"/>
                    </w:rPr>
                    <w:t>小计</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31.3024</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6542.2016</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29"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ind w:left="0" w:right="0" w:firstLine="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合计</w:t>
                  </w:r>
                </w:p>
              </w:tc>
              <w:tc>
                <w:tcPr>
                  <w:tcW w:w="110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1765.918</w:t>
                  </w:r>
                </w:p>
              </w:tc>
              <w:tc>
                <w:tcPr>
                  <w:tcW w:w="13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526927.0016</w:t>
                  </w:r>
                </w:p>
              </w:tc>
              <w:tc>
                <w:tcPr>
                  <w:tcW w:w="9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13.176</w:t>
                  </w:r>
                </w:p>
              </w:tc>
              <w:tc>
                <w:tcPr>
                  <w:tcW w:w="79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aps w:val="0"/>
                      <w:snapToGrid w:val="0"/>
                      <w:color w:val="auto"/>
                      <w:spacing w:val="0"/>
                      <w:w w:val="100"/>
                      <w:position w:val="0"/>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3952.8</w:t>
                  </w:r>
                </w:p>
              </w:tc>
            </w:tr>
          </w:tbl>
          <w:p>
            <w:pPr>
              <w:pStyle w:val="4"/>
              <w:keepNext w:val="0"/>
              <w:keepLines w:val="0"/>
              <w:pageBreakBefore w:val="0"/>
              <w:widowControl w:val="0"/>
              <w:kinsoku/>
              <w:wordWrap/>
              <w:overflowPunct/>
              <w:topLinePunct w:val="0"/>
              <w:bidi w:val="0"/>
              <w:adjustRightInd w:val="0"/>
              <w:snapToGrid w:val="0"/>
              <w:spacing w:after="0" w:line="360" w:lineRule="auto"/>
              <w:ind w:firstLine="482" w:firstLineChars="200"/>
              <w:rPr>
                <w:rFonts w:hint="default" w:ascii="Times New Roman" w:hAnsi="Times New Roman" w:eastAsia="宋体" w:cs="Times New Roman"/>
                <w:b/>
                <w:bCs/>
                <w:caps w:val="0"/>
                <w:snapToGrid w:val="0"/>
                <w:color w:val="auto"/>
                <w:spacing w:val="0"/>
                <w:w w:val="100"/>
                <w:position w:val="0"/>
                <w:sz w:val="24"/>
                <w:highlight w:val="none"/>
              </w:rPr>
            </w:pPr>
            <w:r>
              <w:rPr>
                <w:rFonts w:hint="default" w:ascii="Times New Roman" w:hAnsi="Times New Roman" w:eastAsia="宋体" w:cs="Times New Roman"/>
                <w:b/>
                <w:bCs/>
                <w:caps w:val="0"/>
                <w:snapToGrid w:val="0"/>
                <w:color w:val="auto"/>
                <w:spacing w:val="0"/>
                <w:w w:val="100"/>
                <w:position w:val="0"/>
                <w:sz w:val="24"/>
                <w:highlight w:val="none"/>
              </w:rPr>
              <w:t>（</w:t>
            </w:r>
            <w:r>
              <w:rPr>
                <w:rFonts w:hint="default" w:ascii="Times New Roman" w:hAnsi="Times New Roman" w:eastAsia="宋体" w:cs="Times New Roman"/>
                <w:b/>
                <w:bCs/>
                <w:caps w:val="0"/>
                <w:snapToGrid w:val="0"/>
                <w:color w:val="auto"/>
                <w:spacing w:val="0"/>
                <w:w w:val="100"/>
                <w:position w:val="0"/>
                <w:sz w:val="24"/>
                <w:highlight w:val="none"/>
                <w:lang w:val="en-US" w:eastAsia="zh-CN"/>
              </w:rPr>
              <w:t>3</w:t>
            </w:r>
            <w:r>
              <w:rPr>
                <w:rFonts w:hint="default" w:ascii="Times New Roman" w:hAnsi="Times New Roman" w:eastAsia="宋体" w:cs="Times New Roman"/>
                <w:b/>
                <w:bCs/>
                <w:caps w:val="0"/>
                <w:snapToGrid w:val="0"/>
                <w:color w:val="auto"/>
                <w:spacing w:val="0"/>
                <w:w w:val="100"/>
                <w:position w:val="0"/>
                <w:sz w:val="24"/>
                <w:highlight w:val="none"/>
              </w:rPr>
              <w:t>）项目运营期用排水平衡</w:t>
            </w:r>
          </w:p>
          <w:p>
            <w:pPr>
              <w:pStyle w:val="4"/>
              <w:keepNext w:val="0"/>
              <w:keepLines w:val="0"/>
              <w:pageBreakBefore w:val="0"/>
              <w:widowControl w:val="0"/>
              <w:kinsoku/>
              <w:wordWrap/>
              <w:overflowPunct/>
              <w:topLinePunct w:val="0"/>
              <w:bidi w:val="0"/>
              <w:adjustRightInd w:val="0"/>
              <w:snapToGrid w:val="0"/>
              <w:spacing w:after="0" w:line="360" w:lineRule="auto"/>
              <w:ind w:firstLine="480" w:firstLineChars="200"/>
              <w:rPr>
                <w:rFonts w:hint="default" w:ascii="Times New Roman" w:hAnsi="Times New Roman" w:eastAsia="宋体" w:cs="Times New Roman"/>
                <w:caps w:val="0"/>
                <w:snapToGrid w:val="0"/>
                <w:color w:val="auto"/>
                <w:spacing w:val="0"/>
                <w:w w:val="100"/>
                <w:position w:val="0"/>
                <w:sz w:val="24"/>
                <w:highlight w:val="none"/>
              </w:rPr>
            </w:pPr>
            <w:r>
              <w:rPr>
                <w:rFonts w:hint="default" w:ascii="Times New Roman" w:hAnsi="Times New Roman" w:eastAsia="宋体" w:cs="Times New Roman"/>
                <w:caps w:val="0"/>
                <w:snapToGrid w:val="0"/>
                <w:color w:val="auto"/>
                <w:spacing w:val="0"/>
                <w:w w:val="100"/>
                <w:position w:val="0"/>
                <w:sz w:val="24"/>
                <w:highlight w:val="none"/>
              </w:rPr>
              <w:t>项目运营期水平衡如图</w:t>
            </w:r>
            <w:r>
              <w:rPr>
                <w:rFonts w:hint="default" w:ascii="Times New Roman" w:hAnsi="Times New Roman" w:eastAsia="宋体" w:cs="Times New Roman"/>
                <w:caps w:val="0"/>
                <w:snapToGrid w:val="0"/>
                <w:color w:val="auto"/>
                <w:spacing w:val="0"/>
                <w:w w:val="100"/>
                <w:position w:val="0"/>
                <w:sz w:val="24"/>
                <w:highlight w:val="none"/>
                <w:lang w:val="en-US" w:eastAsia="zh-CN"/>
              </w:rPr>
              <w:t>2</w:t>
            </w:r>
            <w:r>
              <w:rPr>
                <w:rFonts w:hint="default" w:ascii="Times New Roman" w:hAnsi="Times New Roman" w:eastAsia="宋体" w:cs="Times New Roman"/>
                <w:caps w:val="0"/>
                <w:snapToGrid w:val="0"/>
                <w:color w:val="auto"/>
                <w:spacing w:val="0"/>
                <w:w w:val="100"/>
                <w:position w:val="0"/>
                <w:sz w:val="24"/>
                <w:highlight w:val="none"/>
              </w:rPr>
              <w:t>-</w:t>
            </w:r>
            <w:r>
              <w:rPr>
                <w:rFonts w:hint="default" w:ascii="Times New Roman" w:hAnsi="Times New Roman" w:eastAsia="宋体" w:cs="Times New Roman"/>
                <w:caps w:val="0"/>
                <w:snapToGrid w:val="0"/>
                <w:color w:val="auto"/>
                <w:spacing w:val="0"/>
                <w:w w:val="100"/>
                <w:position w:val="0"/>
                <w:sz w:val="24"/>
                <w:highlight w:val="none"/>
                <w:lang w:val="en-US" w:eastAsia="zh-CN"/>
              </w:rPr>
              <w:t>4、2-5</w:t>
            </w:r>
            <w:r>
              <w:rPr>
                <w:rFonts w:hint="default" w:ascii="Times New Roman" w:hAnsi="Times New Roman" w:eastAsia="宋体" w:cs="Times New Roman"/>
                <w:caps w:val="0"/>
                <w:snapToGrid w:val="0"/>
                <w:color w:val="auto"/>
                <w:spacing w:val="0"/>
                <w:w w:val="100"/>
                <w:position w:val="0"/>
                <w:sz w:val="24"/>
                <w:highlight w:val="none"/>
              </w:rPr>
              <w:t>所示。</w:t>
            </w:r>
          </w:p>
          <w:p>
            <w:pPr>
              <w:pStyle w:val="40"/>
              <w:rPr>
                <w:rFonts w:hint="default" w:ascii="Times New Roman" w:hAnsi="Times New Roman" w:eastAsia="宋体" w:cs="Times New Roman"/>
                <w:b/>
                <w:bCs/>
                <w:i w:val="0"/>
                <w:iCs/>
                <w:caps w:val="0"/>
                <w:snapToGrid w:val="0"/>
                <w:color w:val="auto"/>
                <w:spacing w:val="0"/>
                <w:w w:val="100"/>
                <w:position w:val="0"/>
                <w:sz w:val="21"/>
                <w:szCs w:val="21"/>
                <w:highlight w:val="none"/>
              </w:rPr>
            </w:pPr>
            <w:r>
              <w:rPr>
                <w:rFonts w:hint="default" w:ascii="Times New Roman" w:hAnsi="Times New Roman" w:eastAsia="宋体" w:cs="Times New Roman"/>
                <w:i w:val="0"/>
                <w:iCs/>
                <w:color w:val="auto"/>
                <w:sz w:val="24"/>
                <w:szCs w:val="24"/>
                <w:highlight w:val="none"/>
              </w:rPr>
              <w:pict>
                <v:shape id="_x0000_s1026" o:spid="_x0000_s1026" o:spt="75" type="#_x0000_t75" style="position:absolute;left:0pt;margin-left:-14.35pt;margin-top:7.95pt;height:274.1pt;width:417.3pt;mso-wrap-distance-bottom:0pt;mso-wrap-distance-left:9pt;mso-wrap-distance-right:9pt;mso-wrap-distance-top:0pt;z-index:251661312;mso-width-relative:page;mso-height-relative:page;" o:ole="t" filled="f" o:preferrelative="t" stroked="f" coordsize="21600,21600">
                  <v:path/>
                  <v:fill on="f" focussize="0,0"/>
                  <v:stroke on="f"/>
                  <v:imagedata r:id="rId16" o:title=""/>
                  <o:lock v:ext="edit" aspectratio="t"/>
                  <w10:wrap type="square"/>
                </v:shape>
                <o:OLEObject Type="Embed" ProgID="Visio.Drawing.11" ShapeID="_x0000_s1026" DrawAspect="Content" ObjectID="_1468075728" r:id="rId15">
                  <o:LockedField>false</o:LockedField>
                </o:OLEObject>
              </w:pict>
            </w:r>
            <w:r>
              <w:rPr>
                <w:rFonts w:hint="default" w:ascii="Times New Roman" w:hAnsi="Times New Roman" w:eastAsia="宋体" w:cs="Times New Roman"/>
                <w:b/>
                <w:bCs/>
                <w:i w:val="0"/>
                <w:iCs/>
                <w:caps w:val="0"/>
                <w:snapToGrid w:val="0"/>
                <w:color w:val="auto"/>
                <w:spacing w:val="0"/>
                <w:w w:val="100"/>
                <w:position w:val="0"/>
                <w:sz w:val="21"/>
                <w:szCs w:val="21"/>
                <w:highlight w:val="none"/>
              </w:rPr>
              <w:t>图</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i w:val="0"/>
                <w:iCs/>
                <w:caps w:val="0"/>
                <w:snapToGrid w:val="0"/>
                <w:color w:val="auto"/>
                <w:spacing w:val="0"/>
                <w:w w:val="100"/>
                <w:position w:val="0"/>
                <w:sz w:val="21"/>
                <w:szCs w:val="21"/>
                <w:highlight w:val="none"/>
              </w:rPr>
              <w:t>-</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4</w:t>
            </w:r>
            <w:r>
              <w:rPr>
                <w:rFonts w:hint="default" w:ascii="Times New Roman" w:hAnsi="Times New Roman" w:eastAsia="宋体" w:cs="Times New Roman"/>
                <w:b/>
                <w:bCs/>
                <w:i w:val="0"/>
                <w:i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i w:val="0"/>
                <w:iCs/>
                <w:caps w:val="0"/>
                <w:snapToGrid w:val="0"/>
                <w:color w:val="auto"/>
                <w:spacing w:val="0"/>
                <w:w w:val="100"/>
                <w:position w:val="0"/>
                <w:sz w:val="21"/>
                <w:szCs w:val="21"/>
                <w:highlight w:val="none"/>
              </w:rPr>
              <w:t>运营期</w:t>
            </w:r>
            <w:r>
              <w:rPr>
                <w:rFonts w:hint="default" w:ascii="Times New Roman" w:hAnsi="Times New Roman" w:eastAsia="宋体" w:cs="Times New Roman"/>
                <w:b/>
                <w:bCs/>
                <w:i w:val="0"/>
                <w:iCs/>
                <w:caps w:val="0"/>
                <w:snapToGrid w:val="0"/>
                <w:color w:val="auto"/>
                <w:spacing w:val="0"/>
                <w:w w:val="100"/>
                <w:position w:val="0"/>
                <w:sz w:val="21"/>
                <w:szCs w:val="21"/>
                <w:highlight w:val="none"/>
                <w:lang w:val="en-US" w:eastAsia="zh-CN"/>
              </w:rPr>
              <w:t>非雨天</w:t>
            </w:r>
            <w:r>
              <w:rPr>
                <w:rFonts w:hint="default" w:ascii="Times New Roman" w:hAnsi="Times New Roman" w:eastAsia="宋体" w:cs="Times New Roman"/>
                <w:b/>
                <w:bCs/>
                <w:i w:val="0"/>
                <w:i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i w:val="0"/>
                <w:i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i w:val="0"/>
                <w:iCs/>
                <w:caps w:val="0"/>
                <w:snapToGrid w:val="0"/>
                <w:color w:val="auto"/>
                <w:spacing w:val="0"/>
                <w:w w:val="100"/>
                <w:position w:val="0"/>
                <w:sz w:val="21"/>
                <w:szCs w:val="21"/>
                <w:highlight w:val="none"/>
              </w:rPr>
              <w:t>/d</w:t>
            </w:r>
          </w:p>
          <w:p>
            <w:pPr>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iCs/>
                <w:color w:val="auto"/>
                <w:sz w:val="24"/>
                <w:szCs w:val="24"/>
                <w:highlight w:val="none"/>
              </w:rPr>
              <w:pict>
                <v:shape id="_x0000_s1039" o:spid="_x0000_s1039" o:spt="75" type="#_x0000_t75" style="position:absolute;left:0pt;margin-left:-6pt;margin-top:3.55pt;height:265.45pt;width:422.25pt;mso-wrap-distance-bottom:0pt;mso-wrap-distance-left:9pt;mso-wrap-distance-right:9pt;mso-wrap-distance-top:0pt;z-index:251663360;mso-width-relative:page;mso-height-relative:page;" o:ole="t" filled="f" o:preferrelative="t" stroked="f" coordsize="21600,21600">
                  <v:path/>
                  <v:fill on="f" focussize="0,0"/>
                  <v:stroke on="f"/>
                  <v:imagedata r:id="rId18" o:title=""/>
                  <o:lock v:ext="edit" aspectratio="t"/>
                  <w10:wrap type="square"/>
                </v:shape>
                <o:OLEObject Type="Embed" ProgID="Visio.Drawing.11" ShapeID="_x0000_s1039" DrawAspect="Content" ObjectID="_1468075729" r:id="rId17">
                  <o:LockedField>false</o:LockedField>
                </o:OLEObject>
              </w:pict>
            </w:r>
            <w:r>
              <w:rPr>
                <w:rFonts w:hint="default" w:ascii="Times New Roman" w:hAnsi="Times New Roman" w:eastAsia="宋体" w:cs="Times New Roman"/>
                <w:b/>
                <w:bCs/>
                <w:caps w:val="0"/>
                <w:snapToGrid w:val="0"/>
                <w:color w:val="auto"/>
                <w:spacing w:val="0"/>
                <w:w w:val="100"/>
                <w:position w:val="0"/>
                <w:sz w:val="21"/>
                <w:szCs w:val="21"/>
                <w:highlight w:val="none"/>
              </w:rPr>
              <w:t>图</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2</w:t>
            </w:r>
            <w:r>
              <w:rPr>
                <w:rFonts w:hint="default" w:ascii="Times New Roman" w:hAnsi="Times New Roman" w:eastAsia="宋体" w:cs="Times New Roman"/>
                <w:b/>
                <w:bCs/>
                <w:caps w:val="0"/>
                <w:snapToGrid w:val="0"/>
                <w:color w:val="auto"/>
                <w:spacing w:val="0"/>
                <w:w w:val="100"/>
                <w:position w:val="0"/>
                <w:sz w:val="21"/>
                <w:szCs w:val="21"/>
                <w:highlight w:val="none"/>
              </w:rPr>
              <w:t>-</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5</w:t>
            </w:r>
            <w:r>
              <w:rPr>
                <w:rFonts w:hint="default" w:ascii="Times New Roman" w:hAnsi="Times New Roman" w:eastAsia="宋体" w:cs="Times New Roman"/>
                <w:b/>
                <w:bCs/>
                <w:caps w:val="0"/>
                <w:snapToGrid w:val="0"/>
                <w:color w:val="auto"/>
                <w:spacing w:val="0"/>
                <w:w w:val="100"/>
                <w:position w:val="0"/>
                <w:sz w:val="21"/>
                <w:szCs w:val="21"/>
                <w:highlight w:val="none"/>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 xml:space="preserve"> </w:t>
            </w:r>
            <w:r>
              <w:rPr>
                <w:rFonts w:hint="default" w:ascii="Times New Roman" w:hAnsi="Times New Roman" w:eastAsia="宋体" w:cs="Times New Roman"/>
                <w:b/>
                <w:bCs/>
                <w:caps w:val="0"/>
                <w:snapToGrid w:val="0"/>
                <w:color w:val="auto"/>
                <w:spacing w:val="0"/>
                <w:w w:val="100"/>
                <w:position w:val="0"/>
                <w:sz w:val="21"/>
                <w:szCs w:val="21"/>
                <w:highlight w:val="none"/>
              </w:rPr>
              <w:t>运营期</w:t>
            </w:r>
            <w:r>
              <w:rPr>
                <w:rFonts w:hint="default" w:ascii="Times New Roman" w:hAnsi="Times New Roman" w:eastAsia="宋体" w:cs="Times New Roman"/>
                <w:b/>
                <w:bCs/>
                <w:caps w:val="0"/>
                <w:snapToGrid w:val="0"/>
                <w:color w:val="auto"/>
                <w:spacing w:val="0"/>
                <w:w w:val="100"/>
                <w:position w:val="0"/>
                <w:sz w:val="21"/>
                <w:szCs w:val="21"/>
                <w:highlight w:val="none"/>
                <w:lang w:val="en-US" w:eastAsia="zh-CN"/>
              </w:rPr>
              <w:t>雨天</w:t>
            </w:r>
            <w:r>
              <w:rPr>
                <w:rFonts w:hint="default" w:ascii="Times New Roman" w:hAnsi="Times New Roman" w:eastAsia="宋体" w:cs="Times New Roman"/>
                <w:b/>
                <w:bCs/>
                <w:caps w:val="0"/>
                <w:snapToGrid w:val="0"/>
                <w:color w:val="auto"/>
                <w:spacing w:val="0"/>
                <w:w w:val="100"/>
                <w:position w:val="0"/>
                <w:sz w:val="21"/>
                <w:szCs w:val="21"/>
                <w:highlight w:val="none"/>
              </w:rPr>
              <w:t>水平衡示意图   单位：m</w:t>
            </w:r>
            <w:r>
              <w:rPr>
                <w:rFonts w:hint="default" w:ascii="Times New Roman" w:hAnsi="Times New Roman" w:eastAsia="宋体" w:cs="Times New Roman"/>
                <w:b/>
                <w:bCs/>
                <w:caps w:val="0"/>
                <w:snapToGrid w:val="0"/>
                <w:color w:val="auto"/>
                <w:spacing w:val="0"/>
                <w:w w:val="100"/>
                <w:position w:val="0"/>
                <w:sz w:val="21"/>
                <w:szCs w:val="21"/>
                <w:highlight w:val="none"/>
                <w:vertAlign w:val="superscript"/>
              </w:rPr>
              <w:t>3</w:t>
            </w:r>
            <w:r>
              <w:rPr>
                <w:rFonts w:hint="default" w:ascii="Times New Roman" w:hAnsi="Times New Roman" w:eastAsia="宋体" w:cs="Times New Roman"/>
                <w:b/>
                <w:bCs/>
                <w:caps w:val="0"/>
                <w:snapToGrid w:val="0"/>
                <w:color w:val="auto"/>
                <w:spacing w:val="0"/>
                <w:w w:val="100"/>
                <w:position w:val="0"/>
                <w:sz w:val="21"/>
                <w:szCs w:val="21"/>
                <w:highlight w:val="none"/>
              </w:rPr>
              <w:t>/d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76" w:hRule="atLeast"/>
          <w:jc w:val="center"/>
        </w:trPr>
        <w:tc>
          <w:tcPr>
            <w:tcW w:w="452" w:type="dxa"/>
            <w:vAlign w:val="center"/>
          </w:tcPr>
          <w:p>
            <w:pPr>
              <w:pStyle w:val="26"/>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4"/>
                <w:szCs w:val="24"/>
                <w:highlight w:val="none"/>
              </w:rPr>
              <w:t>工艺流程和产排污环节</w:t>
            </w:r>
          </w:p>
        </w:tc>
        <w:tc>
          <w:tcPr>
            <w:tcW w:w="8608"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bookmarkStart w:id="17" w:name="_Toc16932"/>
            <w:r>
              <w:rPr>
                <w:rFonts w:hint="default" w:ascii="Times New Roman" w:hAnsi="Times New Roman" w:eastAsia="宋体" w:cs="Times New Roman"/>
                <w:b/>
                <w:color w:val="auto"/>
                <w:sz w:val="24"/>
                <w:highlight w:val="none"/>
              </w:rPr>
              <w:t>一、施工期</w:t>
            </w:r>
            <w:r>
              <w:rPr>
                <w:rFonts w:hint="default" w:ascii="Times New Roman" w:hAnsi="Times New Roman" w:eastAsia="宋体" w:cs="Times New Roman"/>
                <w:b/>
                <w:color w:val="auto"/>
                <w:sz w:val="24"/>
                <w:highlight w:val="none"/>
                <w:lang w:val="en-US" w:eastAsia="zh-CN"/>
              </w:rPr>
              <w:t>工艺流程和产排污节点</w:t>
            </w:r>
          </w:p>
          <w:p>
            <w:pPr>
              <w:pStyle w:val="78"/>
              <w:adjustRightInd/>
              <w:ind w:firstLine="482"/>
              <w:rPr>
                <w:b/>
                <w:bCs/>
                <w:color w:val="auto"/>
              </w:rPr>
            </w:pPr>
            <w:r>
              <w:rPr>
                <w:rFonts w:hint="eastAsia"/>
                <w:b/>
                <w:bCs/>
                <w:color w:val="auto"/>
              </w:rPr>
              <w:t>1、工艺流程简述</w:t>
            </w:r>
          </w:p>
          <w:p>
            <w:pPr>
              <w:autoSpaceDE w:val="0"/>
              <w:autoSpaceDN w:val="0"/>
              <w:adjustRightInd w:val="0"/>
              <w:snapToGrid w:val="0"/>
              <w:spacing w:line="360" w:lineRule="auto"/>
              <w:ind w:firstLine="480" w:firstLineChars="200"/>
              <w:jc w:val="center"/>
              <w:rPr>
                <w:color w:val="auto"/>
                <w:sz w:val="24"/>
              </w:rPr>
            </w:pPr>
            <w:r>
              <w:rPr>
                <w:color w:val="auto"/>
                <w:sz w:val="24"/>
              </w:rPr>
              <w:t>本项目施工期主要包括场地平整、土石方开挖、主体工程和配套设施建设、</w:t>
            </w:r>
          </w:p>
          <w:p>
            <w:pPr>
              <w:autoSpaceDE w:val="0"/>
              <w:autoSpaceDN w:val="0"/>
              <w:adjustRightInd w:val="0"/>
              <w:snapToGrid w:val="0"/>
              <w:spacing w:line="360" w:lineRule="auto"/>
              <w:jc w:val="both"/>
              <w:rPr>
                <w:color w:val="auto"/>
              </w:rPr>
            </w:pPr>
            <w:r>
              <w:rPr>
                <w:color w:val="auto"/>
                <w:sz w:val="24"/>
              </w:rPr>
              <w:t>室内装修和外部景观绿化。施工期大致可分为土石方阶段及基础阶段、主体结构阶段和室内外装修安装阶段。施工工艺流程图及产污环节图见图</w:t>
            </w:r>
            <w:r>
              <w:rPr>
                <w:rFonts w:hint="eastAsia"/>
                <w:color w:val="auto"/>
                <w:sz w:val="24"/>
              </w:rPr>
              <w:t>2</w:t>
            </w:r>
            <w:r>
              <w:rPr>
                <w:color w:val="auto"/>
                <w:sz w:val="24"/>
              </w:rPr>
              <w:t>-</w:t>
            </w:r>
            <w:r>
              <w:rPr>
                <w:rFonts w:hint="eastAsia"/>
                <w:color w:val="auto"/>
                <w:sz w:val="24"/>
                <w:lang w:val="en-US" w:eastAsia="zh-CN"/>
              </w:rPr>
              <w:t>6</w:t>
            </w:r>
            <w:r>
              <w:rPr>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r>
              <w:rPr>
                <w:color w:val="auto"/>
              </w:rPr>
              <w:pict>
                <v:shape id="_x0000_s1030" o:spid="_x0000_s1030" o:spt="75" type="#_x0000_t75" style="position:absolute;left:0pt;margin-left:38.55pt;margin-top:17.3pt;height:142.65pt;width:390.95pt;mso-wrap-distance-bottom:0pt;mso-wrap-distance-left:9pt;mso-wrap-distance-right:9pt;mso-wrap-distance-top:0pt;z-index:251662336;mso-width-relative:page;mso-height-relative:page;" o:ole="t" filled="f" o:preferrelative="t" stroked="f" coordsize="21600,21600">
                  <v:path/>
                  <v:fill on="f" focussize="0,0"/>
                  <v:stroke on="f"/>
                  <v:imagedata r:id="rId20" o:title=""/>
                  <o:lock v:ext="edit" aspectratio="t"/>
                  <w10:wrap type="square"/>
                </v:shape>
                <o:OLEObject Type="Embed" ProgID="Visio.Drawing.11" ShapeID="_x0000_s1030" DrawAspect="Content" ObjectID="_1468075730" r:id="rId19">
                  <o:LockedField>false</o:LockedField>
                </o:OLEObject>
              </w:pic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b/>
                <w:bCs/>
                <w:color w:val="auto"/>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jc w:val="center"/>
              <w:textAlignment w:val="auto"/>
              <w:rPr>
                <w:color w:val="auto"/>
                <w:sz w:val="24"/>
              </w:rPr>
            </w:pPr>
            <w:r>
              <w:rPr>
                <w:b/>
                <w:bCs/>
                <w:color w:val="auto"/>
                <w:szCs w:val="21"/>
              </w:rPr>
              <w:t>图</w:t>
            </w:r>
            <w:r>
              <w:rPr>
                <w:rFonts w:hint="eastAsia"/>
                <w:b/>
                <w:bCs/>
                <w:color w:val="auto"/>
                <w:szCs w:val="21"/>
              </w:rPr>
              <w:t>2</w:t>
            </w:r>
            <w:r>
              <w:rPr>
                <w:b/>
                <w:bCs/>
                <w:color w:val="auto"/>
                <w:szCs w:val="21"/>
              </w:rPr>
              <w:t>-</w:t>
            </w:r>
            <w:r>
              <w:rPr>
                <w:rFonts w:hint="eastAsia"/>
                <w:b/>
                <w:bCs/>
                <w:color w:val="auto"/>
                <w:szCs w:val="21"/>
                <w:lang w:val="en-US" w:eastAsia="zh-CN"/>
              </w:rPr>
              <w:t>6</w:t>
            </w:r>
            <w:r>
              <w:rPr>
                <w:b/>
                <w:bCs/>
                <w:color w:val="auto"/>
                <w:szCs w:val="21"/>
              </w:rPr>
              <w:t xml:space="preserve">  施工期工艺流程及产污环节示意图</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施工期大致可分为土石方阶段及基础阶段、主体结构阶段和室内外装修安装阶段。项目建设过程中不同施工阶段所采用的施工方式不一样：在土石方阶段以机械施工为主，人力施工为辅，主要使用推土机、挖掘机等；在基础打桩阶段几乎全部是机械施工，主要使用静压打桩机；在主体结构阶段则机械施工及人力施工各占一半，主要使用切割机、电焊机等；材料运送主要使用提升机，在装修阶段以人力施工为主，机械施工为辅，使用的机械包括电钻、角向磨光机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color w:val="auto"/>
                <w:sz w:val="24"/>
              </w:rPr>
            </w:pPr>
            <w:r>
              <w:rPr>
                <w:color w:val="auto"/>
                <w:sz w:val="24"/>
              </w:rPr>
              <w:t>本项目施工过程中产生的主要污染物为废气（扬尘、汽车尾气、涂料挥发的刺激性气体等）、施工机械和运输车辆产生的噪声、施工及施工人员产生的废水以及弃渣土等固体废物。</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rFonts w:hint="eastAsia"/>
                <w:b/>
                <w:bCs/>
                <w:color w:val="auto"/>
                <w:sz w:val="24"/>
              </w:rPr>
              <w:t>1、</w:t>
            </w:r>
            <w:r>
              <w:rPr>
                <w:b/>
                <w:color w:val="auto"/>
                <w:sz w:val="24"/>
              </w:rPr>
              <w:t>施工方案</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iCs/>
                <w:color w:val="auto"/>
                <w:sz w:val="24"/>
              </w:rPr>
            </w:pPr>
            <w:r>
              <w:rPr>
                <w:b/>
                <w:bCs/>
                <w:iCs/>
                <w:color w:val="auto"/>
                <w:sz w:val="24"/>
              </w:rPr>
              <w:t>（1）施工营地</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eastAsia="宋体"/>
                <w:bCs/>
                <w:iCs/>
                <w:color w:val="auto"/>
                <w:sz w:val="24"/>
                <w:lang w:eastAsia="zh-CN"/>
              </w:rPr>
            </w:pPr>
            <w:r>
              <w:rPr>
                <w:bCs/>
                <w:iCs/>
                <w:color w:val="auto"/>
                <w:sz w:val="24"/>
              </w:rPr>
              <w:t>根据项目具体情况，施工人员高峰期为</w:t>
            </w:r>
            <w:r>
              <w:rPr>
                <w:rFonts w:hint="eastAsia"/>
                <w:bCs/>
                <w:iCs/>
                <w:color w:val="auto"/>
                <w:sz w:val="24"/>
                <w:lang w:val="en-US" w:eastAsia="zh-CN"/>
              </w:rPr>
              <w:t>15</w:t>
            </w:r>
            <w:r>
              <w:rPr>
                <w:bCs/>
                <w:iCs/>
                <w:color w:val="auto"/>
                <w:sz w:val="24"/>
              </w:rPr>
              <w:t>人/d。</w:t>
            </w:r>
            <w:r>
              <w:rPr>
                <w:color w:val="auto"/>
                <w:sz w:val="24"/>
                <w:szCs w:val="24"/>
              </w:rPr>
              <w:t>项目施工期不设施工营地，施工人员均不在项目区食宿</w:t>
            </w:r>
            <w:r>
              <w:rPr>
                <w:rFonts w:hint="eastAsia"/>
                <w:color w:val="auto"/>
                <w:sz w:val="24"/>
                <w:szCs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（2）施工</w:t>
            </w:r>
            <w:r>
              <w:rPr>
                <w:rFonts w:hint="eastAsia"/>
                <w:b/>
                <w:bCs/>
                <w:color w:val="auto"/>
                <w:sz w:val="24"/>
              </w:rPr>
              <w:t>用水、</w:t>
            </w:r>
            <w:r>
              <w:rPr>
                <w:b/>
                <w:bCs/>
                <w:color w:val="auto"/>
                <w:sz w:val="24"/>
              </w:rPr>
              <w:t>用电</w:t>
            </w:r>
          </w:p>
          <w:p>
            <w:pPr>
              <w:pStyle w:val="21"/>
              <w:keepNext w:val="0"/>
              <w:keepLines w:val="0"/>
              <w:pageBreakBefore w:val="0"/>
              <w:widowControl w:val="0"/>
              <w:kinsoku/>
              <w:wordWrap/>
              <w:overflowPunct/>
              <w:topLinePunct w:val="0"/>
              <w:bidi w:val="0"/>
              <w:adjustRightInd w:val="0"/>
              <w:snapToGrid w:val="0"/>
              <w:spacing w:after="0" w:line="360" w:lineRule="auto"/>
              <w:ind w:left="0" w:leftChars="0" w:firstLine="480" w:firstLineChars="200"/>
              <w:textAlignment w:val="auto"/>
              <w:rPr>
                <w:bCs/>
                <w:color w:val="auto"/>
              </w:rPr>
            </w:pPr>
            <w:r>
              <w:rPr>
                <w:bCs/>
                <w:color w:val="auto"/>
              </w:rPr>
              <w:t>项目建设施工期间</w:t>
            </w:r>
            <w:r>
              <w:rPr>
                <w:rFonts w:hint="eastAsia"/>
                <w:color w:val="auto"/>
              </w:rPr>
              <w:t>利用周边现有市政供水管网、供电设施，基本满足本项目建设。</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（3）施工道路</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施工期物料运输依托</w:t>
            </w:r>
            <w:r>
              <w:rPr>
                <w:rFonts w:hint="eastAsia"/>
                <w:bCs/>
                <w:color w:val="auto"/>
                <w:sz w:val="24"/>
                <w:lang w:eastAsia="zh-CN"/>
              </w:rPr>
              <w:t>周边</w:t>
            </w:r>
            <w:r>
              <w:rPr>
                <w:bCs/>
                <w:color w:val="auto"/>
                <w:sz w:val="24"/>
              </w:rPr>
              <w:t>现状道路</w:t>
            </w:r>
            <w:r>
              <w:rPr>
                <w:rFonts w:ascii="宋体" w:hAnsi="宋体" w:cs="宋体"/>
                <w:color w:val="auto"/>
                <w:kern w:val="0"/>
                <w:sz w:val="24"/>
                <w:lang w:bidi="ar"/>
              </w:rPr>
              <w:t>，施工设备及材料可以运至施工现场，不再另行占地新开辟施工便道</w:t>
            </w:r>
            <w:r>
              <w:rPr>
                <w:bCs/>
                <w:color w:val="auto"/>
                <w:sz w:val="24"/>
              </w:rPr>
              <w:t>。</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b/>
                <w:bCs/>
                <w:color w:val="auto"/>
                <w:sz w:val="24"/>
              </w:rPr>
            </w:pPr>
            <w:r>
              <w:rPr>
                <w:b/>
                <w:bCs/>
                <w:color w:val="auto"/>
                <w:sz w:val="24"/>
              </w:rPr>
              <w:t>（</w:t>
            </w:r>
            <w:r>
              <w:rPr>
                <w:rFonts w:hint="eastAsia"/>
                <w:b/>
                <w:bCs/>
                <w:color w:val="auto"/>
                <w:sz w:val="24"/>
              </w:rPr>
              <w:t>4</w:t>
            </w:r>
            <w:r>
              <w:rPr>
                <w:b/>
                <w:bCs/>
                <w:color w:val="auto"/>
                <w:sz w:val="24"/>
              </w:rPr>
              <w:t>）施工材料及来源</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bCs/>
                <w:color w:val="auto"/>
                <w:sz w:val="24"/>
              </w:rPr>
            </w:pPr>
            <w:r>
              <w:rPr>
                <w:bCs/>
                <w:color w:val="auto"/>
                <w:sz w:val="24"/>
              </w:rPr>
              <w:t>项目建设所需的主要建筑材料为钢材、水泥、砂石、木材等，项目建设砼采用商品混凝土，不设搅拌站，全部外购商品砼；工程建设过程中的钢材、砖块、石块、石板及其它建筑材料，按工程计划购买，临时堆放</w:t>
            </w:r>
            <w:r>
              <w:rPr>
                <w:rFonts w:hint="eastAsia"/>
                <w:bCs/>
                <w:color w:val="auto"/>
                <w:sz w:val="24"/>
              </w:rPr>
              <w:t>，</w:t>
            </w:r>
            <w:r>
              <w:rPr>
                <w:bCs/>
                <w:color w:val="auto"/>
                <w:sz w:val="24"/>
              </w:rPr>
              <w:t>所需材料均从附近具有合法手续的单位购买，工程建设不设置砂、石料场。</w:t>
            </w:r>
          </w:p>
          <w:p>
            <w:pPr>
              <w:pStyle w:val="21"/>
              <w:keepNext w:val="0"/>
              <w:keepLines w:val="0"/>
              <w:pageBreakBefore w:val="0"/>
              <w:widowControl w:val="0"/>
              <w:kinsoku/>
              <w:wordWrap/>
              <w:overflowPunct/>
              <w:topLinePunct w:val="0"/>
              <w:bidi w:val="0"/>
              <w:adjustRightInd w:val="0"/>
              <w:snapToGrid w:val="0"/>
              <w:spacing w:after="0" w:line="360" w:lineRule="auto"/>
              <w:ind w:left="0" w:leftChars="0" w:firstLine="482" w:firstLineChars="200"/>
              <w:textAlignment w:val="auto"/>
              <w:rPr>
                <w:rFonts w:hint="eastAsia"/>
                <w:b/>
                <w:bCs/>
                <w:color w:val="auto"/>
              </w:rPr>
            </w:pPr>
            <w:r>
              <w:rPr>
                <w:rFonts w:hint="eastAsia"/>
                <w:b/>
                <w:color w:val="auto"/>
              </w:rPr>
              <w:t>（5）</w:t>
            </w:r>
            <w:r>
              <w:rPr>
                <w:rFonts w:hint="eastAsia"/>
                <w:b/>
                <w:bCs/>
                <w:color w:val="auto"/>
              </w:rPr>
              <w:t>取料场</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hAnsi="Times New Roman" w:eastAsia="宋体" w:cs="Times New Roman"/>
                <w:bCs/>
                <w:color w:val="auto"/>
                <w:sz w:val="24"/>
              </w:rPr>
            </w:pPr>
            <w:r>
              <w:rPr>
                <w:rFonts w:hint="eastAsia" w:ascii="Times New Roman" w:hAnsi="Times New Roman" w:eastAsia="宋体" w:cs="Times New Roman"/>
                <w:bCs/>
                <w:color w:val="auto"/>
                <w:sz w:val="24"/>
              </w:rPr>
              <w:t>本项目建设时，不设取土料场、取石料场和取砂石料场，所需砂砾石等、材料均当地购买，采用汽车运输。项目所在地交通运输较方便，运输条件良好。</w:t>
            </w:r>
          </w:p>
          <w:p>
            <w:pPr>
              <w:keepNext w:val="0"/>
              <w:keepLines w:val="0"/>
              <w:pageBreakBefore w:val="0"/>
              <w:widowControl w:val="0"/>
              <w:kinsoku/>
              <w:wordWrap/>
              <w:overflowPunct/>
              <w:topLinePunct w:val="0"/>
              <w:bidi w:val="0"/>
              <w:adjustRightInd w:val="0"/>
              <w:snapToGrid w:val="0"/>
              <w:spacing w:line="360" w:lineRule="auto"/>
              <w:ind w:left="0" w:leftChars="0" w:firstLine="482" w:firstLineChars="200"/>
              <w:textAlignment w:val="auto"/>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（6）临时堆场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bCs/>
                <w:color w:val="auto"/>
                <w:sz w:val="24"/>
                <w:lang w:val="zh-CN"/>
              </w:rPr>
            </w:pPr>
            <w:r>
              <w:rPr>
                <w:rFonts w:hint="default" w:ascii="Times New Roman" w:hAnsi="Times New Roman" w:eastAsia="宋体" w:cs="Times New Roman"/>
                <w:bCs/>
                <w:color w:val="auto"/>
                <w:sz w:val="24"/>
                <w:lang w:val="zh-CN"/>
              </w:rPr>
              <w:t>项目施工期剥离后的表土临时堆放于项目区，不需要重新征占地。</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lang w:val="en-US" w:eastAsia="zh-CN"/>
              </w:rPr>
              <w:t>二</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运营</w:t>
            </w:r>
            <w:r>
              <w:rPr>
                <w:rFonts w:hint="default" w:ascii="Times New Roman" w:hAnsi="Times New Roman" w:eastAsia="宋体" w:cs="Times New Roman"/>
                <w:b/>
                <w:color w:val="auto"/>
                <w:sz w:val="24"/>
                <w:highlight w:val="none"/>
              </w:rPr>
              <w:t>期</w:t>
            </w:r>
            <w:r>
              <w:rPr>
                <w:rFonts w:hint="default" w:ascii="Times New Roman" w:hAnsi="Times New Roman" w:eastAsia="宋体" w:cs="Times New Roman"/>
                <w:b/>
                <w:color w:val="auto"/>
                <w:sz w:val="24"/>
                <w:highlight w:val="none"/>
                <w:lang w:val="en-US" w:eastAsia="zh-CN"/>
              </w:rPr>
              <w:t>工艺流程和产排污节点</w:t>
            </w:r>
          </w:p>
          <w:p>
            <w:pPr>
              <w:spacing w:line="360" w:lineRule="auto"/>
              <w:ind w:firstLine="482" w:firstLineChars="200"/>
              <w:rPr>
                <w:rFonts w:hint="default" w:ascii="Times New Roman" w:hAnsi="Times New Roman" w:eastAsia="宋体" w:cs="Times New Roman"/>
                <w:b/>
                <w:bCs/>
                <w:iCs/>
                <w:color w:val="auto"/>
                <w:sz w:val="24"/>
                <w:highlight w:val="none"/>
                <w:lang w:val="en-US" w:eastAsia="zh-CN"/>
              </w:rPr>
            </w:pPr>
            <w:r>
              <w:rPr>
                <w:rFonts w:hint="default" w:ascii="Times New Roman" w:hAnsi="Times New Roman" w:eastAsia="宋体" w:cs="Times New Roman"/>
                <w:b/>
                <w:bCs/>
                <w:iCs/>
                <w:color w:val="auto"/>
                <w:sz w:val="24"/>
                <w:highlight w:val="none"/>
                <w:lang w:val="en-US" w:eastAsia="zh-CN"/>
              </w:rPr>
              <w:t>（一）运营期</w:t>
            </w:r>
            <w:r>
              <w:rPr>
                <w:rFonts w:hint="default" w:ascii="Times New Roman" w:hAnsi="Times New Roman" w:eastAsia="宋体" w:cs="Times New Roman"/>
                <w:b/>
                <w:bCs/>
                <w:color w:val="auto"/>
                <w:sz w:val="24"/>
                <w:highlight w:val="none"/>
                <w:lang w:val="en-US" w:eastAsia="zh-CN"/>
              </w:rPr>
              <w:t>工艺流程</w:t>
            </w:r>
          </w:p>
          <w:p>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kern w:val="2"/>
                <w:sz w:val="24"/>
                <w:szCs w:val="24"/>
                <w:highlight w:val="none"/>
                <w:lang w:val="en-US" w:eastAsia="zh-CN" w:bidi="ar"/>
              </w:rPr>
              <w:t>泡沫箱生产</w:t>
            </w: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本项目生产泡沫箱时原料为聚苯乙烯（EPS）新料颗粒，</w:t>
            </w:r>
            <w:r>
              <w:rPr>
                <w:rFonts w:hint="default" w:ascii="Times New Roman" w:hAnsi="Times New Roman" w:eastAsia="宋体" w:cs="Times New Roman"/>
                <w:color w:val="auto"/>
                <w:sz w:val="24"/>
                <w:szCs w:val="24"/>
                <w:highlight w:val="none"/>
                <w:lang w:val="en-US" w:eastAsia="zh-CN"/>
              </w:rPr>
              <w:t>主要建设泡沫箱生产线、锅炉房及相关辅助配套设施，设计生产线规模为年产</w:t>
            </w:r>
            <w:r>
              <w:rPr>
                <w:rFonts w:hint="eastAsia" w:cs="Times New Roman"/>
                <w:color w:val="auto"/>
                <w:sz w:val="24"/>
                <w:szCs w:val="24"/>
                <w:highlight w:val="none"/>
                <w:lang w:val="en-US" w:eastAsia="zh-CN"/>
              </w:rPr>
              <w:t>200</w:t>
            </w:r>
            <w:r>
              <w:rPr>
                <w:rFonts w:hint="default" w:ascii="Times New Roman" w:hAnsi="Times New Roman" w:eastAsia="宋体" w:cs="Times New Roman"/>
                <w:color w:val="auto"/>
                <w:sz w:val="24"/>
                <w:szCs w:val="24"/>
                <w:highlight w:val="none"/>
                <w:lang w:val="en-US" w:eastAsia="zh-CN"/>
              </w:rPr>
              <w:t>0万</w:t>
            </w:r>
            <w:r>
              <w:rPr>
                <w:rFonts w:hint="eastAsia" w:cs="Times New Roman"/>
                <w:color w:val="auto"/>
                <w:sz w:val="24"/>
                <w:szCs w:val="24"/>
                <w:highlight w:val="none"/>
                <w:lang w:val="en-US" w:eastAsia="zh-CN"/>
              </w:rPr>
              <w:t>个</w:t>
            </w:r>
            <w:r>
              <w:rPr>
                <w:rFonts w:hint="default" w:ascii="Times New Roman" w:hAnsi="Times New Roman" w:eastAsia="宋体" w:cs="Times New Roman"/>
                <w:color w:val="auto"/>
                <w:sz w:val="24"/>
                <w:szCs w:val="24"/>
                <w:highlight w:val="none"/>
                <w:lang w:val="en-US" w:eastAsia="zh-CN"/>
              </w:rPr>
              <w:t>泡沫箱，</w:t>
            </w:r>
            <w:r>
              <w:rPr>
                <w:rFonts w:hint="default" w:ascii="Times New Roman" w:hAnsi="Times New Roman" w:eastAsia="宋体" w:cs="Times New Roman"/>
                <w:color w:val="auto"/>
                <w:kern w:val="2"/>
                <w:sz w:val="24"/>
                <w:szCs w:val="24"/>
                <w:highlight w:val="none"/>
                <w:lang w:val="en-US" w:eastAsia="zh-CN" w:bidi="ar"/>
              </w:rPr>
              <w:t>泡沫箱生产工艺流程及产排污环节详见图2-7所示。</w:t>
            </w: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ind w:firstLine="480" w:firstLineChars="200"/>
              <w:rPr>
                <w:rFonts w:hint="eastAsia" w:cs="Times New Roman"/>
                <w:color w:val="auto"/>
                <w:kern w:val="2"/>
                <w:sz w:val="24"/>
                <w:szCs w:val="24"/>
                <w:highlight w:val="none"/>
                <w:lang w:val="en-US" w:eastAsia="zh-CN" w:bidi="ar"/>
              </w:rPr>
            </w:pPr>
          </w:p>
          <w:p>
            <w:pPr>
              <w:adjustRightInd w:val="0"/>
              <w:snapToGrid w:val="0"/>
              <w:spacing w:line="360" w:lineRule="auto"/>
              <w:rPr>
                <w:rFonts w:hint="default" w:ascii="Times New Roman" w:hAnsi="Times New Roman" w:eastAsia="宋体"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rPr>
              <w:object>
                <v:shape id="_x0000_i1028" o:spt="75" type="#_x0000_t75" style="height:336.45pt;width:422.95pt;" o:ole="t" filled="f" o:preferrelative="t" stroked="f" coordsize="21600,21600">
                  <v:path/>
                  <v:fill on="f" focussize="0,0"/>
                  <v:stroke on="f"/>
                  <v:imagedata r:id="rId22" o:title=""/>
                  <o:lock v:ext="edit" aspectratio="t"/>
                  <w10:wrap type="none"/>
                  <w10:anchorlock/>
                </v:shape>
                <o:OLEObject Type="Embed" ProgID="Visio.Drawing.11" ShapeID="_x0000_i1028" DrawAspect="Content" ObjectID="_1468075731" r:id="rId21">
                  <o:LockedField>false</o:LockedField>
                </o:OLEObject>
              </w:object>
            </w:r>
            <w:r>
              <w:rPr>
                <w:rFonts w:hint="default" w:ascii="Times New Roman" w:hAnsi="Times New Roman" w:eastAsia="宋体" w:cs="Times New Roman"/>
                <w:b/>
                <w:bCs/>
                <w:color w:val="auto"/>
                <w:sz w:val="21"/>
                <w:szCs w:val="21"/>
                <w:highlight w:val="none"/>
                <w:lang w:val="en-US" w:eastAsia="zh-CN"/>
              </w:rPr>
              <w:t xml:space="preserve">图2-7  </w:t>
            </w:r>
            <w:r>
              <w:rPr>
                <w:rFonts w:hint="default" w:ascii="Times New Roman" w:hAnsi="Times New Roman" w:eastAsia="宋体" w:cs="Times New Roman"/>
                <w:b/>
                <w:color w:val="auto"/>
                <w:sz w:val="21"/>
                <w:szCs w:val="21"/>
                <w:lang w:eastAsia="zh-CN"/>
              </w:rPr>
              <w:t>泡沫箱</w:t>
            </w:r>
            <w:r>
              <w:rPr>
                <w:rFonts w:hint="default" w:ascii="Times New Roman" w:hAnsi="Times New Roman" w:eastAsia="宋体" w:cs="Times New Roman"/>
                <w:b/>
                <w:color w:val="auto"/>
                <w:sz w:val="21"/>
                <w:szCs w:val="21"/>
              </w:rPr>
              <w:t>生产工艺流程及产污节点示意图</w:t>
            </w:r>
          </w:p>
          <w:p>
            <w:pPr>
              <w:keepNext w:val="0"/>
              <w:keepLines w:val="0"/>
              <w:pageBreakBefore w:val="0"/>
              <w:widowControl w:val="0"/>
              <w:wordWrap/>
              <w:topLinePunct w:val="0"/>
              <w:autoSpaceDE/>
              <w:autoSpaceDN/>
              <w:bidi w:val="0"/>
              <w:adjustRightInd w:val="0"/>
              <w:snapToGrid w:val="0"/>
              <w:spacing w:line="360" w:lineRule="auto"/>
              <w:ind w:firstLine="482" w:firstLineChars="200"/>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工艺流程</w:t>
            </w:r>
            <w:r>
              <w:rPr>
                <w:rFonts w:hint="default" w:ascii="Times New Roman" w:hAnsi="Times New Roman" w:eastAsia="宋体" w:cs="Times New Roman"/>
                <w:b/>
                <w:color w:val="auto"/>
                <w:sz w:val="24"/>
                <w:highlight w:val="none"/>
                <w:lang w:val="en-US" w:eastAsia="zh-CN"/>
              </w:rPr>
              <w:t>简述</w:t>
            </w:r>
            <w:r>
              <w:rPr>
                <w:rFonts w:hint="default" w:ascii="Times New Roman" w:hAnsi="Times New Roman" w:eastAsia="宋体" w:cs="Times New Roman"/>
                <w:b/>
                <w:color w:val="auto"/>
                <w:sz w:val="24"/>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val="zh-CN" w:eastAsia="zh-CN"/>
              </w:rPr>
            </w:pPr>
            <w:r>
              <w:rPr>
                <w:rFonts w:hint="default" w:ascii="Times New Roman" w:hAnsi="Times New Roman" w:eastAsia="宋体" w:cs="Times New Roman"/>
                <w:b/>
                <w:bCs/>
                <w:color w:val="auto"/>
                <w:sz w:val="24"/>
                <w:szCs w:val="24"/>
                <w:lang w:val="zh-CN" w:eastAsia="zh-CN"/>
              </w:rPr>
              <w:t>1）原料贮存</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lang w:val="zh-CN" w:eastAsia="zh-CN"/>
              </w:rPr>
            </w:pPr>
            <w:r>
              <w:rPr>
                <w:rFonts w:hint="default" w:ascii="Times New Roman" w:hAnsi="Times New Roman" w:eastAsia="宋体" w:cs="Times New Roman"/>
                <w:color w:val="auto"/>
                <w:sz w:val="24"/>
                <w:szCs w:val="24"/>
                <w:lang w:eastAsia="zh-CN"/>
              </w:rPr>
              <w:t>项目生产泡沫箱使用原料为可发性聚苯乙烯（EPS）</w:t>
            </w:r>
            <w:r>
              <w:rPr>
                <w:rFonts w:hint="default" w:ascii="Times New Roman" w:hAnsi="Times New Roman" w:eastAsia="宋体" w:cs="Times New Roman"/>
                <w:color w:val="auto"/>
                <w:sz w:val="24"/>
                <w:szCs w:val="24"/>
                <w:lang w:val="en-US" w:eastAsia="zh-CN"/>
              </w:rPr>
              <w:t>新料</w:t>
            </w:r>
            <w:r>
              <w:rPr>
                <w:rFonts w:hint="default" w:ascii="Times New Roman" w:hAnsi="Times New Roman" w:eastAsia="宋体" w:cs="Times New Roman"/>
                <w:color w:val="auto"/>
                <w:sz w:val="24"/>
                <w:szCs w:val="24"/>
                <w:lang w:eastAsia="zh-CN"/>
              </w:rPr>
              <w:t>，原料呈珠粒状，珠粒</w:t>
            </w:r>
            <w:r>
              <w:rPr>
                <w:rFonts w:hint="default" w:ascii="Times New Roman" w:hAnsi="Times New Roman" w:eastAsia="宋体" w:cs="Times New Roman"/>
                <w:color w:val="auto"/>
                <w:sz w:val="24"/>
                <w:szCs w:val="24"/>
              </w:rPr>
              <w:t>直径为0.7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1.0mm</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25kg</w:t>
            </w:r>
            <w:r>
              <w:rPr>
                <w:rFonts w:hint="default" w:ascii="Times New Roman" w:hAnsi="Times New Roman" w:eastAsia="宋体" w:cs="Times New Roman"/>
                <w:color w:val="auto"/>
                <w:sz w:val="24"/>
                <w:szCs w:val="24"/>
                <w:highlight w:val="none"/>
                <w:lang w:val="zh-CN" w:eastAsia="zh-CN"/>
              </w:rPr>
              <w:t>/袋）</w:t>
            </w:r>
            <w:r>
              <w:rPr>
                <w:rFonts w:hint="default" w:ascii="Times New Roman" w:hAnsi="Times New Roman" w:eastAsia="宋体" w:cs="Times New Roman"/>
                <w:color w:val="auto"/>
                <w:sz w:val="24"/>
                <w:szCs w:val="24"/>
              </w:rPr>
              <w:t>。原料珠粒内含有发泡剂，发泡剂为戊烷，戊烷含量约为2-4%的重量，发泡剂在珠粒内以液态形式储存。</w:t>
            </w:r>
            <w:r>
              <w:rPr>
                <w:rFonts w:hint="default" w:ascii="Times New Roman" w:hAnsi="Times New Roman" w:eastAsia="宋体" w:cs="Times New Roman"/>
                <w:color w:val="auto"/>
                <w:sz w:val="24"/>
                <w:szCs w:val="24"/>
                <w:lang w:eastAsia="zh-CN"/>
              </w:rPr>
              <w:t>原料进厂后</w:t>
            </w:r>
            <w:r>
              <w:rPr>
                <w:rFonts w:hint="default" w:ascii="Times New Roman" w:hAnsi="Times New Roman" w:eastAsia="宋体" w:cs="Times New Roman"/>
                <w:color w:val="auto"/>
                <w:sz w:val="24"/>
                <w:szCs w:val="24"/>
                <w:highlight w:val="none"/>
                <w:lang w:val="zh-CN" w:eastAsia="zh-CN"/>
              </w:rPr>
              <w:t>用叉车搬运</w:t>
            </w:r>
            <w:r>
              <w:rPr>
                <w:rFonts w:hint="default" w:ascii="Times New Roman" w:hAnsi="Times New Roman" w:eastAsia="宋体" w:cs="Times New Roman"/>
                <w:color w:val="auto"/>
                <w:sz w:val="24"/>
                <w:szCs w:val="24"/>
                <w:lang w:val="zh-CN" w:eastAsia="zh-CN"/>
              </w:rPr>
              <w:t>到泡沫箱生产车间原料储存区，储存条件为常温、干燥环境。</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default" w:ascii="Times New Roman" w:hAnsi="Times New Roman" w:eastAsia="宋体" w:cs="Times New Roman"/>
                <w:b/>
                <w:bCs/>
                <w:color w:val="auto"/>
                <w:sz w:val="24"/>
                <w:szCs w:val="24"/>
                <w:lang w:val="zh-CN" w:eastAsia="zh-CN"/>
              </w:rPr>
            </w:pPr>
            <w:r>
              <w:rPr>
                <w:rFonts w:hint="default" w:ascii="Times New Roman" w:hAnsi="Times New Roman" w:eastAsia="宋体" w:cs="Times New Roman"/>
                <w:b/>
                <w:bCs/>
                <w:color w:val="auto"/>
                <w:sz w:val="24"/>
                <w:szCs w:val="24"/>
                <w:lang w:val="zh-CN" w:eastAsia="zh-CN"/>
              </w:rPr>
              <w:t>2）开包、计量、上料工序</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lang w:val="zh-CN" w:eastAsia="zh-CN"/>
              </w:rPr>
              <w:t>用叉车将原料仓库内的原料搬运到生产车间计量工序，人工开包拆除原料包</w:t>
            </w:r>
            <w:r>
              <w:rPr>
                <w:rFonts w:hint="default" w:ascii="Times New Roman" w:hAnsi="Times New Roman" w:eastAsia="宋体" w:cs="Times New Roman"/>
                <w:color w:val="auto"/>
                <w:sz w:val="24"/>
                <w:szCs w:val="24"/>
                <w:highlight w:val="none"/>
                <w:lang w:val="zh-CN" w:eastAsia="zh-CN"/>
              </w:rPr>
              <w:t>装的封口线，合格的原辅材料</w:t>
            </w:r>
            <w:r>
              <w:rPr>
                <w:rFonts w:hint="default" w:ascii="Times New Roman" w:hAnsi="Times New Roman" w:eastAsia="宋体" w:cs="Times New Roman"/>
                <w:color w:val="auto"/>
                <w:sz w:val="24"/>
                <w:szCs w:val="24"/>
              </w:rPr>
              <w:t>可发性聚苯乙烯（EPS）</w:t>
            </w:r>
            <w:r>
              <w:rPr>
                <w:rFonts w:hint="default" w:ascii="Times New Roman" w:hAnsi="Times New Roman" w:eastAsia="宋体" w:cs="Times New Roman"/>
                <w:color w:val="auto"/>
                <w:sz w:val="24"/>
                <w:szCs w:val="24"/>
                <w:highlight w:val="none"/>
                <w:lang w:val="zh-CN" w:eastAsia="zh-CN"/>
              </w:rPr>
              <w:t>按工艺要求倒入发泡机的进料仓内，</w:t>
            </w:r>
            <w:r>
              <w:rPr>
                <w:rFonts w:hint="eastAsia" w:cs="Times New Roman"/>
                <w:color w:val="auto"/>
                <w:sz w:val="24"/>
                <w:szCs w:val="24"/>
                <w:highlight w:val="none"/>
                <w:lang w:val="zh-CN" w:eastAsia="zh-CN"/>
              </w:rPr>
              <w:t>发泡机自带抽料风机将原料吸进发泡机</w:t>
            </w:r>
            <w:r>
              <w:rPr>
                <w:rFonts w:hint="default" w:ascii="Times New Roman" w:hAnsi="Times New Roman" w:eastAsia="宋体" w:cs="Times New Roman"/>
                <w:color w:val="auto"/>
                <w:sz w:val="24"/>
                <w:szCs w:val="24"/>
                <w:highlight w:val="none"/>
                <w:lang w:val="zh-CN" w:eastAsia="zh-CN"/>
              </w:rPr>
              <w:t>。生产过程仅使用</w:t>
            </w:r>
            <w:r>
              <w:rPr>
                <w:rFonts w:hint="default" w:ascii="Times New Roman" w:hAnsi="Times New Roman" w:eastAsia="宋体" w:cs="Times New Roman"/>
                <w:color w:val="auto"/>
                <w:sz w:val="24"/>
                <w:szCs w:val="24"/>
              </w:rPr>
              <w:t>可发性聚苯乙烯（EPS）</w:t>
            </w:r>
            <w:r>
              <w:rPr>
                <w:rFonts w:hint="default" w:ascii="Times New Roman" w:hAnsi="Times New Roman" w:eastAsia="宋体" w:cs="Times New Roman"/>
                <w:color w:val="auto"/>
                <w:sz w:val="24"/>
                <w:szCs w:val="24"/>
                <w:lang w:eastAsia="zh-CN"/>
              </w:rPr>
              <w:t>新料</w:t>
            </w:r>
            <w:r>
              <w:rPr>
                <w:rFonts w:hint="default" w:ascii="Times New Roman" w:hAnsi="Times New Roman" w:eastAsia="宋体" w:cs="Times New Roman"/>
                <w:color w:val="auto"/>
                <w:sz w:val="24"/>
                <w:szCs w:val="24"/>
                <w:highlight w:val="none"/>
                <w:lang w:val="zh-CN" w:eastAsia="zh-CN"/>
              </w:rPr>
              <w:t>作为原料，不添加其他任何辅料。</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lang w:eastAsia="zh-CN"/>
              </w:rPr>
              <w:t>此过程拆除原料时会产生废包装材料</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rPr>
              <w:t>，进料机运行时产生噪声</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2" w:firstLineChars="200"/>
              <w:textAlignment w:val="auto"/>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预发泡</w:t>
            </w:r>
            <w:r>
              <w:rPr>
                <w:rFonts w:hint="default" w:ascii="Times New Roman" w:hAnsi="Times New Roman" w:eastAsia="宋体" w:cs="Times New Roman"/>
                <w:b/>
                <w:bCs w:val="0"/>
                <w:color w:val="auto"/>
                <w:sz w:val="24"/>
                <w:szCs w:val="24"/>
                <w:lang w:eastAsia="zh-CN"/>
              </w:rPr>
              <w:t>（</w:t>
            </w:r>
            <w:r>
              <w:rPr>
                <w:rFonts w:hint="default" w:ascii="Times New Roman" w:hAnsi="Times New Roman" w:eastAsia="宋体" w:cs="Times New Roman"/>
                <w:b/>
                <w:bCs w:val="0"/>
                <w:color w:val="auto"/>
                <w:sz w:val="24"/>
                <w:szCs w:val="24"/>
              </w:rPr>
              <w:t>进料机—预发泡桶—</w:t>
            </w:r>
            <w:r>
              <w:rPr>
                <w:rFonts w:hint="default" w:ascii="Times New Roman" w:hAnsi="Times New Roman" w:eastAsia="宋体" w:cs="Times New Roman"/>
                <w:b/>
                <w:bCs w:val="0"/>
                <w:color w:val="auto"/>
                <w:sz w:val="24"/>
                <w:szCs w:val="24"/>
                <w:lang w:eastAsia="zh-CN"/>
              </w:rPr>
              <w:t>出料—</w:t>
            </w:r>
            <w:r>
              <w:rPr>
                <w:rFonts w:hint="default" w:ascii="Times New Roman" w:hAnsi="Times New Roman" w:eastAsia="宋体" w:cs="Times New Roman"/>
                <w:b/>
                <w:bCs w:val="0"/>
                <w:color w:val="auto"/>
                <w:sz w:val="24"/>
                <w:szCs w:val="24"/>
              </w:rPr>
              <w:t>流化床</w:t>
            </w:r>
            <w:r>
              <w:rPr>
                <w:rFonts w:hint="default" w:ascii="Times New Roman" w:hAnsi="Times New Roman" w:eastAsia="宋体" w:cs="Times New Roman"/>
                <w:b/>
                <w:bCs w:val="0"/>
                <w:color w:val="auto"/>
                <w:sz w:val="24"/>
                <w:szCs w:val="24"/>
                <w:lang w:eastAsia="zh-CN"/>
              </w:rPr>
              <w:t>干燥）</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预发泡过程通过进料机—预发泡桶—</w:t>
            </w:r>
            <w:r>
              <w:rPr>
                <w:rFonts w:hint="default" w:ascii="Times New Roman" w:hAnsi="Times New Roman" w:eastAsia="宋体" w:cs="Times New Roman"/>
                <w:color w:val="auto"/>
                <w:sz w:val="24"/>
                <w:szCs w:val="24"/>
                <w:lang w:eastAsia="zh-CN"/>
              </w:rPr>
              <w:t>出料—</w:t>
            </w:r>
            <w:r>
              <w:rPr>
                <w:rFonts w:hint="default" w:ascii="Times New Roman" w:hAnsi="Times New Roman" w:eastAsia="宋体" w:cs="Times New Roman"/>
                <w:color w:val="auto"/>
                <w:sz w:val="24"/>
                <w:szCs w:val="24"/>
              </w:rPr>
              <w:t>流化床</w:t>
            </w:r>
            <w:r>
              <w:rPr>
                <w:rFonts w:hint="default" w:ascii="Times New Roman" w:hAnsi="Times New Roman" w:eastAsia="宋体" w:cs="Times New Roman"/>
                <w:color w:val="auto"/>
                <w:sz w:val="24"/>
                <w:szCs w:val="24"/>
                <w:lang w:eastAsia="zh-CN"/>
              </w:rPr>
              <w:t>干燥</w:t>
            </w:r>
            <w:r>
              <w:rPr>
                <w:rFonts w:hint="default" w:ascii="Times New Roman" w:hAnsi="Times New Roman" w:eastAsia="宋体" w:cs="Times New Roman"/>
                <w:color w:val="auto"/>
                <w:sz w:val="24"/>
                <w:szCs w:val="24"/>
              </w:rPr>
              <w:t>完成，预发泡能量来源为干燥的饱和蒸汽。EPS珠粒通过进料机投入预发泡桶，再通入饱和蒸汽后</w:t>
            </w:r>
            <w:r>
              <w:rPr>
                <w:rFonts w:hint="default" w:ascii="Times New Roman" w:hAnsi="Times New Roman" w:eastAsia="宋体" w:cs="Times New Roman"/>
                <w:color w:val="auto"/>
                <w:sz w:val="24"/>
                <w:szCs w:val="24"/>
                <w:lang w:eastAsia="zh-CN"/>
              </w:rPr>
              <w:t>进行预发泡（蒸汽和物料直接接触）</w:t>
            </w:r>
            <w:r>
              <w:rPr>
                <w:rFonts w:hint="default" w:ascii="Times New Roman" w:hAnsi="Times New Roman" w:eastAsia="宋体" w:cs="Times New Roman"/>
                <w:color w:val="auto"/>
                <w:sz w:val="24"/>
                <w:szCs w:val="24"/>
              </w:rPr>
              <w:t>，蒸汽在EPS珠粒内冷凝，释放出热量以软化EPS，并使EPS珠粒内的发泡剂（戊烷）开始沸腾气化，气化的戊烷气体增加了EPS珠粒内的压力，从而使EPS珠粒膨胀。预发泡时预发泡桶内的蒸汽压力为</w:t>
            </w:r>
            <w:r>
              <w:rPr>
                <w:rFonts w:hint="default" w:ascii="Times New Roman" w:hAnsi="Times New Roman" w:eastAsia="宋体" w:cs="Times New Roman"/>
                <w:b w:val="0"/>
                <w:bCs w:val="0"/>
                <w:color w:val="auto"/>
                <w:sz w:val="24"/>
                <w:szCs w:val="24"/>
              </w:rPr>
              <w:t>0.</w:t>
            </w:r>
            <w:r>
              <w:rPr>
                <w:rFonts w:hint="default" w:ascii="Times New Roman" w:hAnsi="Times New Roman" w:eastAsia="宋体" w:cs="Times New Roman"/>
                <w:b w:val="0"/>
                <w:bCs w:val="0"/>
                <w:color w:val="auto"/>
                <w:sz w:val="24"/>
                <w:szCs w:val="24"/>
                <w:lang w:val="en-US" w:eastAsia="zh-CN"/>
              </w:rPr>
              <w:t>5-0.75kpa</w:t>
            </w:r>
            <w:r>
              <w:rPr>
                <w:rFonts w:hint="default" w:ascii="Times New Roman" w:hAnsi="Times New Roman" w:eastAsia="宋体" w:cs="Times New Roman"/>
                <w:b w:val="0"/>
                <w:bCs w:val="0"/>
                <w:color w:val="auto"/>
                <w:sz w:val="24"/>
                <w:szCs w:val="24"/>
              </w:rPr>
              <w:t>，此时</w:t>
            </w:r>
            <w:r>
              <w:rPr>
                <w:rFonts w:hint="default" w:ascii="Times New Roman" w:hAnsi="Times New Roman" w:eastAsia="宋体" w:cs="Times New Roman"/>
                <w:b w:val="0"/>
                <w:bCs w:val="0"/>
                <w:color w:val="auto"/>
                <w:sz w:val="24"/>
                <w:szCs w:val="24"/>
                <w:lang w:eastAsia="zh-CN"/>
              </w:rPr>
              <w:t>桶体</w:t>
            </w:r>
            <w:r>
              <w:rPr>
                <w:rFonts w:hint="default" w:ascii="Times New Roman" w:hAnsi="Times New Roman" w:eastAsia="宋体" w:cs="Times New Roman"/>
                <w:b w:val="0"/>
                <w:bCs w:val="0"/>
                <w:color w:val="auto"/>
                <w:sz w:val="24"/>
                <w:szCs w:val="24"/>
              </w:rPr>
              <w:t>温度为</w:t>
            </w:r>
            <w:r>
              <w:rPr>
                <w:rFonts w:hint="default" w:ascii="Times New Roman" w:hAnsi="Times New Roman" w:eastAsia="宋体" w:cs="Times New Roman"/>
                <w:b w:val="0"/>
                <w:bCs w:val="0"/>
                <w:color w:val="auto"/>
                <w:sz w:val="24"/>
                <w:szCs w:val="24"/>
                <w:lang w:val="en-US" w:eastAsia="zh-CN"/>
              </w:rPr>
              <w:t>98</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102</w:t>
            </w:r>
            <w:r>
              <w:rPr>
                <w:rFonts w:hint="default" w:ascii="Times New Roman" w:hAnsi="Times New Roman" w:eastAsia="宋体" w:cs="Times New Roman"/>
                <w:b w:val="0"/>
                <w:bCs w:val="0"/>
                <w:color w:val="auto"/>
                <w:sz w:val="24"/>
                <w:szCs w:val="24"/>
              </w:rPr>
              <w:t>℃。预发泡时过湿的蒸汽缺少足够的热量，水</w:t>
            </w:r>
            <w:r>
              <w:rPr>
                <w:rFonts w:hint="default" w:ascii="Times New Roman" w:hAnsi="Times New Roman" w:eastAsia="宋体" w:cs="Times New Roman"/>
                <w:color w:val="auto"/>
                <w:sz w:val="24"/>
                <w:szCs w:val="24"/>
              </w:rPr>
              <w:t>分多，会造成发泡好的EPS密度过高并且在EPS珠粒传输时产生问题，因此在蒸汽进入预发泡机前应先将冷凝水排除，需在蒸汽管的底部安装排水阀</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szCs w:val="24"/>
                <w:lang w:eastAsia="zh-CN"/>
              </w:rPr>
              <w:t>冷凝水通过管道流入冷却循环水池后循环</w:t>
            </w:r>
            <w:r>
              <w:rPr>
                <w:rFonts w:hint="default" w:ascii="Times New Roman" w:hAnsi="Times New Roman" w:eastAsia="宋体" w:cs="Times New Roman"/>
                <w:color w:val="auto"/>
                <w:sz w:val="24"/>
                <w:szCs w:val="24"/>
                <w:highlight w:val="none"/>
                <w:lang w:eastAsia="zh-CN"/>
              </w:rPr>
              <w:t>使用</w:t>
            </w:r>
            <w:r>
              <w:rPr>
                <w:rFonts w:hint="default" w:ascii="Times New Roman" w:hAnsi="Times New Roman" w:eastAsia="宋体" w:cs="Times New Roman"/>
                <w:color w:val="auto"/>
                <w:sz w:val="24"/>
                <w:szCs w:val="24"/>
                <w:highlight w:val="none"/>
              </w:rPr>
              <w:t>。</w:t>
            </w:r>
          </w:p>
          <w:p>
            <w:pPr>
              <w:widowControl w:val="0"/>
              <w:spacing w:line="360" w:lineRule="auto"/>
              <w:ind w:firstLine="504"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pacing w:val="6"/>
                <w:sz w:val="24"/>
                <w:szCs w:val="24"/>
                <w:highlight w:val="none"/>
              </w:rPr>
              <w:t>本项目</w:t>
            </w:r>
            <w:r>
              <w:rPr>
                <w:rFonts w:hint="default" w:ascii="Times New Roman" w:hAnsi="Times New Roman" w:eastAsia="宋体" w:cs="Times New Roman"/>
                <w:bCs/>
                <w:color w:val="auto"/>
                <w:spacing w:val="6"/>
                <w:sz w:val="24"/>
                <w:szCs w:val="24"/>
                <w:highlight w:val="none"/>
                <w:lang w:eastAsia="zh-CN"/>
              </w:rPr>
              <w:t>拟</w:t>
            </w:r>
            <w:r>
              <w:rPr>
                <w:rFonts w:hint="default" w:ascii="Times New Roman" w:hAnsi="Times New Roman" w:eastAsia="宋体" w:cs="Times New Roman"/>
                <w:bCs/>
                <w:color w:val="auto"/>
                <w:spacing w:val="6"/>
                <w:sz w:val="24"/>
                <w:szCs w:val="24"/>
                <w:highlight w:val="none"/>
              </w:rPr>
              <w:t>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台</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t/h</w:t>
            </w:r>
            <w:r>
              <w:rPr>
                <w:rFonts w:hint="default" w:ascii="Times New Roman" w:hAnsi="Times New Roman" w:eastAsia="宋体" w:cs="Times New Roman"/>
                <w:bCs/>
                <w:color w:val="auto"/>
                <w:spacing w:val="6"/>
                <w:sz w:val="24"/>
                <w:szCs w:val="24"/>
                <w:highlight w:val="none"/>
                <w:lang w:val="en-US" w:eastAsia="zh-CN"/>
              </w:rPr>
              <w:t>的生</w:t>
            </w:r>
            <w:r>
              <w:rPr>
                <w:rFonts w:hint="default" w:ascii="Times New Roman" w:hAnsi="Times New Roman" w:eastAsia="宋体" w:cs="Times New Roman"/>
                <w:bCs/>
                <w:color w:val="auto"/>
                <w:spacing w:val="6"/>
                <w:sz w:val="24"/>
                <w:lang w:val="en-US" w:eastAsia="zh-CN"/>
              </w:rPr>
              <w:t>物质蒸汽锅炉</w:t>
            </w:r>
            <w:r>
              <w:rPr>
                <w:rFonts w:hint="eastAsia" w:cs="Times New Roman"/>
                <w:bCs/>
                <w:color w:val="auto"/>
                <w:spacing w:val="6"/>
                <w:sz w:val="24"/>
                <w:lang w:val="en-US" w:eastAsia="zh-CN"/>
              </w:rPr>
              <w:t>（一用一备）</w:t>
            </w:r>
            <w:r>
              <w:rPr>
                <w:rFonts w:hint="default" w:ascii="Times New Roman" w:hAnsi="Times New Roman" w:eastAsia="宋体" w:cs="Times New Roman"/>
                <w:bCs/>
                <w:color w:val="auto"/>
                <w:spacing w:val="6"/>
                <w:sz w:val="24"/>
                <w:lang w:val="en-US" w:eastAsia="zh-CN"/>
              </w:rPr>
              <w:t>为泡沫箱生产过程提供热量</w:t>
            </w:r>
            <w:r>
              <w:rPr>
                <w:rFonts w:hint="default" w:ascii="Times New Roman" w:hAnsi="Times New Roman" w:eastAsia="宋体" w:cs="Times New Roman"/>
                <w:color w:val="auto"/>
                <w:sz w:val="24"/>
                <w:szCs w:val="24"/>
              </w:rPr>
              <w:t>，使用</w:t>
            </w:r>
            <w:r>
              <w:rPr>
                <w:rFonts w:hint="default" w:ascii="Times New Roman" w:hAnsi="Times New Roman" w:eastAsia="宋体" w:cs="Times New Roman"/>
                <w:color w:val="auto"/>
                <w:sz w:val="24"/>
                <w:szCs w:val="24"/>
                <w:lang w:val="en-US" w:eastAsia="zh-CN"/>
              </w:rPr>
              <w:t>生物质为</w:t>
            </w:r>
            <w:r>
              <w:rPr>
                <w:rFonts w:hint="default" w:ascii="Times New Roman" w:hAnsi="Times New Roman" w:eastAsia="宋体" w:cs="Times New Roman"/>
                <w:color w:val="auto"/>
                <w:sz w:val="24"/>
                <w:szCs w:val="24"/>
              </w:rPr>
              <w:t>燃料，锅炉在运行时产生锅炉废气</w:t>
            </w:r>
            <w:r>
              <w:rPr>
                <w:rFonts w:hint="default" w:ascii="Times New Roman" w:hAnsi="Times New Roman" w:eastAsia="宋体" w:cs="Times New Roman"/>
                <w:color w:val="auto"/>
                <w:sz w:val="24"/>
                <w:szCs w:val="24"/>
                <w:lang w:val="en-US" w:eastAsia="zh-CN"/>
              </w:rPr>
              <w:t>G</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风机噪声</w:t>
            </w:r>
            <w:r>
              <w:rPr>
                <w:rFonts w:hint="default" w:ascii="Times New Roman" w:hAnsi="Times New Roman" w:eastAsia="宋体" w:cs="Times New Roman"/>
                <w:color w:val="auto"/>
                <w:sz w:val="24"/>
                <w:szCs w:val="24"/>
                <w:lang w:val="en-US" w:eastAsia="zh-CN"/>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及</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锅炉排污水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rPr>
              <w:t>。</w:t>
            </w:r>
          </w:p>
          <w:p>
            <w:pPr>
              <w:widowControl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预发泡过程中</w:t>
            </w:r>
            <w:r>
              <w:rPr>
                <w:rFonts w:hint="default" w:ascii="Times New Roman" w:hAnsi="Times New Roman" w:eastAsia="宋体" w:cs="Times New Roman"/>
                <w:color w:val="auto"/>
                <w:sz w:val="24"/>
                <w:szCs w:val="24"/>
                <w:lang w:val="en-US" w:eastAsia="zh-CN"/>
              </w:rPr>
              <w:t>设备</w:t>
            </w:r>
            <w:r>
              <w:rPr>
                <w:rFonts w:hint="default" w:ascii="Times New Roman" w:hAnsi="Times New Roman" w:eastAsia="宋体" w:cs="Times New Roman"/>
                <w:color w:val="auto"/>
                <w:sz w:val="24"/>
                <w:szCs w:val="24"/>
              </w:rPr>
              <w:t>运行时产生</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N</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聚苯乙烯及发泡剂受热</w:t>
            </w:r>
            <w:r>
              <w:rPr>
                <w:rFonts w:hint="default" w:ascii="Times New Roman" w:hAnsi="Times New Roman" w:eastAsia="宋体" w:cs="Times New Roman"/>
                <w:color w:val="auto"/>
                <w:sz w:val="24"/>
                <w:szCs w:val="24"/>
                <w:highlight w:val="none"/>
                <w:lang w:val="en-US" w:eastAsia="zh-CN"/>
              </w:rPr>
              <w:t>产生</w:t>
            </w:r>
            <w:r>
              <w:rPr>
                <w:rFonts w:hint="default" w:ascii="Times New Roman" w:hAnsi="Times New Roman" w:eastAsia="宋体" w:cs="Times New Roman"/>
                <w:color w:val="auto"/>
                <w:sz w:val="24"/>
                <w:szCs w:val="24"/>
                <w:highlight w:val="none"/>
              </w:rPr>
              <w:t>废气</w:t>
            </w:r>
            <w:r>
              <w:rPr>
                <w:rFonts w:hint="default" w:ascii="Times New Roman" w:hAnsi="Times New Roman" w:eastAsia="宋体" w:cs="Times New Roman"/>
                <w:color w:val="auto"/>
                <w:sz w:val="24"/>
                <w:szCs w:val="24"/>
                <w:highlight w:val="none"/>
                <w:lang w:val="en-US" w:eastAsia="zh-CN"/>
              </w:rPr>
              <w:t>G</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主要为甲苯、乙苯、苯乙烯及</w:t>
            </w:r>
            <w:r>
              <w:rPr>
                <w:rFonts w:hint="default" w:ascii="Times New Roman" w:hAnsi="Times New Roman" w:eastAsia="宋体" w:cs="Times New Roman"/>
                <w:color w:val="auto"/>
                <w:sz w:val="24"/>
                <w:szCs w:val="24"/>
                <w:highlight w:val="none"/>
              </w:rPr>
              <w:t>非甲烷总烃</w:t>
            </w:r>
            <w:r>
              <w:rPr>
                <w:rFonts w:hint="eastAsia" w:cs="Times New Roman"/>
                <w:color w:val="auto"/>
                <w:sz w:val="24"/>
                <w:szCs w:val="24"/>
                <w:highlight w:val="none"/>
                <w:lang w:eastAsia="zh-CN"/>
              </w:rPr>
              <w:t>、臭气浓度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lang w:eastAsia="zh-CN"/>
              </w:rPr>
              <w:t>发泡受热不均匀会产生不合格颗粒</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还会产生一定量的</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szCs w:val="24"/>
              </w:rPr>
              <w:t>冷凝水</w:t>
            </w:r>
            <w:r>
              <w:rPr>
                <w:rFonts w:hint="default" w:ascii="Times New Roman" w:hAnsi="Times New Roman" w:eastAsia="宋体" w:cs="Times New Roman"/>
                <w:color w:val="auto"/>
                <w:sz w:val="24"/>
                <w:szCs w:val="24"/>
                <w:lang w:val="en-US" w:eastAsia="en-US"/>
              </w:rPr>
              <w:t>W</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4）</w:t>
            </w:r>
            <w:r>
              <w:rPr>
                <w:rFonts w:hint="default" w:ascii="Times New Roman" w:hAnsi="Times New Roman" w:eastAsia="宋体" w:cs="Times New Roman"/>
                <w:b/>
                <w:color w:val="auto"/>
                <w:sz w:val="24"/>
                <w:szCs w:val="24"/>
              </w:rPr>
              <w:t>熟化</w:t>
            </w:r>
          </w:p>
          <w:p>
            <w:pPr>
              <w:widowControl w:val="0"/>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预发泡好的泡粒因部分发泡剂挥发逃逸、残留发泡剂受冷凝结体积缩小以及EPS珠粒内部的蒸汽凝结造成EPS珠粒内部的暂时真空以及对压力十分敏感，必须存放一段时间，让空气渗透到EPS珠粒内部以平衡其内外压力并使得EPS珠粒稳定。熟化过程在熟化仓内进行，熟化仓采用透气性能良好和有金属条纹的结构以防止静电。熟化时通入空气，以缩短熟化时间，熟化时间一般为4-8小时</w:t>
            </w:r>
            <w:r>
              <w:rPr>
                <w:rFonts w:hint="default" w:ascii="Times New Roman" w:hAnsi="Times New Roman" w:eastAsia="宋体" w:cs="Times New Roman"/>
                <w:color w:val="auto"/>
                <w:sz w:val="24"/>
                <w:szCs w:val="24"/>
                <w:lang w:val="zh-CN"/>
              </w:rPr>
              <w:t>，可根据外界温度调整熟化时间。熟化的目的为避免从发泡机出来的原料因骤冷造成回缩再反弹回去，空气通过泡孔膜渗透到泡孔内部，使泡孔内的压力与外界的压力平衡，颗粒更加有弹性。</w:t>
            </w:r>
            <w:r>
              <w:rPr>
                <w:rFonts w:hint="default" w:ascii="Times New Roman" w:hAnsi="Times New Roman" w:eastAsia="宋体" w:cs="Times New Roman"/>
                <w:color w:val="auto"/>
                <w:sz w:val="24"/>
                <w:szCs w:val="24"/>
                <w:highlight w:val="none"/>
              </w:rPr>
              <w:t>熟化所需空气</w:t>
            </w:r>
            <w:r>
              <w:rPr>
                <w:rFonts w:hint="default" w:ascii="Times New Roman" w:hAnsi="Times New Roman" w:eastAsia="宋体" w:cs="Times New Roman"/>
                <w:color w:val="auto"/>
                <w:sz w:val="24"/>
                <w:szCs w:val="24"/>
                <w:highlight w:val="none"/>
                <w:lang w:eastAsia="zh-CN"/>
              </w:rPr>
              <w:t>为自然空气，</w:t>
            </w:r>
            <w:r>
              <w:rPr>
                <w:rFonts w:hint="default" w:ascii="Times New Roman" w:hAnsi="Times New Roman" w:eastAsia="宋体" w:cs="Times New Roman"/>
                <w:color w:val="auto"/>
                <w:sz w:val="24"/>
                <w:szCs w:val="24"/>
                <w:lang w:eastAsia="zh-CN"/>
              </w:rPr>
              <w:t>熟化过程</w:t>
            </w:r>
            <w:r>
              <w:rPr>
                <w:rFonts w:hint="default" w:ascii="Times New Roman" w:hAnsi="Times New Roman" w:eastAsia="宋体" w:cs="Times New Roman"/>
                <w:color w:val="auto"/>
                <w:sz w:val="24"/>
                <w:szCs w:val="24"/>
                <w:lang w:val="en-US" w:eastAsia="zh-CN"/>
              </w:rPr>
              <w:t>无</w:t>
            </w:r>
            <w:r>
              <w:rPr>
                <w:rFonts w:hint="default" w:ascii="Times New Roman" w:hAnsi="Times New Roman" w:eastAsia="宋体" w:cs="Times New Roman"/>
                <w:color w:val="auto"/>
                <w:sz w:val="24"/>
                <w:szCs w:val="24"/>
                <w:lang w:eastAsia="zh-CN"/>
              </w:rPr>
              <w:t>废气产生。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val="0"/>
                <w:color w:val="auto"/>
                <w:sz w:val="24"/>
                <w:szCs w:val="24"/>
                <w:lang w:eastAsia="zh-CN"/>
              </w:rPr>
            </w:pPr>
            <w:r>
              <w:rPr>
                <w:rFonts w:hint="default"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rPr>
              <w:t>）成型</w:t>
            </w:r>
            <w:r>
              <w:rPr>
                <w:rFonts w:hint="default" w:ascii="Times New Roman" w:hAnsi="Times New Roman" w:eastAsia="宋体" w:cs="Times New Roman"/>
                <w:b/>
                <w:bCs w:val="0"/>
                <w:color w:val="auto"/>
                <w:sz w:val="24"/>
                <w:szCs w:val="24"/>
                <w:lang w:eastAsia="zh-CN"/>
              </w:rPr>
              <w:t>（加压</w:t>
            </w:r>
            <w:r>
              <w:rPr>
                <w:rFonts w:hint="default" w:ascii="Times New Roman" w:hAnsi="Times New Roman" w:eastAsia="宋体" w:cs="Times New Roman"/>
                <w:b/>
                <w:bCs w:val="0"/>
                <w:color w:val="auto"/>
                <w:sz w:val="24"/>
                <w:szCs w:val="24"/>
              </w:rPr>
              <w:t>填料、蒸汽成型、冷却及脱模</w:t>
            </w:r>
            <w:r>
              <w:rPr>
                <w:rFonts w:hint="default" w:ascii="Times New Roman" w:hAnsi="Times New Roman" w:eastAsia="宋体" w:cs="Times New Roman"/>
                <w:b/>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rPr>
              <w:t>项目采用</w:t>
            </w:r>
            <w:r>
              <w:rPr>
                <w:rFonts w:hint="eastAsia" w:cs="Times New Roman"/>
                <w:color w:val="auto"/>
                <w:sz w:val="24"/>
                <w:szCs w:val="24"/>
                <w:highlight w:val="none"/>
                <w:lang w:val="en-US" w:eastAsia="zh-CN"/>
              </w:rPr>
              <w:t>35</w:t>
            </w:r>
            <w:r>
              <w:rPr>
                <w:rFonts w:hint="default" w:ascii="Times New Roman" w:hAnsi="Times New Roman" w:eastAsia="宋体" w:cs="Times New Roman"/>
                <w:color w:val="auto"/>
                <w:sz w:val="24"/>
                <w:szCs w:val="24"/>
                <w:highlight w:val="none"/>
              </w:rPr>
              <w:t>台EPS全自动</w:t>
            </w:r>
            <w:r>
              <w:rPr>
                <w:rFonts w:hint="eastAsia" w:cs="Times New Roman"/>
                <w:color w:val="auto"/>
                <w:sz w:val="24"/>
                <w:szCs w:val="24"/>
                <w:highlight w:val="none"/>
                <w:lang w:eastAsia="zh-CN"/>
              </w:rPr>
              <w:t>高效节能</w:t>
            </w:r>
            <w:r>
              <w:rPr>
                <w:rFonts w:hint="default" w:ascii="Times New Roman" w:hAnsi="Times New Roman" w:eastAsia="宋体" w:cs="Times New Roman"/>
                <w:color w:val="auto"/>
                <w:sz w:val="24"/>
                <w:szCs w:val="24"/>
              </w:rPr>
              <w:t>成型机成型，成型过程包括</w:t>
            </w:r>
            <w:r>
              <w:rPr>
                <w:rFonts w:hint="default" w:ascii="Times New Roman" w:hAnsi="Times New Roman" w:eastAsia="宋体" w:cs="Times New Roman"/>
                <w:color w:val="auto"/>
                <w:sz w:val="24"/>
                <w:szCs w:val="24"/>
                <w:lang w:eastAsia="zh-CN"/>
              </w:rPr>
              <w:t>加压</w:t>
            </w:r>
            <w:r>
              <w:rPr>
                <w:rFonts w:hint="default" w:ascii="Times New Roman" w:hAnsi="Times New Roman" w:eastAsia="宋体" w:cs="Times New Roman"/>
                <w:color w:val="auto"/>
                <w:sz w:val="24"/>
                <w:szCs w:val="24"/>
              </w:rPr>
              <w:t>填料、蒸汽成型、冷却及脱模四个过程。填料过程采用加压填料，项目所使用的全自动真空成型机自带加压系统，通过采用加压填料最多可以节省50%的进料时间。当EPS珠粒进入模腔中后，再次通入蒸汽，此时，模腔中EPS珠粒之间的剩余空气被蒸汽取代，</w:t>
            </w:r>
            <w:r>
              <w:rPr>
                <w:rFonts w:hint="default" w:ascii="Times New Roman" w:hAnsi="Times New Roman" w:eastAsia="宋体" w:cs="Times New Roman"/>
                <w:color w:val="auto"/>
                <w:sz w:val="24"/>
                <w:szCs w:val="24"/>
                <w:lang w:eastAsia="zh-CN"/>
              </w:rPr>
              <w:t>成型过程</w:t>
            </w:r>
            <w:r>
              <w:rPr>
                <w:rFonts w:hint="default" w:ascii="Times New Roman" w:hAnsi="Times New Roman" w:eastAsia="宋体" w:cs="Times New Roman"/>
                <w:color w:val="auto"/>
                <w:sz w:val="24"/>
                <w:szCs w:val="24"/>
              </w:rPr>
              <w:t>蒸汽压力</w:t>
            </w:r>
            <w:r>
              <w:rPr>
                <w:rFonts w:hint="default" w:ascii="Times New Roman" w:hAnsi="Times New Roman" w:eastAsia="宋体" w:cs="Times New Roman"/>
                <w:b w:val="0"/>
                <w:bCs w:val="0"/>
                <w:color w:val="auto"/>
                <w:sz w:val="24"/>
                <w:szCs w:val="24"/>
              </w:rPr>
              <w:t>为0.</w:t>
            </w:r>
            <w:r>
              <w:rPr>
                <w:rFonts w:hint="default" w:ascii="Times New Roman" w:hAnsi="Times New Roman" w:eastAsia="宋体" w:cs="Times New Roman"/>
                <w:b w:val="0"/>
                <w:bCs w:val="0"/>
                <w:color w:val="auto"/>
                <w:sz w:val="24"/>
                <w:szCs w:val="24"/>
                <w:lang w:val="en-US" w:eastAsia="zh-CN"/>
              </w:rPr>
              <w:t>5-0.75kpa</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模具</w:t>
            </w:r>
            <w:r>
              <w:rPr>
                <w:rFonts w:hint="default" w:ascii="Times New Roman" w:hAnsi="Times New Roman" w:eastAsia="宋体" w:cs="Times New Roman"/>
                <w:b w:val="0"/>
                <w:bCs w:val="0"/>
                <w:color w:val="auto"/>
                <w:sz w:val="24"/>
                <w:szCs w:val="24"/>
              </w:rPr>
              <w:t>温度为</w:t>
            </w:r>
            <w:r>
              <w:rPr>
                <w:rFonts w:hint="default" w:ascii="Times New Roman" w:hAnsi="Times New Roman" w:eastAsia="宋体" w:cs="Times New Roman"/>
                <w:b w:val="0"/>
                <w:bCs w:val="0"/>
                <w:color w:val="auto"/>
                <w:sz w:val="24"/>
                <w:szCs w:val="24"/>
                <w:lang w:val="en-US" w:eastAsia="zh-CN"/>
              </w:rPr>
              <w:t>80</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100</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（蒸汽与物料直接接触）</w:t>
            </w:r>
            <w:r>
              <w:rPr>
                <w:rFonts w:hint="default" w:ascii="Times New Roman" w:hAnsi="Times New Roman" w:eastAsia="宋体" w:cs="Times New Roman"/>
                <w:b w:val="0"/>
                <w:bCs w:val="0"/>
                <w:color w:val="auto"/>
                <w:sz w:val="24"/>
                <w:szCs w:val="24"/>
              </w:rPr>
              <w:t>。蒸</w:t>
            </w:r>
            <w:r>
              <w:rPr>
                <w:rFonts w:hint="default" w:ascii="Times New Roman" w:hAnsi="Times New Roman" w:eastAsia="宋体" w:cs="Times New Roman"/>
                <w:color w:val="auto"/>
                <w:sz w:val="24"/>
                <w:szCs w:val="24"/>
              </w:rPr>
              <w:t>汽软化EPS珠粒的表面，EPS珠粒之间开始有轻微的粘接，继续加入蒸汽后膨胀</w:t>
            </w:r>
            <w:r>
              <w:rPr>
                <w:rFonts w:hint="default" w:ascii="Times New Roman" w:hAnsi="Times New Roman" w:eastAsia="宋体" w:cs="Times New Roman"/>
                <w:color w:val="auto"/>
                <w:sz w:val="24"/>
                <w:szCs w:val="24"/>
                <w:highlight w:val="none"/>
              </w:rPr>
              <w:t>，达到熔结温度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EP</w:t>
            </w:r>
            <w:r>
              <w:rPr>
                <w:rFonts w:hint="default" w:ascii="Times New Roman" w:hAnsi="Times New Roman" w:eastAsia="宋体" w:cs="Times New Roman"/>
                <w:color w:val="auto"/>
                <w:sz w:val="24"/>
                <w:szCs w:val="24"/>
              </w:rPr>
              <w:t>S珠粒熔接在一起。冷却过程采用水冷和真空冷却结合的方式进行。首先将雾化的水喷到模具表面，以吸收大量的热量，使水被汽化，靠水分蒸发来吸收热量，将模具初步冷却，在汽室里制造真空，水分蒸发，把气态的水抽走，带走热量。脱模时采用顶杆脱模，在慢速开模时传送风将EPS产品推到脱模的一侧，当模具开到</w:t>
            </w:r>
            <w:r>
              <w:rPr>
                <w:rFonts w:hint="default" w:ascii="Times New Roman" w:hAnsi="Times New Roman" w:eastAsia="宋体" w:cs="Times New Roman"/>
                <w:color w:val="auto"/>
                <w:sz w:val="24"/>
                <w:szCs w:val="24"/>
                <w:highlight w:val="none"/>
              </w:rPr>
              <w:t>设定的位置时，开传送风以帮助部分脱模，然后由顶杆把产品推出来。</w:t>
            </w:r>
            <w:r>
              <w:rPr>
                <w:rFonts w:hint="default" w:ascii="Times New Roman" w:hAnsi="Times New Roman" w:eastAsia="宋体" w:cs="Times New Roman"/>
                <w:color w:val="auto"/>
                <w:sz w:val="24"/>
                <w:szCs w:val="24"/>
                <w:highlight w:val="none"/>
                <w:lang w:eastAsia="zh-CN"/>
              </w:rPr>
              <w:t>此过程使用的空气</w:t>
            </w:r>
            <w:r>
              <w:rPr>
                <w:rFonts w:hint="default" w:ascii="Times New Roman" w:hAnsi="Times New Roman" w:eastAsia="宋体" w:cs="Times New Roman"/>
                <w:color w:val="auto"/>
                <w:sz w:val="24"/>
                <w:szCs w:val="24"/>
                <w:highlight w:val="none"/>
              </w:rPr>
              <w:t>先经空压机进入空气储罐，再从空气储罐进入</w:t>
            </w:r>
            <w:r>
              <w:rPr>
                <w:rFonts w:hint="default" w:ascii="Times New Roman" w:hAnsi="Times New Roman" w:eastAsia="宋体" w:cs="Times New Roman"/>
                <w:color w:val="auto"/>
                <w:sz w:val="24"/>
                <w:szCs w:val="24"/>
                <w:highlight w:val="none"/>
                <w:lang w:eastAsia="zh-CN"/>
              </w:rPr>
              <w:t>成型机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空压机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成型过程中</w:t>
            </w:r>
            <w:r>
              <w:rPr>
                <w:rFonts w:hint="default" w:ascii="Times New Roman" w:hAnsi="Times New Roman" w:eastAsia="宋体" w:cs="Times New Roman"/>
                <w:color w:val="auto"/>
                <w:sz w:val="24"/>
                <w:szCs w:val="24"/>
                <w:lang w:eastAsia="zh-CN"/>
              </w:rPr>
              <w:t>加压</w:t>
            </w:r>
            <w:r>
              <w:rPr>
                <w:rFonts w:hint="default" w:ascii="Times New Roman" w:hAnsi="Times New Roman" w:eastAsia="宋体" w:cs="Times New Roman"/>
                <w:color w:val="auto"/>
                <w:sz w:val="24"/>
                <w:szCs w:val="24"/>
              </w:rPr>
              <w:t>填料、蒸汽成型及脱模</w:t>
            </w:r>
            <w:r>
              <w:rPr>
                <w:rFonts w:hint="default" w:ascii="Times New Roman" w:hAnsi="Times New Roman" w:eastAsia="宋体" w:cs="Times New Roman"/>
                <w:color w:val="auto"/>
                <w:sz w:val="24"/>
                <w:szCs w:val="24"/>
                <w:lang w:eastAsia="zh-CN"/>
              </w:rPr>
              <w:t>过程成型机均产生设备噪声</w:t>
            </w:r>
            <w:r>
              <w:rPr>
                <w:rFonts w:hint="default" w:ascii="Times New Roman" w:hAnsi="Times New Roman" w:eastAsia="宋体" w:cs="Times New Roman"/>
                <w:color w:val="auto"/>
                <w:sz w:val="24"/>
                <w:szCs w:val="24"/>
                <w:lang w:val="en-US" w:eastAsia="en-US"/>
              </w:rPr>
              <w:t>N</w:t>
            </w:r>
            <w:r>
              <w:rPr>
                <w:rFonts w:hint="default" w:ascii="Times New Roman" w:hAnsi="Times New Roman" w:eastAsia="宋体" w:cs="Times New Roman"/>
                <w:color w:val="auto"/>
                <w:sz w:val="24"/>
                <w:szCs w:val="24"/>
                <w:vertAlign w:val="subscript"/>
                <w:lang w:val="en-US" w:eastAsia="zh-CN"/>
              </w:rPr>
              <w:t>1</w:t>
            </w:r>
            <w:r>
              <w:rPr>
                <w:rFonts w:hint="default" w:ascii="Times New Roman" w:hAnsi="Times New Roman" w:eastAsia="宋体" w:cs="Times New Roman"/>
                <w:color w:val="auto"/>
                <w:sz w:val="24"/>
                <w:szCs w:val="24"/>
                <w:lang w:eastAsia="zh-CN"/>
              </w:rPr>
              <w:t>，产生少量未成型的产品</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eastAsia="zh-CN"/>
              </w:rPr>
              <w:t>，同时</w:t>
            </w:r>
            <w:r>
              <w:rPr>
                <w:rFonts w:hint="default" w:ascii="Times New Roman" w:hAnsi="Times New Roman" w:eastAsia="宋体" w:cs="Times New Roman"/>
                <w:color w:val="auto"/>
                <w:sz w:val="24"/>
                <w:szCs w:val="24"/>
                <w:lang w:val="en-US" w:eastAsia="zh-CN"/>
              </w:rPr>
              <w:t>产生成型</w:t>
            </w:r>
            <w:r>
              <w:rPr>
                <w:rFonts w:hint="default" w:ascii="Times New Roman" w:hAnsi="Times New Roman" w:eastAsia="宋体" w:cs="Times New Roman"/>
                <w:color w:val="auto"/>
                <w:sz w:val="24"/>
                <w:szCs w:val="24"/>
                <w:lang w:val="en-US" w:eastAsia="en-US"/>
              </w:rPr>
              <w:t>废气G</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及</w:t>
            </w:r>
            <w:r>
              <w:rPr>
                <w:rFonts w:hint="default" w:ascii="Times New Roman" w:hAnsi="Times New Roman" w:eastAsia="宋体" w:cs="Times New Roman"/>
                <w:color w:val="auto"/>
                <w:sz w:val="24"/>
                <w:szCs w:val="24"/>
              </w:rPr>
              <w:t>冷却水</w:t>
            </w:r>
            <w:r>
              <w:rPr>
                <w:rFonts w:hint="default" w:ascii="Times New Roman" w:hAnsi="Times New Roman" w:eastAsia="宋体" w:cs="Times New Roman"/>
                <w:color w:val="auto"/>
                <w:sz w:val="24"/>
                <w:szCs w:val="24"/>
                <w:lang w:val="en-US" w:eastAsia="zh-CN"/>
              </w:rPr>
              <w:t>W</w:t>
            </w:r>
            <w:r>
              <w:rPr>
                <w:rFonts w:hint="default" w:ascii="Times New Roman" w:hAnsi="Times New Roman" w:eastAsia="宋体" w:cs="Times New Roman"/>
                <w:color w:val="auto"/>
                <w:sz w:val="24"/>
                <w:szCs w:val="24"/>
                <w:vertAlign w:val="subscript"/>
                <w:lang w:val="en-US" w:eastAsia="zh-CN"/>
              </w:rPr>
              <w:t>4</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zh-CN" w:eastAsia="zh-CN"/>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zh-CN" w:eastAsia="zh-CN"/>
              </w:rPr>
              <w:t>）修整、产品检验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eastAsia="zh-CN"/>
              </w:rPr>
              <w:t>脱模后的产品由人工进行修整，此过程产生</w:t>
            </w:r>
            <w:r>
              <w:rPr>
                <w:rFonts w:hint="default" w:ascii="Times New Roman" w:hAnsi="Times New Roman" w:eastAsia="宋体" w:cs="Times New Roman"/>
                <w:color w:val="auto"/>
                <w:sz w:val="24"/>
                <w:szCs w:val="24"/>
              </w:rPr>
              <w:t>边角料</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4</w:t>
            </w:r>
            <w:r>
              <w:rPr>
                <w:rFonts w:hint="default" w:ascii="Times New Roman" w:hAnsi="Times New Roman" w:eastAsia="宋体" w:cs="Times New Roman"/>
                <w:color w:val="auto"/>
                <w:sz w:val="24"/>
                <w:szCs w:val="24"/>
                <w:lang w:eastAsia="zh-CN"/>
              </w:rPr>
              <w:t>；修整完成的产品进行检验</w:t>
            </w:r>
            <w:r>
              <w:rPr>
                <w:rFonts w:hint="default" w:ascii="Times New Roman" w:hAnsi="Times New Roman" w:eastAsia="宋体" w:cs="Times New Roman"/>
                <w:color w:val="auto"/>
                <w:sz w:val="24"/>
                <w:szCs w:val="24"/>
                <w:highlight w:val="none"/>
                <w:lang w:val="zh-CN" w:eastAsia="zh-CN"/>
              </w:rPr>
              <w:t>，此过程会产生</w:t>
            </w:r>
            <w:r>
              <w:rPr>
                <w:rFonts w:hint="default" w:ascii="Times New Roman" w:hAnsi="Times New Roman" w:eastAsia="宋体" w:cs="Times New Roman"/>
                <w:color w:val="auto"/>
                <w:sz w:val="24"/>
                <w:szCs w:val="24"/>
              </w:rPr>
              <w:t>不合格产品</w:t>
            </w:r>
            <w:r>
              <w:rPr>
                <w:rFonts w:hint="default" w:ascii="Times New Roman" w:hAnsi="Times New Roman" w:eastAsia="宋体" w:cs="Times New Roman"/>
                <w:color w:val="auto"/>
                <w:sz w:val="24"/>
                <w:szCs w:val="24"/>
                <w:lang w:val="en-US" w:eastAsia="zh-CN"/>
              </w:rPr>
              <w:t>S</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highlight w:val="none"/>
                <w:lang w:val="zh-CN" w:eastAsia="zh-CN"/>
              </w:rPr>
              <w:t>。边角料及不合格产品经统一收集后</w:t>
            </w:r>
            <w:r>
              <w:rPr>
                <w:rFonts w:hint="default" w:ascii="Times New Roman" w:hAnsi="Times New Roman" w:eastAsia="宋体" w:cs="Times New Roman"/>
                <w:b w:val="0"/>
                <w:bCs w:val="0"/>
                <w:color w:val="auto"/>
                <w:sz w:val="24"/>
                <w:szCs w:val="24"/>
                <w:highlight w:val="none"/>
                <w:lang w:val="zh-CN" w:eastAsia="zh-CN"/>
              </w:rPr>
              <w:t>暂存于项目区一般废料暂存处，达到一定量后由废品回收站统一收购。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7）干燥入库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产品成型后需进行后处理，后处理主要为干燥过程，项目采用自然干燥的方</w:t>
            </w:r>
            <w:r>
              <w:rPr>
                <w:rFonts w:hint="default" w:ascii="Times New Roman" w:hAnsi="Times New Roman" w:eastAsia="宋体" w:cs="Times New Roman"/>
                <w:color w:val="auto"/>
                <w:sz w:val="24"/>
                <w:szCs w:val="24"/>
              </w:rPr>
              <w:t>法进行干燥，产品干燥后即可入库。</w:t>
            </w:r>
          </w:p>
          <w:bookmarkEnd w:id="17"/>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348"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2、项目其他产污环节分析</w:t>
            </w:r>
          </w:p>
          <w:p>
            <w:pPr>
              <w:keepNext w:val="0"/>
              <w:keepLines w:val="0"/>
              <w:pageBreakBefore w:val="0"/>
              <w:widowControl w:val="0"/>
              <w:wordWrap/>
              <w:topLinePunct w:val="0"/>
              <w:autoSpaceDE/>
              <w:autoSpaceDN/>
              <w:bidi w:val="0"/>
              <w:spacing w:line="348" w:lineRule="auto"/>
              <w:ind w:firstLine="480" w:firstLineChars="200"/>
              <w:textAlignment w:val="auto"/>
              <w:rPr>
                <w:rFonts w:hint="default" w:ascii="Times New Roman" w:hAnsi="Times New Roman" w:eastAsia="宋体" w:cs="Times New Roman"/>
                <w:bCs/>
                <w:color w:val="auto"/>
                <w:sz w:val="24"/>
                <w:szCs w:val="22"/>
                <w:highlight w:val="none"/>
              </w:rPr>
            </w:pPr>
            <w:r>
              <w:rPr>
                <w:rFonts w:hint="default" w:ascii="Times New Roman" w:hAnsi="Times New Roman" w:eastAsia="宋体" w:cs="Times New Roman"/>
                <w:color w:val="auto"/>
                <w:sz w:val="24"/>
                <w:szCs w:val="24"/>
                <w:highlight w:val="none"/>
                <w:lang w:val="en-US" w:eastAsia="zh-CN"/>
              </w:rPr>
              <w:t>本项目设置办公生活区，为职工提供食宿，项目办公生活产污环节详见图2-8所示。</w:t>
            </w:r>
          </w:p>
          <w:p>
            <w:pPr>
              <w:pStyle w:val="3"/>
              <w:ind w:firstLine="24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9" o:spt="75" type="#_x0000_t75" style="height:123.05pt;width:299.25pt;" o:ole="t" filled="f" o:preferrelative="t" stroked="f" coordsize="21600,21600">
                  <v:path/>
                  <v:fill on="f" focussize="0,0"/>
                  <v:stroke on="f"/>
                  <v:imagedata r:id="rId24" o:title=""/>
                  <o:lock v:ext="edit" aspectratio="t"/>
                  <w10:wrap type="none"/>
                  <w10:anchorlock/>
                </v:shape>
                <o:OLEObject Type="Embed" ProgID="Visio.Drawing.11" ShapeID="_x0000_i1029" DrawAspect="Content" ObjectID="_1468075732" r:id="rId23">
                  <o:LockedField>false</o:LockedField>
                </o:OLEObject>
              </w:object>
            </w:r>
          </w:p>
          <w:p>
            <w:pPr>
              <w:pStyle w:val="3"/>
              <w:spacing w:after="0"/>
              <w:ind w:firstLine="24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 xml:space="preserve">2-8 </w:t>
            </w:r>
            <w:r>
              <w:rPr>
                <w:rFonts w:hint="default" w:ascii="Times New Roman" w:hAnsi="Times New Roman" w:eastAsia="宋体" w:cs="Times New Roman"/>
                <w:b/>
                <w:color w:val="auto"/>
                <w:sz w:val="21"/>
                <w:szCs w:val="21"/>
                <w:highlight w:val="none"/>
              </w:rPr>
              <w:t xml:space="preserve"> 办公生活</w:t>
            </w:r>
            <w:r>
              <w:rPr>
                <w:rFonts w:hint="eastAsia" w:cs="Times New Roman"/>
                <w:b/>
                <w:color w:val="auto"/>
                <w:sz w:val="21"/>
                <w:szCs w:val="21"/>
                <w:highlight w:val="none"/>
                <w:lang w:eastAsia="zh-CN"/>
              </w:rPr>
              <w:t>产污</w:t>
            </w:r>
            <w:r>
              <w:rPr>
                <w:rFonts w:hint="default" w:ascii="Times New Roman" w:hAnsi="Times New Roman" w:eastAsia="宋体" w:cs="Times New Roman"/>
                <w:b/>
                <w:color w:val="auto"/>
                <w:sz w:val="21"/>
                <w:szCs w:val="21"/>
                <w:highlight w:val="none"/>
              </w:rPr>
              <w:t>节点图</w:t>
            </w:r>
          </w:p>
          <w:p>
            <w:pPr>
              <w:pStyle w:val="2"/>
              <w:spacing w:after="0" w:line="360" w:lineRule="auto"/>
              <w:ind w:left="0" w:leftChars="0" w:firstLine="482"/>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（二）项目主要污染工序</w:t>
            </w:r>
          </w:p>
          <w:p>
            <w:pPr>
              <w:pStyle w:val="3"/>
              <w:spacing w:after="0" w:line="360" w:lineRule="auto"/>
              <w:ind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本项目运营期主要污染工序详见表</w:t>
            </w:r>
            <w:r>
              <w:rPr>
                <w:rFonts w:hint="default" w:ascii="Times New Roman" w:hAnsi="Times New Roman" w:eastAsia="宋体" w:cs="Times New Roman"/>
                <w:color w:val="auto"/>
                <w:highlight w:val="none"/>
                <w:lang w:val="en-US" w:eastAsia="zh-CN"/>
              </w:rPr>
              <w:t>2-8</w:t>
            </w:r>
            <w:r>
              <w:rPr>
                <w:rFonts w:hint="default" w:ascii="Times New Roman" w:hAnsi="Times New Roman" w:eastAsia="宋体" w:cs="Times New Roman"/>
                <w:color w:val="auto"/>
                <w:highlight w:val="none"/>
              </w:rPr>
              <w:t>。</w:t>
            </w:r>
          </w:p>
          <w:p>
            <w:pPr>
              <w:pStyle w:val="3"/>
              <w:spacing w:after="0"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rPr>
              <w:t xml:space="preserve">  运营期主要污染工序一览表</w:t>
            </w:r>
          </w:p>
          <w:tbl>
            <w:tblPr>
              <w:tblStyle w:val="27"/>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20"/>
              <w:gridCol w:w="2058"/>
              <w:gridCol w:w="2776"/>
              <w:gridCol w:w="1256"/>
            </w:tblGrid>
            <w:tr>
              <w:tblPrEx>
                <w:tblCellMar>
                  <w:top w:w="0" w:type="dxa"/>
                  <w:left w:w="108" w:type="dxa"/>
                  <w:bottom w:w="0" w:type="dxa"/>
                  <w:right w:w="108" w:type="dxa"/>
                </w:tblCellMar>
              </w:tblPrEx>
              <w:trPr>
                <w:trHeight w:val="0" w:hRule="atLeast"/>
                <w:jc w:val="center"/>
              </w:trPr>
              <w:tc>
                <w:tcPr>
                  <w:tcW w:w="672"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污染类别</w:t>
                  </w: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产污环节</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主要</w:t>
                  </w:r>
                  <w:r>
                    <w:rPr>
                      <w:rFonts w:hint="default" w:ascii="Times New Roman" w:hAnsi="Times New Roman" w:eastAsia="宋体" w:cs="Times New Roman"/>
                      <w:b/>
                      <w:color w:val="auto"/>
                      <w:sz w:val="21"/>
                      <w:szCs w:val="21"/>
                      <w:highlight w:val="none"/>
                    </w:rPr>
                    <w:t>污染物</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治理措施</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2"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生物质锅炉燃料燃烧废气（</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val="en-US"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颗粒物</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lang w:val="en-US" w:eastAsia="zh-CN"/>
                    </w:rPr>
                    <w:t>X</w:t>
                  </w:r>
                </w:p>
              </w:tc>
              <w:tc>
                <w:tcPr>
                  <w:tcW w:w="2776" w:type="dxa"/>
                  <w:tcBorders>
                    <w:tl2br w:val="nil"/>
                    <w:tr2bl w:val="nil"/>
                  </w:tcBorders>
                  <w:noWrap w:val="0"/>
                  <w:vAlign w:val="center"/>
                </w:tcPr>
                <w:p>
                  <w:pPr>
                    <w:pStyle w:val="12"/>
                    <w:rPr>
                      <w:rFonts w:hint="default" w:eastAsia="宋体"/>
                      <w:color w:val="auto"/>
                      <w:lang w:val="en-US" w:eastAsia="zh-CN"/>
                    </w:rPr>
                  </w:pPr>
                  <w:r>
                    <w:rPr>
                      <w:rFonts w:hint="eastAsia" w:cs="Times New Roman"/>
                      <w:color w:val="auto"/>
                      <w:sz w:val="21"/>
                      <w:szCs w:val="21"/>
                      <w:lang w:val="en-US" w:eastAsia="zh-CN"/>
                    </w:rPr>
                    <w:t>1套“</w:t>
                  </w:r>
                  <w:r>
                    <w:rPr>
                      <w:rFonts w:hint="eastAsia"/>
                      <w:color w:val="auto"/>
                      <w:lang w:val="en-US" w:eastAsia="zh-CN"/>
                    </w:rPr>
                    <w:t>耐高温布袋除尘器</w:t>
                  </w:r>
                </w:p>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40</w:t>
                  </w:r>
                  <w:r>
                    <w:rPr>
                      <w:rFonts w:hint="default" w:ascii="Times New Roman" w:hAnsi="Times New Roman" w:eastAsia="宋体" w:cs="Times New Roman"/>
                      <w:color w:val="auto"/>
                      <w:sz w:val="21"/>
                      <w:szCs w:val="21"/>
                      <w:lang w:val="en-US" w:eastAsia="zh-CN"/>
                    </w:rPr>
                    <w:t>m高排气筒，</w:t>
                  </w:r>
                  <w:r>
                    <w:rPr>
                      <w:rFonts w:hint="default" w:ascii="Times New Roman" w:hAnsi="Times New Roman" w:eastAsia="宋体" w:cs="Times New Roman"/>
                      <w:color w:val="auto"/>
                      <w:sz w:val="21"/>
                      <w:szCs w:val="21"/>
                      <w:highlight w:val="none"/>
                      <w:lang w:val="en-US" w:eastAsia="zh-CN"/>
                    </w:rPr>
                    <w:t>风量</w:t>
                  </w:r>
                  <w:r>
                    <w:rPr>
                      <w:rFonts w:hint="eastAsia" w:cs="Times New Roman"/>
                      <w:color w:val="auto"/>
                      <w:sz w:val="21"/>
                      <w:szCs w:val="21"/>
                      <w:highlight w:val="none"/>
                      <w:lang w:val="en-US" w:eastAsia="zh-CN"/>
                    </w:rPr>
                    <w:t>为10831.2430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highlight w:val="none"/>
                      <w:lang w:val="en-US" w:eastAsia="zh-CN"/>
                    </w:rPr>
                    <w:t>颗粒物处理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预发泡（</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w:t>
                  </w:r>
                </w:p>
              </w:tc>
              <w:tc>
                <w:tcPr>
                  <w:tcW w:w="2058"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甲苯、乙苯、苯乙烯、非甲烷总烃</w:t>
                  </w:r>
                  <w:r>
                    <w:rPr>
                      <w:rFonts w:hint="default" w:ascii="Times New Roman" w:hAnsi="Times New Roman" w:eastAsia="宋体" w:cs="Times New Roman"/>
                      <w:color w:val="auto"/>
                      <w:szCs w:val="21"/>
                      <w:highlight w:val="none"/>
                      <w:lang w:eastAsia="zh-CN"/>
                    </w:rPr>
                    <w:t>、</w:t>
                  </w:r>
                  <w:r>
                    <w:rPr>
                      <w:rFonts w:hint="eastAsia" w:cs="Times New Roman"/>
                      <w:b w:val="0"/>
                      <w:bCs/>
                      <w:color w:val="auto"/>
                      <w:spacing w:val="-10"/>
                      <w:sz w:val="21"/>
                      <w:szCs w:val="21"/>
                      <w:highlight w:val="none"/>
                      <w:vertAlign w:val="baseline"/>
                      <w:lang w:val="en-US" w:eastAsia="zh-CN"/>
                    </w:rPr>
                    <w:t>臭气浓度</w:t>
                  </w:r>
                </w:p>
              </w:tc>
              <w:tc>
                <w:tcPr>
                  <w:tcW w:w="2776" w:type="dxa"/>
                  <w:vMerge w:val="restar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highlight w:val="none"/>
                      <w:lang w:val="en-US" w:eastAsia="zh-CN"/>
                    </w:rPr>
                    <w:t>分别在预发泡机、成型机</w:t>
                  </w:r>
                  <w:r>
                    <w:rPr>
                      <w:rFonts w:hint="default" w:ascii="Times New Roman" w:hAnsi="Times New Roman" w:eastAsia="宋体" w:cs="Times New Roman"/>
                      <w:color w:val="auto"/>
                      <w:sz w:val="21"/>
                      <w:szCs w:val="21"/>
                      <w:highlight w:val="none"/>
                    </w:rPr>
                    <w:t>上方</w:t>
                  </w:r>
                  <w:r>
                    <w:rPr>
                      <w:rFonts w:hint="default" w:ascii="Times New Roman" w:hAnsi="Times New Roman" w:eastAsia="宋体" w:cs="Times New Roman"/>
                      <w:color w:val="auto"/>
                      <w:sz w:val="21"/>
                      <w:szCs w:val="21"/>
                      <w:highlight w:val="none"/>
                      <w:lang w:val="en-US" w:eastAsia="zh-CN"/>
                    </w:rPr>
                    <w:t>设置1个集气罩，</w:t>
                  </w:r>
                  <w:r>
                    <w:rPr>
                      <w:rFonts w:hint="default" w:ascii="Times New Roman" w:hAnsi="Times New Roman" w:eastAsia="宋体" w:cs="Times New Roman"/>
                      <w:color w:val="auto"/>
                      <w:sz w:val="21"/>
                      <w:szCs w:val="21"/>
                      <w:highlight w:val="none"/>
                    </w:rPr>
                    <w:t>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w:t>
                  </w:r>
                  <w:r>
                    <w:rPr>
                      <w:rFonts w:hint="default" w:ascii="Times New Roman" w:hAnsi="Times New Roman" w:eastAsia="宋体" w:cs="Times New Roman"/>
                      <w:color w:val="auto"/>
                      <w:sz w:val="21"/>
                      <w:szCs w:val="21"/>
                      <w:highlight w:val="none"/>
                    </w:rPr>
                    <w:t>集气罩+</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套</w:t>
                  </w:r>
                  <w:r>
                    <w:rPr>
                      <w:rFonts w:hint="default" w:ascii="Times New Roman" w:hAnsi="Times New Roman" w:eastAsia="宋体" w:cs="Times New Roman"/>
                      <w:color w:val="auto"/>
                      <w:sz w:val="21"/>
                      <w:szCs w:val="21"/>
                      <w:highlight w:val="none"/>
                      <w:lang w:val="en-US" w:eastAsia="zh-CN"/>
                    </w:rPr>
                    <w:t>三级</w:t>
                  </w:r>
                  <w:r>
                    <w:rPr>
                      <w:rFonts w:hint="default" w:ascii="Times New Roman" w:hAnsi="Times New Roman" w:eastAsia="宋体" w:cs="Times New Roman"/>
                      <w:color w:val="auto"/>
                      <w:sz w:val="21"/>
                      <w:szCs w:val="21"/>
                      <w:highlight w:val="none"/>
                    </w:rPr>
                    <w:t>活性炭吸附”装置+1根15m高排气筒（预留标准的采样检测口）（</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），用于处理</w:t>
                  </w:r>
                  <w:r>
                    <w:rPr>
                      <w:rFonts w:hint="default" w:ascii="Times New Roman" w:hAnsi="Times New Roman" w:eastAsia="宋体" w:cs="Times New Roman"/>
                      <w:color w:val="auto"/>
                      <w:sz w:val="21"/>
                      <w:szCs w:val="21"/>
                      <w:highlight w:val="none"/>
                      <w:lang w:val="en-US" w:eastAsia="zh-CN"/>
                    </w:rPr>
                    <w:t>生产</w:t>
                  </w:r>
                  <w:r>
                    <w:rPr>
                      <w:rFonts w:hint="default" w:ascii="Times New Roman" w:hAnsi="Times New Roman" w:eastAsia="宋体" w:cs="Times New Roman"/>
                      <w:color w:val="auto"/>
                      <w:sz w:val="21"/>
                      <w:szCs w:val="21"/>
                      <w:highlight w:val="none"/>
                    </w:rPr>
                    <w:t>过程产生的</w:t>
                  </w:r>
                  <w:r>
                    <w:rPr>
                      <w:rFonts w:hint="default" w:ascii="Times New Roman" w:hAnsi="Times New Roman" w:eastAsia="宋体" w:cs="Times New Roman"/>
                      <w:color w:val="auto"/>
                      <w:sz w:val="21"/>
                      <w:szCs w:val="21"/>
                      <w:highlight w:val="none"/>
                      <w:lang w:val="en-US" w:eastAsia="zh-CN"/>
                    </w:rPr>
                    <w:t>颗粒物及</w:t>
                  </w:r>
                  <w:r>
                    <w:rPr>
                      <w:rFonts w:hint="default" w:ascii="Times New Roman" w:hAnsi="Times New Roman" w:eastAsia="宋体" w:cs="Times New Roman"/>
                      <w:color w:val="auto"/>
                      <w:sz w:val="21"/>
                      <w:szCs w:val="21"/>
                      <w:highlight w:val="none"/>
                    </w:rPr>
                    <w:t>有机废气。</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rPr>
                    <w:t>集气罩收集效率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三</w:t>
                  </w:r>
                  <w:r>
                    <w:rPr>
                      <w:rFonts w:hint="default" w:ascii="Times New Roman" w:hAnsi="Times New Roman" w:eastAsia="宋体" w:cs="Times New Roman"/>
                      <w:color w:val="auto"/>
                      <w:szCs w:val="21"/>
                      <w:highlight w:val="none"/>
                      <w:lang w:eastAsia="zh-CN"/>
                    </w:rPr>
                    <w:t>级活性炭吸附装置”</w:t>
                  </w:r>
                  <w:r>
                    <w:rPr>
                      <w:rFonts w:hint="default" w:ascii="Times New Roman" w:hAnsi="Times New Roman" w:eastAsia="宋体" w:cs="Times New Roman"/>
                      <w:bCs/>
                      <w:color w:val="auto"/>
                      <w:sz w:val="21"/>
                      <w:szCs w:val="21"/>
                      <w:highlight w:val="none"/>
                    </w:rPr>
                    <w:t>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125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15m高排气筒（DA002）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2" w:type="dxa"/>
                  <w:vMerge w:val="continue"/>
                  <w:tcBorders>
                    <w:tl2br w:val="nil"/>
                    <w:tr2bl w:val="nil"/>
                  </w:tcBorders>
                  <w:noWrap w:val="0"/>
                  <w:vAlign w:val="center"/>
                </w:tcPr>
                <w:p>
                  <w:pPr>
                    <w:jc w:val="center"/>
                    <w:rPr>
                      <w:rFonts w:hint="default" w:ascii="Times New Roman" w:hAnsi="Times New Roman" w:eastAsia="宋体" w:cs="Times New Roman"/>
                      <w:color w:val="auto"/>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成型（</w:t>
                  </w:r>
                  <w:r>
                    <w:rPr>
                      <w:rFonts w:hint="default" w:ascii="Times New Roman" w:hAnsi="Times New Roman" w:eastAsia="宋体" w:cs="Times New Roman"/>
                      <w:color w:val="auto"/>
                      <w:sz w:val="21"/>
                      <w:szCs w:val="21"/>
                      <w:lang w:val="en-US" w:eastAsia="en-US"/>
                    </w:rPr>
                    <w:t>G</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val="en-US" w:eastAsia="zh-CN"/>
                    </w:rPr>
                    <w:t>）</w:t>
                  </w:r>
                </w:p>
              </w:tc>
              <w:tc>
                <w:tcPr>
                  <w:tcW w:w="2058"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c>
                <w:tcPr>
                  <w:tcW w:w="277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c>
                <w:tcPr>
                  <w:tcW w:w="1256"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pStyle w:val="3"/>
                    <w:spacing w:after="0"/>
                    <w:ind w:firstLine="0" w:firstLineChars="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卫生间、化粪池、</w:t>
                  </w:r>
                  <w:r>
                    <w:rPr>
                      <w:rFonts w:hint="eastAsia" w:cs="Times New Roman"/>
                      <w:color w:val="auto"/>
                      <w:sz w:val="21"/>
                      <w:szCs w:val="21"/>
                      <w:highlight w:val="none"/>
                      <w:lang w:eastAsia="zh-CN"/>
                    </w:rPr>
                    <w:t>一体化</w:t>
                  </w:r>
                  <w:r>
                    <w:rPr>
                      <w:rFonts w:hint="default" w:ascii="Times New Roman" w:hAnsi="Times New Roman" w:eastAsia="宋体" w:cs="Times New Roman"/>
                      <w:color w:val="auto"/>
                      <w:sz w:val="21"/>
                      <w:szCs w:val="21"/>
                      <w:highlight w:val="none"/>
                      <w:lang w:val="en-US" w:eastAsia="zh-CN"/>
                    </w:rPr>
                    <w:t>污水处理</w:t>
                  </w:r>
                  <w:r>
                    <w:rPr>
                      <w:rFonts w:hint="eastAsia" w:cs="Times New Roman"/>
                      <w:color w:val="auto"/>
                      <w:sz w:val="21"/>
                      <w:szCs w:val="21"/>
                      <w:highlight w:val="none"/>
                      <w:lang w:val="en-US" w:eastAsia="zh-CN"/>
                    </w:rPr>
                    <w:t>站</w:t>
                  </w:r>
                </w:p>
              </w:tc>
              <w:tc>
                <w:tcPr>
                  <w:tcW w:w="2058" w:type="dxa"/>
                  <w:tcBorders>
                    <w:tl2br w:val="nil"/>
                    <w:tr2bl w:val="nil"/>
                  </w:tcBorders>
                  <w:noWrap w:val="0"/>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异味</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加强管理、日产日清。</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职工食堂</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油烟</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集气罩+</w:t>
                  </w:r>
                  <w:r>
                    <w:rPr>
                      <w:rFonts w:hint="default" w:ascii="Times New Roman" w:hAnsi="Times New Roman" w:eastAsia="宋体" w:cs="Times New Roman"/>
                      <w:color w:val="auto"/>
                      <w:sz w:val="21"/>
                      <w:szCs w:val="21"/>
                      <w:highlight w:val="none"/>
                    </w:rPr>
                    <w:t>油烟净化设施</w:t>
                  </w:r>
                  <w:r>
                    <w:rPr>
                      <w:rFonts w:hint="default" w:ascii="Times New Roman" w:hAnsi="Times New Roman" w:eastAsia="宋体" w:cs="Times New Roman"/>
                      <w:color w:val="auto"/>
                      <w:sz w:val="21"/>
                      <w:szCs w:val="21"/>
                      <w:highlight w:val="none"/>
                      <w:lang w:val="en-US" w:eastAsia="zh-CN"/>
                    </w:rPr>
                    <w:t>+高于房顶1.5m高排气筒。</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锅炉</w:t>
                  </w:r>
                  <w:r>
                    <w:rPr>
                      <w:rFonts w:hint="eastAsia" w:cs="Times New Roman"/>
                      <w:color w:val="auto"/>
                      <w:sz w:val="21"/>
                      <w:szCs w:val="21"/>
                      <w:highlight w:val="none"/>
                      <w:lang w:eastAsia="zh-CN"/>
                    </w:rPr>
                    <w:t>纯水</w:t>
                  </w:r>
                  <w:r>
                    <w:rPr>
                      <w:rFonts w:hint="default" w:ascii="Times New Roman" w:hAnsi="Times New Roman" w:eastAsia="宋体" w:cs="Times New Roman"/>
                      <w:color w:val="auto"/>
                      <w:sz w:val="21"/>
                      <w:szCs w:val="21"/>
                      <w:highlight w:val="none"/>
                      <w:lang w:eastAsia="zh-CN"/>
                    </w:rPr>
                    <w:t>制备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SS</w:t>
                  </w:r>
                  <w:r>
                    <w:rPr>
                      <w:rFonts w:hint="default" w:ascii="Times New Roman" w:hAnsi="Times New Roman" w:eastAsia="宋体" w:cs="Times New Roman"/>
                      <w:color w:val="auto"/>
                      <w:sz w:val="21"/>
                      <w:szCs w:val="21"/>
                      <w:lang w:eastAsia="zh-CN"/>
                    </w:rPr>
                    <w:t>）</w:t>
                  </w:r>
                </w:p>
              </w:tc>
              <w:tc>
                <w:tcPr>
                  <w:tcW w:w="277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经絮凝沉淀处理后作为生产冷却循环水补充使用</w:t>
                  </w:r>
                  <w:r>
                    <w:rPr>
                      <w:rFonts w:hint="default" w:ascii="Times New Roman" w:hAnsi="Times New Roman" w:eastAsia="宋体" w:cs="Times New Roman"/>
                      <w:color w:val="auto"/>
                      <w:szCs w:val="21"/>
                      <w:lang w:eastAsia="zh-CN"/>
                    </w:rPr>
                    <w:t>。</w:t>
                  </w:r>
                </w:p>
              </w:tc>
              <w:tc>
                <w:tcPr>
                  <w:tcW w:w="125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锅炉运行（</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锅炉排污水</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eastAsia="zh-CN"/>
                    </w:rPr>
                    <w:t>预发泡、</w:t>
                  </w:r>
                  <w:r>
                    <w:rPr>
                      <w:rFonts w:hint="default" w:ascii="Times New Roman" w:hAnsi="Times New Roman" w:eastAsia="宋体" w:cs="Times New Roman"/>
                      <w:color w:val="auto"/>
                      <w:sz w:val="21"/>
                      <w:szCs w:val="21"/>
                      <w:lang w:val="en-US" w:eastAsia="zh-CN"/>
                    </w:rPr>
                    <w:t>成型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lang w:eastAsia="zh-CN"/>
                    </w:rPr>
                    <w:t>冷凝水</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循环使用。</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冷却</w:t>
                  </w:r>
                  <w:r>
                    <w:rPr>
                      <w:rFonts w:hint="default" w:ascii="Times New Roman" w:hAnsi="Times New Roman" w:eastAsia="宋体" w:cs="Times New Roman"/>
                      <w:color w:val="auto"/>
                      <w:sz w:val="21"/>
                      <w:szCs w:val="21"/>
                      <w:lang w:eastAsia="zh-CN"/>
                    </w:rPr>
                    <w:t>、脱模</w:t>
                  </w:r>
                  <w:r>
                    <w:rPr>
                      <w:rFonts w:hint="default" w:ascii="Times New Roman" w:hAnsi="Times New Roman" w:eastAsia="宋体" w:cs="Times New Roman"/>
                      <w:color w:val="auto"/>
                      <w:sz w:val="21"/>
                      <w:szCs w:val="21"/>
                    </w:rPr>
                    <w:t>工序</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W</w:t>
                  </w:r>
                  <w:r>
                    <w:rPr>
                      <w:rFonts w:hint="default" w:ascii="Times New Roman" w:hAnsi="Times New Roman" w:eastAsia="宋体" w:cs="Times New Roman"/>
                      <w:color w:val="auto"/>
                      <w:sz w:val="21"/>
                      <w:szCs w:val="21"/>
                      <w:vertAlign w:val="subscript"/>
                      <w:lang w:val="en-US" w:eastAsia="zh-CN"/>
                    </w:rPr>
                    <w:t>4</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冷却水</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经冷却</w:t>
                  </w:r>
                  <w:r>
                    <w:rPr>
                      <w:rFonts w:hint="default" w:ascii="Times New Roman" w:hAnsi="Times New Roman" w:eastAsia="宋体" w:cs="Times New Roman"/>
                      <w:color w:val="auto"/>
                      <w:sz w:val="21"/>
                      <w:szCs w:val="21"/>
                      <w:lang w:val="en-US" w:eastAsia="zh-CN"/>
                    </w:rPr>
                    <w:t>塔及冷却水</w:t>
                  </w:r>
                  <w:r>
                    <w:rPr>
                      <w:rFonts w:hint="default" w:ascii="Times New Roman" w:hAnsi="Times New Roman" w:eastAsia="宋体" w:cs="Times New Roman"/>
                      <w:color w:val="auto"/>
                      <w:sz w:val="21"/>
                      <w:szCs w:val="21"/>
                    </w:rPr>
                    <w:t>池冷却后循环使用</w:t>
                  </w:r>
                  <w:r>
                    <w:rPr>
                      <w:rFonts w:hint="default" w:ascii="Times New Roman" w:hAnsi="Times New Roman" w:eastAsia="宋体" w:cs="Times New Roman"/>
                      <w:color w:val="auto"/>
                      <w:sz w:val="21"/>
                      <w:szCs w:val="21"/>
                      <w:lang w:eastAsia="zh-CN"/>
                    </w:rPr>
                    <w:t>。</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职工生活</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日常盥洗、冲厕及其他</w:t>
                  </w:r>
                </w:p>
              </w:tc>
              <w:tc>
                <w:tcPr>
                  <w:tcW w:w="277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食堂含油废水经隔油池预处理后与其它办公生活废水一同进入化粪池、</w:t>
                  </w:r>
                  <w:r>
                    <w:rPr>
                      <w:rFonts w:hint="eastAsia" w:cs="Times New Roman"/>
                      <w:color w:val="auto"/>
                      <w:sz w:val="21"/>
                      <w:szCs w:val="21"/>
                      <w:highlight w:val="none"/>
                      <w:lang w:eastAsia="zh-CN"/>
                    </w:rPr>
                    <w:t>一体化</w:t>
                  </w:r>
                  <w:r>
                    <w:rPr>
                      <w:rFonts w:hint="default" w:ascii="Times New Roman" w:hAnsi="Times New Roman" w:eastAsia="宋体" w:cs="Times New Roman"/>
                      <w:color w:val="auto"/>
                      <w:sz w:val="21"/>
                      <w:szCs w:val="21"/>
                      <w:highlight w:val="none"/>
                      <w:lang w:eastAsia="zh-CN"/>
                    </w:rPr>
                    <w:t>污水处理站处理</w:t>
                  </w:r>
                  <w:r>
                    <w:rPr>
                      <w:rFonts w:hint="default" w:ascii="Times New Roman" w:hAnsi="Times New Roman" w:eastAsia="宋体" w:cs="Times New Roman"/>
                      <w:color w:val="auto"/>
                      <w:sz w:val="21"/>
                      <w:szCs w:val="21"/>
                      <w:highlight w:val="none"/>
                      <w:lang w:val="en-US" w:eastAsia="zh-CN"/>
                    </w:rPr>
                    <w:t>达标后，晴天用于绿化或道路场地洒水，雨天储存于蓄水池中待晴天再回用，不外排。</w:t>
                  </w:r>
                </w:p>
              </w:tc>
              <w:tc>
                <w:tcPr>
                  <w:tcW w:w="125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食堂</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含油废水</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72"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w:t>
                  </w: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原辅材料开包（</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1</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废包装材料</w:t>
                  </w:r>
                </w:p>
              </w:tc>
              <w:tc>
                <w:tcPr>
                  <w:tcW w:w="277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统一收集后暂存于</w:t>
                  </w:r>
                  <w:r>
                    <w:rPr>
                      <w:rFonts w:hint="default" w:ascii="Times New Roman" w:hAnsi="Times New Roman" w:eastAsia="宋体" w:cs="Times New Roman"/>
                      <w:color w:val="auto"/>
                      <w:sz w:val="21"/>
                      <w:szCs w:val="21"/>
                      <w:lang w:eastAsia="zh-CN"/>
                    </w:rPr>
                    <w:t>一般</w:t>
                  </w:r>
                  <w:r>
                    <w:rPr>
                      <w:rFonts w:hint="default" w:ascii="Times New Roman" w:hAnsi="Times New Roman" w:eastAsia="宋体" w:cs="Times New Roman"/>
                      <w:color w:val="auto"/>
                      <w:sz w:val="21"/>
                      <w:szCs w:val="21"/>
                    </w:rPr>
                    <w:t>废料暂存处，</w:t>
                  </w:r>
                  <w:r>
                    <w:rPr>
                      <w:rFonts w:hint="default" w:ascii="Times New Roman" w:hAnsi="Times New Roman" w:eastAsia="宋体" w:cs="Times New Roman"/>
                      <w:color w:val="auto"/>
                      <w:sz w:val="21"/>
                      <w:szCs w:val="21"/>
                      <w:lang w:eastAsia="zh-CN"/>
                    </w:rPr>
                    <w:t>定期外售给废品回收站。</w:t>
                  </w:r>
                </w:p>
              </w:tc>
              <w:tc>
                <w:tcPr>
                  <w:tcW w:w="125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合理处置</w:t>
                  </w:r>
                  <w:r>
                    <w:rPr>
                      <w:rFonts w:hint="default" w:ascii="Times New Roman" w:hAnsi="Times New Roman" w:eastAsia="宋体" w:cs="Times New Roman"/>
                      <w:color w:val="auto"/>
                      <w:sz w:val="21"/>
                      <w:szCs w:val="21"/>
                      <w:highlight w:val="none"/>
                      <w:lang w:eastAsia="zh-CN"/>
                    </w:rPr>
                    <w:t>，处置率</w:t>
                  </w: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预发泡</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发泡不合格颗粒</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成型（</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3</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未成型产品</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产品修整（</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4</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zh-CN"/>
                    </w:rPr>
                    <w:t>边角料</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eastAsia="zh-CN"/>
                    </w:rPr>
                    <w:t>产品检验（</w:t>
                  </w:r>
                  <w:r>
                    <w:rPr>
                      <w:rFonts w:hint="default" w:ascii="Times New Roman" w:hAnsi="Times New Roman" w:eastAsia="宋体" w:cs="Times New Roman"/>
                      <w:color w:val="auto"/>
                      <w:sz w:val="21"/>
                      <w:szCs w:val="21"/>
                      <w:lang w:val="en-US" w:eastAsia="en-US"/>
                    </w:rPr>
                    <w:t>S</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eastAsia="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val="en-US" w:eastAsia="en-US"/>
                    </w:rPr>
                    <w:t>不合格产品</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锅炉燃料燃烧</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6</w:t>
                  </w:r>
                  <w:r>
                    <w:rPr>
                      <w:rFonts w:hint="default" w:ascii="Times New Roman" w:hAnsi="Times New Roman" w:eastAsia="宋体" w:cs="Times New Roman"/>
                      <w:color w:val="auto"/>
                      <w:sz w:val="21"/>
                      <w:szCs w:val="21"/>
                      <w:lang w:val="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en-US"/>
                    </w:rPr>
                  </w:pPr>
                  <w:r>
                    <w:rPr>
                      <w:rFonts w:hint="default" w:ascii="Times New Roman" w:hAnsi="Times New Roman" w:eastAsia="宋体" w:cs="Times New Roman"/>
                      <w:color w:val="auto"/>
                      <w:sz w:val="21"/>
                      <w:szCs w:val="21"/>
                      <w:lang w:val="en-US" w:eastAsia="zh-CN"/>
                    </w:rPr>
                    <w:t>锅炉炉渣</w:t>
                  </w:r>
                </w:p>
              </w:tc>
              <w:tc>
                <w:tcPr>
                  <w:tcW w:w="277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统一收集</w:t>
                  </w:r>
                  <w:r>
                    <w:rPr>
                      <w:rFonts w:hint="default" w:ascii="Times New Roman" w:hAnsi="Times New Roman" w:eastAsia="宋体" w:cs="Times New Roman"/>
                      <w:color w:val="auto"/>
                      <w:sz w:val="21"/>
                      <w:szCs w:val="21"/>
                      <w:lang w:val="en-US" w:eastAsia="zh-CN"/>
                    </w:rPr>
                    <w:t>袋装后暂存于锅炉房内，再</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color w:val="auto"/>
                      <w:sz w:val="21"/>
                      <w:szCs w:val="21"/>
                    </w:rPr>
                    <w:t>。</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锅炉废气处理</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7</w:t>
                  </w:r>
                  <w:r>
                    <w:rPr>
                      <w:rFonts w:hint="default" w:ascii="Times New Roman" w:hAnsi="Times New Roman" w:eastAsia="宋体" w:cs="Times New Roman"/>
                      <w:color w:val="auto"/>
                      <w:sz w:val="21"/>
                      <w:szCs w:val="21"/>
                      <w:lang w:val="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cs="Times New Roman"/>
                      <w:color w:val="auto"/>
                      <w:sz w:val="21"/>
                      <w:szCs w:val="21"/>
                      <w:highlight w:val="none"/>
                      <w:lang w:val="en-US" w:eastAsia="zh-CN"/>
                    </w:rPr>
                    <w:t>收集的粉尘</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纯水制备废水及锅炉排污水处理</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color w:val="auto"/>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bidi="ar-SA"/>
                    </w:rPr>
                    <w:t>冷却池</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highlight w:val="none"/>
                      <w:lang w:val="en-US" w:eastAsia="zh-CN" w:bidi="ar-SA"/>
                    </w:rPr>
                    <w:t>冷却池沉渣、浮渣</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ar-SA"/>
                    </w:rPr>
                    <w:t>定期清理袋装后同生活垃圾一同处置</w:t>
                  </w:r>
                  <w:r>
                    <w:rPr>
                      <w:rFonts w:hint="eastAsia" w:ascii="Times New Roman" w:hAnsi="Times New Roman" w:eastAsia="宋体" w:cs="Times New Roman"/>
                      <w:b w:val="0"/>
                      <w:bCs w:val="0"/>
                      <w:color w:val="auto"/>
                      <w:kern w:val="2"/>
                      <w:sz w:val="21"/>
                      <w:szCs w:val="21"/>
                      <w:highlight w:val="none"/>
                      <w:lang w:val="en-US" w:eastAsia="zh-CN" w:bidi="ar-SA"/>
                    </w:rPr>
                    <w:t>。</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有机废气处理</w:t>
                  </w:r>
                  <w:r>
                    <w:rPr>
                      <w:rFonts w:hint="default" w:ascii="Times New Roman" w:hAnsi="Times New Roman" w:eastAsia="宋体" w:cs="Times New Roman"/>
                      <w:color w:val="auto"/>
                      <w:sz w:val="21"/>
                      <w:szCs w:val="21"/>
                      <w:lang w:val="zh-CN"/>
                    </w:rPr>
                    <w:t>（</w:t>
                  </w:r>
                  <w:r>
                    <w:rPr>
                      <w:rFonts w:hint="default" w:ascii="Times New Roman" w:hAnsi="Times New Roman" w:eastAsia="宋体" w:cs="Times New Roman"/>
                      <w:color w:val="auto"/>
                      <w:sz w:val="21"/>
                      <w:szCs w:val="21"/>
                      <w:lang w:val="en-US"/>
                    </w:rPr>
                    <w:t>S</w:t>
                  </w:r>
                  <w:r>
                    <w:rPr>
                      <w:rFonts w:hint="default" w:ascii="Times New Roman" w:hAnsi="Times New Roman" w:eastAsia="宋体" w:cs="Times New Roman"/>
                      <w:color w:val="auto"/>
                      <w:sz w:val="21"/>
                      <w:szCs w:val="21"/>
                      <w:vertAlign w:val="subscript"/>
                      <w:lang w:val="en-US" w:eastAsia="zh-CN"/>
                    </w:rPr>
                    <w:t>8</w:t>
                  </w:r>
                  <w:r>
                    <w:rPr>
                      <w:rFonts w:hint="default" w:ascii="Times New Roman" w:hAnsi="Times New Roman" w:eastAsia="宋体" w:cs="Times New Roman"/>
                      <w:color w:val="auto"/>
                      <w:sz w:val="21"/>
                      <w:szCs w:val="21"/>
                      <w:lang w:val="zh-CN"/>
                    </w:rPr>
                    <w:t>）</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277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统一收集后暂存于危废暂存间，委托有资质的单位定期清运处置。</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机械维修</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废机油、</w:t>
                  </w:r>
                  <w:r>
                    <w:rPr>
                      <w:rFonts w:hint="default" w:ascii="Times New Roman" w:hAnsi="Times New Roman" w:eastAsia="宋体" w:cs="Times New Roman"/>
                      <w:color w:val="auto"/>
                      <w:sz w:val="21"/>
                      <w:szCs w:val="21"/>
                      <w:highlight w:val="none"/>
                      <w:lang w:val="en-US" w:eastAsia="zh-CN"/>
                    </w:rPr>
                    <w:t>废弃的含油抹布、劳保用品</w:t>
                  </w:r>
                </w:p>
              </w:tc>
              <w:tc>
                <w:tcPr>
                  <w:tcW w:w="277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职工生活</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生活垃圾</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收集后</w:t>
                  </w:r>
                  <w:r>
                    <w:rPr>
                      <w:rFonts w:hint="default" w:ascii="Times New Roman" w:hAnsi="Times New Roman" w:eastAsia="宋体" w:cs="Times New Roman"/>
                      <w:color w:val="auto"/>
                      <w:sz w:val="21"/>
                      <w:szCs w:val="21"/>
                      <w:highlight w:val="none"/>
                      <w:lang w:eastAsia="zh-CN"/>
                    </w:rPr>
                    <w:t>委托园区</w:t>
                  </w:r>
                  <w:r>
                    <w:rPr>
                      <w:rFonts w:hint="default" w:ascii="Times New Roman" w:hAnsi="Times New Roman" w:eastAsia="宋体" w:cs="Times New Roman"/>
                      <w:color w:val="auto"/>
                      <w:sz w:val="21"/>
                      <w:szCs w:val="21"/>
                      <w:highlight w:val="none"/>
                    </w:rPr>
                    <w:t>环卫部门</w:t>
                  </w:r>
                  <w:r>
                    <w:rPr>
                      <w:rFonts w:hint="default" w:ascii="Times New Roman" w:hAnsi="Times New Roman" w:eastAsia="宋体" w:cs="Times New Roman"/>
                      <w:color w:val="auto"/>
                      <w:sz w:val="21"/>
                      <w:szCs w:val="21"/>
                      <w:highlight w:val="none"/>
                      <w:lang w:eastAsia="zh-CN"/>
                    </w:rPr>
                    <w:t>清运、</w:t>
                  </w:r>
                  <w:r>
                    <w:rPr>
                      <w:rFonts w:hint="default" w:ascii="Times New Roman" w:hAnsi="Times New Roman" w:eastAsia="宋体" w:cs="Times New Roman"/>
                      <w:color w:val="auto"/>
                      <w:sz w:val="21"/>
                      <w:szCs w:val="21"/>
                      <w:highlight w:val="none"/>
                    </w:rPr>
                    <w:t>处置</w:t>
                  </w:r>
                  <w:r>
                    <w:rPr>
                      <w:rFonts w:hint="default" w:ascii="Times New Roman" w:hAnsi="Times New Roman" w:eastAsia="宋体" w:cs="Times New Roman"/>
                      <w:color w:val="auto"/>
                      <w:sz w:val="21"/>
                      <w:szCs w:val="21"/>
                      <w:highlight w:val="none"/>
                      <w:lang w:eastAsia="zh-CN"/>
                    </w:rPr>
                    <w:t>。</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食堂</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val="0"/>
                      <w:color w:val="auto"/>
                      <w:kern w:val="2"/>
                      <w:sz w:val="21"/>
                      <w:szCs w:val="21"/>
                      <w:highlight w:val="none"/>
                      <w:lang w:eastAsia="zh-CN" w:bidi="ar"/>
                    </w:rPr>
                    <w:t>餐厨垃圾、隔油池废油脂</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统一收集后委托有资质的单位定期清运、处置。</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kern w:val="2"/>
                      <w:sz w:val="21"/>
                      <w:szCs w:val="21"/>
                      <w:highlight w:val="none"/>
                      <w:lang w:val="en-US" w:eastAsia="zh-CN" w:bidi="ar"/>
                    </w:rPr>
                  </w:pPr>
                  <w:r>
                    <w:rPr>
                      <w:rFonts w:hint="default" w:ascii="Times New Roman" w:hAnsi="Times New Roman" w:eastAsia="宋体" w:cs="Times New Roman"/>
                      <w:b w:val="0"/>
                      <w:bCs w:val="0"/>
                      <w:color w:val="auto"/>
                      <w:kern w:val="2"/>
                      <w:sz w:val="21"/>
                      <w:szCs w:val="21"/>
                      <w:highlight w:val="none"/>
                      <w:lang w:val="en-US" w:eastAsia="zh-CN" w:bidi="ar"/>
                    </w:rPr>
                    <w:t>污泥</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定期清掏后委托环卫部门清运、处置。</w:t>
                  </w:r>
                </w:p>
              </w:tc>
              <w:tc>
                <w:tcPr>
                  <w:tcW w:w="125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生产工序</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设备噪声</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室内布置、基础减震、距离衰减</w:t>
                  </w:r>
                  <w:r>
                    <w:rPr>
                      <w:rFonts w:hint="default" w:ascii="Times New Roman" w:hAnsi="Times New Roman" w:eastAsia="宋体" w:cs="Times New Roman"/>
                      <w:color w:val="auto"/>
                      <w:sz w:val="21"/>
                      <w:szCs w:val="21"/>
                      <w:highlight w:val="none"/>
                      <w:lang w:eastAsia="zh-CN"/>
                    </w:rPr>
                    <w:t>。</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2"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人员活动</w:t>
                  </w:r>
                </w:p>
              </w:tc>
              <w:tc>
                <w:tcPr>
                  <w:tcW w:w="205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社会生活噪声</w:t>
                  </w:r>
                </w:p>
              </w:tc>
              <w:tc>
                <w:tcPr>
                  <w:tcW w:w="277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距离衰减</w:t>
                  </w:r>
                </w:p>
              </w:tc>
              <w:tc>
                <w:tcPr>
                  <w:tcW w:w="125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间断</w:t>
                  </w:r>
                </w:p>
              </w:tc>
            </w:tr>
          </w:tbl>
          <w:p>
            <w:pPr>
              <w:pStyle w:val="8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三</w:t>
            </w:r>
            <w:r>
              <w:rPr>
                <w:rFonts w:hint="default" w:ascii="Times New Roman" w:hAnsi="Times New Roman" w:eastAsia="宋体" w:cs="Times New Roman"/>
                <w:b/>
                <w:bCs/>
                <w:color w:val="auto"/>
                <w:highlight w:val="none"/>
                <w:lang w:eastAsia="zh-CN"/>
              </w:rPr>
              <w:t>）</w:t>
            </w:r>
            <w:r>
              <w:rPr>
                <w:rFonts w:hint="default" w:ascii="Times New Roman" w:hAnsi="Times New Roman" w:eastAsia="宋体" w:cs="Times New Roman"/>
                <w:b/>
                <w:bCs/>
                <w:color w:val="auto"/>
                <w:highlight w:val="none"/>
                <w:lang w:val="en-US" w:eastAsia="zh-CN"/>
              </w:rPr>
              <w:t>物料平衡</w:t>
            </w:r>
          </w:p>
          <w:p>
            <w:pPr>
              <w:widowControl w:val="0"/>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本项目</w:t>
            </w:r>
            <w:r>
              <w:rPr>
                <w:rFonts w:hint="default" w:ascii="Times New Roman" w:hAnsi="Times New Roman" w:eastAsia="宋体" w:cs="Times New Roman"/>
                <w:color w:val="auto"/>
                <w:kern w:val="0"/>
                <w:sz w:val="24"/>
                <w:highlight w:val="none"/>
                <w:lang w:eastAsia="zh-CN"/>
              </w:rPr>
              <w:t>泡沫箱生产线</w:t>
            </w:r>
            <w:r>
              <w:rPr>
                <w:rFonts w:hint="default" w:ascii="Times New Roman" w:hAnsi="Times New Roman" w:eastAsia="宋体" w:cs="Times New Roman"/>
                <w:color w:val="auto"/>
                <w:kern w:val="0"/>
                <w:sz w:val="24"/>
                <w:highlight w:val="none"/>
              </w:rPr>
              <w:t>原料为</w:t>
            </w:r>
            <w:r>
              <w:rPr>
                <w:rFonts w:hint="default" w:ascii="Times New Roman" w:hAnsi="Times New Roman" w:eastAsia="宋体" w:cs="Times New Roman"/>
                <w:color w:val="auto"/>
                <w:kern w:val="0"/>
                <w:sz w:val="24"/>
                <w:highlight w:val="none"/>
                <w:lang w:eastAsia="zh-CN"/>
              </w:rPr>
              <w:t>可发性聚苯乙烯（</w:t>
            </w:r>
            <w:r>
              <w:rPr>
                <w:rFonts w:hint="default" w:ascii="Times New Roman" w:hAnsi="Times New Roman" w:eastAsia="宋体" w:cs="Times New Roman"/>
                <w:color w:val="auto"/>
                <w:kern w:val="0"/>
                <w:sz w:val="24"/>
                <w:highlight w:val="none"/>
                <w:lang w:val="en-US" w:eastAsia="zh-CN"/>
              </w:rPr>
              <w:t>EPS</w:t>
            </w:r>
            <w:r>
              <w:rPr>
                <w:rFonts w:hint="default" w:ascii="Times New Roman" w:hAnsi="Times New Roman" w:eastAsia="宋体" w:cs="Times New Roman"/>
                <w:color w:val="auto"/>
                <w:kern w:val="0"/>
                <w:sz w:val="24"/>
                <w:highlight w:val="none"/>
                <w:lang w:eastAsia="zh-CN"/>
              </w:rPr>
              <w:t>）新料颗粒</w:t>
            </w:r>
            <w:r>
              <w:rPr>
                <w:rFonts w:hint="default" w:ascii="Times New Roman" w:hAnsi="Times New Roman" w:eastAsia="宋体" w:cs="Times New Roman"/>
                <w:color w:val="auto"/>
                <w:kern w:val="0"/>
                <w:sz w:val="24"/>
                <w:highlight w:val="none"/>
              </w:rPr>
              <w:t>，主要产生的污染物包括</w:t>
            </w:r>
            <w:r>
              <w:rPr>
                <w:rFonts w:hint="default" w:ascii="Times New Roman" w:hAnsi="Times New Roman" w:eastAsia="宋体" w:cs="Times New Roman"/>
                <w:color w:val="auto"/>
                <w:kern w:val="0"/>
                <w:sz w:val="24"/>
                <w:highlight w:val="none"/>
                <w:lang w:eastAsia="zh-CN"/>
              </w:rPr>
              <w:t>有机废气（</w:t>
            </w:r>
            <w:r>
              <w:rPr>
                <w:rFonts w:hint="default" w:ascii="Times New Roman" w:hAnsi="Times New Roman" w:eastAsia="宋体" w:cs="Times New Roman"/>
                <w:color w:val="auto"/>
                <w:kern w:val="0"/>
                <w:sz w:val="24"/>
                <w:highlight w:val="none"/>
                <w:lang w:val="en-US" w:eastAsia="zh-CN"/>
              </w:rPr>
              <w:t>甲苯、乙苯、苯乙烯及非甲烷总烃</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sz w:val="24"/>
                <w:szCs w:val="24"/>
                <w:highlight w:val="none"/>
                <w:lang w:val="en-US" w:eastAsia="zh-CN"/>
              </w:rPr>
              <w:t>预发泡过程不合格的颗粒、</w:t>
            </w:r>
            <w:r>
              <w:rPr>
                <w:rFonts w:hint="default" w:ascii="Times New Roman" w:hAnsi="Times New Roman" w:eastAsia="宋体" w:cs="Times New Roman"/>
                <w:color w:val="auto"/>
                <w:kern w:val="0"/>
                <w:sz w:val="24"/>
                <w:highlight w:val="none"/>
                <w:lang w:eastAsia="zh-CN"/>
              </w:rPr>
              <w:t>未成型产品、</w:t>
            </w:r>
            <w:r>
              <w:rPr>
                <w:rFonts w:hint="default" w:ascii="Times New Roman" w:hAnsi="Times New Roman" w:eastAsia="宋体" w:cs="Times New Roman"/>
                <w:color w:val="auto"/>
                <w:kern w:val="0"/>
                <w:sz w:val="24"/>
                <w:highlight w:val="none"/>
              </w:rPr>
              <w:t>边角料、</w:t>
            </w:r>
            <w:r>
              <w:rPr>
                <w:rFonts w:hint="default" w:ascii="Times New Roman" w:hAnsi="Times New Roman" w:eastAsia="宋体" w:cs="Times New Roman"/>
                <w:color w:val="auto"/>
                <w:kern w:val="0"/>
                <w:sz w:val="24"/>
                <w:highlight w:val="none"/>
                <w:lang w:eastAsia="zh-CN"/>
              </w:rPr>
              <w:t>不合格产品</w:t>
            </w:r>
            <w:r>
              <w:rPr>
                <w:rFonts w:hint="default" w:ascii="Times New Roman" w:hAnsi="Times New Roman" w:eastAsia="宋体" w:cs="Times New Roman"/>
                <w:color w:val="auto"/>
                <w:kern w:val="0"/>
                <w:sz w:val="24"/>
                <w:highlight w:val="none"/>
              </w:rPr>
              <w:t>等，产品为</w:t>
            </w:r>
            <w:r>
              <w:rPr>
                <w:rFonts w:hint="default" w:ascii="Times New Roman" w:hAnsi="Times New Roman" w:eastAsia="宋体" w:cs="Times New Roman"/>
                <w:color w:val="auto"/>
                <w:kern w:val="0"/>
                <w:sz w:val="24"/>
                <w:highlight w:val="none"/>
                <w:lang w:eastAsia="zh-CN"/>
              </w:rPr>
              <w:t>泡沫箱</w:t>
            </w:r>
            <w:r>
              <w:rPr>
                <w:rFonts w:hint="default" w:ascii="Times New Roman" w:hAnsi="Times New Roman" w:eastAsia="宋体" w:cs="Times New Roman"/>
                <w:color w:val="auto"/>
                <w:kern w:val="0"/>
                <w:sz w:val="24"/>
                <w:highlight w:val="none"/>
              </w:rPr>
              <w:t>。</w:t>
            </w:r>
          </w:p>
          <w:p>
            <w:pPr>
              <w:widowControl w:val="0"/>
              <w:spacing w:line="360" w:lineRule="auto"/>
              <w:ind w:firstLine="480" w:firstLineChars="200"/>
              <w:rPr>
                <w:rFonts w:hint="default" w:ascii="Times New Roman" w:hAnsi="Times New Roman" w:eastAsia="宋体" w:cs="Times New Roman"/>
                <w:b/>
                <w:color w:val="auto"/>
                <w:kern w:val="2"/>
                <w:sz w:val="21"/>
                <w:szCs w:val="21"/>
                <w:highlight w:val="none"/>
                <w:lang w:eastAsia="zh-CN" w:bidi="ar"/>
              </w:rPr>
            </w:pPr>
            <w:r>
              <w:rPr>
                <w:rFonts w:hint="default" w:ascii="Times New Roman" w:hAnsi="Times New Roman" w:eastAsia="宋体" w:cs="Times New Roman"/>
                <w:color w:val="auto"/>
                <w:kern w:val="0"/>
                <w:sz w:val="24"/>
                <w:highlight w:val="none"/>
                <w:lang w:eastAsia="zh-CN"/>
              </w:rPr>
              <w:t>项目</w:t>
            </w:r>
            <w:r>
              <w:rPr>
                <w:rFonts w:hint="default" w:ascii="Times New Roman" w:hAnsi="Times New Roman" w:eastAsia="宋体" w:cs="Times New Roman"/>
                <w:color w:val="auto"/>
                <w:kern w:val="0"/>
                <w:sz w:val="24"/>
                <w:highlight w:val="none"/>
              </w:rPr>
              <w:t>物料平衡图见图</w:t>
            </w:r>
            <w:r>
              <w:rPr>
                <w:rFonts w:hint="default" w:ascii="Times New Roman" w:hAnsi="Times New Roman" w:eastAsia="宋体" w:cs="Times New Roman"/>
                <w:color w:val="auto"/>
                <w:kern w:val="0"/>
                <w:sz w:val="24"/>
                <w:highlight w:val="none"/>
                <w:lang w:val="en-US" w:eastAsia="zh-CN"/>
              </w:rPr>
              <w:t>2-9</w:t>
            </w:r>
            <w:r>
              <w:rPr>
                <w:rFonts w:hint="default" w:ascii="Times New Roman" w:hAnsi="Times New Roman" w:eastAsia="宋体" w:cs="Times New Roman"/>
                <w:color w:val="auto"/>
                <w:kern w:val="0"/>
                <w:sz w:val="24"/>
                <w:highlight w:val="none"/>
              </w:rPr>
              <w:t>。</w:t>
            </w:r>
          </w:p>
          <w:p>
            <w:pPr>
              <w:widowControl w:val="0"/>
              <w:jc w:val="center"/>
              <w:rPr>
                <w:rFonts w:hint="default" w:ascii="Times New Roman" w:hAnsi="Times New Roman" w:eastAsia="宋体" w:cs="Times New Roman"/>
                <w:b/>
                <w:color w:val="auto"/>
                <w:kern w:val="2"/>
                <w:sz w:val="21"/>
                <w:szCs w:val="21"/>
                <w:highlight w:val="none"/>
                <w:lang w:eastAsia="zh-CN" w:bidi="ar"/>
              </w:rPr>
            </w:pPr>
            <w:r>
              <w:rPr>
                <w:rFonts w:hint="default" w:ascii="Times New Roman" w:hAnsi="Times New Roman" w:eastAsia="宋体" w:cs="Times New Roman"/>
                <w:b/>
                <w:color w:val="auto"/>
                <w:kern w:val="2"/>
                <w:sz w:val="21"/>
                <w:szCs w:val="21"/>
                <w:highlight w:val="none"/>
                <w:lang w:eastAsia="zh-CN" w:bidi="ar"/>
              </w:rPr>
              <w:t>表</w:t>
            </w:r>
            <w:r>
              <w:rPr>
                <w:rFonts w:hint="default" w:ascii="Times New Roman" w:hAnsi="Times New Roman" w:eastAsia="宋体" w:cs="Times New Roman"/>
                <w:b/>
                <w:color w:val="auto"/>
                <w:kern w:val="2"/>
                <w:sz w:val="21"/>
                <w:szCs w:val="21"/>
                <w:highlight w:val="none"/>
                <w:lang w:val="en-US" w:eastAsia="zh-CN" w:bidi="ar"/>
              </w:rPr>
              <w:t>2-9</w:t>
            </w:r>
            <w:r>
              <w:rPr>
                <w:rFonts w:hint="default" w:ascii="Times New Roman" w:hAnsi="Times New Roman" w:eastAsia="宋体" w:cs="Times New Roman"/>
                <w:b/>
                <w:color w:val="auto"/>
                <w:kern w:val="2"/>
                <w:sz w:val="21"/>
                <w:szCs w:val="21"/>
                <w:highlight w:val="none"/>
                <w:lang w:eastAsia="zh-CN" w:bidi="ar"/>
              </w:rPr>
              <w:t xml:space="preserve">  </w:t>
            </w:r>
            <w:r>
              <w:rPr>
                <w:rFonts w:hint="default" w:ascii="Times New Roman" w:hAnsi="Times New Roman" w:eastAsia="宋体" w:cs="Times New Roman"/>
                <w:b/>
                <w:color w:val="auto"/>
                <w:kern w:val="2"/>
                <w:sz w:val="21"/>
                <w:szCs w:val="21"/>
                <w:highlight w:val="none"/>
                <w:lang w:val="en-US" w:eastAsia="zh-CN" w:bidi="ar"/>
              </w:rPr>
              <w:t>泡沫箱生产</w:t>
            </w:r>
            <w:r>
              <w:rPr>
                <w:rFonts w:hint="default" w:ascii="Times New Roman" w:hAnsi="Times New Roman" w:eastAsia="宋体" w:cs="Times New Roman"/>
                <w:b/>
                <w:color w:val="auto"/>
                <w:kern w:val="2"/>
                <w:sz w:val="21"/>
                <w:szCs w:val="21"/>
                <w:highlight w:val="none"/>
                <w:lang w:eastAsia="zh-CN" w:bidi="ar"/>
              </w:rPr>
              <w:t>物料平衡一览表</w:t>
            </w:r>
          </w:p>
          <w:tbl>
            <w:tblPr>
              <w:tblStyle w:val="27"/>
              <w:tblW w:w="8387"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677"/>
              <w:gridCol w:w="1338"/>
              <w:gridCol w:w="646"/>
              <w:gridCol w:w="2589"/>
              <w:gridCol w:w="137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序号</w:t>
                  </w:r>
                </w:p>
              </w:tc>
              <w:tc>
                <w:tcPr>
                  <w:tcW w:w="3015"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入方</w:t>
                  </w:r>
                </w:p>
              </w:tc>
              <w:tc>
                <w:tcPr>
                  <w:tcW w:w="4612" w:type="dxa"/>
                  <w:gridSpan w:val="3"/>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出方</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p>
              </w:tc>
              <w:tc>
                <w:tcPr>
                  <w:tcW w:w="167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物</w:t>
                  </w:r>
                  <w:r>
                    <w:rPr>
                      <w:rFonts w:hint="default" w:ascii="Times New Roman" w:hAnsi="Times New Roman" w:eastAsia="宋体" w:cs="Times New Roman"/>
                      <w:b/>
                      <w:color w:val="auto"/>
                      <w:sz w:val="21"/>
                      <w:szCs w:val="21"/>
                      <w:highlight w:val="none"/>
                    </w:rPr>
                    <w:t>料</w:t>
                  </w:r>
                </w:p>
              </w:tc>
              <w:tc>
                <w:tcPr>
                  <w:tcW w:w="1338"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数量（t/a）</w:t>
                  </w:r>
                </w:p>
              </w:tc>
              <w:tc>
                <w:tcPr>
                  <w:tcW w:w="64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项目</w:t>
                  </w: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lang w:eastAsia="zh-CN"/>
                    </w:rPr>
                    <w:t>名称</w:t>
                  </w:r>
                </w:p>
              </w:tc>
              <w:tc>
                <w:tcPr>
                  <w:tcW w:w="137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lang w:eastAsia="zh-CN"/>
                    </w:rPr>
                    <w:t>产生</w:t>
                  </w:r>
                  <w:r>
                    <w:rPr>
                      <w:rFonts w:hint="default" w:ascii="Times New Roman" w:hAnsi="Times New Roman" w:eastAsia="宋体" w:cs="Times New Roman"/>
                      <w:b/>
                      <w:color w:val="auto"/>
                      <w:sz w:val="21"/>
                      <w:szCs w:val="21"/>
                      <w:highlight w:val="none"/>
                    </w:rPr>
                    <w:t>量（t/a）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677"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聚苯乙烯（</w:t>
                  </w:r>
                  <w:r>
                    <w:rPr>
                      <w:rFonts w:hint="default" w:ascii="Times New Roman" w:hAnsi="Times New Roman" w:eastAsia="宋体" w:cs="Times New Roman"/>
                      <w:color w:val="auto"/>
                      <w:sz w:val="21"/>
                      <w:szCs w:val="21"/>
                      <w:highlight w:val="none"/>
                      <w:lang w:val="en-US" w:eastAsia="zh-CN"/>
                    </w:rPr>
                    <w:t>EPS</w:t>
                  </w:r>
                  <w:r>
                    <w:rPr>
                      <w:rFonts w:hint="default" w:ascii="Times New Roman" w:hAnsi="Times New Roman" w:eastAsia="宋体" w:cs="Times New Roman"/>
                      <w:color w:val="auto"/>
                      <w:sz w:val="21"/>
                      <w:szCs w:val="21"/>
                      <w:highlight w:val="none"/>
                      <w:lang w:eastAsia="zh-CN"/>
                    </w:rPr>
                    <w:t>）新料</w:t>
                  </w:r>
                </w:p>
              </w:tc>
              <w:tc>
                <w:tcPr>
                  <w:tcW w:w="1338"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c>
                <w:tcPr>
                  <w:tcW w:w="64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w:t>
                  </w:r>
                </w:p>
              </w:tc>
              <w:tc>
                <w:tcPr>
                  <w:tcW w:w="2589"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甲苯</w:t>
                  </w:r>
                </w:p>
              </w:tc>
              <w:tc>
                <w:tcPr>
                  <w:tcW w:w="13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0.0001</w:t>
                  </w:r>
                  <w:r>
                    <w:rPr>
                      <w:rFonts w:hint="eastAsia" w:ascii="Times New Roman" w:hAnsi="Times New Roman" w:eastAsia="宋体" w:cs="Times New Roman"/>
                      <w:i w:val="0"/>
                      <w:iCs w:val="0"/>
                      <w:color w:val="auto"/>
                      <w:kern w:val="0"/>
                      <w:sz w:val="21"/>
                      <w:szCs w:val="21"/>
                      <w:u w:val="none"/>
                      <w:lang w:val="en-US" w:eastAsia="zh-CN" w:bidi="ar"/>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3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3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0.00003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37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12.2880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46"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固废</w:t>
                  </w: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预发泡不合格颗粒</w:t>
                  </w:r>
                </w:p>
              </w:tc>
              <w:tc>
                <w:tcPr>
                  <w:tcW w:w="1377"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未成型废品</w:t>
                  </w:r>
                </w:p>
              </w:tc>
              <w:tc>
                <w:tcPr>
                  <w:tcW w:w="13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边角料</w:t>
                  </w:r>
                </w:p>
              </w:tc>
              <w:tc>
                <w:tcPr>
                  <w:tcW w:w="13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46"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不合格产品</w:t>
                  </w:r>
                </w:p>
              </w:tc>
              <w:tc>
                <w:tcPr>
                  <w:tcW w:w="13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6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77"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338"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646"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产品</w:t>
                  </w:r>
                </w:p>
              </w:tc>
              <w:tc>
                <w:tcPr>
                  <w:tcW w:w="258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泡沫箱</w:t>
                  </w:r>
                </w:p>
              </w:tc>
              <w:tc>
                <w:tcPr>
                  <w:tcW w:w="137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00</w:t>
                  </w:r>
                  <w:r>
                    <w:rPr>
                      <w:rFonts w:hint="eastAsia" w:cs="Times New Roman"/>
                      <w:color w:val="auto"/>
                      <w:sz w:val="21"/>
                      <w:szCs w:val="21"/>
                      <w:highlight w:val="none"/>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6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67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小计</w:t>
                  </w:r>
                </w:p>
              </w:tc>
              <w:tc>
                <w:tcPr>
                  <w:tcW w:w="13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c>
                <w:tcPr>
                  <w:tcW w:w="4612" w:type="dxa"/>
                  <w:gridSpan w:val="3"/>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8044.28818</w:t>
                  </w:r>
                </w:p>
              </w:tc>
            </w:tr>
          </w:tbl>
          <w:p>
            <w:pPr>
              <w:widowControl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highlight w:val="none"/>
              </w:rPr>
              <w:object>
                <v:shape id="_x0000_i1030" o:spt="75" type="#_x0000_t75" style="height:306pt;width:426.75pt;" o:ole="t" filled="f" o:preferrelative="t" stroked="f" coordsize="21600,21600">
                  <v:path/>
                  <v:fill on="f" focussize="0,0"/>
                  <v:stroke on="f"/>
                  <v:imagedata r:id="rId26" o:title=""/>
                  <o:lock v:ext="edit" aspectratio="t"/>
                  <w10:wrap type="none"/>
                  <w10:anchorlock/>
                </v:shape>
                <o:OLEObject Type="Embed" ProgID="Visio.Drawing.11" ShapeID="_x0000_i1030" DrawAspect="Content" ObjectID="_1468075733" r:id="rId25">
                  <o:LockedField>false</o:LockedField>
                </o:OLEObject>
              </w:object>
            </w:r>
            <w:r>
              <w:rPr>
                <w:rFonts w:hint="default" w:ascii="Times New Roman" w:hAnsi="Times New Roman" w:eastAsia="宋体" w:cs="Times New Roman"/>
                <w:b/>
                <w:color w:val="auto"/>
                <w:sz w:val="21"/>
                <w:szCs w:val="21"/>
                <w:highlight w:val="none"/>
              </w:rPr>
              <w:t>图</w:t>
            </w:r>
            <w:r>
              <w:rPr>
                <w:rFonts w:hint="default" w:ascii="Times New Roman" w:hAnsi="Times New Roman" w:eastAsia="宋体" w:cs="Times New Roman"/>
                <w:b/>
                <w:color w:val="auto"/>
                <w:sz w:val="21"/>
                <w:szCs w:val="21"/>
                <w:highlight w:val="none"/>
                <w:lang w:val="en-US" w:eastAsia="zh-CN"/>
              </w:rPr>
              <w:t xml:space="preserve">2-9 </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eastAsia="zh-CN"/>
              </w:rPr>
              <w:t>泡沫箱</w:t>
            </w:r>
            <w:r>
              <w:rPr>
                <w:rFonts w:hint="default" w:ascii="Times New Roman" w:hAnsi="Times New Roman" w:eastAsia="宋体" w:cs="Times New Roman"/>
                <w:b/>
                <w:color w:val="auto"/>
                <w:sz w:val="21"/>
                <w:szCs w:val="21"/>
                <w:highlight w:val="none"/>
              </w:rPr>
              <w:t>物料平衡图</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单位：t/a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dxa"/>
            <w:vAlign w:val="center"/>
          </w:tcPr>
          <w:p>
            <w:pPr>
              <w:pStyle w:val="26"/>
              <w:adjustRightInd w:val="0"/>
              <w:snapToGrid w:val="0"/>
              <w:spacing w:before="0" w:beforeAutospacing="0" w:after="0" w:afterAutospacing="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kern w:val="2"/>
                <w:sz w:val="24"/>
                <w:szCs w:val="24"/>
                <w:highlight w:val="none"/>
              </w:rPr>
              <w:t>与项目有关的原有环境污染问题</w:t>
            </w:r>
          </w:p>
        </w:tc>
        <w:tc>
          <w:tcPr>
            <w:tcW w:w="8608" w:type="dxa"/>
            <w:vAlign w:val="top"/>
          </w:tcPr>
          <w:p>
            <w:pPr>
              <w:tabs>
                <w:tab w:val="left" w:pos="6482"/>
              </w:tabs>
              <w:adjustRightInd w:val="0"/>
              <w:snapToGrid w:val="0"/>
              <w:spacing w:line="360" w:lineRule="auto"/>
              <w:ind w:firstLine="480" w:firstLineChars="200"/>
              <w:rPr>
                <w:color w:val="auto"/>
                <w:sz w:val="24"/>
              </w:rPr>
            </w:pPr>
            <w:r>
              <w:rPr>
                <w:rFonts w:hint="eastAsia"/>
                <w:color w:val="auto"/>
                <w:sz w:val="24"/>
              </w:rPr>
              <w:t>本项目为新建项目</w:t>
            </w:r>
            <w:r>
              <w:rPr>
                <w:color w:val="auto"/>
                <w:sz w:val="24"/>
              </w:rPr>
              <w:t>。</w:t>
            </w:r>
            <w:r>
              <w:rPr>
                <w:rFonts w:hint="eastAsia"/>
                <w:color w:val="auto"/>
                <w:sz w:val="24"/>
                <w:lang w:eastAsia="zh-CN"/>
              </w:rPr>
              <w:t>购买</w:t>
            </w:r>
            <w:r>
              <w:rPr>
                <w:rFonts w:hint="eastAsia"/>
                <w:color w:val="auto"/>
                <w:sz w:val="24"/>
                <w:lang w:val="en-US" w:eastAsia="zh-CN"/>
              </w:rPr>
              <w:t>1间</w:t>
            </w:r>
            <w:r>
              <w:rPr>
                <w:rFonts w:hint="default" w:ascii="Times New Roman" w:hAnsi="Times New Roman" w:eastAsia="宋体" w:cs="Times New Roman"/>
                <w:b w:val="0"/>
                <w:bCs w:val="0"/>
                <w:iCs/>
                <w:color w:val="auto"/>
                <w:sz w:val="24"/>
                <w:highlight w:val="none"/>
                <w:lang w:val="en-US" w:eastAsia="zh-CN"/>
              </w:rPr>
              <w:t>已建成标准厂房及</w:t>
            </w:r>
            <w:r>
              <w:rPr>
                <w:rFonts w:hint="eastAsia" w:ascii="Times New Roman" w:hAnsi="Times New Roman" w:eastAsia="宋体" w:cs="Times New Roman"/>
                <w:b w:val="0"/>
                <w:bCs w:val="0"/>
                <w:iCs/>
                <w:color w:val="auto"/>
                <w:sz w:val="24"/>
                <w:highlight w:val="none"/>
                <w:lang w:val="en-US" w:eastAsia="zh-CN"/>
              </w:rPr>
              <w:t>1栋办公</w:t>
            </w:r>
            <w:r>
              <w:rPr>
                <w:rFonts w:hint="default" w:ascii="Times New Roman" w:hAnsi="Times New Roman" w:eastAsia="宋体" w:cs="Times New Roman"/>
                <w:b w:val="0"/>
                <w:bCs w:val="0"/>
                <w:iCs/>
                <w:color w:val="auto"/>
                <w:sz w:val="24"/>
                <w:highlight w:val="none"/>
                <w:lang w:val="en-US" w:eastAsia="zh-CN"/>
              </w:rPr>
              <w:t>楼进行使用</w:t>
            </w:r>
            <w:r>
              <w:rPr>
                <w:rFonts w:hint="eastAsia" w:ascii="Times New Roman" w:hAnsi="Times New Roman" w:eastAsia="宋体" w:cs="Times New Roman"/>
                <w:b w:val="0"/>
                <w:bCs w:val="0"/>
                <w:iCs/>
                <w:color w:val="auto"/>
                <w:sz w:val="24"/>
                <w:highlight w:val="none"/>
                <w:lang w:val="en-US" w:eastAsia="zh-CN"/>
              </w:rPr>
              <w:t>，其余为在空地新建建筑物，</w:t>
            </w:r>
            <w:r>
              <w:rPr>
                <w:color w:val="auto"/>
                <w:sz w:val="24"/>
              </w:rPr>
              <w:t>根据现场踏勘，目前</w:t>
            </w:r>
            <w:r>
              <w:rPr>
                <w:rFonts w:hint="default" w:ascii="Times New Roman" w:hAnsi="Times New Roman" w:eastAsia="宋体" w:cs="Times New Roman"/>
                <w:b w:val="0"/>
                <w:bCs w:val="0"/>
                <w:iCs/>
                <w:color w:val="auto"/>
                <w:sz w:val="24"/>
                <w:highlight w:val="none"/>
                <w:lang w:val="en-US" w:eastAsia="zh-CN"/>
              </w:rPr>
              <w:t>厂房</w:t>
            </w:r>
            <w:r>
              <w:rPr>
                <w:rFonts w:hint="eastAsia" w:ascii="Times New Roman" w:hAnsi="Times New Roman" w:eastAsia="宋体" w:cs="Times New Roman"/>
                <w:b w:val="0"/>
                <w:bCs w:val="0"/>
                <w:iCs/>
                <w:color w:val="auto"/>
                <w:sz w:val="24"/>
                <w:highlight w:val="none"/>
                <w:lang w:val="en-US" w:eastAsia="zh-CN"/>
              </w:rPr>
              <w:t>及综合楼</w:t>
            </w:r>
            <w:r>
              <w:rPr>
                <w:rFonts w:hint="eastAsia" w:cs="Times New Roman"/>
                <w:b w:val="0"/>
                <w:bCs w:val="0"/>
                <w:iCs/>
                <w:color w:val="auto"/>
                <w:sz w:val="24"/>
                <w:highlight w:val="none"/>
                <w:lang w:val="en-US" w:eastAsia="zh-CN"/>
              </w:rPr>
              <w:t>无任何物品堆存，为空置厂房</w:t>
            </w:r>
            <w:r>
              <w:rPr>
                <w:rFonts w:hint="eastAsia" w:ascii="Times New Roman" w:hAnsi="Times New Roman" w:eastAsia="宋体" w:cs="Times New Roman"/>
                <w:b w:val="0"/>
                <w:bCs w:val="0"/>
                <w:iCs/>
                <w:color w:val="auto"/>
                <w:sz w:val="24"/>
                <w:highlight w:val="none"/>
                <w:lang w:val="en-US" w:eastAsia="zh-CN"/>
              </w:rPr>
              <w:t>，</w:t>
            </w:r>
            <w:r>
              <w:rPr>
                <w:color w:val="auto"/>
                <w:sz w:val="24"/>
              </w:rPr>
              <w:t>空地内无遗留的建筑物及垃圾，故项目用地范围内不存在原有污染情况，不存在环境问题。</w:t>
            </w:r>
          </w:p>
          <w:p>
            <w:pPr>
              <w:rPr>
                <w:rFonts w:hint="default" w:ascii="Times New Roman" w:hAnsi="Times New Roman" w:eastAsia="宋体"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pStyle w:val="2"/>
              <w:rPr>
                <w:rFonts w:hint="eastAsia"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Cs/>
                <w:color w:val="auto"/>
                <w:szCs w:val="21"/>
                <w:highlight w:val="none"/>
                <w:lang w:val="en-US" w:eastAsia="zh-CN"/>
              </w:rPr>
            </w:pPr>
          </w:p>
        </w:tc>
      </w:tr>
    </w:tbl>
    <w:p>
      <w:pPr>
        <w:pStyle w:val="26"/>
        <w:jc w:val="center"/>
        <w:rPr>
          <w:rFonts w:hint="default" w:ascii="Times New Roman" w:hAnsi="Times New Roman" w:eastAsia="宋体" w:cs="Times New Roman"/>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6"/>
        <w:adjustRightInd w:val="0"/>
        <w:snapToGrid w:val="0"/>
        <w:spacing w:before="0" w:beforeAutospacing="0" w:after="0" w:afterAutospacing="0" w:line="14" w:lineRule="auto"/>
        <w:jc w:val="center"/>
        <w:outlineLvl w:val="9"/>
        <w:rPr>
          <w:rFonts w:hint="default" w:ascii="Times New Roman" w:hAnsi="Times New Roman" w:eastAsia="宋体" w:cs="Times New Roman"/>
          <w:snapToGrid w:val="0"/>
          <w:color w:val="auto"/>
          <w:sz w:val="30"/>
          <w:szCs w:val="30"/>
          <w:highlight w:val="none"/>
        </w:r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bookmarkStart w:id="18" w:name="_Toc30051"/>
      <w:bookmarkStart w:id="19" w:name="_Toc7404"/>
      <w:r>
        <w:rPr>
          <w:rFonts w:hint="default" w:ascii="Times New Roman" w:hAnsi="Times New Roman" w:eastAsia="宋体" w:cs="Times New Roman"/>
          <w:b/>
          <w:bCs/>
          <w:snapToGrid w:val="0"/>
          <w:color w:val="auto"/>
          <w:sz w:val="30"/>
          <w:szCs w:val="30"/>
          <w:highlight w:val="none"/>
        </w:rPr>
        <w:t>三、区域环境质量现状、环境保护目标及评价标准</w:t>
      </w:r>
      <w:bookmarkEnd w:id="18"/>
      <w:bookmarkEnd w:id="19"/>
    </w:p>
    <w:tbl>
      <w:tblPr>
        <w:tblStyle w:val="27"/>
        <w:tblW w:w="90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6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区域</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质量</w:t>
            </w:r>
          </w:p>
          <w:p>
            <w:pPr>
              <w:adjustRightInd w:val="0"/>
              <w:snapToGrid w:val="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 w:val="24"/>
                <w:szCs w:val="24"/>
                <w:highlight w:val="none"/>
              </w:rPr>
              <w:t>现状</w:t>
            </w:r>
          </w:p>
        </w:tc>
        <w:tc>
          <w:tcPr>
            <w:tcW w:w="860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环境空气质量现状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highlight w:val="none"/>
                <w:lang w:val="zh-CN" w:bidi="ar"/>
              </w:rPr>
            </w:pPr>
            <w:r>
              <w:rPr>
                <w:rFonts w:hint="default" w:ascii="Times New Roman" w:hAnsi="Times New Roman" w:eastAsia="宋体" w:cs="Times New Roman"/>
                <w:color w:val="auto"/>
                <w:kern w:val="0"/>
                <w:sz w:val="24"/>
                <w:highlight w:val="none"/>
                <w:lang w:bidi="ar"/>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kern w:val="0"/>
                <w:sz w:val="24"/>
                <w:szCs w:val="24"/>
                <w:highlight w:val="none"/>
                <w:lang w:val="zh-CN" w:bidi="ar"/>
              </w:rPr>
              <w:t>该区域环境空气质量功能区划为二类区，执行《环境空气质量标准》</w:t>
            </w:r>
            <w:r>
              <w:rPr>
                <w:rFonts w:hint="default" w:ascii="Times New Roman" w:hAnsi="Times New Roman" w:eastAsia="宋体" w:cs="Times New Roman"/>
                <w:color w:val="auto"/>
                <w:kern w:val="0"/>
                <w:sz w:val="24"/>
                <w:szCs w:val="24"/>
                <w:highlight w:val="none"/>
                <w:lang w:bidi="ar"/>
              </w:rPr>
              <w:t>（GB3095-2012）</w:t>
            </w:r>
            <w:r>
              <w:rPr>
                <w:rFonts w:hint="default" w:ascii="Times New Roman" w:hAnsi="Times New Roman" w:eastAsia="宋体" w:cs="Times New Roman"/>
                <w:color w:val="auto"/>
                <w:sz w:val="24"/>
                <w:szCs w:val="24"/>
                <w:highlight w:val="none"/>
                <w:lang w:val="zh-CN"/>
              </w:rPr>
              <w:t>二级标准</w:t>
            </w:r>
            <w:r>
              <w:rPr>
                <w:rFonts w:hint="default" w:ascii="Times New Roman" w:hAnsi="Times New Roman" w:eastAsia="宋体" w:cs="Times New Roman"/>
                <w:color w:val="auto"/>
                <w:kern w:val="0"/>
                <w:sz w:val="24"/>
                <w:szCs w:val="24"/>
                <w:highlight w:val="none"/>
                <w:lang w:val="zh-CN" w:bidi="ar"/>
              </w:rPr>
              <w:t>。</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kern w:val="0"/>
                <w:sz w:val="24"/>
                <w:highlight w:val="none"/>
                <w:lang w:val="en-US" w:eastAsia="zh-CN" w:bidi="ar"/>
              </w:rPr>
            </w:pP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0"/>
                <w:sz w:val="24"/>
                <w:highlight w:val="none"/>
                <w:lang w:val="en-US" w:eastAsia="zh-CN" w:bidi="ar"/>
              </w:rPr>
              <w:t>1</w:t>
            </w:r>
            <w:r>
              <w:rPr>
                <w:rFonts w:hint="default" w:ascii="Times New Roman" w:hAnsi="Times New Roman" w:eastAsia="宋体" w:cs="Times New Roman"/>
                <w:b/>
                <w:bCs/>
                <w:color w:val="auto"/>
                <w:kern w:val="0"/>
                <w:sz w:val="24"/>
                <w:highlight w:val="none"/>
                <w:lang w:val="zh-CN" w:bidi="ar"/>
              </w:rPr>
              <w:t>）</w:t>
            </w:r>
            <w:r>
              <w:rPr>
                <w:rFonts w:hint="default" w:ascii="Times New Roman" w:hAnsi="Times New Roman" w:eastAsia="宋体" w:cs="Times New Roman"/>
                <w:b/>
                <w:bCs/>
                <w:color w:val="auto"/>
                <w:kern w:val="2"/>
                <w:sz w:val="24"/>
                <w:szCs w:val="24"/>
                <w:highlight w:val="none"/>
                <w:lang w:val="en-US" w:eastAsia="zh-CN" w:bidi="ar-SA"/>
              </w:rPr>
              <w:t>区域基本污染物环境质量现状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lang w:val="en-US" w:eastAsia="zh-CN"/>
              </w:rPr>
              <w:t>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w:t>
            </w:r>
            <w:r>
              <w:rPr>
                <w:rFonts w:hint="eastAsia" w:cs="Times New Roman"/>
                <w:color w:val="auto"/>
                <w:sz w:val="24"/>
                <w:szCs w:val="24"/>
                <w:highlight w:val="none"/>
                <w:u w:val="none"/>
                <w:lang w:val="en-US" w:eastAsia="zh-CN"/>
              </w:rPr>
              <w:t>1</w:t>
            </w:r>
            <w:r>
              <w:rPr>
                <w:rFonts w:hint="default" w:ascii="Times New Roman" w:hAnsi="Times New Roman" w:eastAsia="宋体" w:cs="Times New Roman"/>
                <w:color w:val="auto"/>
                <w:sz w:val="24"/>
                <w:szCs w:val="24"/>
                <w:highlight w:val="none"/>
                <w:u w:val="none"/>
                <w:lang w:val="zh-CN" w:eastAsia="zh-CN"/>
              </w:rPr>
              <w:t>年相比，安宁市、禄劝县</w:t>
            </w:r>
            <w:r>
              <w:rPr>
                <w:rFonts w:hint="eastAsia" w:cs="Times New Roman"/>
                <w:color w:val="auto"/>
                <w:sz w:val="24"/>
                <w:szCs w:val="24"/>
                <w:highlight w:val="none"/>
                <w:u w:val="none"/>
                <w:lang w:val="zh-CN" w:eastAsia="zh-CN"/>
              </w:rPr>
              <w:t>、石林县、嵩明县、</w:t>
            </w:r>
            <w:r>
              <w:rPr>
                <w:rFonts w:hint="default" w:ascii="Times New Roman" w:hAnsi="Times New Roman" w:eastAsia="宋体" w:cs="Times New Roman"/>
                <w:color w:val="auto"/>
                <w:sz w:val="24"/>
                <w:szCs w:val="24"/>
                <w:highlight w:val="none"/>
                <w:u w:val="none"/>
                <w:lang w:val="zh-CN" w:eastAsia="zh-CN"/>
              </w:rPr>
              <w:t>富民县、宜良县、寻甸县环境空气综合污染指数有所下降，东川区环境空气综合污染指数有所上升。</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（2）特征因子环境质量现状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本项目涉及的特征因子为TSP、甲苯、乙苯、苯乙烯及非甲烷总烃</w:t>
            </w:r>
            <w:r>
              <w:rPr>
                <w:rFonts w:hint="eastAsia"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eastAsia="宋体" w:cs="Times New Roman"/>
                <w:color w:val="auto"/>
                <w:sz w:val="24"/>
                <w:highlight w:val="none"/>
              </w:rPr>
              <w:t>甲苯、苯乙烯</w:t>
            </w:r>
            <w:r>
              <w:rPr>
                <w:rFonts w:hint="default" w:ascii="Times New Roman" w:hAnsi="Times New Roman" w:eastAsia="宋体" w:cs="Times New Roman"/>
                <w:color w:val="auto"/>
                <w:sz w:val="24"/>
                <w:szCs w:val="20"/>
                <w:highlight w:val="none"/>
                <w:lang w:bidi="ar"/>
              </w:rPr>
              <w:t>环境空气质量标准执</w:t>
            </w:r>
            <w:r>
              <w:rPr>
                <w:rFonts w:hint="default" w:ascii="Times New Roman" w:hAnsi="Times New Roman" w:eastAsia="宋体" w:cs="Times New Roman"/>
                <w:color w:val="auto"/>
                <w:sz w:val="24"/>
                <w:highlight w:val="none"/>
              </w:rPr>
              <w:t>行《环境影响评价技术导则-大气环境》（HJ 2.2-2018）附录D中相关</w:t>
            </w:r>
            <w:r>
              <w:rPr>
                <w:rFonts w:hint="default" w:ascii="Times New Roman" w:hAnsi="Times New Roman" w:eastAsia="宋体" w:cs="Times New Roman"/>
                <w:color w:val="auto"/>
                <w:sz w:val="24"/>
                <w:szCs w:val="20"/>
                <w:highlight w:val="none"/>
                <w:lang w:bidi="ar"/>
              </w:rPr>
              <w:t>标准</w:t>
            </w:r>
            <w:r>
              <w:rPr>
                <w:rFonts w:hint="default" w:ascii="Times New Roman" w:hAnsi="Times New Roman" w:eastAsia="宋体" w:cs="Times New Roman"/>
                <w:color w:val="auto"/>
                <w:sz w:val="24"/>
                <w:szCs w:val="20"/>
                <w:highlight w:val="none"/>
                <w:lang w:eastAsia="zh-CN" w:bidi="ar"/>
              </w:rPr>
              <w:t>；</w:t>
            </w:r>
            <w:r>
              <w:rPr>
                <w:rFonts w:hint="default" w:ascii="Times New Roman" w:hAnsi="Times New Roman" w:eastAsia="宋体" w:cs="Times New Roman"/>
                <w:color w:val="auto"/>
                <w:sz w:val="24"/>
                <w:szCs w:val="20"/>
                <w:highlight w:val="none"/>
                <w:lang w:val="en-US" w:eastAsia="zh-CN" w:bidi="ar"/>
              </w:rPr>
              <w:t>乙苯</w:t>
            </w:r>
            <w:r>
              <w:rPr>
                <w:rFonts w:hint="eastAsia" w:cs="Times New Roman"/>
                <w:color w:val="auto"/>
                <w:sz w:val="24"/>
                <w:szCs w:val="20"/>
                <w:highlight w:val="none"/>
                <w:lang w:val="en-US" w:eastAsia="zh-CN" w:bidi="ar"/>
              </w:rPr>
              <w:t>、臭气浓度</w:t>
            </w:r>
            <w:r>
              <w:rPr>
                <w:rFonts w:hint="default" w:ascii="Times New Roman" w:hAnsi="Times New Roman" w:eastAsia="宋体" w:cs="Times New Roman"/>
                <w:color w:val="auto"/>
                <w:sz w:val="24"/>
                <w:szCs w:val="20"/>
                <w:highlight w:val="none"/>
                <w:lang w:val="en-US" w:eastAsia="zh-CN" w:bidi="ar"/>
              </w:rPr>
              <w:t>无相关质量标准；</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color w:val="auto"/>
                <w:sz w:val="24"/>
                <w:szCs w:val="20"/>
                <w:highlight w:val="none"/>
                <w:lang w:bidi="ar"/>
              </w:rPr>
              <w:t>环境空气质量标准参照</w:t>
            </w:r>
            <w:r>
              <w:rPr>
                <w:rFonts w:hint="default" w:ascii="Times New Roman" w:hAnsi="Times New Roman" w:eastAsia="宋体" w:cs="Times New Roman"/>
                <w:color w:val="auto"/>
                <w:sz w:val="24"/>
                <w:highlight w:val="none"/>
                <w:lang w:bidi="ar"/>
              </w:rPr>
              <w:t>《大气污染物综合排</w:t>
            </w:r>
            <w:r>
              <w:rPr>
                <w:rFonts w:hint="default" w:ascii="Times New Roman" w:hAnsi="Times New Roman" w:eastAsia="宋体" w:cs="Times New Roman"/>
                <w:color w:val="auto"/>
                <w:sz w:val="24"/>
                <w:szCs w:val="20"/>
                <w:highlight w:val="none"/>
                <w:lang w:bidi="ar"/>
              </w:rPr>
              <w:t>放标准详解》（原国家环保总局科技标准司）</w:t>
            </w:r>
            <w:r>
              <w:rPr>
                <w:rFonts w:hint="default" w:ascii="Times New Roman" w:hAnsi="Times New Roman" w:eastAsia="宋体" w:cs="Times New Roman"/>
                <w:color w:val="auto"/>
                <w:sz w:val="24"/>
                <w:highlight w:val="none"/>
                <w:lang w:bidi="ar"/>
              </w:rPr>
              <w:t>中</w:t>
            </w:r>
            <w:r>
              <w:rPr>
                <w:rFonts w:hint="default" w:ascii="Times New Roman" w:hAnsi="Times New Roman" w:eastAsia="宋体" w:cs="Times New Roman"/>
                <w:color w:val="auto"/>
                <w:sz w:val="24"/>
                <w:highlight w:val="none"/>
                <w:lang w:val="en-US" w:eastAsia="zh-CN" w:bidi="ar"/>
              </w:rPr>
              <w:t>第</w:t>
            </w:r>
            <w:r>
              <w:rPr>
                <w:rFonts w:hint="default" w:ascii="Times New Roman" w:hAnsi="Times New Roman" w:eastAsia="宋体" w:cs="Times New Roman"/>
                <w:color w:val="auto"/>
                <w:sz w:val="24"/>
                <w:highlight w:val="none"/>
                <w:lang w:bidi="ar"/>
              </w:rPr>
              <w:t>244页</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作为</w:t>
            </w:r>
            <w:r>
              <w:rPr>
                <w:rFonts w:hint="default" w:ascii="Times New Roman" w:hAnsi="Times New Roman" w:eastAsia="宋体" w:cs="Times New Roman"/>
                <w:color w:val="auto"/>
                <w:sz w:val="24"/>
                <w:highlight w:val="none"/>
                <w:lang w:bidi="ar"/>
              </w:rPr>
              <w:t>标准</w:t>
            </w:r>
            <w:r>
              <w:rPr>
                <w:rFonts w:hint="default" w:ascii="Times New Roman" w:hAnsi="Times New Roman" w:eastAsia="宋体" w:cs="Times New Roman"/>
                <w:color w:val="auto"/>
                <w:sz w:val="24"/>
                <w:highlight w:val="none"/>
                <w:lang w:val="en-US" w:eastAsia="zh-CN" w:bidi="ar"/>
              </w:rPr>
              <w:t>限值。</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①TSP、非甲烷总烃</w:t>
            </w:r>
          </w:p>
          <w:p>
            <w:pPr>
              <w:adjustRightInd w:val="0"/>
              <w:snapToGrid w:val="0"/>
              <w:spacing w:line="360" w:lineRule="auto"/>
              <w:ind w:firstLine="480" w:firstLineChars="200"/>
              <w:rPr>
                <w:color w:val="auto"/>
                <w:sz w:val="24"/>
              </w:rPr>
            </w:pPr>
            <w:r>
              <w:rPr>
                <w:color w:val="auto"/>
                <w:sz w:val="24"/>
              </w:rPr>
              <w:t>TSP环境空气质量现状评价</w:t>
            </w:r>
            <w:r>
              <w:rPr>
                <w:color w:val="auto"/>
                <w:kern w:val="0"/>
                <w:sz w:val="24"/>
                <w:lang w:val="zh-CN"/>
              </w:rPr>
              <w:t>引用</w:t>
            </w:r>
            <w:r>
              <w:rPr>
                <w:color w:val="auto"/>
                <w:sz w:val="24"/>
                <w:lang w:val="zh-CN"/>
              </w:rPr>
              <w:t>云南天博环境检测有限公司</w:t>
            </w:r>
            <w:r>
              <w:rPr>
                <w:color w:val="auto"/>
                <w:sz w:val="24"/>
              </w:rPr>
              <w:t>于2021年6月22日-2021年6月29日对</w:t>
            </w:r>
            <w:r>
              <w:rPr>
                <w:color w:val="auto"/>
                <w:sz w:val="24"/>
                <w:lang w:val="zh-CN"/>
              </w:rPr>
              <w:t>《寻甸年加工喷涂铝板30万平方米项目》</w:t>
            </w:r>
            <w:r>
              <w:rPr>
                <w:color w:val="auto"/>
                <w:sz w:val="24"/>
              </w:rPr>
              <w:t>的</w:t>
            </w:r>
            <w:r>
              <w:rPr>
                <w:color w:val="auto"/>
                <w:kern w:val="0"/>
                <w:sz w:val="24"/>
                <w:lang w:val="zh-CN"/>
              </w:rPr>
              <w:t>空气质量现状监测数据</w:t>
            </w:r>
            <w:r>
              <w:rPr>
                <w:rFonts w:hint="eastAsia"/>
                <w:color w:val="auto"/>
                <w:kern w:val="0"/>
                <w:sz w:val="24"/>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b/>
                <w:bCs/>
                <w:color w:val="auto"/>
                <w:sz w:val="24"/>
              </w:rPr>
            </w:pPr>
            <w:r>
              <w:rPr>
                <w:color w:val="auto"/>
                <w:sz w:val="24"/>
                <w:lang w:val="zh-CN"/>
              </w:rPr>
              <w:t>寻甸年加工喷涂铝板30万平方米项目</w:t>
            </w:r>
            <w:r>
              <w:rPr>
                <w:color w:val="auto"/>
                <w:sz w:val="24"/>
              </w:rPr>
              <w:t>位于</w:t>
            </w:r>
            <w:r>
              <w:rPr>
                <w:rFonts w:hint="eastAsia"/>
                <w:color w:val="auto"/>
                <w:sz w:val="24"/>
              </w:rPr>
              <w:t>本</w:t>
            </w:r>
            <w:r>
              <w:rPr>
                <w:color w:val="auto"/>
                <w:sz w:val="24"/>
              </w:rPr>
              <w:t>项目区</w:t>
            </w:r>
            <w:r>
              <w:rPr>
                <w:rFonts w:hint="eastAsia"/>
                <w:color w:val="auto"/>
                <w:sz w:val="24"/>
              </w:rPr>
              <w:t>南</w:t>
            </w:r>
            <w:r>
              <w:rPr>
                <w:color w:val="auto"/>
                <w:sz w:val="24"/>
              </w:rPr>
              <w:t>侧</w:t>
            </w:r>
            <w:r>
              <w:rPr>
                <w:rFonts w:hint="eastAsia"/>
                <w:color w:val="auto"/>
                <w:sz w:val="24"/>
                <w:lang w:val="en-US" w:eastAsia="zh-CN"/>
              </w:rPr>
              <w:t>379</w:t>
            </w:r>
            <w:r>
              <w:rPr>
                <w:color w:val="auto"/>
                <w:sz w:val="24"/>
              </w:rPr>
              <w:t>m，引用监测点</w:t>
            </w:r>
            <w:r>
              <w:rPr>
                <w:rFonts w:hint="eastAsia"/>
                <w:color w:val="auto"/>
                <w:sz w:val="24"/>
              </w:rPr>
              <w:t>1#</w:t>
            </w:r>
            <w:r>
              <w:rPr>
                <w:color w:val="auto"/>
                <w:sz w:val="24"/>
              </w:rPr>
              <w:t>为</w:t>
            </w:r>
            <w:r>
              <w:rPr>
                <w:rFonts w:hint="eastAsia"/>
                <w:color w:val="auto"/>
                <w:sz w:val="24"/>
              </w:rPr>
              <w:t>其</w:t>
            </w:r>
            <w:r>
              <w:rPr>
                <w:color w:val="auto"/>
                <w:sz w:val="24"/>
              </w:rPr>
              <w:t>项目厂址内</w:t>
            </w:r>
            <w:r>
              <w:rPr>
                <w:rFonts w:hint="eastAsia"/>
                <w:color w:val="auto"/>
                <w:sz w:val="24"/>
              </w:rPr>
              <w:t>，</w:t>
            </w:r>
            <w:r>
              <w:rPr>
                <w:color w:val="auto"/>
                <w:sz w:val="24"/>
              </w:rPr>
              <w:t>与</w:t>
            </w:r>
            <w:r>
              <w:rPr>
                <w:rFonts w:hint="eastAsia"/>
                <w:color w:val="auto"/>
                <w:sz w:val="24"/>
              </w:rPr>
              <w:t>本</w:t>
            </w:r>
            <w:r>
              <w:rPr>
                <w:color w:val="auto"/>
                <w:sz w:val="24"/>
              </w:rPr>
              <w:t>项目相距约</w:t>
            </w:r>
            <w:r>
              <w:rPr>
                <w:rFonts w:hint="eastAsia"/>
                <w:color w:val="auto"/>
                <w:sz w:val="24"/>
                <w:lang w:val="en-US" w:eastAsia="zh-CN"/>
              </w:rPr>
              <w:t>379</w:t>
            </w:r>
            <w:r>
              <w:rPr>
                <w:color w:val="auto"/>
                <w:sz w:val="24"/>
              </w:rPr>
              <w:t>m</w:t>
            </w:r>
            <w:r>
              <w:rPr>
                <w:rFonts w:hint="eastAsia"/>
                <w:color w:val="auto"/>
                <w:sz w:val="24"/>
              </w:rPr>
              <w:t>；</w:t>
            </w:r>
            <w:r>
              <w:rPr>
                <w:color w:val="auto"/>
                <w:sz w:val="24"/>
              </w:rPr>
              <w:t>引用监测点</w:t>
            </w:r>
            <w:r>
              <w:rPr>
                <w:rFonts w:hint="eastAsia"/>
                <w:color w:val="auto"/>
                <w:sz w:val="24"/>
              </w:rPr>
              <w:t>2#</w:t>
            </w:r>
            <w:r>
              <w:rPr>
                <w:color w:val="auto"/>
                <w:sz w:val="24"/>
              </w:rPr>
              <w:t>为</w:t>
            </w:r>
            <w:r>
              <w:rPr>
                <w:rFonts w:hint="eastAsia"/>
                <w:bCs/>
                <w:color w:val="auto"/>
                <w:sz w:val="24"/>
              </w:rPr>
              <w:t>深沟</w:t>
            </w:r>
            <w:r>
              <w:rPr>
                <w:bCs/>
                <w:color w:val="auto"/>
                <w:sz w:val="24"/>
              </w:rPr>
              <w:t>村</w:t>
            </w:r>
            <w:r>
              <w:rPr>
                <w:rFonts w:hint="eastAsia"/>
                <w:bCs/>
                <w:color w:val="auto"/>
                <w:sz w:val="24"/>
              </w:rPr>
              <w:t>散户</w:t>
            </w:r>
            <w:r>
              <w:rPr>
                <w:color w:val="auto"/>
                <w:sz w:val="24"/>
              </w:rPr>
              <w:t>，与项目相距约</w:t>
            </w:r>
            <w:r>
              <w:rPr>
                <w:rFonts w:hint="eastAsia"/>
                <w:color w:val="auto"/>
                <w:sz w:val="24"/>
                <w:lang w:val="en-US" w:eastAsia="zh-CN"/>
              </w:rPr>
              <w:t>567</w:t>
            </w:r>
            <w:r>
              <w:rPr>
                <w:color w:val="auto"/>
                <w:sz w:val="24"/>
              </w:rPr>
              <w:t>m。</w:t>
            </w:r>
            <w:r>
              <w:rPr>
                <w:rFonts w:hint="default" w:ascii="Times New Roman" w:hAnsi="Times New Roman" w:eastAsia="宋体" w:cs="Times New Roman"/>
                <w:b w:val="0"/>
                <w:bCs w:val="0"/>
                <w:color w:val="auto"/>
                <w:sz w:val="24"/>
                <w:szCs w:val="24"/>
                <w:highlight w:val="none"/>
                <w:lang w:val="en-US" w:eastAsia="zh-CN"/>
              </w:rPr>
              <w:t>本项目引用的现状监测点</w:t>
            </w:r>
            <w:r>
              <w:rPr>
                <w:rFonts w:hint="default" w:ascii="Times New Roman" w:hAnsi="Times New Roman" w:eastAsia="宋体" w:cs="Times New Roman"/>
                <w:b w:val="0"/>
                <w:color w:val="auto"/>
                <w:sz w:val="24"/>
                <w:szCs w:val="24"/>
                <w:highlight w:val="none"/>
                <w:lang w:val="zh-CN"/>
              </w:rPr>
              <w:t>具备</w:t>
            </w:r>
            <w:r>
              <w:rPr>
                <w:rFonts w:hint="eastAsia" w:cs="Times New Roman"/>
                <w:b w:val="0"/>
                <w:color w:val="auto"/>
                <w:sz w:val="24"/>
                <w:szCs w:val="24"/>
                <w:highlight w:val="none"/>
                <w:lang w:val="zh-CN"/>
              </w:rPr>
              <w:t>引用</w:t>
            </w:r>
            <w:r>
              <w:rPr>
                <w:rFonts w:hint="default" w:ascii="Times New Roman" w:hAnsi="Times New Roman" w:eastAsia="宋体" w:cs="Times New Roman"/>
                <w:b w:val="0"/>
                <w:color w:val="auto"/>
                <w:sz w:val="24"/>
                <w:szCs w:val="24"/>
                <w:highlight w:val="none"/>
                <w:lang w:val="zh-CN"/>
              </w:rPr>
              <w:t>条件，数据在技术导则要求的“近三年”时限内，</w:t>
            </w:r>
            <w:r>
              <w:rPr>
                <w:rFonts w:hint="eastAsia" w:cs="Times New Roman"/>
                <w:b w:val="0"/>
                <w:color w:val="auto"/>
                <w:sz w:val="24"/>
                <w:szCs w:val="24"/>
                <w:highlight w:val="none"/>
                <w:lang w:val="zh-CN"/>
              </w:rPr>
              <w:t>范围属于</w:t>
            </w:r>
            <w:r>
              <w:rPr>
                <w:rFonts w:hint="eastAsia" w:cs="Times New Roman"/>
                <w:b w:val="0"/>
                <w:color w:val="auto"/>
                <w:sz w:val="24"/>
                <w:szCs w:val="24"/>
                <w:highlight w:val="none"/>
                <w:lang w:val="en-US" w:eastAsia="zh-CN"/>
              </w:rPr>
              <w:t>5km范围内，</w:t>
            </w:r>
            <w:r>
              <w:rPr>
                <w:rFonts w:hint="default" w:ascii="Times New Roman" w:hAnsi="Times New Roman" w:eastAsia="宋体" w:cs="Times New Roman"/>
                <w:b w:val="0"/>
                <w:color w:val="auto"/>
                <w:sz w:val="24"/>
                <w:szCs w:val="24"/>
                <w:highlight w:val="none"/>
                <w:lang w:val="zh-CN"/>
              </w:rPr>
              <w:t>属于有效数据，</w:t>
            </w:r>
            <w:r>
              <w:rPr>
                <w:rFonts w:hint="default" w:ascii="Times New Roman" w:hAnsi="Times New Roman" w:eastAsia="宋体" w:cs="Times New Roman"/>
                <w:b w:val="0"/>
                <w:bCs w:val="0"/>
                <w:color w:val="auto"/>
                <w:sz w:val="24"/>
                <w:szCs w:val="24"/>
                <w:highlight w:val="none"/>
                <w:lang w:val="zh-CN"/>
              </w:rPr>
              <w:t>故本项目空气质量现状评价引用</w:t>
            </w:r>
            <w:r>
              <w:rPr>
                <w:rFonts w:hint="default" w:ascii="Times New Roman" w:hAnsi="Times New Roman" w:eastAsia="宋体" w:cs="Times New Roman"/>
                <w:b w:val="0"/>
                <w:bCs w:val="0"/>
                <w:color w:val="auto"/>
                <w:sz w:val="24"/>
                <w:szCs w:val="24"/>
                <w:lang w:val="en-US" w:eastAsia="zh-CN"/>
              </w:rPr>
              <w:t>的数据具有时效性和代表性。</w:t>
            </w:r>
          </w:p>
          <w:p>
            <w:pPr>
              <w:pStyle w:val="86"/>
              <w:rPr>
                <w:rFonts w:cs="Times New Roman"/>
                <w:color w:val="auto"/>
                <w:szCs w:val="24"/>
              </w:rPr>
            </w:pPr>
            <w:r>
              <w:rPr>
                <w:rFonts w:cs="Times New Roman"/>
                <w:color w:val="auto"/>
                <w:szCs w:val="24"/>
              </w:rPr>
              <w:t>引用项目监测点位布设见表3-1。</w:t>
            </w:r>
          </w:p>
          <w:p>
            <w:pPr>
              <w:jc w:val="both"/>
              <w:rPr>
                <w:b/>
                <w:color w:val="auto"/>
                <w:szCs w:val="21"/>
              </w:rPr>
            </w:pPr>
          </w:p>
          <w:p>
            <w:pPr>
              <w:jc w:val="center"/>
              <w:rPr>
                <w:b/>
                <w:color w:val="auto"/>
                <w:szCs w:val="21"/>
              </w:rPr>
            </w:pPr>
            <w:r>
              <w:rPr>
                <w:b/>
                <w:color w:val="auto"/>
                <w:szCs w:val="21"/>
              </w:rPr>
              <w:t>表3-1   监测点位基本信息</w:t>
            </w:r>
          </w:p>
          <w:tbl>
            <w:tblPr>
              <w:tblStyle w:val="27"/>
              <w:tblW w:w="831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32"/>
              <w:gridCol w:w="1298"/>
              <w:gridCol w:w="1194"/>
              <w:gridCol w:w="862"/>
              <w:gridCol w:w="1538"/>
              <w:gridCol w:w="489"/>
              <w:gridCol w:w="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5" w:hRule="atLeast"/>
              </w:trPr>
              <w:tc>
                <w:tcPr>
                  <w:tcW w:w="2132" w:type="dxa"/>
                  <w:vMerge w:val="restart"/>
                  <w:tcBorders>
                    <w:tl2br w:val="nil"/>
                    <w:tr2bl w:val="nil"/>
                  </w:tcBorders>
                  <w:vAlign w:val="center"/>
                </w:tcPr>
                <w:p>
                  <w:pPr>
                    <w:jc w:val="center"/>
                    <w:rPr>
                      <w:b/>
                      <w:color w:val="auto"/>
                      <w:szCs w:val="21"/>
                    </w:rPr>
                  </w:pPr>
                  <w:r>
                    <w:rPr>
                      <w:b/>
                      <w:color w:val="auto"/>
                      <w:szCs w:val="21"/>
                    </w:rPr>
                    <w:t>监测点名称</w:t>
                  </w:r>
                </w:p>
              </w:tc>
              <w:tc>
                <w:tcPr>
                  <w:tcW w:w="2492" w:type="dxa"/>
                  <w:gridSpan w:val="2"/>
                  <w:tcBorders>
                    <w:tl2br w:val="nil"/>
                    <w:tr2bl w:val="nil"/>
                  </w:tcBorders>
                  <w:vAlign w:val="center"/>
                </w:tcPr>
                <w:p>
                  <w:pPr>
                    <w:jc w:val="center"/>
                    <w:rPr>
                      <w:b/>
                      <w:color w:val="auto"/>
                      <w:szCs w:val="21"/>
                    </w:rPr>
                  </w:pPr>
                  <w:r>
                    <w:rPr>
                      <w:b/>
                      <w:color w:val="auto"/>
                      <w:szCs w:val="21"/>
                    </w:rPr>
                    <w:t>监测点位坐标</w:t>
                  </w:r>
                </w:p>
              </w:tc>
              <w:tc>
                <w:tcPr>
                  <w:tcW w:w="862" w:type="dxa"/>
                  <w:vMerge w:val="restart"/>
                  <w:tcBorders>
                    <w:tl2br w:val="nil"/>
                    <w:tr2bl w:val="nil"/>
                  </w:tcBorders>
                  <w:vAlign w:val="center"/>
                </w:tcPr>
                <w:p>
                  <w:pPr>
                    <w:jc w:val="center"/>
                    <w:rPr>
                      <w:b/>
                      <w:color w:val="auto"/>
                      <w:szCs w:val="21"/>
                    </w:rPr>
                  </w:pPr>
                  <w:r>
                    <w:rPr>
                      <w:b/>
                      <w:color w:val="auto"/>
                      <w:szCs w:val="21"/>
                    </w:rPr>
                    <w:t>监测因子</w:t>
                  </w:r>
                </w:p>
              </w:tc>
              <w:tc>
                <w:tcPr>
                  <w:tcW w:w="1538" w:type="dxa"/>
                  <w:vMerge w:val="restart"/>
                  <w:tcBorders>
                    <w:tl2br w:val="nil"/>
                    <w:tr2bl w:val="nil"/>
                  </w:tcBorders>
                  <w:vAlign w:val="center"/>
                </w:tcPr>
                <w:p>
                  <w:pPr>
                    <w:jc w:val="center"/>
                    <w:rPr>
                      <w:b/>
                      <w:color w:val="auto"/>
                      <w:szCs w:val="21"/>
                    </w:rPr>
                  </w:pPr>
                  <w:r>
                    <w:rPr>
                      <w:b/>
                      <w:color w:val="auto"/>
                      <w:szCs w:val="21"/>
                    </w:rPr>
                    <w:t>监测时段</w:t>
                  </w:r>
                </w:p>
              </w:tc>
              <w:tc>
                <w:tcPr>
                  <w:tcW w:w="489" w:type="dxa"/>
                  <w:vMerge w:val="restart"/>
                  <w:tcBorders>
                    <w:tl2br w:val="nil"/>
                    <w:tr2bl w:val="nil"/>
                  </w:tcBorders>
                  <w:vAlign w:val="center"/>
                </w:tcPr>
                <w:p>
                  <w:pPr>
                    <w:jc w:val="center"/>
                    <w:rPr>
                      <w:b/>
                      <w:color w:val="auto"/>
                      <w:szCs w:val="21"/>
                    </w:rPr>
                  </w:pPr>
                  <w:r>
                    <w:rPr>
                      <w:b/>
                      <w:color w:val="auto"/>
                      <w:szCs w:val="21"/>
                    </w:rPr>
                    <w:t>相对厂址方位</w:t>
                  </w:r>
                </w:p>
              </w:tc>
              <w:tc>
                <w:tcPr>
                  <w:tcW w:w="800" w:type="dxa"/>
                  <w:vMerge w:val="restart"/>
                  <w:tcBorders>
                    <w:tl2br w:val="nil"/>
                    <w:tr2bl w:val="nil"/>
                  </w:tcBorders>
                  <w:vAlign w:val="center"/>
                </w:tcPr>
                <w:p>
                  <w:pPr>
                    <w:jc w:val="center"/>
                    <w:rPr>
                      <w:b/>
                      <w:color w:val="auto"/>
                      <w:szCs w:val="21"/>
                    </w:rPr>
                  </w:pPr>
                  <w:r>
                    <w:rPr>
                      <w:b/>
                      <w:color w:val="auto"/>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2132" w:type="dxa"/>
                  <w:vMerge w:val="continue"/>
                  <w:tcBorders>
                    <w:tl2br w:val="nil"/>
                    <w:tr2bl w:val="nil"/>
                  </w:tcBorders>
                  <w:shd w:val="clear" w:color="auto" w:fill="auto"/>
                  <w:vAlign w:val="center"/>
                </w:tcPr>
                <w:p>
                  <w:pPr>
                    <w:jc w:val="center"/>
                    <w:rPr>
                      <w:b/>
                      <w:color w:val="auto"/>
                      <w:szCs w:val="21"/>
                    </w:rPr>
                  </w:pPr>
                </w:p>
              </w:tc>
              <w:tc>
                <w:tcPr>
                  <w:tcW w:w="1298" w:type="dxa"/>
                  <w:tcBorders>
                    <w:tl2br w:val="nil"/>
                    <w:tr2bl w:val="nil"/>
                  </w:tcBorders>
                  <w:shd w:val="clear" w:color="auto" w:fill="auto"/>
                  <w:vAlign w:val="center"/>
                </w:tcPr>
                <w:p>
                  <w:pPr>
                    <w:jc w:val="center"/>
                    <w:rPr>
                      <w:b/>
                      <w:color w:val="auto"/>
                      <w:szCs w:val="21"/>
                    </w:rPr>
                  </w:pPr>
                  <w:r>
                    <w:rPr>
                      <w:b/>
                      <w:color w:val="auto"/>
                      <w:szCs w:val="21"/>
                    </w:rPr>
                    <w:t>E</w:t>
                  </w:r>
                </w:p>
              </w:tc>
              <w:tc>
                <w:tcPr>
                  <w:tcW w:w="1194" w:type="dxa"/>
                  <w:tcBorders>
                    <w:tl2br w:val="nil"/>
                    <w:tr2bl w:val="nil"/>
                  </w:tcBorders>
                  <w:shd w:val="clear" w:color="auto" w:fill="auto"/>
                  <w:vAlign w:val="center"/>
                </w:tcPr>
                <w:p>
                  <w:pPr>
                    <w:jc w:val="center"/>
                    <w:rPr>
                      <w:b/>
                      <w:color w:val="auto"/>
                      <w:szCs w:val="21"/>
                    </w:rPr>
                  </w:pPr>
                  <w:r>
                    <w:rPr>
                      <w:b/>
                      <w:color w:val="auto"/>
                      <w:szCs w:val="21"/>
                    </w:rPr>
                    <w:t>N</w:t>
                  </w:r>
                </w:p>
              </w:tc>
              <w:tc>
                <w:tcPr>
                  <w:tcW w:w="862" w:type="dxa"/>
                  <w:vMerge w:val="continue"/>
                  <w:tcBorders>
                    <w:tl2br w:val="nil"/>
                    <w:tr2bl w:val="nil"/>
                  </w:tcBorders>
                  <w:shd w:val="clear" w:color="auto" w:fill="auto"/>
                  <w:vAlign w:val="center"/>
                </w:tcPr>
                <w:p>
                  <w:pPr>
                    <w:jc w:val="center"/>
                    <w:rPr>
                      <w:b/>
                      <w:color w:val="auto"/>
                      <w:szCs w:val="21"/>
                    </w:rPr>
                  </w:pPr>
                </w:p>
              </w:tc>
              <w:tc>
                <w:tcPr>
                  <w:tcW w:w="1538" w:type="dxa"/>
                  <w:vMerge w:val="continue"/>
                  <w:tcBorders>
                    <w:tl2br w:val="nil"/>
                    <w:tr2bl w:val="nil"/>
                  </w:tcBorders>
                  <w:shd w:val="clear" w:color="auto" w:fill="auto"/>
                  <w:vAlign w:val="center"/>
                </w:tcPr>
                <w:p>
                  <w:pPr>
                    <w:jc w:val="center"/>
                    <w:rPr>
                      <w:b/>
                      <w:color w:val="auto"/>
                      <w:szCs w:val="21"/>
                    </w:rPr>
                  </w:pPr>
                </w:p>
              </w:tc>
              <w:tc>
                <w:tcPr>
                  <w:tcW w:w="489" w:type="dxa"/>
                  <w:vMerge w:val="continue"/>
                  <w:tcBorders>
                    <w:tl2br w:val="nil"/>
                    <w:tr2bl w:val="nil"/>
                  </w:tcBorders>
                  <w:shd w:val="clear" w:color="000000" w:fill="FFFFFF"/>
                  <w:vAlign w:val="center"/>
                </w:tcPr>
                <w:p>
                  <w:pPr>
                    <w:jc w:val="center"/>
                    <w:rPr>
                      <w:b/>
                      <w:color w:val="auto"/>
                      <w:szCs w:val="21"/>
                    </w:rPr>
                  </w:pPr>
                </w:p>
              </w:tc>
              <w:tc>
                <w:tcPr>
                  <w:tcW w:w="800" w:type="dxa"/>
                  <w:vMerge w:val="continue"/>
                  <w:tcBorders>
                    <w:tl2br w:val="nil"/>
                    <w:tr2bl w:val="nil"/>
                  </w:tcBorders>
                  <w:vAlign w:val="center"/>
                </w:tcPr>
                <w:p>
                  <w:pPr>
                    <w:jc w:val="center"/>
                    <w:rPr>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2" w:hRule="atLeast"/>
              </w:trPr>
              <w:tc>
                <w:tcPr>
                  <w:tcW w:w="2132" w:type="dxa"/>
                  <w:tcBorders>
                    <w:tl2br w:val="nil"/>
                    <w:tr2bl w:val="nil"/>
                  </w:tcBorders>
                  <w:vAlign w:val="center"/>
                </w:tcPr>
                <w:p>
                  <w:pPr>
                    <w:jc w:val="center"/>
                    <w:rPr>
                      <w:color w:val="auto"/>
                      <w:szCs w:val="21"/>
                    </w:rPr>
                  </w:pPr>
                  <w:r>
                    <w:rPr>
                      <w:bCs/>
                      <w:color w:val="auto"/>
                      <w:szCs w:val="21"/>
                      <w:lang w:val="zh-CN"/>
                    </w:rPr>
                    <w:t>寻甸年加工喷涂铝板30万平方米项目</w:t>
                  </w:r>
                  <w:r>
                    <w:rPr>
                      <w:bCs/>
                      <w:color w:val="auto"/>
                      <w:szCs w:val="21"/>
                    </w:rPr>
                    <w:t>厂址内（1</w:t>
                  </w:r>
                  <w:r>
                    <w:rPr>
                      <w:rFonts w:hint="eastAsia"/>
                      <w:bCs/>
                      <w:color w:val="auto"/>
                      <w:szCs w:val="21"/>
                    </w:rPr>
                    <w:t>#</w:t>
                  </w:r>
                  <w:r>
                    <w:rPr>
                      <w:bCs/>
                      <w:color w:val="auto"/>
                      <w:szCs w:val="21"/>
                    </w:rPr>
                    <w:t>）</w:t>
                  </w:r>
                </w:p>
              </w:tc>
              <w:tc>
                <w:tcPr>
                  <w:tcW w:w="1298" w:type="dxa"/>
                  <w:tcBorders>
                    <w:tl2br w:val="nil"/>
                    <w:tr2bl w:val="nil"/>
                  </w:tcBorders>
                  <w:vAlign w:val="center"/>
                </w:tcPr>
                <w:p>
                  <w:pPr>
                    <w:jc w:val="center"/>
                    <w:rPr>
                      <w:color w:val="auto"/>
                      <w:szCs w:val="21"/>
                    </w:rPr>
                  </w:pPr>
                  <w:r>
                    <w:rPr>
                      <w:color w:val="auto"/>
                      <w:szCs w:val="21"/>
                    </w:rPr>
                    <w:t>103.157553°</w:t>
                  </w:r>
                </w:p>
              </w:tc>
              <w:tc>
                <w:tcPr>
                  <w:tcW w:w="1194" w:type="dxa"/>
                  <w:tcBorders>
                    <w:tl2br w:val="nil"/>
                    <w:tr2bl w:val="nil"/>
                  </w:tcBorders>
                  <w:vAlign w:val="center"/>
                </w:tcPr>
                <w:p>
                  <w:pPr>
                    <w:jc w:val="center"/>
                    <w:rPr>
                      <w:color w:val="auto"/>
                      <w:szCs w:val="21"/>
                    </w:rPr>
                  </w:pPr>
                  <w:r>
                    <w:rPr>
                      <w:color w:val="auto"/>
                      <w:szCs w:val="21"/>
                    </w:rPr>
                    <w:t>25.461592°</w:t>
                  </w:r>
                </w:p>
              </w:tc>
              <w:tc>
                <w:tcPr>
                  <w:tcW w:w="862" w:type="dxa"/>
                  <w:tcBorders>
                    <w:tl2br w:val="nil"/>
                    <w:tr2bl w:val="nil"/>
                  </w:tcBorders>
                  <w:vAlign w:val="center"/>
                </w:tcPr>
                <w:p>
                  <w:pPr>
                    <w:jc w:val="center"/>
                    <w:rPr>
                      <w:color w:val="auto"/>
                      <w:szCs w:val="21"/>
                      <w:highlight w:val="yellow"/>
                    </w:rPr>
                  </w:pPr>
                  <w:r>
                    <w:rPr>
                      <w:color w:val="auto"/>
                      <w:szCs w:val="21"/>
                    </w:rPr>
                    <w:t>TSP</w:t>
                  </w:r>
                </w:p>
              </w:tc>
              <w:tc>
                <w:tcPr>
                  <w:tcW w:w="1538" w:type="dxa"/>
                  <w:tcBorders>
                    <w:tl2br w:val="nil"/>
                    <w:tr2bl w:val="nil"/>
                  </w:tcBorders>
                  <w:vAlign w:val="center"/>
                </w:tcPr>
                <w:p>
                  <w:pPr>
                    <w:jc w:val="center"/>
                    <w:rPr>
                      <w:color w:val="auto"/>
                      <w:szCs w:val="21"/>
                    </w:rPr>
                  </w:pPr>
                  <w:r>
                    <w:rPr>
                      <w:color w:val="auto"/>
                      <w:szCs w:val="21"/>
                    </w:rPr>
                    <w:t>2021.</w:t>
                  </w:r>
                  <w:r>
                    <w:rPr>
                      <w:rFonts w:hint="eastAsia"/>
                      <w:color w:val="auto"/>
                      <w:szCs w:val="21"/>
                    </w:rPr>
                    <w:t>6.22~6.29</w:t>
                  </w:r>
                </w:p>
              </w:tc>
              <w:tc>
                <w:tcPr>
                  <w:tcW w:w="489" w:type="dxa"/>
                  <w:tcBorders>
                    <w:tl2br w:val="nil"/>
                    <w:tr2bl w:val="nil"/>
                  </w:tcBorders>
                  <w:vAlign w:val="center"/>
                </w:tcPr>
                <w:p>
                  <w:pPr>
                    <w:jc w:val="center"/>
                    <w:rPr>
                      <w:color w:val="auto"/>
                      <w:szCs w:val="21"/>
                    </w:rPr>
                  </w:pPr>
                  <w:r>
                    <w:rPr>
                      <w:color w:val="auto"/>
                      <w:szCs w:val="21"/>
                    </w:rPr>
                    <w:t>南侧</w:t>
                  </w:r>
                </w:p>
              </w:tc>
              <w:tc>
                <w:tcPr>
                  <w:tcW w:w="800" w:type="dxa"/>
                  <w:tcBorders>
                    <w:tl2br w:val="nil"/>
                    <w:tr2bl w:val="nil"/>
                  </w:tcBorders>
                  <w:vAlign w:val="center"/>
                </w:tcPr>
                <w:p>
                  <w:pPr>
                    <w:jc w:val="center"/>
                    <w:rPr>
                      <w:color w:val="auto"/>
                      <w:szCs w:val="21"/>
                    </w:rPr>
                  </w:pPr>
                  <w:r>
                    <w:rPr>
                      <w:rFonts w:hint="eastAsia"/>
                      <w:color w:val="auto"/>
                      <w:szCs w:val="21"/>
                      <w:lang w:val="en-US" w:eastAsia="zh-CN"/>
                    </w:rPr>
                    <w:t>379</w:t>
                  </w:r>
                  <w:r>
                    <w:rPr>
                      <w:color w:val="auto"/>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8" w:hRule="atLeast"/>
              </w:trPr>
              <w:tc>
                <w:tcPr>
                  <w:tcW w:w="2132" w:type="dxa"/>
                  <w:tcBorders>
                    <w:tl2br w:val="nil"/>
                    <w:tr2bl w:val="nil"/>
                  </w:tcBorders>
                  <w:vAlign w:val="center"/>
                </w:tcPr>
                <w:p>
                  <w:pPr>
                    <w:jc w:val="center"/>
                    <w:rPr>
                      <w:color w:val="auto"/>
                      <w:szCs w:val="21"/>
                    </w:rPr>
                  </w:pPr>
                  <w:r>
                    <w:rPr>
                      <w:bCs/>
                      <w:color w:val="auto"/>
                      <w:szCs w:val="21"/>
                    </w:rPr>
                    <w:t>深沟村</w:t>
                  </w:r>
                  <w:r>
                    <w:rPr>
                      <w:rFonts w:hint="eastAsia"/>
                      <w:bCs/>
                      <w:color w:val="auto"/>
                      <w:szCs w:val="21"/>
                    </w:rPr>
                    <w:t>散户</w:t>
                  </w:r>
                  <w:r>
                    <w:rPr>
                      <w:bCs/>
                      <w:color w:val="auto"/>
                      <w:szCs w:val="21"/>
                    </w:rPr>
                    <w:t>（</w:t>
                  </w:r>
                  <w:r>
                    <w:rPr>
                      <w:rFonts w:hint="eastAsia"/>
                      <w:bCs/>
                      <w:color w:val="auto"/>
                      <w:szCs w:val="21"/>
                    </w:rPr>
                    <w:t>2#</w:t>
                  </w:r>
                  <w:r>
                    <w:rPr>
                      <w:bCs/>
                      <w:color w:val="auto"/>
                      <w:szCs w:val="21"/>
                    </w:rPr>
                    <w:t>）</w:t>
                  </w:r>
                </w:p>
              </w:tc>
              <w:tc>
                <w:tcPr>
                  <w:tcW w:w="1298" w:type="dxa"/>
                  <w:tcBorders>
                    <w:tl2br w:val="nil"/>
                    <w:tr2bl w:val="nil"/>
                  </w:tcBorders>
                  <w:vAlign w:val="center"/>
                </w:tcPr>
                <w:p>
                  <w:pPr>
                    <w:jc w:val="center"/>
                    <w:rPr>
                      <w:color w:val="auto"/>
                      <w:szCs w:val="21"/>
                    </w:rPr>
                  </w:pPr>
                  <w:r>
                    <w:rPr>
                      <w:color w:val="auto"/>
                      <w:szCs w:val="21"/>
                    </w:rPr>
                    <w:t>103.162021°</w:t>
                  </w:r>
                </w:p>
              </w:tc>
              <w:tc>
                <w:tcPr>
                  <w:tcW w:w="1194" w:type="dxa"/>
                  <w:tcBorders>
                    <w:tl2br w:val="nil"/>
                    <w:tr2bl w:val="nil"/>
                  </w:tcBorders>
                  <w:vAlign w:val="center"/>
                </w:tcPr>
                <w:p>
                  <w:pPr>
                    <w:jc w:val="center"/>
                    <w:rPr>
                      <w:color w:val="auto"/>
                      <w:szCs w:val="21"/>
                    </w:rPr>
                  </w:pPr>
                  <w:r>
                    <w:rPr>
                      <w:color w:val="auto"/>
                      <w:szCs w:val="21"/>
                    </w:rPr>
                    <w:t>25.465351°</w:t>
                  </w:r>
                </w:p>
              </w:tc>
              <w:tc>
                <w:tcPr>
                  <w:tcW w:w="862" w:type="dxa"/>
                  <w:tcBorders>
                    <w:tl2br w:val="nil"/>
                    <w:tr2bl w:val="nil"/>
                  </w:tcBorders>
                  <w:vAlign w:val="center"/>
                </w:tcPr>
                <w:p>
                  <w:pPr>
                    <w:jc w:val="center"/>
                    <w:rPr>
                      <w:color w:val="auto"/>
                      <w:szCs w:val="21"/>
                      <w:highlight w:val="yellow"/>
                    </w:rPr>
                  </w:pPr>
                  <w:r>
                    <w:rPr>
                      <w:color w:val="auto"/>
                      <w:szCs w:val="21"/>
                    </w:rPr>
                    <w:t>TSP</w:t>
                  </w:r>
                </w:p>
              </w:tc>
              <w:tc>
                <w:tcPr>
                  <w:tcW w:w="1538" w:type="dxa"/>
                  <w:tcBorders>
                    <w:tl2br w:val="nil"/>
                    <w:tr2bl w:val="nil"/>
                  </w:tcBorders>
                  <w:vAlign w:val="center"/>
                </w:tcPr>
                <w:p>
                  <w:pPr>
                    <w:jc w:val="center"/>
                    <w:rPr>
                      <w:color w:val="auto"/>
                      <w:szCs w:val="21"/>
                    </w:rPr>
                  </w:pPr>
                  <w:r>
                    <w:rPr>
                      <w:color w:val="auto"/>
                      <w:szCs w:val="21"/>
                    </w:rPr>
                    <w:t>2021.</w:t>
                  </w:r>
                  <w:r>
                    <w:rPr>
                      <w:rFonts w:hint="eastAsia"/>
                      <w:color w:val="auto"/>
                      <w:szCs w:val="21"/>
                    </w:rPr>
                    <w:t>6.22~6.29</w:t>
                  </w:r>
                </w:p>
              </w:tc>
              <w:tc>
                <w:tcPr>
                  <w:tcW w:w="489" w:type="dxa"/>
                  <w:tcBorders>
                    <w:tl2br w:val="nil"/>
                    <w:tr2bl w:val="nil"/>
                  </w:tcBorders>
                  <w:vAlign w:val="center"/>
                </w:tcPr>
                <w:p>
                  <w:pPr>
                    <w:jc w:val="center"/>
                    <w:rPr>
                      <w:color w:val="auto"/>
                      <w:szCs w:val="21"/>
                    </w:rPr>
                  </w:pPr>
                  <w:r>
                    <w:rPr>
                      <w:color w:val="auto"/>
                      <w:szCs w:val="21"/>
                    </w:rPr>
                    <w:t>南侧</w:t>
                  </w:r>
                </w:p>
              </w:tc>
              <w:tc>
                <w:tcPr>
                  <w:tcW w:w="800" w:type="dxa"/>
                  <w:tcBorders>
                    <w:tl2br w:val="nil"/>
                    <w:tr2bl w:val="nil"/>
                  </w:tcBorders>
                  <w:vAlign w:val="center"/>
                </w:tcPr>
                <w:p>
                  <w:pPr>
                    <w:jc w:val="center"/>
                    <w:rPr>
                      <w:color w:val="auto"/>
                      <w:szCs w:val="21"/>
                    </w:rPr>
                  </w:pPr>
                  <w:r>
                    <w:rPr>
                      <w:rFonts w:hint="eastAsia"/>
                      <w:color w:val="auto"/>
                      <w:szCs w:val="21"/>
                      <w:lang w:val="en-US" w:eastAsia="zh-CN"/>
                    </w:rPr>
                    <w:t>567</w:t>
                  </w:r>
                  <w:r>
                    <w:rPr>
                      <w:color w:val="auto"/>
                      <w:szCs w:val="21"/>
                    </w:rPr>
                    <w:t>m</w:t>
                  </w:r>
                </w:p>
              </w:tc>
            </w:tr>
          </w:tbl>
          <w:p>
            <w:pPr>
              <w:pStyle w:val="86"/>
              <w:rPr>
                <w:rFonts w:cs="Times New Roman"/>
                <w:color w:val="auto"/>
                <w:szCs w:val="24"/>
              </w:rPr>
            </w:pPr>
            <w:r>
              <w:rPr>
                <w:rFonts w:cs="Times New Roman"/>
                <w:color w:val="auto"/>
                <w:szCs w:val="18"/>
              </w:rPr>
              <w:t>大气环境质量现状引用监测结果见表3-2</w:t>
            </w:r>
            <w:r>
              <w:rPr>
                <w:rFonts w:hint="eastAsia" w:cs="Times New Roman"/>
                <w:color w:val="auto"/>
                <w:szCs w:val="18"/>
              </w:rPr>
              <w:t>、3-3</w:t>
            </w:r>
            <w:r>
              <w:rPr>
                <w:rFonts w:cs="Times New Roman"/>
                <w:color w:val="auto"/>
                <w:szCs w:val="18"/>
              </w:rPr>
              <w:t>。</w:t>
            </w:r>
          </w:p>
          <w:p>
            <w:pPr>
              <w:pStyle w:val="13"/>
              <w:snapToGrid w:val="0"/>
              <w:jc w:val="center"/>
              <w:rPr>
                <w:b/>
                <w:bCs/>
                <w:color w:val="auto"/>
                <w:szCs w:val="21"/>
                <w:vertAlign w:val="superscript"/>
              </w:rPr>
            </w:pPr>
            <w:r>
              <w:rPr>
                <w:b/>
                <w:bCs/>
                <w:color w:val="auto"/>
                <w:szCs w:val="21"/>
                <w:lang w:val="zh-CN"/>
              </w:rPr>
              <w:t>表</w:t>
            </w:r>
            <w:r>
              <w:rPr>
                <w:b/>
                <w:bCs/>
                <w:color w:val="auto"/>
                <w:szCs w:val="21"/>
              </w:rPr>
              <w:t xml:space="preserve">3-2 </w:t>
            </w:r>
            <w:r>
              <w:rPr>
                <w:b/>
                <w:bCs/>
                <w:color w:val="auto"/>
                <w:szCs w:val="21"/>
                <w:lang w:val="zh-CN"/>
              </w:rPr>
              <w:t>寻甸年加工喷涂铝板30万平方米项目</w:t>
            </w:r>
            <w:r>
              <w:rPr>
                <w:b/>
                <w:bCs/>
                <w:color w:val="auto"/>
                <w:szCs w:val="21"/>
              </w:rPr>
              <w:t>厂址内</w:t>
            </w:r>
            <w:r>
              <w:rPr>
                <w:rFonts w:hint="eastAsia"/>
                <w:b/>
                <w:bCs/>
                <w:color w:val="auto"/>
                <w:szCs w:val="21"/>
              </w:rPr>
              <w:t>环境空气现状检测</w:t>
            </w:r>
            <w:r>
              <w:rPr>
                <w:b/>
                <w:bCs/>
                <w:color w:val="auto"/>
                <w:szCs w:val="21"/>
              </w:rPr>
              <w:t>结果 单位：</w:t>
            </w:r>
            <w:r>
              <w:rPr>
                <w:rFonts w:hint="eastAsia"/>
                <w:b/>
                <w:bCs/>
                <w:color w:val="auto"/>
                <w:szCs w:val="21"/>
              </w:rPr>
              <w:t>u</w:t>
            </w:r>
            <w:r>
              <w:rPr>
                <w:b/>
                <w:bCs/>
                <w:color w:val="auto"/>
                <w:szCs w:val="21"/>
              </w:rPr>
              <w:t>g/m</w:t>
            </w:r>
            <w:r>
              <w:rPr>
                <w:b/>
                <w:bCs/>
                <w:color w:val="auto"/>
                <w:szCs w:val="21"/>
                <w:vertAlign w:val="superscript"/>
              </w:rPr>
              <w:t>3</w:t>
            </w:r>
          </w:p>
          <w:tbl>
            <w:tblPr>
              <w:tblStyle w:val="27"/>
              <w:tblW w:w="8386"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937"/>
              <w:gridCol w:w="267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检测点位</w:t>
                  </w:r>
                </w:p>
              </w:tc>
              <w:tc>
                <w:tcPr>
                  <w:tcW w:w="3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采样日期</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TSP（日均值）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bCs/>
                      <w:color w:val="auto"/>
                      <w:szCs w:val="21"/>
                      <w:lang w:val="zh-CN"/>
                    </w:rPr>
                    <w:t>寻甸年加工喷涂铝板30万平方米项目</w:t>
                  </w:r>
                  <w:r>
                    <w:rPr>
                      <w:bCs/>
                      <w:color w:val="auto"/>
                      <w:szCs w:val="21"/>
                    </w:rPr>
                    <w:t>厂址内（1</w:t>
                  </w:r>
                  <w:r>
                    <w:rPr>
                      <w:rFonts w:hint="eastAsia"/>
                      <w:bCs/>
                      <w:color w:val="auto"/>
                      <w:szCs w:val="21"/>
                    </w:rPr>
                    <w:t>#</w:t>
                  </w:r>
                  <w:r>
                    <w:rPr>
                      <w:bCs/>
                      <w:color w:val="auto"/>
                      <w:szCs w:val="21"/>
                    </w:rPr>
                    <w:t>）</w:t>
                  </w: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22~2021-6-23</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23~2021-6-24</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24~2021-6-25</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25~2021-6-26</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67</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26~2021-6-27</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61</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27~2021-6-28</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28~2021-6-29</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69</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7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标准值</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3</w:t>
                  </w:r>
                  <w:r>
                    <w:rPr>
                      <w:rFonts w:hint="eastAsia"/>
                      <w:color w:val="auto"/>
                      <w:szCs w:val="21"/>
                    </w:rPr>
                    <w:t>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7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达标情况</w:t>
                  </w:r>
                </w:p>
              </w:tc>
              <w:tc>
                <w:tcPr>
                  <w:tcW w:w="26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r>
          </w:tbl>
          <w:p>
            <w:pPr>
              <w:pStyle w:val="13"/>
              <w:snapToGrid w:val="0"/>
              <w:jc w:val="center"/>
              <w:rPr>
                <w:b/>
                <w:bCs/>
                <w:color w:val="auto"/>
                <w:szCs w:val="21"/>
                <w:vertAlign w:val="superscript"/>
              </w:rPr>
            </w:pPr>
            <w:r>
              <w:rPr>
                <w:b/>
                <w:bCs/>
                <w:color w:val="auto"/>
                <w:szCs w:val="21"/>
                <w:lang w:val="zh-CN"/>
              </w:rPr>
              <w:t>表</w:t>
            </w:r>
            <w:r>
              <w:rPr>
                <w:b/>
                <w:bCs/>
                <w:color w:val="auto"/>
                <w:szCs w:val="21"/>
              </w:rPr>
              <w:t>3-</w:t>
            </w:r>
            <w:r>
              <w:rPr>
                <w:rFonts w:hint="eastAsia"/>
                <w:b/>
                <w:bCs/>
                <w:color w:val="auto"/>
                <w:szCs w:val="21"/>
              </w:rPr>
              <w:t>3</w:t>
            </w:r>
            <w:r>
              <w:rPr>
                <w:b/>
                <w:bCs/>
                <w:color w:val="auto"/>
                <w:szCs w:val="21"/>
              </w:rPr>
              <w:t xml:space="preserve"> 深沟村散户</w:t>
            </w:r>
            <w:r>
              <w:rPr>
                <w:rFonts w:hint="eastAsia"/>
                <w:b/>
                <w:bCs/>
                <w:color w:val="auto"/>
                <w:szCs w:val="21"/>
              </w:rPr>
              <w:t>环境空气现状检测</w:t>
            </w:r>
            <w:r>
              <w:rPr>
                <w:b/>
                <w:bCs/>
                <w:color w:val="auto"/>
                <w:szCs w:val="21"/>
              </w:rPr>
              <w:t>结果 单位：</w:t>
            </w:r>
            <w:r>
              <w:rPr>
                <w:rFonts w:hint="eastAsia"/>
                <w:b/>
                <w:bCs/>
                <w:color w:val="auto"/>
                <w:szCs w:val="21"/>
              </w:rPr>
              <w:t>u</w:t>
            </w:r>
            <w:r>
              <w:rPr>
                <w:b/>
                <w:bCs/>
                <w:color w:val="auto"/>
                <w:szCs w:val="21"/>
              </w:rPr>
              <w:t>g/m</w:t>
            </w:r>
            <w:r>
              <w:rPr>
                <w:b/>
                <w:bCs/>
                <w:color w:val="auto"/>
                <w:szCs w:val="21"/>
                <w:vertAlign w:val="superscript"/>
              </w:rPr>
              <w:t>3</w:t>
            </w:r>
          </w:p>
          <w:tbl>
            <w:tblPr>
              <w:tblStyle w:val="27"/>
              <w:tblW w:w="8385"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937"/>
              <w:gridCol w:w="2670"/>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检测点位</w:t>
                  </w:r>
                </w:p>
              </w:tc>
              <w:tc>
                <w:tcPr>
                  <w:tcW w:w="3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采样日期</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Cs w:val="21"/>
                    </w:rPr>
                  </w:pPr>
                  <w:r>
                    <w:rPr>
                      <w:b/>
                      <w:bCs/>
                      <w:color w:val="auto"/>
                      <w:szCs w:val="21"/>
                    </w:rPr>
                    <w:t>TSP（日均值）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7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bCs/>
                      <w:color w:val="auto"/>
                      <w:szCs w:val="21"/>
                    </w:rPr>
                    <w:t>深沟村散户（</w:t>
                  </w:r>
                  <w:r>
                    <w:rPr>
                      <w:rFonts w:hint="eastAsia"/>
                      <w:bCs/>
                      <w:color w:val="auto"/>
                      <w:szCs w:val="21"/>
                    </w:rPr>
                    <w:t>2#</w:t>
                  </w:r>
                  <w:r>
                    <w:rPr>
                      <w:bCs/>
                      <w:color w:val="auto"/>
                      <w:szCs w:val="21"/>
                    </w:rPr>
                    <w:t>）</w:t>
                  </w: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22~2021-6-23</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23~2021-6-24</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24~2021-6-25</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25~2021-6-26</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26~2021-6-27</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27~2021-6-28</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68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77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p>
              </w:tc>
              <w:tc>
                <w:tcPr>
                  <w:tcW w:w="39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2021-</w:t>
                  </w:r>
                  <w:r>
                    <w:rPr>
                      <w:rFonts w:hint="eastAsia"/>
                      <w:color w:val="auto"/>
                      <w:szCs w:val="21"/>
                    </w:rPr>
                    <w:t>6</w:t>
                  </w:r>
                  <w:r>
                    <w:rPr>
                      <w:color w:val="auto"/>
                      <w:szCs w:val="21"/>
                    </w:rPr>
                    <w:t>-</w:t>
                  </w:r>
                  <w:r>
                    <w:rPr>
                      <w:rFonts w:hint="eastAsia"/>
                      <w:color w:val="auto"/>
                      <w:szCs w:val="21"/>
                    </w:rPr>
                    <w:t>28~2021-6-29</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rFonts w:hint="eastAsia"/>
                      <w:color w:val="auto"/>
                      <w:szCs w:val="21"/>
                    </w:rPr>
                    <w:t>78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7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标准值</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3</w:t>
                  </w:r>
                  <w:r>
                    <w:rPr>
                      <w:rFonts w:hint="eastAsia"/>
                      <w:color w:val="auto"/>
                      <w:szCs w:val="21"/>
                    </w:rPr>
                    <w:t>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57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达标情况</w:t>
                  </w:r>
                </w:p>
              </w:tc>
              <w:tc>
                <w:tcPr>
                  <w:tcW w:w="26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rPr>
                  </w:pPr>
                  <w:r>
                    <w:rPr>
                      <w:color w:val="auto"/>
                      <w:szCs w:val="21"/>
                    </w:rPr>
                    <w:t>达标</w:t>
                  </w:r>
                </w:p>
              </w:tc>
            </w:tr>
          </w:tbl>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highlight w:val="none"/>
                <w:lang w:val="en-US" w:eastAsia="zh-CN"/>
              </w:rPr>
            </w:pPr>
            <w:r>
              <w:rPr>
                <w:color w:val="auto"/>
                <w:kern w:val="0"/>
                <w:sz w:val="24"/>
              </w:rPr>
              <w:t>根据引用监测结果可知，引用项目区内及下风向保护目标深沟村散户两个监测点</w:t>
            </w:r>
            <w:r>
              <w:rPr>
                <w:rFonts w:hint="default" w:ascii="Times New Roman" w:hAnsi="Times New Roman" w:eastAsia="宋体" w:cs="Times New Roman"/>
                <w:color w:val="auto"/>
                <w:kern w:val="0"/>
                <w:sz w:val="24"/>
                <w:highlight w:val="none"/>
              </w:rPr>
              <w:t>TSP日均值浓度能够达到《环境空气质量标准》（GB3095-2012）二级评价标准要求；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非甲烷总烃</w:t>
            </w:r>
            <w:r>
              <w:rPr>
                <w:rFonts w:hint="default" w:ascii="Times New Roman" w:hAnsi="Times New Roman" w:eastAsia="宋体" w:cs="Times New Roman"/>
                <w:b w:val="0"/>
                <w:bCs w:val="0"/>
                <w:color w:val="auto"/>
                <w:kern w:val="0"/>
                <w:sz w:val="24"/>
                <w:szCs w:val="24"/>
                <w:highlight w:val="none"/>
                <w:lang w:val="zh-CN" w:eastAsia="zh-CN"/>
              </w:rPr>
              <w:t>环境空气质量现状评价</w:t>
            </w:r>
            <w:r>
              <w:rPr>
                <w:rFonts w:hint="default" w:ascii="Times New Roman" w:hAnsi="Times New Roman" w:eastAsia="宋体" w:cs="Times New Roman"/>
                <w:b w:val="0"/>
                <w:bCs w:val="0"/>
                <w:color w:val="auto"/>
                <w:kern w:val="0"/>
                <w:sz w:val="24"/>
                <w:szCs w:val="24"/>
                <w:highlight w:val="none"/>
                <w:lang w:val="zh-CN"/>
              </w:rPr>
              <w:t>引用</w:t>
            </w:r>
            <w:r>
              <w:rPr>
                <w:rFonts w:hint="default" w:ascii="Times New Roman" w:hAnsi="Times New Roman" w:eastAsia="宋体" w:cs="Times New Roman"/>
                <w:b w:val="0"/>
                <w:bCs w:val="0"/>
                <w:color w:val="auto"/>
                <w:sz w:val="24"/>
                <w:szCs w:val="24"/>
              </w:rPr>
              <w:t>云南厚望环保科技有限公司</w:t>
            </w:r>
            <w:r>
              <w:rPr>
                <w:rFonts w:hint="default" w:ascii="Times New Roman" w:hAnsi="Times New Roman" w:eastAsia="宋体" w:cs="Times New Roman"/>
                <w:b w:val="0"/>
                <w:bCs w:val="0"/>
                <w:color w:val="auto"/>
                <w:sz w:val="24"/>
                <w:szCs w:val="24"/>
                <w:highlight w:val="none"/>
              </w:rPr>
              <w:t>于</w:t>
            </w:r>
            <w:r>
              <w:rPr>
                <w:rFonts w:hint="default" w:ascii="Times New Roman" w:hAnsi="Times New Roman" w:eastAsia="宋体" w:cs="Times New Roman"/>
                <w:b w:val="0"/>
                <w:bCs w:val="0"/>
                <w:color w:val="auto"/>
                <w:sz w:val="24"/>
                <w:szCs w:val="24"/>
                <w:highlight w:val="none"/>
                <w:lang w:val="en-US" w:eastAsia="zh-CN"/>
              </w:rPr>
              <w:t>2022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default" w:ascii="Times New Roman" w:hAnsi="Times New Roman" w:eastAsia="宋体" w:cs="Times New Roman"/>
                <w:b w:val="0"/>
                <w:bCs w:val="0"/>
                <w:color w:val="auto"/>
                <w:sz w:val="24"/>
                <w:szCs w:val="24"/>
                <w:highlight w:val="none"/>
                <w:lang w:val="en-US" w:eastAsia="zh-CN"/>
              </w:rPr>
              <w:t>1</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rPr>
              <w:t>日-202</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rPr>
              <w:t>年</w:t>
            </w:r>
            <w:r>
              <w:rPr>
                <w:rFonts w:hint="default" w:ascii="Times New Roman" w:hAnsi="Times New Roman" w:eastAsia="宋体" w:cs="Times New Roman"/>
                <w:b w:val="0"/>
                <w:bCs w:val="0"/>
                <w:color w:val="auto"/>
                <w:sz w:val="24"/>
                <w:szCs w:val="24"/>
                <w:highlight w:val="none"/>
                <w:lang w:val="en-US" w:eastAsia="zh-CN"/>
              </w:rPr>
              <w:t>9</w:t>
            </w:r>
            <w:r>
              <w:rPr>
                <w:rFonts w:hint="default" w:ascii="Times New Roman" w:hAnsi="Times New Roman" w:eastAsia="宋体" w:cs="Times New Roman"/>
                <w:b w:val="0"/>
                <w:bCs w:val="0"/>
                <w:color w:val="auto"/>
                <w:sz w:val="24"/>
                <w:szCs w:val="24"/>
                <w:highlight w:val="none"/>
              </w:rPr>
              <w:t>月</w:t>
            </w:r>
            <w:r>
              <w:rPr>
                <w:rFonts w:hint="eastAsia" w:cs="Times New Roman"/>
                <w:b w:val="0"/>
                <w:bCs w:val="0"/>
                <w:color w:val="auto"/>
                <w:sz w:val="24"/>
                <w:szCs w:val="24"/>
                <w:highlight w:val="none"/>
                <w:lang w:val="en-US" w:eastAsia="zh-CN"/>
              </w:rPr>
              <w:t>22</w:t>
            </w:r>
            <w:r>
              <w:rPr>
                <w:rFonts w:hint="default" w:ascii="Times New Roman" w:hAnsi="Times New Roman" w:eastAsia="宋体" w:cs="Times New Roman"/>
                <w:b w:val="0"/>
                <w:bCs w:val="0"/>
                <w:color w:val="auto"/>
                <w:sz w:val="24"/>
                <w:szCs w:val="24"/>
                <w:highlight w:val="none"/>
              </w:rPr>
              <w:t>日对</w:t>
            </w:r>
            <w:r>
              <w:rPr>
                <w:rFonts w:hint="default" w:ascii="Times New Roman" w:hAnsi="Times New Roman" w:eastAsia="宋体" w:cs="Times New Roman"/>
                <w:b w:val="0"/>
                <w:bCs w:val="0"/>
                <w:color w:val="auto"/>
                <w:kern w:val="2"/>
                <w:sz w:val="24"/>
                <w:szCs w:val="24"/>
                <w:highlight w:val="none"/>
                <w:lang w:val="zh-CN"/>
              </w:rPr>
              <w:t>《</w:t>
            </w:r>
            <w:r>
              <w:rPr>
                <w:rFonts w:hint="default" w:ascii="Times New Roman" w:hAnsi="Times New Roman" w:eastAsia="宋体" w:cs="Times New Roman"/>
                <w:b w:val="0"/>
                <w:bCs w:val="0"/>
                <w:color w:val="auto"/>
                <w:sz w:val="24"/>
                <w:szCs w:val="24"/>
              </w:rPr>
              <w:t>云南寻甸产业园区总体规划修编（2021-2035）环境影响报告</w:t>
            </w:r>
            <w:r>
              <w:rPr>
                <w:rFonts w:hint="default" w:ascii="Times New Roman" w:hAnsi="Times New Roman" w:eastAsia="宋体" w:cs="Times New Roman"/>
                <w:b w:val="0"/>
                <w:bCs w:val="0"/>
                <w:color w:val="auto"/>
                <w:sz w:val="24"/>
                <w:szCs w:val="24"/>
                <w:highlight w:val="none"/>
              </w:rPr>
              <w:t>书</w:t>
            </w:r>
            <w:r>
              <w:rPr>
                <w:rFonts w:hint="default" w:ascii="Times New Roman" w:hAnsi="Times New Roman" w:eastAsia="宋体" w:cs="Times New Roman"/>
                <w:b w:val="0"/>
                <w:bCs w:val="0"/>
                <w:color w:val="auto"/>
                <w:kern w:val="2"/>
                <w:sz w:val="24"/>
                <w:szCs w:val="24"/>
                <w:highlight w:val="none"/>
                <w:lang w:val="zh-CN" w:eastAsia="zh-CN"/>
              </w:rPr>
              <w:t>》</w:t>
            </w:r>
            <w:r>
              <w:rPr>
                <w:rFonts w:hint="default" w:ascii="Times New Roman" w:hAnsi="Times New Roman" w:eastAsia="宋体" w:cs="Times New Roman"/>
                <w:b w:val="0"/>
                <w:bCs w:val="0"/>
                <w:color w:val="auto"/>
                <w:kern w:val="2"/>
                <w:sz w:val="24"/>
                <w:szCs w:val="24"/>
                <w:highlight w:val="none"/>
                <w:lang w:val="en-US" w:eastAsia="zh-CN"/>
              </w:rPr>
              <w:t>中</w:t>
            </w:r>
            <w:r>
              <w:rPr>
                <w:rFonts w:hint="eastAsia" w:cs="Times New Roman"/>
                <w:b w:val="0"/>
                <w:bCs w:val="0"/>
                <w:color w:val="auto"/>
                <w:kern w:val="2"/>
                <w:sz w:val="24"/>
                <w:szCs w:val="24"/>
                <w:highlight w:val="none"/>
                <w:lang w:val="en-US" w:eastAsia="zh-CN"/>
              </w:rPr>
              <w:t>丰乐村</w:t>
            </w:r>
            <w:r>
              <w:rPr>
                <w:rFonts w:hint="default" w:ascii="Times New Roman" w:hAnsi="Times New Roman" w:eastAsia="宋体" w:cs="Times New Roman"/>
                <w:b w:val="0"/>
                <w:bCs w:val="0"/>
                <w:color w:val="auto"/>
                <w:kern w:val="2"/>
                <w:sz w:val="24"/>
                <w:szCs w:val="24"/>
                <w:highlight w:val="none"/>
                <w:lang w:val="en-US" w:eastAsia="zh-CN"/>
              </w:rPr>
              <w:t>（</w:t>
            </w:r>
            <w:r>
              <w:rPr>
                <w:rFonts w:hint="eastAsia" w:cs="Times New Roman"/>
                <w:b w:val="0"/>
                <w:bCs w:val="0"/>
                <w:color w:val="auto"/>
                <w:kern w:val="2"/>
                <w:sz w:val="24"/>
                <w:szCs w:val="24"/>
                <w:highlight w:val="none"/>
                <w:lang w:val="en-US" w:eastAsia="zh-CN"/>
              </w:rPr>
              <w:t>2</w:t>
            </w:r>
            <w:r>
              <w:rPr>
                <w:rFonts w:hint="default" w:ascii="Times New Roman" w:hAnsi="Times New Roman" w:eastAsia="宋体" w:cs="Times New Roman"/>
                <w:b w:val="0"/>
                <w:bCs w:val="0"/>
                <w:color w:val="auto"/>
                <w:kern w:val="2"/>
                <w:sz w:val="24"/>
                <w:szCs w:val="24"/>
                <w:highlight w:val="none"/>
                <w:lang w:val="en-US" w:eastAsia="zh-CN"/>
              </w:rPr>
              <w:t>#）的</w:t>
            </w:r>
            <w:r>
              <w:rPr>
                <w:rFonts w:hint="default" w:ascii="Times New Roman" w:hAnsi="Times New Roman" w:eastAsia="宋体" w:cs="Times New Roman"/>
                <w:b w:val="0"/>
                <w:bCs w:val="0"/>
                <w:color w:val="auto"/>
                <w:kern w:val="0"/>
                <w:sz w:val="24"/>
                <w:szCs w:val="24"/>
                <w:highlight w:val="none"/>
                <w:lang w:val="zh-CN" w:eastAsia="zh-CN"/>
              </w:rPr>
              <w:t>空气质量现状监测数据，</w:t>
            </w:r>
            <w:r>
              <w:rPr>
                <w:rFonts w:hint="default" w:ascii="Times New Roman" w:hAnsi="Times New Roman" w:eastAsia="宋体" w:cs="Times New Roman"/>
                <w:b w:val="0"/>
                <w:bCs w:val="0"/>
                <w:color w:val="auto"/>
                <w:sz w:val="24"/>
                <w:szCs w:val="24"/>
                <w:highlight w:val="none"/>
                <w:lang w:val="en-US" w:eastAsia="zh-CN"/>
              </w:rPr>
              <w:t>引用监测点</w:t>
            </w:r>
            <w:r>
              <w:rPr>
                <w:rFonts w:hint="eastAsia" w:cs="Times New Roman"/>
                <w:b w:val="0"/>
                <w:bCs w:val="0"/>
                <w:color w:val="auto"/>
                <w:kern w:val="2"/>
                <w:sz w:val="24"/>
                <w:szCs w:val="24"/>
                <w:highlight w:val="none"/>
                <w:lang w:val="en-US" w:eastAsia="zh-CN"/>
              </w:rPr>
              <w:t>丰乐村</w:t>
            </w:r>
            <w:r>
              <w:rPr>
                <w:rFonts w:hint="default" w:ascii="Times New Roman" w:hAnsi="Times New Roman" w:eastAsia="宋体" w:cs="Times New Roman"/>
                <w:b w:val="0"/>
                <w:bCs w:val="0"/>
                <w:color w:val="auto"/>
                <w:kern w:val="2"/>
                <w:sz w:val="24"/>
                <w:szCs w:val="24"/>
                <w:highlight w:val="none"/>
                <w:lang w:val="en-US" w:eastAsia="zh-CN"/>
              </w:rPr>
              <w:t>（</w:t>
            </w:r>
            <w:r>
              <w:rPr>
                <w:rFonts w:hint="eastAsia" w:cs="Times New Roman"/>
                <w:b w:val="0"/>
                <w:bCs w:val="0"/>
                <w:color w:val="auto"/>
                <w:kern w:val="2"/>
                <w:sz w:val="24"/>
                <w:szCs w:val="24"/>
                <w:highlight w:val="none"/>
                <w:lang w:val="en-US" w:eastAsia="zh-CN"/>
              </w:rPr>
              <w:t>2</w:t>
            </w:r>
            <w:r>
              <w:rPr>
                <w:rFonts w:hint="default" w:ascii="Times New Roman" w:hAnsi="Times New Roman" w:eastAsia="宋体" w:cs="Times New Roman"/>
                <w:b w:val="0"/>
                <w:bCs w:val="0"/>
                <w:color w:val="auto"/>
                <w:kern w:val="2"/>
                <w:sz w:val="24"/>
                <w:szCs w:val="24"/>
                <w:highlight w:val="none"/>
                <w:lang w:val="en-US" w:eastAsia="zh-CN"/>
              </w:rPr>
              <w:t>#）位于</w:t>
            </w:r>
            <w:r>
              <w:rPr>
                <w:rFonts w:hint="default" w:ascii="Times New Roman" w:hAnsi="Times New Roman" w:eastAsia="宋体" w:cs="Times New Roman"/>
                <w:b w:val="0"/>
                <w:bCs w:val="0"/>
                <w:color w:val="auto"/>
                <w:sz w:val="24"/>
                <w:szCs w:val="24"/>
                <w:highlight w:val="none"/>
                <w:lang w:val="en-US" w:eastAsia="zh-CN"/>
              </w:rPr>
              <w:t>本项目</w:t>
            </w:r>
            <w:r>
              <w:rPr>
                <w:rFonts w:hint="eastAsia" w:cs="Times New Roman"/>
                <w:b w:val="0"/>
                <w:bCs w:val="0"/>
                <w:color w:val="auto"/>
                <w:sz w:val="24"/>
                <w:szCs w:val="24"/>
                <w:highlight w:val="none"/>
                <w:lang w:val="en-US" w:eastAsia="zh-CN"/>
              </w:rPr>
              <w:t>东</w:t>
            </w:r>
            <w:r>
              <w:rPr>
                <w:rFonts w:hint="default" w:ascii="Times New Roman" w:hAnsi="Times New Roman" w:eastAsia="宋体" w:cs="Times New Roman"/>
                <w:b w:val="0"/>
                <w:bCs w:val="0"/>
                <w:color w:val="auto"/>
                <w:sz w:val="24"/>
                <w:szCs w:val="24"/>
                <w:highlight w:val="none"/>
                <w:lang w:val="en-US" w:eastAsia="zh-CN"/>
              </w:rPr>
              <w:t>侧约</w:t>
            </w:r>
            <w:r>
              <w:rPr>
                <w:rFonts w:hint="eastAsia" w:cs="Times New Roman"/>
                <w:b w:val="0"/>
                <w:bCs w:val="0"/>
                <w:color w:val="auto"/>
                <w:sz w:val="24"/>
                <w:szCs w:val="24"/>
                <w:highlight w:val="none"/>
                <w:lang w:val="en-US" w:eastAsia="zh-CN"/>
              </w:rPr>
              <w:t>2.0</w:t>
            </w:r>
            <w:r>
              <w:rPr>
                <w:rFonts w:hint="default" w:ascii="Times New Roman" w:hAnsi="Times New Roman" w:eastAsia="宋体" w:cs="Times New Roman"/>
                <w:b w:val="0"/>
                <w:bCs w:val="0"/>
                <w:color w:val="auto"/>
                <w:sz w:val="24"/>
                <w:szCs w:val="24"/>
                <w:highlight w:val="none"/>
                <w:lang w:val="en-US" w:eastAsia="zh-CN"/>
              </w:rPr>
              <w:t>km。本项目引用的现状监测点</w:t>
            </w:r>
            <w:r>
              <w:rPr>
                <w:rFonts w:hint="default" w:ascii="Times New Roman" w:hAnsi="Times New Roman" w:eastAsia="宋体" w:cs="Times New Roman"/>
                <w:b w:val="0"/>
                <w:bCs w:val="0"/>
                <w:color w:val="auto"/>
                <w:sz w:val="24"/>
                <w:szCs w:val="24"/>
                <w:highlight w:val="none"/>
                <w:lang w:val="zh-CN"/>
              </w:rPr>
              <w:t>具备类比条件，数据在技术导则要求的“近三年”时限内，属于有效数据，故本项目空气质量现状评价引用</w:t>
            </w:r>
            <w:r>
              <w:rPr>
                <w:rFonts w:hint="default" w:ascii="Times New Roman" w:hAnsi="Times New Roman" w:eastAsia="宋体" w:cs="Times New Roman"/>
                <w:b w:val="0"/>
                <w:bCs w:val="0"/>
                <w:color w:val="auto"/>
                <w:sz w:val="24"/>
                <w:szCs w:val="24"/>
                <w:highlight w:val="none"/>
                <w:lang w:val="en-US" w:eastAsia="zh-CN"/>
              </w:rPr>
              <w:t>的数据具有时效性和代表性。</w:t>
            </w:r>
          </w:p>
          <w:p>
            <w:pPr>
              <w:pStyle w:val="86"/>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val="en-US" w:eastAsia="zh-CN"/>
              </w:rPr>
              <w:t>引用项目</w:t>
            </w:r>
            <w:r>
              <w:rPr>
                <w:rFonts w:hint="default" w:ascii="Times New Roman" w:hAnsi="Times New Roman" w:eastAsia="宋体" w:cs="Times New Roman"/>
                <w:b w:val="0"/>
                <w:bCs w:val="0"/>
                <w:color w:val="auto"/>
                <w:sz w:val="24"/>
                <w:szCs w:val="24"/>
                <w:highlight w:val="none"/>
              </w:rPr>
              <w:t>监测点位布设见表</w:t>
            </w:r>
            <w:r>
              <w:rPr>
                <w:rFonts w:hint="default" w:ascii="Times New Roman" w:hAnsi="Times New Roman" w:eastAsia="宋体" w:cs="Times New Roman"/>
                <w:b w:val="0"/>
                <w:bCs w:val="0"/>
                <w:color w:val="auto"/>
                <w:sz w:val="24"/>
                <w:szCs w:val="24"/>
                <w:highlight w:val="none"/>
                <w:lang w:val="en-US" w:eastAsia="zh-CN"/>
              </w:rPr>
              <w:t>3-</w:t>
            </w:r>
            <w:r>
              <w:rPr>
                <w:rFonts w:hint="eastAsia"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highlight w:val="none"/>
                <w:lang w:eastAsia="zh-CN"/>
              </w:rPr>
              <w:t>。</w:t>
            </w:r>
          </w:p>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 xml:space="preserve">   监测点位基本信息</w:t>
            </w:r>
          </w:p>
          <w:tbl>
            <w:tblPr>
              <w:tblStyle w:val="27"/>
              <w:tblW w:w="8522"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58"/>
              <w:gridCol w:w="1536"/>
              <w:gridCol w:w="1326"/>
              <w:gridCol w:w="839"/>
              <w:gridCol w:w="1966"/>
              <w:gridCol w:w="793"/>
              <w:gridCol w:w="9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trPr>
              <w:tc>
                <w:tcPr>
                  <w:tcW w:w="1158"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监测点名称</w:t>
                  </w:r>
                </w:p>
              </w:tc>
              <w:tc>
                <w:tcPr>
                  <w:tcW w:w="2862" w:type="dxa"/>
                  <w:gridSpan w:val="2"/>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监测点位坐标/m</w:t>
                  </w:r>
                </w:p>
              </w:tc>
              <w:tc>
                <w:tcPr>
                  <w:tcW w:w="839"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监测因子</w:t>
                  </w:r>
                </w:p>
              </w:tc>
              <w:tc>
                <w:tcPr>
                  <w:tcW w:w="1966"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监测时段</w:t>
                  </w:r>
                </w:p>
              </w:tc>
              <w:tc>
                <w:tcPr>
                  <w:tcW w:w="793"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相对厂址方位</w:t>
                  </w:r>
                </w:p>
              </w:tc>
              <w:tc>
                <w:tcPr>
                  <w:tcW w:w="904" w:type="dxa"/>
                  <w:vMerge w:val="restart"/>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相对厂界距离/m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trPr>
              <w:tc>
                <w:tcPr>
                  <w:tcW w:w="1158"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536" w:type="dxa"/>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E</w:t>
                  </w:r>
                </w:p>
              </w:tc>
              <w:tc>
                <w:tcPr>
                  <w:tcW w:w="1326" w:type="dxa"/>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N</w:t>
                  </w:r>
                </w:p>
              </w:tc>
              <w:tc>
                <w:tcPr>
                  <w:tcW w:w="839"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1966" w:type="dxa"/>
                  <w:vMerge w:val="continue"/>
                  <w:tcBorders>
                    <w:tl2br w:val="nil"/>
                    <w:tr2bl w:val="nil"/>
                  </w:tcBorders>
                  <w:shd w:val="clear" w:color="auto" w:fill="auto"/>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793" w:type="dxa"/>
                  <w:vMerge w:val="continue"/>
                  <w:tcBorders>
                    <w:tl2br w:val="nil"/>
                    <w:tr2bl w:val="nil"/>
                  </w:tcBorders>
                  <w:shd w:val="clear" w:color="000000" w:fill="FFFFFF"/>
                  <w:noWrap w:val="0"/>
                  <w:vAlign w:val="center"/>
                </w:tcPr>
                <w:p>
                  <w:pPr>
                    <w:shd w:val="clear"/>
                    <w:jc w:val="center"/>
                    <w:rPr>
                      <w:rFonts w:hint="default" w:ascii="Times New Roman" w:hAnsi="Times New Roman" w:eastAsia="宋体" w:cs="Times New Roman"/>
                      <w:b/>
                      <w:color w:val="auto"/>
                      <w:sz w:val="21"/>
                      <w:szCs w:val="21"/>
                      <w:highlight w:val="none"/>
                    </w:rPr>
                  </w:pPr>
                </w:p>
              </w:tc>
              <w:tc>
                <w:tcPr>
                  <w:tcW w:w="904" w:type="dxa"/>
                  <w:vMerge w:val="continue"/>
                  <w:tcBorders>
                    <w:tl2br w:val="nil"/>
                    <w:tr2bl w:val="nil"/>
                  </w:tcBorders>
                  <w:noWrap w:val="0"/>
                  <w:vAlign w:val="center"/>
                </w:tcPr>
                <w:p>
                  <w:pPr>
                    <w:shd w:val="clear"/>
                    <w:jc w:val="center"/>
                    <w:rPr>
                      <w:rFonts w:hint="default" w:ascii="Times New Roman" w:hAnsi="Times New Roman" w:eastAsia="宋体" w:cs="Times New Roman"/>
                      <w:b/>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0" w:hRule="atLeast"/>
              </w:trPr>
              <w:tc>
                <w:tcPr>
                  <w:tcW w:w="1158"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eastAsia" w:cs="Times New Roman"/>
                      <w:color w:val="auto"/>
                      <w:kern w:val="2"/>
                      <w:sz w:val="21"/>
                      <w:szCs w:val="21"/>
                      <w:highlight w:val="none"/>
                      <w:lang w:val="en-US" w:eastAsia="zh-CN"/>
                    </w:rPr>
                    <w:t>丰乐村</w:t>
                  </w:r>
                  <w:r>
                    <w:rPr>
                      <w:rFonts w:hint="default" w:ascii="Times New Roman" w:hAnsi="Times New Roman" w:eastAsia="宋体" w:cs="Times New Roman"/>
                      <w:color w:val="auto"/>
                      <w:kern w:val="2"/>
                      <w:sz w:val="21"/>
                      <w:szCs w:val="21"/>
                      <w:highlight w:val="none"/>
                      <w:lang w:val="en-US" w:eastAsia="zh-CN"/>
                    </w:rPr>
                    <w:t>（</w:t>
                  </w:r>
                  <w:r>
                    <w:rPr>
                      <w:rFonts w:hint="eastAsia"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lang w:val="en-US" w:eastAsia="zh-CN"/>
                    </w:rPr>
                    <w:t>#）</w:t>
                  </w:r>
                </w:p>
              </w:tc>
              <w:tc>
                <w:tcPr>
                  <w:tcW w:w="1536"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103°1</w:t>
                  </w:r>
                  <w:r>
                    <w:rPr>
                      <w:rFonts w:hint="eastAsia"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43.399</w:t>
                  </w:r>
                  <w:r>
                    <w:rPr>
                      <w:rFonts w:hint="default" w:ascii="Times New Roman" w:hAnsi="Times New Roman" w:eastAsia="宋体" w:cs="Times New Roman"/>
                      <w:color w:val="auto"/>
                      <w:sz w:val="21"/>
                      <w:szCs w:val="21"/>
                      <w:highlight w:val="none"/>
                    </w:rPr>
                    <w:t>″</w:t>
                  </w:r>
                </w:p>
              </w:tc>
              <w:tc>
                <w:tcPr>
                  <w:tcW w:w="1326"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25°</w:t>
                  </w:r>
                  <w:r>
                    <w:rPr>
                      <w:rFonts w:hint="eastAsia" w:cs="Times New Roman"/>
                      <w:color w:val="auto"/>
                      <w:sz w:val="21"/>
                      <w:szCs w:val="21"/>
                      <w:highlight w:val="none"/>
                      <w:lang w:val="en-US" w:eastAsia="zh-CN"/>
                    </w:rPr>
                    <w:t>28</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1.703</w:t>
                  </w:r>
                  <w:r>
                    <w:rPr>
                      <w:rFonts w:hint="default" w:ascii="Times New Roman" w:hAnsi="Times New Roman" w:eastAsia="宋体" w:cs="Times New Roman"/>
                      <w:color w:val="auto"/>
                      <w:sz w:val="21"/>
                      <w:szCs w:val="21"/>
                      <w:highlight w:val="none"/>
                    </w:rPr>
                    <w:t>″</w:t>
                  </w:r>
                </w:p>
              </w:tc>
              <w:tc>
                <w:tcPr>
                  <w:tcW w:w="839"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966"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2022.9.1</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-2022.9.</w:t>
                  </w:r>
                  <w:r>
                    <w:rPr>
                      <w:rFonts w:hint="eastAsia" w:cs="Times New Roman"/>
                      <w:color w:val="auto"/>
                      <w:sz w:val="21"/>
                      <w:szCs w:val="21"/>
                      <w:highlight w:val="none"/>
                      <w:lang w:val="en-US" w:eastAsia="zh-CN"/>
                    </w:rPr>
                    <w:t>22</w:t>
                  </w:r>
                </w:p>
              </w:tc>
              <w:tc>
                <w:tcPr>
                  <w:tcW w:w="793"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p>
              </w:tc>
              <w:tc>
                <w:tcPr>
                  <w:tcW w:w="904" w:type="dxa"/>
                  <w:tcBorders>
                    <w:tl2br w:val="nil"/>
                    <w:tr2bl w:val="nil"/>
                  </w:tcBorders>
                  <w:noWrap w:val="0"/>
                  <w:vAlign w:val="center"/>
                </w:tcPr>
                <w:p>
                  <w:pPr>
                    <w:shd w:val="clea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00</w:t>
                  </w:r>
                </w:p>
              </w:tc>
            </w:tr>
          </w:tbl>
          <w:p>
            <w:pPr>
              <w:pStyle w:val="86"/>
              <w:shd w:val="clea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18"/>
                <w:highlight w:val="none"/>
              </w:rPr>
              <w:t>大气环境质量现状</w:t>
            </w:r>
            <w:r>
              <w:rPr>
                <w:rFonts w:hint="default" w:ascii="Times New Roman" w:hAnsi="Times New Roman" w:eastAsia="宋体" w:cs="Times New Roman"/>
                <w:color w:val="auto"/>
                <w:szCs w:val="18"/>
                <w:highlight w:val="none"/>
                <w:lang w:val="en-US" w:eastAsia="zh-CN"/>
              </w:rPr>
              <w:t>引用</w:t>
            </w:r>
            <w:r>
              <w:rPr>
                <w:rFonts w:hint="default" w:ascii="Times New Roman" w:hAnsi="Times New Roman" w:eastAsia="宋体" w:cs="Times New Roman"/>
                <w:color w:val="auto"/>
                <w:szCs w:val="18"/>
                <w:highlight w:val="none"/>
              </w:rPr>
              <w:t>监测结果见表</w:t>
            </w:r>
            <w:r>
              <w:rPr>
                <w:rFonts w:hint="default" w:ascii="Times New Roman" w:hAnsi="Times New Roman" w:eastAsia="宋体" w:cs="Times New Roman"/>
                <w:color w:val="auto"/>
                <w:szCs w:val="18"/>
                <w:highlight w:val="none"/>
                <w:lang w:val="en-US" w:eastAsia="zh-CN"/>
              </w:rPr>
              <w:t>3-</w:t>
            </w:r>
            <w:r>
              <w:rPr>
                <w:rFonts w:hint="eastAsia" w:cs="Times New Roman"/>
                <w:color w:val="auto"/>
                <w:szCs w:val="18"/>
                <w:highlight w:val="none"/>
                <w:lang w:val="en-US" w:eastAsia="zh-CN"/>
              </w:rPr>
              <w:t>5</w:t>
            </w:r>
            <w:r>
              <w:rPr>
                <w:rFonts w:hint="default" w:ascii="Times New Roman" w:hAnsi="Times New Roman" w:eastAsia="宋体" w:cs="Times New Roman"/>
                <w:color w:val="auto"/>
                <w:szCs w:val="18"/>
                <w:highlight w:val="none"/>
              </w:rPr>
              <w:t>。</w:t>
            </w:r>
          </w:p>
          <w:p>
            <w:pPr>
              <w:pStyle w:val="13"/>
              <w:shd w:val="clear"/>
              <w:snapToGrid w:val="0"/>
              <w:jc w:val="center"/>
              <w:rPr>
                <w:rFonts w:hint="default" w:ascii="Times New Roman" w:hAnsi="Times New Roman" w:eastAsia="宋体" w:cs="Times New Roman"/>
                <w:b/>
                <w:bCs/>
                <w:color w:val="auto"/>
                <w:sz w:val="21"/>
                <w:szCs w:val="21"/>
                <w:highlight w:val="none"/>
                <w:vertAlign w:val="superscript"/>
              </w:rPr>
            </w:pPr>
            <w:r>
              <w:rPr>
                <w:rFonts w:hint="default" w:ascii="Times New Roman" w:hAnsi="Times New Roman" w:eastAsia="宋体" w:cs="Times New Roman"/>
                <w:b/>
                <w:bCs/>
                <w:color w:val="auto"/>
                <w:sz w:val="21"/>
                <w:szCs w:val="21"/>
                <w:highlight w:val="none"/>
                <w:lang w:val="zh-CN"/>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引用项目</w:t>
            </w:r>
            <w:r>
              <w:rPr>
                <w:rFonts w:hint="default" w:ascii="Times New Roman" w:hAnsi="Times New Roman" w:eastAsia="宋体" w:cs="Times New Roman"/>
                <w:b/>
                <w:bCs/>
                <w:color w:val="auto"/>
                <w:szCs w:val="21"/>
                <w:highlight w:val="none"/>
              </w:rPr>
              <w:t>环境空气检测结果</w:t>
            </w:r>
            <w:r>
              <w:rPr>
                <w:rFonts w:hint="default" w:ascii="Times New Roman" w:hAnsi="Times New Roman" w:eastAsia="宋体" w:cs="Times New Roman"/>
                <w:b/>
                <w:bCs/>
                <w:color w:val="auto"/>
                <w:sz w:val="21"/>
                <w:szCs w:val="21"/>
                <w:highlight w:val="none"/>
              </w:rPr>
              <w:t xml:space="preserve">   单位：</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p>
          <w:tbl>
            <w:tblPr>
              <w:tblStyle w:val="27"/>
              <w:tblW w:w="8386"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452"/>
              <w:gridCol w:w="4934"/>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52" w:type="dxa"/>
                  <w:vMerge w:val="restart"/>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采样日期</w:t>
                  </w:r>
                </w:p>
              </w:tc>
              <w:tc>
                <w:tcPr>
                  <w:tcW w:w="4934"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检测点位：</w:t>
                  </w:r>
                  <w:r>
                    <w:rPr>
                      <w:rFonts w:hint="eastAsia" w:ascii="Times New Roman" w:hAnsi="Times New Roman" w:eastAsia="宋体" w:cs="Times New Roman"/>
                      <w:b/>
                      <w:bCs/>
                      <w:color w:val="auto"/>
                      <w:szCs w:val="21"/>
                      <w:highlight w:val="none"/>
                      <w:lang w:val="en-US" w:eastAsia="zh-CN"/>
                    </w:rPr>
                    <w:t>丰乐村</w:t>
                  </w:r>
                  <w:r>
                    <w:rPr>
                      <w:rFonts w:hint="default" w:ascii="Times New Roman" w:hAnsi="Times New Roman" w:eastAsia="宋体" w:cs="Times New Roman"/>
                      <w:b/>
                      <w:bCs/>
                      <w:color w:val="auto"/>
                      <w:szCs w:val="21"/>
                      <w:highlight w:val="none"/>
                      <w:lang w:val="en-US" w:eastAsia="zh-CN"/>
                    </w:rPr>
                    <w:t>（</w:t>
                  </w:r>
                  <w:r>
                    <w:rPr>
                      <w:rFonts w:hint="eastAsia"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52" w:type="dxa"/>
                  <w:vMerge w:val="continue"/>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p>
              </w:tc>
              <w:tc>
                <w:tcPr>
                  <w:tcW w:w="4934"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非甲烷总烃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52"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Cs w:val="21"/>
                      <w:highlight w:val="none"/>
                      <w:lang w:val="en-US" w:eastAsia="zh-CN"/>
                    </w:rPr>
                    <w:t>2022.9.1</w:t>
                  </w:r>
                  <w:r>
                    <w:rPr>
                      <w:rFonts w:hint="eastAsia" w:cs="Times New Roman"/>
                      <w:b w:val="0"/>
                      <w:bCs w:val="0"/>
                      <w:color w:val="auto"/>
                      <w:szCs w:val="21"/>
                      <w:highlight w:val="none"/>
                      <w:lang w:val="en-US" w:eastAsia="zh-CN"/>
                    </w:rPr>
                    <w:t>6</w:t>
                  </w:r>
                  <w:r>
                    <w:rPr>
                      <w:rFonts w:hint="default" w:ascii="Times New Roman" w:hAnsi="Times New Roman" w:eastAsia="宋体" w:cs="Times New Roman"/>
                      <w:b w:val="0"/>
                      <w:bCs w:val="0"/>
                      <w:color w:val="auto"/>
                      <w:szCs w:val="21"/>
                      <w:highlight w:val="none"/>
                      <w:lang w:val="en-US" w:eastAsia="zh-CN"/>
                    </w:rPr>
                    <w:t>-2022.9.</w:t>
                  </w:r>
                  <w:r>
                    <w:rPr>
                      <w:rFonts w:hint="eastAsia" w:cs="Times New Roman"/>
                      <w:b w:val="0"/>
                      <w:bCs w:val="0"/>
                      <w:color w:val="auto"/>
                      <w:szCs w:val="21"/>
                      <w:highlight w:val="none"/>
                      <w:lang w:val="en-US" w:eastAsia="zh-CN"/>
                    </w:rPr>
                    <w:t>22</w:t>
                  </w:r>
                </w:p>
              </w:tc>
              <w:tc>
                <w:tcPr>
                  <w:tcW w:w="4934"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eastAsia="宋体" w:cs="Times New Roman"/>
                      <w:b w:val="0"/>
                      <w:bCs w:val="0"/>
                      <w:color w:val="auto"/>
                      <w:sz w:val="21"/>
                      <w:szCs w:val="24"/>
                    </w:rPr>
                    <w:t>0.</w:t>
                  </w:r>
                  <w:r>
                    <w:rPr>
                      <w:rFonts w:hint="eastAsia" w:cs="Times New Roman"/>
                      <w:b w:val="0"/>
                      <w:bCs w:val="0"/>
                      <w:color w:val="auto"/>
                      <w:sz w:val="21"/>
                      <w:szCs w:val="24"/>
                      <w:lang w:val="en-US" w:eastAsia="zh-CN"/>
                    </w:rPr>
                    <w:t>13</w:t>
                  </w:r>
                  <w:r>
                    <w:rPr>
                      <w:rFonts w:hint="default" w:ascii="Times New Roman" w:hAnsi="Times New Roman" w:eastAsia="宋体" w:cs="Times New Roman"/>
                      <w:b w:val="0"/>
                      <w:bCs w:val="0"/>
                      <w:color w:val="auto"/>
                      <w:sz w:val="21"/>
                      <w:szCs w:val="24"/>
                    </w:rPr>
                    <w:t>~</w:t>
                  </w:r>
                  <w:r>
                    <w:rPr>
                      <w:rFonts w:hint="eastAsia" w:cs="Times New Roman"/>
                      <w:b w:val="0"/>
                      <w:bCs w:val="0"/>
                      <w:color w:val="auto"/>
                      <w:sz w:val="21"/>
                      <w:szCs w:val="24"/>
                      <w:lang w:val="en-US" w:eastAsia="zh-CN"/>
                    </w:rPr>
                    <w:t>0.95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52"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标准值</w:t>
                  </w:r>
                </w:p>
              </w:tc>
              <w:tc>
                <w:tcPr>
                  <w:tcW w:w="4934"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2.0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52"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达标情况</w:t>
                  </w:r>
                </w:p>
              </w:tc>
              <w:tc>
                <w:tcPr>
                  <w:tcW w:w="4934" w:type="dxa"/>
                  <w:tcBorders>
                    <w:tl2br w:val="nil"/>
                    <w:tr2bl w:val="nil"/>
                  </w:tcBorders>
                  <w:noWrap w:val="0"/>
                  <w:vAlign w:val="center"/>
                </w:tcPr>
                <w:p>
                  <w:pPr>
                    <w:shd w:val="clear"/>
                    <w:spacing w:line="240" w:lineRule="exact"/>
                    <w:jc w:val="center"/>
                    <w:rPr>
                      <w:rFonts w:hint="default" w:ascii="Times New Roman" w:hAnsi="Times New Roman" w:eastAsia="宋体" w:cs="Times New Roman"/>
                      <w:b w:val="0"/>
                      <w:bCs w:val="0"/>
                      <w:color w:val="auto"/>
                      <w:szCs w:val="21"/>
                      <w:highlight w:val="none"/>
                    </w:rPr>
                  </w:pPr>
                  <w:r>
                    <w:rPr>
                      <w:rFonts w:hint="default" w:ascii="Times New Roman" w:hAnsi="Times New Roman" w:eastAsia="宋体" w:cs="Times New Roman"/>
                      <w:b w:val="0"/>
                      <w:bCs w:val="0"/>
                      <w:color w:val="auto"/>
                      <w:szCs w:val="21"/>
                      <w:highlight w:val="none"/>
                    </w:rPr>
                    <w:t>达标</w:t>
                  </w:r>
                </w:p>
              </w:tc>
            </w:tr>
          </w:tbl>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48"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highlight w:val="none"/>
              </w:rPr>
              <w:t>非甲烷总烃</w:t>
            </w:r>
            <w:r>
              <w:rPr>
                <w:rFonts w:hint="default" w:ascii="Times New Roman" w:hAnsi="Times New Roman" w:eastAsia="宋体" w:cs="Times New Roman"/>
                <w:color w:val="auto"/>
                <w:sz w:val="24"/>
                <w:szCs w:val="20"/>
                <w:highlight w:val="none"/>
                <w:lang w:bidi="ar"/>
              </w:rPr>
              <w:t>小时值均能满足</w:t>
            </w:r>
            <w:r>
              <w:rPr>
                <w:rFonts w:hint="default" w:ascii="Times New Roman" w:hAnsi="Times New Roman" w:eastAsia="宋体" w:cs="Times New Roman"/>
                <w:color w:val="auto"/>
                <w:sz w:val="24"/>
                <w:highlight w:val="none"/>
              </w:rPr>
              <w:t>中国环境科学出版社出版的国家环境保护局科</w:t>
            </w:r>
            <w:r>
              <w:rPr>
                <w:rFonts w:hint="default" w:ascii="Times New Roman" w:hAnsi="Times New Roman" w:eastAsia="宋体" w:cs="Times New Roman"/>
                <w:color w:val="auto"/>
                <w:sz w:val="24"/>
                <w:szCs w:val="24"/>
                <w:highlight w:val="none"/>
              </w:rPr>
              <w:t>技标准司的《大气污染物综合排放标准详解》中</w:t>
            </w:r>
            <w:r>
              <w:rPr>
                <w:rFonts w:hint="default" w:ascii="Times New Roman" w:hAnsi="Times New Roman" w:eastAsia="宋体" w:cs="Times New Roman"/>
                <w:color w:val="auto"/>
                <w:sz w:val="24"/>
                <w:highlight w:val="none"/>
              </w:rPr>
              <w:t>2mg/m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vertAlign w:val="baseline"/>
                <w:lang w:val="en-US" w:eastAsia="zh-CN"/>
              </w:rPr>
              <w:t>的</w:t>
            </w:r>
            <w:r>
              <w:rPr>
                <w:rFonts w:hint="default" w:ascii="Times New Roman" w:hAnsi="Times New Roman" w:eastAsia="宋体" w:cs="Times New Roman"/>
                <w:color w:val="auto"/>
                <w:sz w:val="24"/>
                <w:szCs w:val="24"/>
                <w:highlight w:val="none"/>
              </w:rPr>
              <w:t>浓度限值</w:t>
            </w:r>
            <w:r>
              <w:rPr>
                <w:rFonts w:hint="default" w:ascii="Times New Roman" w:hAnsi="Times New Roman" w:eastAsia="宋体" w:cs="Times New Roman"/>
                <w:color w:val="auto"/>
                <w:kern w:val="0"/>
                <w:sz w:val="24"/>
                <w:szCs w:val="24"/>
                <w:highlight w:val="none"/>
              </w:rPr>
              <w:t>。</w:t>
            </w:r>
          </w:p>
          <w:p>
            <w:pPr>
              <w:keepNext w:val="0"/>
              <w:keepLines w:val="0"/>
              <w:pageBreakBefore w:val="0"/>
              <w:widowControl w:val="0"/>
              <w:shd w:val="clear"/>
              <w:kinsoku/>
              <w:wordWrap/>
              <w:overflowPunct/>
              <w:topLinePunct w:val="0"/>
              <w:autoSpaceDE/>
              <w:autoSpaceDN/>
              <w:bidi w:val="0"/>
              <w:adjustRightInd w:val="0"/>
              <w:snapToGrid w:val="0"/>
              <w:spacing w:beforeAutospacing="0" w:afterAutospacing="0" w:line="348" w:lineRule="auto"/>
              <w:ind w:firstLine="480" w:firstLineChars="200"/>
              <w:jc w:val="both"/>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项目区环境空气质量满足功能区要求。</w:t>
            </w:r>
          </w:p>
          <w:p>
            <w:pPr>
              <w:pStyle w:val="1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t>甲苯、乙苯、苯乙烯</w:t>
            </w:r>
            <w:r>
              <w:rPr>
                <w:rFonts w:hint="eastAsia" w:cs="Times New Roman"/>
                <w:color w:val="auto"/>
                <w:sz w:val="24"/>
                <w:szCs w:val="24"/>
                <w:highlight w:val="none"/>
                <w:lang w:val="en-US" w:eastAsia="zh-CN"/>
              </w:rPr>
              <w:t>、臭气浓度</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rPr>
              <w:t>参考生态环境部工程评估中心在全国环评技术评估服务咨询平台（http://iconsult-eia.china-eia.com/index?aimModule=searching_detail&amp;fromHome=1&amp;infoId=2194）相关回复，环境空气质量标准指《环境空气质量标准》（GB3095）和地方的环境空气质量标准，不包括《环境影响评价技术导则 大气环境》（HJ2.2-2018）附录D、《工业企业设计卫生标准》（TJ36-97）、《前苏联居住区标准》（CH245-71）、《环境影响评价技术导则 制药建设项目》（HJ611-2011）、《大气污染物综合排放标准详解》等导则或参考资料。本项目特征因子</w:t>
            </w:r>
            <w:r>
              <w:rPr>
                <w:rFonts w:hint="default" w:ascii="Times New Roman" w:hAnsi="Times New Roman" w:eastAsia="宋体" w:cs="Times New Roman"/>
                <w:color w:val="auto"/>
                <w:sz w:val="24"/>
                <w:szCs w:val="24"/>
                <w:highlight w:val="none"/>
                <w:lang w:val="en-US" w:eastAsia="zh-CN"/>
              </w:rPr>
              <w:t>甲苯、乙苯、苯乙烯</w:t>
            </w:r>
            <w:r>
              <w:rPr>
                <w:rFonts w:hint="eastAsia" w:ascii="Times New Roman" w:hAnsi="Times New Roman"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，不属于《环境空气质量标准》（GB3095</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2012）中所列项目，云南省亦无地方环境空气质量标准，因此未进行</w:t>
            </w:r>
            <w:r>
              <w:rPr>
                <w:rFonts w:hint="default" w:ascii="Times New Roman" w:hAnsi="Times New Roman" w:eastAsia="宋体" w:cs="Times New Roman"/>
                <w:color w:val="auto"/>
                <w:sz w:val="24"/>
                <w:szCs w:val="24"/>
                <w:highlight w:val="none"/>
                <w:lang w:val="en-US" w:eastAsia="zh-CN"/>
              </w:rPr>
              <w:t>甲苯、乙苯、苯乙烯</w:t>
            </w:r>
            <w:r>
              <w:rPr>
                <w:rFonts w:hint="eastAsia" w:ascii="Times New Roman" w:hAnsi="Times New Roman" w:cs="Times New Roman"/>
                <w:color w:val="auto"/>
                <w:sz w:val="24"/>
                <w:szCs w:val="24"/>
                <w:highlight w:val="none"/>
                <w:lang w:val="en-US" w:eastAsia="zh-CN"/>
              </w:rPr>
              <w:t>、</w:t>
            </w:r>
            <w:r>
              <w:rPr>
                <w:rFonts w:hint="eastAsia" w:cs="Times New Roman"/>
                <w:b w:val="0"/>
                <w:bCs/>
                <w:color w:val="auto"/>
                <w:spacing w:val="-10"/>
                <w:sz w:val="24"/>
                <w:szCs w:val="24"/>
                <w:highlight w:val="none"/>
                <w:vertAlign w:val="baseline"/>
                <w:lang w:val="en-US" w:eastAsia="zh-CN"/>
              </w:rPr>
              <w:t>臭气浓度</w:t>
            </w:r>
            <w:r>
              <w:rPr>
                <w:rFonts w:hint="default" w:ascii="Times New Roman" w:hAnsi="Times New Roman" w:eastAsia="宋体" w:cs="Times New Roman"/>
                <w:color w:val="auto"/>
                <w:sz w:val="24"/>
                <w:highlight w:val="none"/>
              </w:rPr>
              <w:t>环境质量现状检测</w:t>
            </w:r>
            <w:r>
              <w:rPr>
                <w:rFonts w:hint="default" w:ascii="Times New Roman" w:hAnsi="Times New Roman" w:eastAsia="宋体" w:cs="Times New Roman"/>
                <w:color w:val="auto"/>
                <w:sz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2、地表水环境质量现状</w:t>
            </w:r>
          </w:p>
          <w:p>
            <w:pPr>
              <w:adjustRightInd w:val="0"/>
              <w:snapToGrid w:val="0"/>
              <w:spacing w:line="348" w:lineRule="auto"/>
              <w:ind w:firstLine="480" w:firstLineChars="200"/>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pPr>
            <w:r>
              <w:rPr>
                <w:rFonts w:ascii="Times New Roman" w:hAnsi="Times New Roman" w:eastAsia="宋体" w:cs="Times New Roman"/>
                <w:color w:val="auto"/>
                <w:kern w:val="0"/>
                <w:sz w:val="24"/>
              </w:rPr>
              <w:t>本项目涉及的地表水体主要为</w:t>
            </w:r>
            <w:r>
              <w:rPr>
                <w:rFonts w:hint="eastAsia" w:cs="Times New Roman"/>
                <w:color w:val="auto"/>
                <w:kern w:val="0"/>
                <w:sz w:val="24"/>
                <w:lang w:val="en-US" w:eastAsia="zh-CN"/>
              </w:rPr>
              <w:t>东</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2533</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default" w:ascii="Times New Roman" w:hAnsi="Times New Roman" w:eastAsia="宋体" w:cs="Times New Roman"/>
                <w:color w:val="auto"/>
                <w:kern w:val="0"/>
                <w:sz w:val="24"/>
              </w:rPr>
              <w:t>根据云南省水利厅2014年5月发布的《云南省水功能区划》（2014年修订），牛栏江-滇池补水水源保护区2030年水质目标为III类，</w:t>
            </w:r>
            <w:r>
              <w:rPr>
                <w:rFonts w:ascii="Times New Roman" w:hAnsi="Times New Roman" w:eastAsia="宋体" w:cs="Times New Roman"/>
                <w:color w:val="auto"/>
                <w:kern w:val="0"/>
                <w:sz w:val="24"/>
              </w:rPr>
              <w:t>执行《地表水环境质量标准》（GB3838-2002）Ⅲ类水质标准</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cs="Times New Roman"/>
                <w:color w:val="auto"/>
                <w:kern w:val="0"/>
                <w:sz w:val="24"/>
                <w:lang w:eastAsia="zh-CN"/>
              </w:rPr>
              <w:t>最终汇入牛栏江，属于</w:t>
            </w:r>
            <w:r>
              <w:rPr>
                <w:rFonts w:hint="default" w:ascii="Times New Roman" w:hAnsi="Times New Roman" w:eastAsia="宋体" w:cs="Times New Roman"/>
                <w:color w:val="auto"/>
                <w:kern w:val="0"/>
                <w:sz w:val="24"/>
              </w:rPr>
              <w:t>牛栏江-滇池补水水源保护区</w:t>
            </w:r>
            <w:r>
              <w:rPr>
                <w:rFonts w:ascii="Times New Roman" w:hAnsi="Times New Roman" w:eastAsia="宋体" w:cs="Times New Roman"/>
                <w:color w:val="auto"/>
                <w:kern w:val="0"/>
                <w:sz w:val="24"/>
              </w:rPr>
              <w:t>，</w:t>
            </w:r>
            <w:r>
              <w:rPr>
                <w:rFonts w:hint="eastAsia"/>
                <w:color w:val="auto"/>
                <w:lang w:val="en-US" w:eastAsia="zh-CN"/>
              </w:rPr>
              <w:t>《</w:t>
            </w:r>
            <w:r>
              <w:rPr>
                <w:color w:val="auto"/>
                <w:sz w:val="24"/>
                <w:lang w:val="zh-CN"/>
              </w:rPr>
              <w:t>云南省水功能区划（2014年修订）》中未列出</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color w:val="auto"/>
                <w:sz w:val="24"/>
                <w:lang w:val="zh-CN"/>
              </w:rPr>
              <w:t>的水环境功能区划，按照支流服从干流的原则</w:t>
            </w:r>
            <w:r>
              <w:rPr>
                <w:rFonts w:hint="eastAsia"/>
                <w:color w:val="auto"/>
                <w:sz w:val="24"/>
                <w:lang w:val="en-US" w:eastAsia="zh-CN"/>
              </w:rPr>
              <w:t>执行，</w:t>
            </w:r>
            <w:r>
              <w:rPr>
                <w:rFonts w:hint="eastAsia" w:ascii="Times New Roman" w:hAnsi="Times New Roman" w:eastAsia="宋体" w:cs="Times New Roman"/>
                <w:color w:val="auto"/>
                <w:kern w:val="0"/>
                <w:sz w:val="24"/>
                <w:lang w:eastAsia="zh-CN"/>
              </w:rPr>
              <w:t>因此</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cs="Times New Roman"/>
                <w:color w:val="auto"/>
                <w:kern w:val="0"/>
                <w:sz w:val="24"/>
                <w:lang w:eastAsia="zh-CN"/>
              </w:rPr>
              <w:t>参照</w:t>
            </w:r>
            <w:r>
              <w:rPr>
                <w:rFonts w:ascii="Times New Roman" w:hAnsi="Times New Roman" w:eastAsia="宋体" w:cs="Times New Roman"/>
                <w:color w:val="auto"/>
                <w:kern w:val="0"/>
                <w:sz w:val="24"/>
              </w:rPr>
              <w:t>执行《地表水环境质量</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标准》（GB3838-2002）Ⅲ类水质标准。</w:t>
            </w:r>
          </w:p>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75"/>
              <w:jc w:val="both"/>
              <w:textAlignment w:val="auto"/>
              <w:rPr>
                <w:rFonts w:hint="default" w:ascii="Times New Roman" w:hAnsi="Times New Roman" w:eastAsia="宋体" w:cs="Times New Roman"/>
                <w:bCs/>
                <w:i w:val="0"/>
                <w:iCs w:val="0"/>
                <w:caps w:val="0"/>
                <w:color w:val="auto"/>
                <w:spacing w:val="0"/>
                <w:kern w:val="2"/>
                <w:sz w:val="24"/>
                <w:szCs w:val="24"/>
                <w:highlight w:val="none"/>
                <w:lang w:val="en-US" w:eastAsia="zh-CN"/>
              </w:rPr>
            </w:pP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根据《</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2023</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年</w:t>
            </w:r>
            <w:r>
              <w:rPr>
                <w:rFonts w:hint="default" w:ascii="Times New Roman" w:hAnsi="Times New Roman" w:eastAsia="宋体" w:cs="Times New Roman"/>
                <w:i w:val="0"/>
                <w:iCs w:val="0"/>
                <w:caps w:val="0"/>
                <w:color w:val="auto"/>
                <w:spacing w:val="0"/>
                <w:kern w:val="2"/>
                <w:sz w:val="24"/>
                <w:szCs w:val="24"/>
                <w:highlight w:val="none"/>
                <w:shd w:val="clear"/>
                <w:lang w:val="en-US" w:eastAsia="zh-CN" w:bidi="ar-SA"/>
              </w:rPr>
              <w:t>0</w:t>
            </w:r>
            <w:r>
              <w:rPr>
                <w:rFonts w:hint="eastAsia" w:ascii="Times New Roman" w:hAnsi="Times New Roman" w:cs="Times New Roman"/>
                <w:i w:val="0"/>
                <w:iCs w:val="0"/>
                <w:caps w:val="0"/>
                <w:color w:val="auto"/>
                <w:spacing w:val="0"/>
                <w:kern w:val="2"/>
                <w:sz w:val="24"/>
                <w:szCs w:val="24"/>
                <w:highlight w:val="none"/>
                <w:shd w:val="clear"/>
                <w:lang w:val="en-US" w:eastAsia="zh-CN" w:bidi="ar-SA"/>
              </w:rPr>
              <w:t>7</w:t>
            </w:r>
            <w:r>
              <w:rPr>
                <w:rFonts w:hint="default" w:ascii="Times New Roman" w:hAnsi="Times New Roman" w:eastAsia="宋体" w:cs="Times New Roman"/>
                <w:i w:val="0"/>
                <w:iCs w:val="0"/>
                <w:caps w:val="0"/>
                <w:color w:val="auto"/>
                <w:spacing w:val="0"/>
                <w:kern w:val="2"/>
                <w:sz w:val="24"/>
                <w:szCs w:val="24"/>
                <w:highlight w:val="none"/>
                <w:shd w:val="clear"/>
                <w:lang w:val="zh-CN" w:eastAsia="zh-CN" w:bidi="ar-SA"/>
              </w:rPr>
              <w:t>月寻</w:t>
            </w:r>
            <w:r>
              <w:rPr>
                <w:rFonts w:hint="default" w:ascii="Times New Roman" w:hAnsi="Times New Roman" w:eastAsia="宋体" w:cs="Times New Roman"/>
                <w:bCs/>
                <w:i w:val="0"/>
                <w:iCs w:val="0"/>
                <w:caps w:val="0"/>
                <w:color w:val="auto"/>
                <w:spacing w:val="0"/>
                <w:sz w:val="24"/>
                <w:szCs w:val="24"/>
                <w:highlight w:val="none"/>
                <w:shd w:val="clear"/>
                <w:lang w:val="zh-CN"/>
              </w:rPr>
              <w:t>甸县</w:t>
            </w:r>
            <w:r>
              <w:rPr>
                <w:rFonts w:hint="default" w:ascii="Times New Roman" w:hAnsi="Times New Roman" w:eastAsia="宋体" w:cs="Times New Roman"/>
                <w:bCs/>
                <w:i w:val="0"/>
                <w:iCs w:val="0"/>
                <w:caps w:val="0"/>
                <w:color w:val="auto"/>
                <w:spacing w:val="0"/>
                <w:sz w:val="24"/>
                <w:szCs w:val="24"/>
                <w:highlight w:val="none"/>
                <w:shd w:val="clear"/>
                <w:lang w:val="en-US" w:eastAsia="zh-CN"/>
              </w:rPr>
              <w:t>水环境质量</w:t>
            </w:r>
            <w:r>
              <w:rPr>
                <w:rFonts w:hint="default" w:ascii="Times New Roman" w:hAnsi="Times New Roman" w:eastAsia="宋体" w:cs="Times New Roman"/>
                <w:bCs/>
                <w:i w:val="0"/>
                <w:iCs w:val="0"/>
                <w:caps w:val="0"/>
                <w:color w:val="auto"/>
                <w:spacing w:val="0"/>
                <w:sz w:val="24"/>
                <w:szCs w:val="24"/>
                <w:highlight w:val="none"/>
                <w:shd w:val="clear"/>
                <w:lang w:val="zh-CN"/>
              </w:rPr>
              <w:t>监测月报（</w:t>
            </w:r>
            <w:r>
              <w:rPr>
                <w:rFonts w:hint="default" w:ascii="Times New Roman" w:hAnsi="Times New Roman" w:eastAsia="宋体" w:cs="Times New Roman"/>
                <w:bCs/>
                <w:i w:val="0"/>
                <w:iCs w:val="0"/>
                <w:caps w:val="0"/>
                <w:color w:val="auto"/>
                <w:spacing w:val="0"/>
                <w:sz w:val="24"/>
                <w:szCs w:val="24"/>
                <w:highlight w:val="none"/>
                <w:shd w:val="clear"/>
                <w:lang w:val="en-US" w:eastAsia="zh-CN"/>
              </w:rPr>
              <w:t>二零二三年第</w:t>
            </w:r>
            <w:r>
              <w:rPr>
                <w:rFonts w:hint="eastAsia" w:ascii="Times New Roman" w:hAnsi="Times New Roman" w:cs="Times New Roman"/>
                <w:bCs/>
                <w:i w:val="0"/>
                <w:iCs w:val="0"/>
                <w:caps w:val="0"/>
                <w:color w:val="auto"/>
                <w:spacing w:val="0"/>
                <w:sz w:val="24"/>
                <w:szCs w:val="24"/>
                <w:highlight w:val="none"/>
                <w:shd w:val="clear"/>
                <w:lang w:val="en-US" w:eastAsia="zh-CN"/>
              </w:rPr>
              <w:t>七</w:t>
            </w:r>
            <w:r>
              <w:rPr>
                <w:rFonts w:hint="default" w:ascii="Times New Roman" w:hAnsi="Times New Roman" w:eastAsia="宋体" w:cs="Times New Roman"/>
                <w:bCs/>
                <w:i w:val="0"/>
                <w:iCs w:val="0"/>
                <w:caps w:val="0"/>
                <w:color w:val="auto"/>
                <w:spacing w:val="0"/>
                <w:sz w:val="24"/>
                <w:szCs w:val="24"/>
                <w:highlight w:val="none"/>
                <w:shd w:val="clear"/>
                <w:lang w:val="en-US" w:eastAsia="zh-CN"/>
              </w:rPr>
              <w:t>期</w:t>
            </w:r>
            <w:r>
              <w:rPr>
                <w:rFonts w:hint="default" w:ascii="Times New Roman" w:hAnsi="Times New Roman" w:eastAsia="宋体" w:cs="Times New Roman"/>
                <w:bCs/>
                <w:i w:val="0"/>
                <w:iCs w:val="0"/>
                <w:caps w:val="0"/>
                <w:color w:val="auto"/>
                <w:spacing w:val="0"/>
                <w:sz w:val="24"/>
                <w:szCs w:val="24"/>
                <w:highlight w:val="none"/>
                <w:shd w:val="clear"/>
                <w:lang w:val="zh-CN"/>
              </w:rPr>
              <w:t>）</w:t>
            </w:r>
            <w:r>
              <w:rPr>
                <w:rFonts w:hint="default" w:ascii="Times New Roman" w:hAnsi="Times New Roman" w:eastAsia="宋体" w:cs="Times New Roman"/>
                <w:bCs/>
                <w:color w:val="auto"/>
                <w:sz w:val="24"/>
                <w:highlight w:val="none"/>
                <w:lang w:val="zh-CN"/>
              </w:rPr>
              <w:t>》</w:t>
            </w:r>
            <w:r>
              <w:rPr>
                <w:rFonts w:hint="default" w:ascii="Times New Roman" w:hAnsi="Times New Roman" w:eastAsia="宋体" w:cs="Times New Roman"/>
                <w:bCs/>
                <w:color w:val="auto"/>
                <w:sz w:val="24"/>
                <w:highlight w:val="none"/>
                <w:lang w:val="en-US" w:eastAsia="zh-CN"/>
              </w:rPr>
              <w:t>可知，</w:t>
            </w:r>
            <w:r>
              <w:rPr>
                <w:rFonts w:hint="default" w:ascii="Times New Roman" w:hAnsi="Times New Roman" w:eastAsia="宋体" w:cs="Times New Roman"/>
                <w:i w:val="0"/>
                <w:iCs w:val="0"/>
                <w:caps w:val="0"/>
                <w:color w:val="auto"/>
                <w:spacing w:val="0"/>
                <w:kern w:val="2"/>
                <w:sz w:val="24"/>
                <w:szCs w:val="24"/>
                <w:highlight w:val="none"/>
                <w:shd w:val="clear"/>
                <w:lang w:val="zh-CN"/>
              </w:rPr>
              <w:t>2023年0</w:t>
            </w:r>
            <w:r>
              <w:rPr>
                <w:rFonts w:hint="eastAsia" w:ascii="Times New Roman" w:hAnsi="Times New Roman" w:cs="Times New Roman"/>
                <w:i w:val="0"/>
                <w:iCs w:val="0"/>
                <w:caps w:val="0"/>
                <w:color w:val="auto"/>
                <w:spacing w:val="0"/>
                <w:kern w:val="2"/>
                <w:sz w:val="24"/>
                <w:szCs w:val="24"/>
                <w:highlight w:val="none"/>
                <w:shd w:val="clear"/>
                <w:lang w:val="en-US" w:eastAsia="zh-CN"/>
              </w:rPr>
              <w:t>7</w:t>
            </w:r>
            <w:r>
              <w:rPr>
                <w:rFonts w:hint="default" w:ascii="Times New Roman" w:hAnsi="Times New Roman" w:eastAsia="宋体" w:cs="Times New Roman"/>
                <w:i w:val="0"/>
                <w:iCs w:val="0"/>
                <w:caps w:val="0"/>
                <w:color w:val="auto"/>
                <w:spacing w:val="0"/>
                <w:kern w:val="2"/>
                <w:sz w:val="24"/>
                <w:szCs w:val="24"/>
                <w:highlight w:val="none"/>
                <w:shd w:val="clear"/>
                <w:lang w:val="zh-CN"/>
              </w:rPr>
              <w:t>月昆明市生态环境局寻甸分局生态环境监测站共对其境内14条河流及7个湖库的共24个监测点（含</w:t>
            </w:r>
            <w:r>
              <w:rPr>
                <w:rFonts w:hint="default" w:ascii="Times New Roman" w:hAnsi="Times New Roman" w:eastAsia="宋体" w:cs="Times New Roman"/>
                <w:bCs/>
                <w:i w:val="0"/>
                <w:iCs w:val="0"/>
                <w:caps w:val="0"/>
                <w:color w:val="auto"/>
                <w:spacing w:val="0"/>
                <w:kern w:val="2"/>
                <w:sz w:val="24"/>
                <w:szCs w:val="24"/>
                <w:highlight w:val="none"/>
                <w:shd w:val="clear"/>
                <w:lang w:val="en-US"/>
              </w:rPr>
              <w:t>省厅驻昆明市生态环境监测站监测的寻甸县境内监测点）进行水质监测1期，其中：</w:t>
            </w:r>
            <w:r>
              <w:rPr>
                <w:rFonts w:ascii="Times New Roman" w:hAnsi="Times New Roman" w:eastAsia="宋体" w:cs="Times New Roman"/>
                <w:color w:val="auto"/>
                <w:kern w:val="0"/>
                <w:sz w:val="24"/>
                <w:szCs w:val="24"/>
                <w:lang w:val="en-US" w:eastAsia="zh-CN" w:bidi="ar-SA"/>
              </w:rPr>
              <w:t>河流</w:t>
            </w:r>
            <w:r>
              <w:rPr>
                <w:rFonts w:hint="eastAsia" w:ascii="Times New Roman" w:hAnsi="Times New Roman" w:eastAsia="宋体" w:cs="Times New Roman"/>
                <w:color w:val="auto"/>
                <w:kern w:val="0"/>
                <w:sz w:val="24"/>
                <w:szCs w:val="24"/>
                <w:lang w:val="en-US" w:eastAsia="zh-CN" w:bidi="ar-SA"/>
              </w:rPr>
              <w:t>14条共设17个监测断面，除1个断面断流外，其它断面均正常监测，依据监测数据，16个监测断面中达到Ⅲ类以上水质标准的有1</w:t>
            </w:r>
            <w:r>
              <w:rPr>
                <w:rFonts w:hint="eastAsia" w:ascii="Times New Roman" w:hAnsi="Times New Roman" w:cs="Times New Roman"/>
                <w:color w:val="auto"/>
                <w:kern w:val="0"/>
                <w:sz w:val="24"/>
                <w:szCs w:val="24"/>
                <w:lang w:val="en-US" w:eastAsia="zh-CN" w:bidi="ar-SA"/>
              </w:rPr>
              <w:t>1</w:t>
            </w:r>
            <w:r>
              <w:rPr>
                <w:rFonts w:hint="eastAsia" w:ascii="Times New Roman" w:hAnsi="Times New Roman" w:eastAsia="宋体" w:cs="Times New Roman"/>
                <w:color w:val="auto"/>
                <w:kern w:val="0"/>
                <w:sz w:val="24"/>
                <w:szCs w:val="24"/>
                <w:lang w:val="en-US" w:eastAsia="zh-CN" w:bidi="ar-SA"/>
              </w:rPr>
              <w:t>个断面,水质达标率为</w:t>
            </w:r>
            <w:r>
              <w:rPr>
                <w:rFonts w:hint="eastAsia" w:ascii="Times New Roman" w:hAnsi="Times New Roman" w:cs="Times New Roman"/>
                <w:color w:val="auto"/>
                <w:kern w:val="0"/>
                <w:sz w:val="24"/>
                <w:szCs w:val="24"/>
                <w:lang w:val="en-US" w:eastAsia="zh-CN" w:bidi="ar-SA"/>
              </w:rPr>
              <w:t>68.75</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bCs/>
                <w:i w:val="0"/>
                <w:iCs w:val="0"/>
                <w:caps w:val="0"/>
                <w:color w:val="auto"/>
                <w:spacing w:val="0"/>
                <w:kern w:val="2"/>
                <w:sz w:val="24"/>
                <w:szCs w:val="24"/>
                <w:highlight w:val="none"/>
                <w:shd w:val="clear"/>
                <w:lang w:eastAsia="zh-CN"/>
              </w:rPr>
              <w:t>，</w:t>
            </w:r>
            <w:r>
              <w:rPr>
                <w:rFonts w:hint="default" w:ascii="Times New Roman" w:hAnsi="Times New Roman" w:eastAsia="宋体" w:cs="Times New Roman"/>
                <w:bCs/>
                <w:i w:val="0"/>
                <w:iCs w:val="0"/>
                <w:caps w:val="0"/>
                <w:color w:val="auto"/>
                <w:spacing w:val="0"/>
                <w:kern w:val="2"/>
                <w:sz w:val="24"/>
                <w:szCs w:val="24"/>
                <w:highlight w:val="none"/>
                <w:shd w:val="clear"/>
                <w:lang w:val="en-US" w:eastAsia="zh-CN"/>
              </w:rPr>
              <w:t>监测结果如下表所示。</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6</w:t>
            </w:r>
            <w:r>
              <w:rPr>
                <w:rFonts w:hint="default" w:ascii="Times New Roman" w:hAnsi="Times New Roman" w:eastAsia="宋体" w:cs="Times New Roman"/>
                <w:b/>
                <w:bCs/>
                <w:color w:val="auto"/>
                <w:sz w:val="21"/>
                <w:szCs w:val="21"/>
                <w:highlight w:val="none"/>
                <w:lang w:val="en-US" w:eastAsia="zh-CN"/>
              </w:rPr>
              <w:t xml:space="preserve">   </w:t>
            </w:r>
            <w:r>
              <w:rPr>
                <w:rStyle w:val="30"/>
                <w:rFonts w:hint="default" w:ascii="Times New Roman" w:hAnsi="Times New Roman" w:eastAsia="宋体" w:cs="Times New Roman"/>
                <w:b/>
                <w:bCs/>
                <w:i w:val="0"/>
                <w:iCs w:val="0"/>
                <w:caps w:val="0"/>
                <w:color w:val="auto"/>
                <w:spacing w:val="0"/>
                <w:sz w:val="21"/>
                <w:szCs w:val="21"/>
                <w:shd w:val="clear" w:fill="FFFFFF"/>
              </w:rPr>
              <w:t>2023年0</w:t>
            </w:r>
            <w:r>
              <w:rPr>
                <w:rStyle w:val="30"/>
                <w:rFonts w:hint="eastAsia" w:cs="Times New Roman"/>
                <w:b/>
                <w:bCs/>
                <w:i w:val="0"/>
                <w:iCs w:val="0"/>
                <w:caps w:val="0"/>
                <w:color w:val="auto"/>
                <w:spacing w:val="0"/>
                <w:sz w:val="21"/>
                <w:szCs w:val="21"/>
                <w:shd w:val="clear" w:fill="FFFFFF"/>
                <w:lang w:val="en-US" w:eastAsia="zh-CN"/>
              </w:rPr>
              <w:t>7</w:t>
            </w:r>
            <w:r>
              <w:rPr>
                <w:rStyle w:val="30"/>
                <w:rFonts w:hint="default" w:ascii="Times New Roman" w:hAnsi="Times New Roman" w:eastAsia="宋体" w:cs="Times New Roman"/>
                <w:b/>
                <w:bCs/>
                <w:i w:val="0"/>
                <w:iCs w:val="0"/>
                <w:caps w:val="0"/>
                <w:color w:val="auto"/>
                <w:spacing w:val="0"/>
                <w:sz w:val="21"/>
                <w:szCs w:val="21"/>
                <w:shd w:val="clear" w:fill="FFFFFF"/>
              </w:rPr>
              <w:t>月寻甸境内湖库质状况统计表</w:t>
            </w:r>
          </w:p>
          <w:tbl>
            <w:tblPr>
              <w:tblStyle w:val="28"/>
              <w:tblW w:w="838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638"/>
              <w:gridCol w:w="575"/>
              <w:gridCol w:w="537"/>
              <w:gridCol w:w="141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监测名称</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年</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月</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日</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wpi</w:t>
                  </w:r>
                  <w:r>
                    <w:rPr>
                      <w:rFonts w:hint="default" w:ascii="Times New Roman" w:hAnsi="Times New Roman" w:eastAsia="宋体" w:cs="Times New Roman"/>
                      <w:b/>
                      <w:bCs/>
                      <w:color w:val="auto"/>
                      <w:sz w:val="21"/>
                      <w:szCs w:val="21"/>
                      <w:highlight w:val="none"/>
                      <w:vertAlign w:val="baseline"/>
                      <w:lang w:val="zh-CN" w:eastAsia="zh-CN"/>
                    </w:rPr>
                    <w:t>）</w:t>
                  </w:r>
                  <w:r>
                    <w:rPr>
                      <w:rFonts w:hint="default" w:ascii="Times New Roman" w:hAnsi="Times New Roman" w:eastAsia="宋体" w:cs="Times New Roman"/>
                      <w:b/>
                      <w:bCs/>
                      <w:color w:val="auto"/>
                      <w:sz w:val="21"/>
                      <w:szCs w:val="21"/>
                      <w:highlight w:val="none"/>
                      <w:vertAlign w:val="baseline"/>
                      <w:lang w:val="en-US" w:eastAsia="zh-CN"/>
                    </w:rPr>
                    <w:t>水质类别</w:t>
                  </w:r>
                </w:p>
              </w:tc>
              <w:tc>
                <w:tcPr>
                  <w:tcW w:w="3576"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vertAlign w:val="baseline"/>
                      <w:lang w:val="zh-CN" w:eastAsia="zh-CN"/>
                    </w:rPr>
                  </w:pPr>
                  <w:r>
                    <w:rPr>
                      <w:rStyle w:val="30"/>
                      <w:rFonts w:hint="default" w:ascii="Times New Roman" w:hAnsi="Times New Roman" w:eastAsia="宋体" w:cs="Times New Roman"/>
                      <w:b/>
                      <w:bCs/>
                      <w:i w:val="0"/>
                      <w:iCs w:val="0"/>
                      <w:caps w:val="0"/>
                      <w:color w:val="auto"/>
                      <w:spacing w:val="0"/>
                      <w:sz w:val="21"/>
                      <w:szCs w:val="21"/>
                      <w:shd w:val="clear" w:fill="FFFFFF"/>
                    </w:rPr>
                    <w:t>(wpi)水质类别超标项目与超标倍数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6" w:type="dxa"/>
                  <w:vAlign w:val="center"/>
                </w:tcPr>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both"/>
                    <w:textAlignment w:val="bottom"/>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羊街河（果马河）李家坝断面</w:t>
                  </w:r>
                </w:p>
              </w:tc>
              <w:tc>
                <w:tcPr>
                  <w:tcW w:w="638"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2023</w:t>
                  </w:r>
                </w:p>
              </w:tc>
              <w:tc>
                <w:tcPr>
                  <w:tcW w:w="575"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cs="Times New Roman"/>
                      <w:bCs w:val="0"/>
                      <w:color w:val="auto"/>
                      <w:sz w:val="21"/>
                      <w:szCs w:val="21"/>
                      <w:highlight w:val="none"/>
                      <w:vertAlign w:val="baseline"/>
                      <w:lang w:val="en-US" w:eastAsia="zh-CN"/>
                    </w:rPr>
                    <w:t>7</w:t>
                  </w:r>
                </w:p>
              </w:tc>
              <w:tc>
                <w:tcPr>
                  <w:tcW w:w="537"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bCs w:val="0"/>
                      <w:color w:val="auto"/>
                      <w:sz w:val="21"/>
                      <w:szCs w:val="21"/>
                      <w:highlight w:val="none"/>
                      <w:vertAlign w:val="baseline"/>
                      <w:lang w:val="en-US" w:eastAsia="zh-CN"/>
                    </w:rPr>
                    <w:t>0</w:t>
                  </w:r>
                  <w:r>
                    <w:rPr>
                      <w:rFonts w:hint="eastAsia" w:ascii="Times New Roman" w:hAnsi="Times New Roman" w:cs="Times New Roman"/>
                      <w:bCs w:val="0"/>
                      <w:color w:val="auto"/>
                      <w:sz w:val="21"/>
                      <w:szCs w:val="21"/>
                      <w:highlight w:val="none"/>
                      <w:vertAlign w:val="baseline"/>
                      <w:lang w:val="en-US" w:eastAsia="zh-CN"/>
                    </w:rPr>
                    <w:t>4</w:t>
                  </w:r>
                </w:p>
              </w:tc>
              <w:tc>
                <w:tcPr>
                  <w:tcW w:w="1411" w:type="dxa"/>
                  <w:vAlign w:val="center"/>
                </w:tcPr>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i w:val="0"/>
                      <w:iCs w:val="0"/>
                      <w:caps w:val="0"/>
                      <w:color w:val="auto"/>
                      <w:spacing w:val="0"/>
                      <w:sz w:val="21"/>
                      <w:szCs w:val="21"/>
                      <w:shd w:val="clear" w:fill="FFFFFF"/>
                    </w:rPr>
                    <w:t>类</w:t>
                  </w:r>
                </w:p>
              </w:tc>
              <w:tc>
                <w:tcPr>
                  <w:tcW w:w="3576" w:type="dxa"/>
                  <w:vAlign w:val="center"/>
                </w:tcPr>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center"/>
                    <w:textAlignment w:val="bottom"/>
                    <w:rPr>
                      <w:rFonts w:hint="default" w:ascii="Times New Roman" w:hAnsi="Times New Roman" w:eastAsia="宋体" w:cs="Times New Roman"/>
                      <w:i w:val="0"/>
                      <w:iCs w:val="0"/>
                      <w:caps w:val="0"/>
                      <w:color w:val="auto"/>
                      <w:spacing w:val="0"/>
                      <w:kern w:val="2"/>
                      <w:sz w:val="21"/>
                      <w:szCs w:val="21"/>
                      <w:shd w:val="clear" w:fill="FFFFFF"/>
                      <w:lang w:val="en-US" w:eastAsia="zh-CN" w:bidi="ar-SA"/>
                    </w:rPr>
                  </w:pPr>
                  <w:r>
                    <w:rPr>
                      <w:rFonts w:hint="eastAsia" w:ascii="Times New Roman" w:hAnsi="Times New Roman" w:cs="Times New Roman"/>
                      <w:i w:val="0"/>
                      <w:iCs w:val="0"/>
                      <w:caps w:val="0"/>
                      <w:color w:val="auto"/>
                      <w:spacing w:val="0"/>
                      <w:kern w:val="2"/>
                      <w:sz w:val="21"/>
                      <w:szCs w:val="21"/>
                      <w:shd w:val="clear" w:fill="FFFFFF"/>
                      <w:lang w:val="en-US" w:eastAsia="zh-CN" w:bidi="ar-SA"/>
                    </w:rPr>
                    <w:t>/</w:t>
                  </w:r>
                </w:p>
                <w:p>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Cs w:val="0"/>
                      <w:color w:val="auto"/>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gridSpan w:val="6"/>
                  <w:vAlign w:val="center"/>
                </w:tcPr>
                <w:p>
                  <w:pPr>
                    <w:keepNext w:val="0"/>
                    <w:keepLines w:val="0"/>
                    <w:pageBreakBefore w:val="0"/>
                    <w:widowControl/>
                    <w:kinsoku/>
                    <w:wordWrap/>
                    <w:overflowPunct/>
                    <w:topLinePunct w:val="0"/>
                    <w:bidi w:val="0"/>
                    <w:adjustRightInd w:val="0"/>
                    <w:snapToGrid w:val="0"/>
                    <w:spacing w:line="240" w:lineRule="auto"/>
                    <w:jc w:val="both"/>
                    <w:textAlignment w:val="auto"/>
                    <w:rPr>
                      <w:rFonts w:hint="default" w:ascii="Times New Roman" w:hAnsi="Times New Roman" w:eastAsia="宋体" w:cs="Times New Roman"/>
                      <w:bCs w:val="0"/>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0"/>
                      <w:kern w:val="2"/>
                      <w:sz w:val="21"/>
                      <w:szCs w:val="21"/>
                      <w:shd w:val="clear" w:fill="FFFFFF"/>
                      <w:lang w:val="en-US" w:eastAsia="zh-CN" w:bidi="ar-SA"/>
                    </w:rPr>
                    <w:t>羊街河（果马河）李家坝断面</w:t>
                  </w:r>
                  <w:r>
                    <w:rPr>
                      <w:rFonts w:hint="eastAsia" w:ascii="Times New Roman" w:hAnsi="Times New Roman" w:eastAsia="宋体" w:cs="Times New Roman"/>
                      <w:i w:val="0"/>
                      <w:iCs w:val="0"/>
                      <w:caps w:val="0"/>
                      <w:color w:val="auto"/>
                      <w:spacing w:val="0"/>
                      <w:kern w:val="2"/>
                      <w:sz w:val="21"/>
                      <w:szCs w:val="21"/>
                      <w:shd w:val="clear" w:fill="FFFFFF"/>
                      <w:lang w:val="en-US" w:eastAsia="zh-CN" w:bidi="ar-SA"/>
                    </w:rPr>
                    <w:t>位于本项目</w:t>
                  </w:r>
                  <w:r>
                    <w:rPr>
                      <w:rFonts w:hint="eastAsia" w:cs="Times New Roman"/>
                      <w:bCs w:val="0"/>
                      <w:color w:val="auto"/>
                      <w:sz w:val="21"/>
                      <w:szCs w:val="21"/>
                      <w:highlight w:val="none"/>
                      <w:vertAlign w:val="baseline"/>
                      <w:lang w:val="zh-CN" w:eastAsia="zh-CN"/>
                    </w:rPr>
                    <w:t>西南侧</w:t>
                  </w:r>
                  <w:r>
                    <w:rPr>
                      <w:rFonts w:hint="eastAsia" w:cs="Times New Roman"/>
                      <w:bCs w:val="0"/>
                      <w:color w:val="auto"/>
                      <w:sz w:val="21"/>
                      <w:szCs w:val="21"/>
                      <w:highlight w:val="none"/>
                      <w:vertAlign w:val="baseline"/>
                      <w:lang w:val="en-US" w:eastAsia="zh-CN"/>
                    </w:rPr>
                    <w:t>5026m。</w:t>
                  </w:r>
                </w:p>
              </w:tc>
            </w:tr>
          </w:tbl>
          <w:p>
            <w:pPr>
              <w:tabs>
                <w:tab w:val="left" w:pos="676"/>
              </w:tabs>
              <w:adjustRightInd w:val="0"/>
              <w:snapToGrid w:val="0"/>
              <w:spacing w:line="346" w:lineRule="auto"/>
              <w:ind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bCs/>
                <w:i w:val="0"/>
                <w:iCs w:val="0"/>
                <w:caps w:val="0"/>
                <w:color w:val="auto"/>
                <w:spacing w:val="0"/>
                <w:sz w:val="24"/>
                <w:szCs w:val="24"/>
                <w:shd w:val="clear"/>
                <w:lang w:val="en-US" w:eastAsia="zh-CN"/>
              </w:rPr>
              <w:t>根据统计表中可</w:t>
            </w:r>
            <w:r>
              <w:rPr>
                <w:rFonts w:hint="default" w:ascii="Times New Roman" w:hAnsi="Times New Roman" w:eastAsia="宋体" w:cs="Times New Roman"/>
                <w:color w:val="auto"/>
                <w:kern w:val="2"/>
                <w:sz w:val="24"/>
                <w:szCs w:val="20"/>
                <w:highlight w:val="none"/>
                <w:lang w:val="en-US" w:eastAsia="zh-CN" w:bidi="ar-SA"/>
              </w:rPr>
              <w:t>知，</w:t>
            </w:r>
            <w:r>
              <w:rPr>
                <w:rFonts w:hint="eastAsia" w:ascii="Times New Roman" w:hAnsi="Times New Roman" w:eastAsia="宋体" w:cs="Times New Roman"/>
                <w:color w:val="auto"/>
                <w:kern w:val="2"/>
                <w:sz w:val="24"/>
                <w:szCs w:val="20"/>
                <w:highlight w:val="none"/>
                <w:lang w:val="en-US" w:eastAsia="zh-CN" w:bidi="ar-SA"/>
              </w:rPr>
              <w:t>羊街</w:t>
            </w:r>
            <w:r>
              <w:rPr>
                <w:rFonts w:hint="default" w:ascii="Times New Roman" w:hAnsi="Times New Roman" w:eastAsia="宋体" w:cs="Times New Roman"/>
                <w:color w:val="auto"/>
                <w:kern w:val="2"/>
                <w:sz w:val="24"/>
                <w:szCs w:val="20"/>
                <w:highlight w:val="none"/>
                <w:lang w:val="en-US" w:eastAsia="zh-CN" w:bidi="ar-SA"/>
              </w:rPr>
              <w:t>河（</w:t>
            </w:r>
            <w:r>
              <w:rPr>
                <w:rFonts w:hint="eastAsia" w:ascii="Times New Roman" w:hAnsi="Times New Roman" w:eastAsia="宋体" w:cs="Times New Roman"/>
                <w:color w:val="auto"/>
                <w:kern w:val="2"/>
                <w:sz w:val="24"/>
                <w:szCs w:val="20"/>
                <w:highlight w:val="none"/>
                <w:lang w:val="en-US" w:eastAsia="zh-CN" w:bidi="ar-SA"/>
              </w:rPr>
              <w:t>果马</w:t>
            </w:r>
            <w:r>
              <w:rPr>
                <w:rFonts w:hint="default" w:ascii="Times New Roman" w:hAnsi="Times New Roman" w:eastAsia="宋体" w:cs="Times New Roman"/>
                <w:color w:val="auto"/>
                <w:kern w:val="2"/>
                <w:sz w:val="24"/>
                <w:szCs w:val="20"/>
                <w:highlight w:val="none"/>
                <w:lang w:val="en-US" w:eastAsia="zh-CN" w:bidi="ar-SA"/>
              </w:rPr>
              <w:t>河）李家坝断面为</w:t>
            </w:r>
            <w:r>
              <w:rPr>
                <w:rFonts w:hint="eastAsia" w:ascii="Times New Roman" w:hAnsi="Times New Roman" w:eastAsia="宋体" w:cs="Times New Roman"/>
                <w:color w:val="auto"/>
                <w:kern w:val="0"/>
                <w:sz w:val="24"/>
                <w:szCs w:val="24"/>
                <w:lang w:val="en-US" w:eastAsia="zh-CN" w:bidi="ar-SA"/>
              </w:rPr>
              <w:t>Ⅲ</w:t>
            </w:r>
            <w:r>
              <w:rPr>
                <w:rFonts w:hint="default" w:ascii="Times New Roman" w:hAnsi="Times New Roman" w:eastAsia="宋体" w:cs="Times New Roman"/>
                <w:color w:val="auto"/>
                <w:kern w:val="2"/>
                <w:sz w:val="24"/>
                <w:szCs w:val="20"/>
                <w:highlight w:val="none"/>
                <w:lang w:val="en-US" w:eastAsia="zh-CN" w:bidi="ar-SA"/>
              </w:rPr>
              <w:t>类</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color w:val="auto"/>
                <w:sz w:val="24"/>
                <w:szCs w:val="20"/>
                <w:highlight w:val="none"/>
              </w:rPr>
              <w:t>能达到《地表水环境质量标准》（GB3838-2002）Ⅲ类标准限值</w:t>
            </w:r>
            <w:r>
              <w:rPr>
                <w:color w:val="auto"/>
                <w:sz w:val="24"/>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3、声环境质量现状</w:t>
            </w:r>
          </w:p>
          <w:p>
            <w:pPr>
              <w:pStyle w:val="19"/>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highlight w:val="none"/>
              </w:rPr>
              <w:t>根据园区环境保护规划，项目所在区域属于3类声环境功能区，</w:t>
            </w:r>
            <w:r>
              <w:rPr>
                <w:rFonts w:hint="default" w:ascii="Times New Roman" w:hAnsi="Times New Roman" w:eastAsia="宋体" w:cs="Times New Roman"/>
                <w:color w:val="auto"/>
                <w:sz w:val="24"/>
                <w:highlight w:val="none"/>
                <w:lang w:val="zh-CN"/>
              </w:rPr>
              <w:t>因此</w:t>
            </w:r>
            <w:r>
              <w:rPr>
                <w:rFonts w:hint="default" w:ascii="Times New Roman" w:hAnsi="Times New Roman" w:eastAsia="宋体" w:cs="Times New Roman"/>
                <w:color w:val="auto"/>
                <w:sz w:val="24"/>
                <w:highlight w:val="none"/>
              </w:rPr>
              <w:t>评价区域</w:t>
            </w:r>
            <w:r>
              <w:rPr>
                <w:rFonts w:hint="default" w:ascii="Times New Roman" w:hAnsi="Times New Roman" w:eastAsia="宋体" w:cs="Times New Roman"/>
                <w:color w:val="auto"/>
                <w:sz w:val="24"/>
                <w:highlight w:val="none"/>
                <w:lang w:val="zh-CN"/>
              </w:rPr>
              <w:t>属于</w:t>
            </w:r>
            <w:r>
              <w:rPr>
                <w:rFonts w:hint="default" w:ascii="Times New Roman" w:hAnsi="Times New Roman" w:eastAsia="宋体" w:cs="Times New Roman"/>
                <w:color w:val="auto"/>
                <w:sz w:val="24"/>
                <w:highlight w:val="none"/>
              </w:rPr>
              <w:t>《声环境质量标准》（GB3096-2008）3类声环境功能区。</w:t>
            </w:r>
          </w:p>
          <w:p>
            <w:pPr>
              <w:pStyle w:val="78"/>
              <w:keepNext w:val="0"/>
              <w:keepLines w:val="0"/>
              <w:pageBreakBefore w:val="0"/>
              <w:widowControl w:val="0"/>
              <w:kinsoku/>
              <w:wordWrap/>
              <w:overflowPunct/>
              <w:topLinePunct w:val="0"/>
              <w:bidi w:val="0"/>
              <w:adjustRightInd w:val="0"/>
              <w:snapToGrid w:val="0"/>
              <w:spacing w:line="336" w:lineRule="auto"/>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sz w:val="24"/>
                <w:highlight w:val="none"/>
                <w:lang w:bidi="ar"/>
              </w:rPr>
              <w:t>根据《建设项目环境影响报告表编制技术指南（污染影响类）》（试行），</w:t>
            </w:r>
            <w:r>
              <w:rPr>
                <w:rFonts w:hint="default" w:ascii="Times New Roman" w:hAnsi="Times New Roman" w:eastAsia="宋体" w:cs="Times New Roman"/>
                <w:color w:val="auto"/>
                <w:kern w:val="0"/>
                <w:highlight w:val="none"/>
                <w:lang w:val="en-US" w:eastAsia="zh-CN"/>
              </w:rPr>
              <w:t>项目区50m范围内无声环境保护目标，因此未进行</w:t>
            </w:r>
            <w:r>
              <w:rPr>
                <w:rFonts w:hint="default" w:ascii="Times New Roman" w:hAnsi="Times New Roman" w:eastAsia="宋体" w:cs="Times New Roman"/>
                <w:color w:val="auto"/>
                <w:kern w:val="0"/>
                <w:highlight w:val="none"/>
              </w:rPr>
              <w:t>声环境质量现状</w:t>
            </w:r>
            <w:r>
              <w:rPr>
                <w:rFonts w:hint="default" w:ascii="Times New Roman" w:hAnsi="Times New Roman" w:eastAsia="宋体" w:cs="Times New Roman"/>
                <w:color w:val="auto"/>
                <w:kern w:val="0"/>
                <w:highlight w:val="none"/>
                <w:lang w:val="en-US" w:eastAsia="zh-CN"/>
              </w:rPr>
              <w:t>监测。</w:t>
            </w:r>
            <w:r>
              <w:rPr>
                <w:rFonts w:hint="default" w:ascii="Times New Roman" w:hAnsi="Times New Roman" w:eastAsia="宋体" w:cs="Times New Roman"/>
                <w:bCs/>
                <w:color w:val="auto"/>
                <w:sz w:val="24"/>
                <w:highlight w:val="none"/>
              </w:rPr>
              <w:t>根据《202</w:t>
            </w:r>
            <w:r>
              <w:rPr>
                <w:rFonts w:hint="eastAsia"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年度昆明市生态环境状况公报》：</w:t>
            </w:r>
            <w:r>
              <w:rPr>
                <w:rFonts w:hint="default" w:ascii="Times New Roman" w:hAnsi="Times New Roman" w:eastAsia="宋体" w:cs="Times New Roman"/>
                <w:bCs/>
                <w:color w:val="auto"/>
                <w:sz w:val="24"/>
                <w:highlight w:val="none"/>
                <w:lang w:eastAsia="zh-CN"/>
              </w:rPr>
              <w:t>昆明主城区区域环境噪声（昼间）平均等效声级为</w:t>
            </w:r>
            <w:r>
              <w:rPr>
                <w:rFonts w:hint="default" w:ascii="Times New Roman" w:hAnsi="Times New Roman" w:eastAsia="宋体" w:cs="Times New Roman"/>
                <w:bCs/>
                <w:color w:val="auto"/>
                <w:sz w:val="24"/>
                <w:highlight w:val="none"/>
                <w:lang w:val="en-US" w:eastAsia="zh-CN"/>
              </w:rPr>
              <w:t>52.</w:t>
            </w:r>
            <w:r>
              <w:rPr>
                <w:rFonts w:hint="eastAsia" w:cs="Times New Roman"/>
                <w:bCs/>
                <w:color w:val="auto"/>
                <w:sz w:val="24"/>
                <w:highlight w:val="none"/>
                <w:lang w:val="en-US" w:eastAsia="zh-CN"/>
              </w:rPr>
              <w:t>4</w:t>
            </w:r>
            <w:r>
              <w:rPr>
                <w:rFonts w:hint="default" w:ascii="Times New Roman" w:hAnsi="Times New Roman" w:eastAsia="宋体" w:cs="Times New Roman"/>
                <w:bCs/>
                <w:color w:val="auto"/>
                <w:sz w:val="24"/>
                <w:highlight w:val="none"/>
                <w:lang w:val="en-US" w:eastAsia="zh-CN"/>
              </w:rPr>
              <w:t>分贝，</w:t>
            </w:r>
            <w:r>
              <w:rPr>
                <w:rFonts w:hint="eastAsia" w:cs="Times New Roman"/>
                <w:bCs/>
                <w:color w:val="auto"/>
                <w:sz w:val="24"/>
                <w:highlight w:val="none"/>
                <w:lang w:eastAsia="zh-CN"/>
              </w:rPr>
              <w:t>较去年下降</w:t>
            </w:r>
            <w:r>
              <w:rPr>
                <w:rFonts w:hint="eastAsia" w:cs="Times New Roman"/>
                <w:bCs/>
                <w:color w:val="auto"/>
                <w:sz w:val="24"/>
                <w:highlight w:val="none"/>
                <w:lang w:val="en-US" w:eastAsia="zh-CN"/>
              </w:rPr>
              <w:t>0.1分贝，</w:t>
            </w:r>
            <w:r>
              <w:rPr>
                <w:rFonts w:hint="default" w:ascii="Times New Roman" w:hAnsi="Times New Roman" w:eastAsia="宋体" w:cs="Times New Roman"/>
                <w:bCs/>
                <w:color w:val="auto"/>
                <w:sz w:val="24"/>
                <w:highlight w:val="none"/>
                <w:lang w:val="en-US" w:eastAsia="zh-CN"/>
              </w:rPr>
              <w:t>根据区域环境噪声质量划分等级</w:t>
            </w:r>
            <w:r>
              <w:rPr>
                <w:rFonts w:hint="default" w:ascii="Times New Roman" w:hAnsi="Times New Roman" w:eastAsia="宋体" w:cs="Times New Roman"/>
                <w:bCs/>
                <w:color w:val="auto"/>
                <w:sz w:val="24"/>
                <w:highlight w:val="none"/>
              </w:rPr>
              <w:t>，主城区区域环境噪声总体水平为二级</w:t>
            </w:r>
            <w:r>
              <w:rPr>
                <w:rFonts w:hint="default" w:ascii="Times New Roman" w:hAnsi="Times New Roman" w:eastAsia="宋体" w:cs="Times New Roman"/>
                <w:bCs/>
                <w:color w:val="auto"/>
                <w:sz w:val="24"/>
                <w:highlight w:val="none"/>
                <w:lang w:eastAsia="zh-CN"/>
              </w:rPr>
              <w:t>（</w:t>
            </w:r>
            <w:r>
              <w:rPr>
                <w:rFonts w:hint="default" w:ascii="Times New Roman" w:hAnsi="Times New Roman" w:eastAsia="宋体" w:cs="Times New Roman"/>
                <w:bCs/>
                <w:color w:val="auto"/>
                <w:sz w:val="24"/>
                <w:highlight w:val="none"/>
              </w:rPr>
              <w:t>较好</w:t>
            </w:r>
            <w:r>
              <w:rPr>
                <w:rFonts w:hint="default" w:ascii="Times New Roman" w:hAnsi="Times New Roman" w:eastAsia="宋体" w:cs="Times New Roman"/>
                <w:bCs/>
                <w:color w:val="auto"/>
                <w:sz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4、</w:t>
            </w:r>
            <w:r>
              <w:rPr>
                <w:rFonts w:hint="default" w:ascii="Times New Roman" w:hAnsi="Times New Roman" w:eastAsia="宋体" w:cs="Times New Roman"/>
                <w:b/>
                <w:bCs/>
                <w:color w:val="auto"/>
                <w:sz w:val="24"/>
                <w:highlight w:val="none"/>
                <w:lang w:val="en-US" w:eastAsia="zh-CN"/>
              </w:rPr>
              <w:t>地下水、土壤</w:t>
            </w:r>
            <w:r>
              <w:rPr>
                <w:rFonts w:hint="default" w:ascii="Times New Roman" w:hAnsi="Times New Roman" w:eastAsia="宋体" w:cs="Times New Roman"/>
                <w:b/>
                <w:bCs/>
                <w:color w:val="auto"/>
                <w:sz w:val="24"/>
                <w:highlight w:val="none"/>
              </w:rPr>
              <w:t>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Cs/>
                <w:color w:val="auto"/>
                <w:sz w:val="24"/>
                <w:highlight w:val="none"/>
              </w:rPr>
              <w:t>本项目为</w:t>
            </w:r>
            <w:r>
              <w:rPr>
                <w:rFonts w:hint="default" w:ascii="Times New Roman" w:hAnsi="Times New Roman" w:eastAsia="宋体" w:cs="Times New Roman"/>
                <w:bCs/>
                <w:color w:val="auto"/>
                <w:sz w:val="24"/>
                <w:highlight w:val="none"/>
                <w:lang w:val="en-US" w:eastAsia="zh-CN"/>
              </w:rPr>
              <w:t>泡沫塑料制造项目</w:t>
            </w:r>
            <w:r>
              <w:rPr>
                <w:rFonts w:hint="default" w:ascii="Times New Roman" w:hAnsi="Times New Roman" w:eastAsia="宋体" w:cs="Times New Roman"/>
                <w:bCs/>
                <w:color w:val="auto"/>
                <w:sz w:val="24"/>
                <w:highlight w:val="none"/>
              </w:rPr>
              <w:t>，</w:t>
            </w:r>
            <w:r>
              <w:rPr>
                <w:rFonts w:hint="default" w:ascii="Times New Roman" w:hAnsi="Times New Roman" w:eastAsia="宋体" w:cs="Times New Roman"/>
                <w:color w:val="auto"/>
                <w:sz w:val="24"/>
                <w:highlight w:val="none"/>
              </w:rPr>
              <w:t>根据《建设项目环境影响报告表编制技术指南（污染影响类）》，原则上不开展环境质量现状调查</w:t>
            </w:r>
            <w:r>
              <w:rPr>
                <w:rFonts w:hint="default" w:ascii="Times New Roman" w:hAnsi="Times New Roman" w:eastAsia="宋体" w:cs="Times New Roman"/>
                <w:color w:val="auto"/>
                <w:sz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5、生态环境质量现状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zh-CN"/>
              </w:rPr>
              <w:t>项目所在区域</w:t>
            </w:r>
            <w:r>
              <w:rPr>
                <w:rFonts w:hint="default" w:ascii="Times New Roman" w:hAnsi="Times New Roman" w:eastAsia="宋体" w:cs="Times New Roman"/>
                <w:color w:val="auto"/>
                <w:sz w:val="24"/>
                <w:szCs w:val="24"/>
                <w:highlight w:val="none"/>
                <w:lang w:val="en-US" w:eastAsia="zh-CN"/>
              </w:rPr>
              <w:t>为规划的工业园区，区域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eastAsia" w:cs="Times New Roman"/>
                <w:color w:val="auto"/>
                <w:sz w:val="24"/>
                <w:szCs w:val="24"/>
                <w:highlight w:val="none"/>
                <w:lang w:val="zh-CN"/>
              </w:rPr>
              <w:t>珍稀濒危</w:t>
            </w:r>
            <w:r>
              <w:rPr>
                <w:rFonts w:hint="default" w:ascii="Times New Roman" w:hAnsi="Times New Roman" w:eastAsia="宋体" w:cs="Times New Roman"/>
                <w:color w:val="auto"/>
                <w:sz w:val="24"/>
                <w:szCs w:val="24"/>
                <w:highlight w:val="none"/>
                <w:lang w:val="zh-CN"/>
              </w:rPr>
              <w:t>保护物种、国家重点保护野生植物和云南省级重点野生保护动物，也没有特有种类存在</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环境</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保护</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目标</w:t>
            </w:r>
          </w:p>
        </w:tc>
        <w:tc>
          <w:tcPr>
            <w:tcW w:w="8609" w:type="dxa"/>
            <w:vAlign w:val="center"/>
          </w:tcPr>
          <w:p>
            <w:pPr>
              <w:adjustRightInd w:val="0"/>
              <w:snapToGrid w:val="0"/>
              <w:spacing w:line="360" w:lineRule="auto"/>
              <w:ind w:firstLine="480" w:firstLineChars="200"/>
              <w:jc w:val="left"/>
              <w:rPr>
                <w:rFonts w:hint="default" w:ascii="Times New Roman" w:hAnsi="Times New Roman" w:eastAsia="宋体" w:cs="Times New Roman"/>
                <w:b/>
                <w:bCs/>
                <w:color w:val="auto"/>
                <w:sz w:val="24"/>
                <w:szCs w:val="24"/>
                <w:highlight w:val="none"/>
                <w:lang w:val="en-US" w:eastAsia="zh-CN"/>
              </w:rPr>
            </w:pPr>
            <w:r>
              <w:rPr>
                <w:color w:val="auto"/>
                <w:sz w:val="24"/>
              </w:rPr>
              <w:t>根据现场调查，区域内无</w:t>
            </w:r>
            <w:r>
              <w:rPr>
                <w:rFonts w:hint="eastAsia" w:ascii="宋体" w:hAnsi="宋体"/>
                <w:color w:val="auto"/>
                <w:sz w:val="24"/>
              </w:rPr>
              <w:t>自然保护区、饮用水水源保护区</w:t>
            </w:r>
            <w:r>
              <w:rPr>
                <w:rFonts w:hint="eastAsia" w:ascii="宋体" w:hAnsi="宋体"/>
                <w:color w:val="auto"/>
                <w:sz w:val="24"/>
                <w:lang w:eastAsia="zh-CN"/>
              </w:rPr>
              <w:t>、</w:t>
            </w:r>
            <w:r>
              <w:rPr>
                <w:rFonts w:hint="eastAsia" w:ascii="宋体" w:hAnsi="宋体"/>
                <w:color w:val="auto"/>
                <w:sz w:val="24"/>
                <w:lang w:val="en-US" w:eastAsia="zh-CN"/>
              </w:rPr>
              <w:t>以</w:t>
            </w:r>
            <w:r>
              <w:rPr>
                <w:rFonts w:hint="eastAsia" w:ascii="宋体" w:hAnsi="宋体"/>
                <w:color w:val="auto"/>
                <w:sz w:val="24"/>
              </w:rPr>
              <w:t>居住、医疗卫生、文化教育为主要功能的区域</w:t>
            </w:r>
            <w:r>
              <w:rPr>
                <w:color w:val="auto"/>
                <w:sz w:val="24"/>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1、大气环境</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2"/>
                <w:sz w:val="24"/>
                <w:szCs w:val="24"/>
                <w:lang w:val="en-US" w:eastAsia="zh-CN" w:bidi="ar-SA"/>
              </w:rPr>
              <w:t>根据现场踏勘，</w:t>
            </w:r>
            <w:r>
              <w:rPr>
                <w:rFonts w:hint="eastAsia" w:ascii="Times New Roman" w:hAnsi="Times New Roman" w:eastAsia="宋体" w:cs="Times New Roman"/>
                <w:color w:val="auto"/>
                <w:kern w:val="2"/>
                <w:sz w:val="24"/>
                <w:szCs w:val="24"/>
                <w:lang w:val="en-US" w:eastAsia="zh-CN" w:bidi="ar-SA"/>
              </w:rPr>
              <w:t>本项目大气环境影响保护目标为以厂界外500米范围内</w:t>
            </w:r>
            <w:r>
              <w:rPr>
                <w:rFonts w:hint="default" w:ascii="Times New Roman" w:hAnsi="Times New Roman" w:eastAsia="宋体" w:cs="Times New Roman"/>
                <w:color w:val="auto"/>
                <w:kern w:val="2"/>
                <w:sz w:val="24"/>
                <w:szCs w:val="24"/>
                <w:lang w:val="zh-CN" w:eastAsia="zh-CN" w:bidi="ar-SA"/>
              </w:rPr>
              <w:t>的自然保护区、风景名胜区、居住区、文化区和农村地区中人群较集中的区域等保护目标。</w:t>
            </w:r>
            <w:r>
              <w:rPr>
                <w:rFonts w:hint="eastAsia" w:ascii="Times New Roman" w:hAnsi="Times New Roman" w:eastAsia="宋体" w:cs="Times New Roman"/>
                <w:color w:val="auto"/>
                <w:kern w:val="2"/>
                <w:sz w:val="24"/>
                <w:szCs w:val="24"/>
                <w:lang w:val="zh-CN" w:eastAsia="zh-CN" w:bidi="ar-SA"/>
              </w:rPr>
              <w:t>环境空气保护目标为：评价范围内关心点环境空气质量达到 GB3095-2012《环境空气质量标准》二类区要求。</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2、声环境</w:t>
            </w:r>
          </w:p>
          <w:p>
            <w:pPr>
              <w:pStyle w:val="12"/>
              <w:adjustRightInd w:val="0"/>
              <w:snapToGrid w:val="0"/>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声环境保护目标为厂界外50m范围内的噪声敏感区，</w:t>
            </w:r>
            <w:r>
              <w:rPr>
                <w:rFonts w:hint="default" w:ascii="Times New Roman" w:hAnsi="Times New Roman" w:eastAsia="宋体" w:cs="Times New Roman"/>
                <w:color w:val="auto"/>
                <w:kern w:val="2"/>
                <w:sz w:val="24"/>
                <w:szCs w:val="24"/>
                <w:lang w:val="en-US" w:eastAsia="zh-CN" w:bidi="ar-SA"/>
              </w:rPr>
              <w:t>根据现场踏勘，项目厂界外周边50m范围内无声环境保护目标。</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keepNext w:val="0"/>
              <w:keepLines w:val="0"/>
              <w:pageBreakBefore w:val="0"/>
              <w:widowControl w:val="0"/>
              <w:kinsoku/>
              <w:wordWrap/>
              <w:overflowPunct/>
              <w:topLinePunct w:val="0"/>
              <w:autoSpaceDE/>
              <w:autoSpaceDN/>
              <w:bidi w:val="0"/>
              <w:adjustRightInd w:val="0"/>
              <w:snapToGrid w:val="0"/>
              <w:spacing w:line="346"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根据《环境影响评价技术导则</w:t>
            </w:r>
            <w:r>
              <w:rPr>
                <w:rFonts w:hint="default" w:ascii="Times New Roman" w:hAnsi="Times New Roman" w:eastAsia="宋体" w:cs="Times New Roman"/>
                <w:color w:val="auto"/>
                <w:sz w:val="24"/>
                <w:highlight w:val="none"/>
              </w:rPr>
              <w:t xml:space="preserve"> 地表水环境</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HJ2.3-2018</w:t>
            </w:r>
            <w:r>
              <w:rPr>
                <w:rFonts w:hint="default" w:ascii="Times New Roman" w:hAnsi="Times New Roman" w:eastAsia="宋体" w:cs="Times New Roman"/>
                <w:color w:val="auto"/>
                <w:sz w:val="24"/>
                <w:highlight w:val="none"/>
                <w:lang w:val="zh-CN"/>
              </w:rPr>
              <w:t>），地表水环境保护目标为饮用水水源保护区、饮用水取水口，涉水的自然保护区、风景名胜区，重要湿地、重点保护与珍稀水生生物的栖息地、重要水生生物的自然产卵场及索饵场、越冬场和洄游通道</w:t>
            </w:r>
            <w:r>
              <w:rPr>
                <w:rFonts w:hint="default" w:ascii="Times New Roman" w:hAnsi="Times New Roman" w:eastAsia="宋体" w:cs="Times New Roman"/>
                <w:color w:val="auto"/>
                <w:sz w:val="24"/>
                <w:szCs w:val="24"/>
                <w:highlight w:val="none"/>
                <w:lang w:val="zh-CN"/>
              </w:rPr>
              <w:t>，天然渔场等渔业水体，以及水产种质资源保护区等，</w:t>
            </w:r>
            <w:r>
              <w:rPr>
                <w:rFonts w:hint="default" w:ascii="Times New Roman" w:hAnsi="Times New Roman" w:eastAsia="宋体" w:cs="Times New Roman"/>
                <w:color w:val="auto"/>
                <w:kern w:val="0"/>
                <w:sz w:val="24"/>
                <w:szCs w:val="24"/>
                <w:highlight w:val="none"/>
                <w:lang w:val="zh-CN"/>
              </w:rPr>
              <w:t>项目距离最近的地表水体为</w:t>
            </w:r>
            <w:r>
              <w:rPr>
                <w:rFonts w:hint="eastAsia" w:cs="Times New Roman"/>
                <w:color w:val="auto"/>
                <w:kern w:val="0"/>
                <w:sz w:val="24"/>
                <w:lang w:val="en-US" w:eastAsia="zh-CN"/>
              </w:rPr>
              <w:t>东</w:t>
            </w:r>
            <w:r>
              <w:rPr>
                <w:rFonts w:hint="eastAsia" w:ascii="Times New Roman" w:hAnsi="Times New Roman" w:eastAsia="宋体" w:cs="Times New Roman"/>
                <w:color w:val="auto"/>
                <w:kern w:val="0"/>
                <w:sz w:val="24"/>
              </w:rPr>
              <w:t>侧</w:t>
            </w:r>
            <w:r>
              <w:rPr>
                <w:rFonts w:hint="eastAsia" w:cs="Times New Roman"/>
                <w:color w:val="auto"/>
                <w:kern w:val="0"/>
                <w:sz w:val="24"/>
                <w:lang w:val="en-US" w:eastAsia="zh-CN"/>
              </w:rPr>
              <w:t>2533</w:t>
            </w:r>
            <w:r>
              <w:rPr>
                <w:rFonts w:hint="eastAsia" w:ascii="Times New Roman" w:hAnsi="Times New Roman" w:eastAsia="宋体" w:cs="Times New Roman"/>
                <w:color w:val="auto"/>
                <w:kern w:val="0"/>
                <w:sz w:val="24"/>
              </w:rPr>
              <w:t>m的</w:t>
            </w:r>
            <w:r>
              <w:rPr>
                <w:rFonts w:hint="eastAsia" w:cs="Times New Roman"/>
                <w:color w:val="auto"/>
                <w:kern w:val="0"/>
                <w:sz w:val="24"/>
                <w:lang w:eastAsia="zh-CN"/>
              </w:rPr>
              <w:t>羊街</w:t>
            </w:r>
            <w:r>
              <w:rPr>
                <w:rFonts w:ascii="Times New Roman" w:hAnsi="Times New Roman" w:eastAsia="宋体" w:cs="Times New Roman"/>
                <w:color w:val="auto"/>
                <w:kern w:val="0"/>
                <w:sz w:val="24"/>
              </w:rPr>
              <w:t>河（</w:t>
            </w:r>
            <w:r>
              <w:rPr>
                <w:rFonts w:hint="eastAsia" w:cs="Times New Roman"/>
                <w:color w:val="auto"/>
                <w:kern w:val="0"/>
                <w:sz w:val="24"/>
                <w:lang w:eastAsia="zh-CN"/>
              </w:rPr>
              <w:t>果马</w:t>
            </w:r>
            <w:r>
              <w:rPr>
                <w:rFonts w:ascii="Times New Roman" w:hAnsi="Times New Roman" w:eastAsia="宋体" w:cs="Times New Roman"/>
                <w:color w:val="auto"/>
                <w:kern w:val="0"/>
                <w:sz w:val="24"/>
              </w:rPr>
              <w:t>河）</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eastAsia="zh-CN"/>
              </w:rPr>
              <w:t>羊街河</w:t>
            </w:r>
            <w:r>
              <w:rPr>
                <w:rFonts w:ascii="Times New Roman" w:hAnsi="Times New Roman" w:eastAsia="宋体" w:cs="Times New Roman"/>
                <w:color w:val="auto"/>
                <w:kern w:val="0"/>
                <w:sz w:val="24"/>
              </w:rPr>
              <w:t>（果马河）</w:t>
            </w:r>
            <w:r>
              <w:rPr>
                <w:rFonts w:hint="default" w:ascii="Times New Roman" w:hAnsi="Times New Roman" w:eastAsia="宋体" w:cs="Times New Roman"/>
                <w:color w:val="auto"/>
                <w:sz w:val="24"/>
                <w:highlight w:val="none"/>
                <w:lang w:val="zh-CN"/>
              </w:rPr>
              <w:t>参照</w:t>
            </w:r>
            <w:r>
              <w:rPr>
                <w:rFonts w:hint="default" w:ascii="Times New Roman" w:hAnsi="Times New Roman" w:eastAsia="宋体" w:cs="Times New Roman"/>
                <w:color w:val="auto"/>
                <w:sz w:val="24"/>
                <w:highlight w:val="none"/>
                <w:lang w:val="en-US" w:eastAsia="zh-CN"/>
              </w:rPr>
              <w:t>牛栏江按照</w:t>
            </w:r>
            <w:r>
              <w:rPr>
                <w:rFonts w:hint="default" w:ascii="Times New Roman" w:hAnsi="Times New Roman" w:eastAsia="宋体" w:cs="Times New Roman"/>
                <w:color w:val="auto"/>
                <w:sz w:val="24"/>
                <w:highlight w:val="none"/>
                <w:lang w:val="zh-CN"/>
              </w:rPr>
              <w:t>《地表水环境质量标准》</w:t>
            </w:r>
            <w:r>
              <w:rPr>
                <w:rFonts w:hint="default" w:ascii="Times New Roman" w:hAnsi="Times New Roman" w:eastAsia="宋体" w:cs="Times New Roman"/>
                <w:color w:val="auto"/>
                <w:kern w:val="0"/>
                <w:sz w:val="24"/>
                <w:highlight w:val="none"/>
                <w:lang w:val="zh-CN"/>
              </w:rPr>
              <w:t>（GB3838-2002）中Ⅲ类水质标准</w:t>
            </w:r>
            <w:r>
              <w:rPr>
                <w:rFonts w:hint="default" w:ascii="Times New Roman" w:hAnsi="Times New Roman" w:eastAsia="宋体" w:cs="Times New Roman"/>
                <w:color w:val="auto"/>
                <w:kern w:val="0"/>
                <w:sz w:val="24"/>
                <w:highlight w:val="none"/>
                <w:lang w:val="en-US" w:eastAsia="zh-CN"/>
              </w:rPr>
              <w:t>进行保护</w:t>
            </w:r>
            <w:r>
              <w:rPr>
                <w:rFonts w:hint="default" w:ascii="Times New Roman" w:hAnsi="Times New Roman" w:eastAsia="宋体" w:cs="Times New Roman"/>
                <w:color w:val="auto"/>
                <w:kern w:val="0"/>
                <w:sz w:val="24"/>
                <w:highlight w:val="none"/>
                <w:lang w:val="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4、地下水</w:t>
            </w:r>
          </w:p>
          <w:p>
            <w:pPr>
              <w:pStyle w:val="12"/>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根据现场踏勘，项目厂界外500m范围内无地下水集中式饮用水水源和热水、矿泉水、温泉等特殊地下水资源。</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8"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5、生态环境</w:t>
            </w:r>
          </w:p>
          <w:p>
            <w:pPr>
              <w:pStyle w:val="12"/>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default" w:ascii="Times New Roman" w:hAnsi="Times New Roman" w:eastAsia="宋体" w:cs="Times New Roman"/>
                <w:color w:val="auto"/>
                <w:sz w:val="24"/>
                <w:szCs w:val="24"/>
                <w:highlight w:val="none"/>
                <w:u w:val="none"/>
                <w:lang w:val="en-US" w:eastAsia="zh-CN"/>
              </w:rPr>
              <w:t>云南省昆明市</w:t>
            </w:r>
            <w:r>
              <w:rPr>
                <w:rFonts w:hint="eastAsia" w:ascii="Times New Roman" w:hAnsi="Times New Roman" w:eastAsia="宋体" w:cs="Times New Roman"/>
                <w:b w:val="0"/>
                <w:bCs w:val="0"/>
                <w:color w:val="auto"/>
                <w:kern w:val="0"/>
                <w:sz w:val="24"/>
                <w:szCs w:val="24"/>
                <w:highlight w:val="none"/>
                <w:lang w:val="zh-CN" w:eastAsia="zh-CN" w:bidi="ar"/>
              </w:rPr>
              <w:t>寻甸特色产业园区羊街林业产业园</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项目所占地为工业园已规划的土地，</w:t>
            </w:r>
            <w:r>
              <w:rPr>
                <w:rFonts w:hint="default" w:ascii="Times New Roman" w:hAnsi="Times New Roman" w:eastAsia="宋体" w:cs="Times New Roman"/>
                <w:color w:val="auto"/>
                <w:sz w:val="24"/>
                <w:szCs w:val="24"/>
                <w:highlight w:val="none"/>
              </w:rPr>
              <w:t>不涉及生态保护目标</w:t>
            </w:r>
            <w:r>
              <w:rPr>
                <w:rFonts w:hint="default" w:ascii="Times New Roman" w:hAnsi="Times New Roman" w:eastAsia="宋体" w:cs="Times New Roman"/>
                <w:color w:val="auto"/>
                <w:sz w:val="24"/>
                <w:szCs w:val="24"/>
                <w:highlight w:val="none"/>
                <w:lang w:eastAsia="zh-CN"/>
              </w:rPr>
              <w:t>。</w:t>
            </w:r>
          </w:p>
          <w:p>
            <w:pPr>
              <w:pStyle w:val="12"/>
              <w:keepNext w:val="0"/>
              <w:keepLines w:val="0"/>
              <w:pageBreakBefore w:val="0"/>
              <w:widowControl w:val="0"/>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lang w:val="en-US" w:eastAsia="zh-CN"/>
              </w:rPr>
              <w:t>本项目主要保护目标详见下表，</w:t>
            </w: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示意详见附图</w:t>
            </w:r>
            <w:r>
              <w:rPr>
                <w:rFonts w:hint="default" w:ascii="Times New Roman" w:hAnsi="Times New Roman" w:eastAsia="宋体" w:cs="Times New Roman"/>
                <w:bCs/>
                <w:color w:val="auto"/>
                <w:sz w:val="24"/>
                <w:highlight w:val="none"/>
                <w:lang w:val="en-US" w:eastAsia="zh-CN"/>
              </w:rPr>
              <w:t>3</w:t>
            </w:r>
            <w:r>
              <w:rPr>
                <w:rFonts w:hint="default" w:ascii="Times New Roman" w:hAnsi="Times New Roman" w:eastAsia="宋体" w:cs="Times New Roman"/>
                <w:bCs/>
                <w:color w:val="auto"/>
                <w:sz w:val="24"/>
                <w:highlight w:val="none"/>
              </w:rPr>
              <w:t>。</w:t>
            </w:r>
          </w:p>
          <w:p>
            <w:pPr>
              <w:jc w:val="center"/>
              <w:rPr>
                <w:b/>
                <w:bCs/>
                <w:color w:val="auto"/>
                <w:szCs w:val="21"/>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7</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项目主要保护目标一览</w:t>
            </w:r>
            <w:r>
              <w:rPr>
                <w:b/>
                <w:bCs/>
                <w:color w:val="auto"/>
                <w:szCs w:val="21"/>
              </w:rPr>
              <w:t>表</w:t>
            </w:r>
          </w:p>
          <w:tbl>
            <w:tblPr>
              <w:tblStyle w:val="27"/>
              <w:tblW w:w="83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6"/>
              <w:gridCol w:w="1266"/>
              <w:gridCol w:w="1161"/>
              <w:gridCol w:w="644"/>
              <w:gridCol w:w="1259"/>
              <w:gridCol w:w="1838"/>
              <w:gridCol w:w="619"/>
              <w:gridCol w:w="8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名称</w:t>
                  </w:r>
                </w:p>
              </w:tc>
              <w:tc>
                <w:tcPr>
                  <w:tcW w:w="2427" w:type="dxa"/>
                  <w:gridSpan w:val="2"/>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经纬度</w:t>
                  </w:r>
                </w:p>
              </w:tc>
              <w:tc>
                <w:tcPr>
                  <w:tcW w:w="644"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保护对象</w:t>
                  </w:r>
                </w:p>
              </w:tc>
              <w:tc>
                <w:tcPr>
                  <w:tcW w:w="1259"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保护内容</w:t>
                  </w:r>
                </w:p>
              </w:tc>
              <w:tc>
                <w:tcPr>
                  <w:tcW w:w="1838"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环境功能区</w:t>
                  </w:r>
                </w:p>
              </w:tc>
              <w:tc>
                <w:tcPr>
                  <w:tcW w:w="619"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相对厂址方位</w:t>
                  </w:r>
                </w:p>
              </w:tc>
              <w:tc>
                <w:tcPr>
                  <w:tcW w:w="801" w:type="dxa"/>
                  <w:vMerge w:val="restart"/>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相对厂界距离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6" w:hRule="atLeast"/>
              </w:trPr>
              <w:tc>
                <w:tcPr>
                  <w:tcW w:w="796" w:type="dxa"/>
                  <w:vMerge w:val="continue"/>
                  <w:noWrap w:val="0"/>
                  <w:vAlign w:val="center"/>
                </w:tcPr>
                <w:p>
                  <w:pPr>
                    <w:pStyle w:val="48"/>
                    <w:adjustRightInd/>
                    <w:spacing w:before="0" w:beforeLines="0" w:afterLines="0" w:line="240" w:lineRule="auto"/>
                    <w:rPr>
                      <w:rFonts w:ascii="Times New Roman"/>
                      <w:color w:val="auto"/>
                      <w:sz w:val="21"/>
                      <w:szCs w:val="21"/>
                    </w:rPr>
                  </w:pPr>
                </w:p>
              </w:tc>
              <w:tc>
                <w:tcPr>
                  <w:tcW w:w="1266" w:type="dxa"/>
                  <w:noWrap w:val="0"/>
                  <w:vAlign w:val="center"/>
                </w:tcPr>
                <w:p>
                  <w:pPr>
                    <w:pStyle w:val="48"/>
                    <w:adjustRightInd/>
                    <w:spacing w:before="0" w:beforeLines="0" w:afterLines="0" w:line="240" w:lineRule="auto"/>
                    <w:ind w:firstLine="0" w:firstLineChars="0"/>
                    <w:rPr>
                      <w:rFonts w:ascii="Times New Roman" w:eastAsia="楷体_GB2312"/>
                      <w:b/>
                      <w:color w:val="auto"/>
                      <w:sz w:val="21"/>
                      <w:szCs w:val="21"/>
                    </w:rPr>
                  </w:pPr>
                  <w:r>
                    <w:rPr>
                      <w:rFonts w:ascii="Times New Roman"/>
                      <w:b/>
                      <w:color w:val="auto"/>
                      <w:sz w:val="21"/>
                      <w:szCs w:val="21"/>
                    </w:rPr>
                    <w:t>经度</w:t>
                  </w:r>
                </w:p>
              </w:tc>
              <w:tc>
                <w:tcPr>
                  <w:tcW w:w="1161" w:type="dxa"/>
                  <w:noWrap w:val="0"/>
                  <w:vAlign w:val="center"/>
                </w:tcPr>
                <w:p>
                  <w:pPr>
                    <w:pStyle w:val="48"/>
                    <w:adjustRightInd/>
                    <w:spacing w:before="0" w:beforeLines="0" w:afterLines="0" w:line="240" w:lineRule="auto"/>
                    <w:ind w:firstLine="0" w:firstLineChars="0"/>
                    <w:rPr>
                      <w:rFonts w:ascii="Times New Roman"/>
                      <w:b/>
                      <w:color w:val="auto"/>
                      <w:sz w:val="21"/>
                      <w:szCs w:val="21"/>
                    </w:rPr>
                  </w:pPr>
                  <w:r>
                    <w:rPr>
                      <w:rFonts w:ascii="Times New Roman"/>
                      <w:b/>
                      <w:color w:val="auto"/>
                      <w:sz w:val="21"/>
                      <w:szCs w:val="21"/>
                    </w:rPr>
                    <w:t>纬度</w:t>
                  </w:r>
                </w:p>
              </w:tc>
              <w:tc>
                <w:tcPr>
                  <w:tcW w:w="644"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1259"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1838"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619" w:type="dxa"/>
                  <w:vMerge w:val="continue"/>
                  <w:noWrap w:val="0"/>
                  <w:vAlign w:val="center"/>
                </w:tcPr>
                <w:p>
                  <w:pPr>
                    <w:pStyle w:val="48"/>
                    <w:adjustRightInd/>
                    <w:spacing w:before="0" w:beforeLines="0" w:afterLines="0" w:line="240" w:lineRule="auto"/>
                    <w:rPr>
                      <w:rFonts w:ascii="Times New Roman"/>
                      <w:bCs/>
                      <w:color w:val="auto"/>
                      <w:sz w:val="21"/>
                      <w:szCs w:val="21"/>
                    </w:rPr>
                  </w:pPr>
                </w:p>
              </w:tc>
              <w:tc>
                <w:tcPr>
                  <w:tcW w:w="801" w:type="dxa"/>
                  <w:vMerge w:val="continue"/>
                  <w:noWrap w:val="0"/>
                  <w:vAlign w:val="center"/>
                </w:tcPr>
                <w:p>
                  <w:pPr>
                    <w:pStyle w:val="48"/>
                    <w:adjustRightInd/>
                    <w:spacing w:before="0" w:beforeLines="0" w:afterLines="0" w:line="240" w:lineRule="auto"/>
                    <w:rPr>
                      <w:rFonts w:ascii="Times New Roman"/>
                      <w:bCs/>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796" w:type="dxa"/>
                  <w:noWrap w:val="0"/>
                  <w:vAlign w:val="center"/>
                </w:tcPr>
                <w:p>
                  <w:pPr>
                    <w:pStyle w:val="48"/>
                    <w:adjustRightInd/>
                    <w:spacing w:before="0" w:beforeLines="0" w:afterLines="0" w:line="240" w:lineRule="auto"/>
                    <w:ind w:firstLine="0" w:firstLineChars="0"/>
                    <w:rPr>
                      <w:rFonts w:hint="eastAsia" w:ascii="Times New Roman" w:eastAsia="宋体"/>
                      <w:bCs/>
                      <w:color w:val="auto"/>
                      <w:sz w:val="21"/>
                      <w:szCs w:val="21"/>
                      <w:lang w:eastAsia="zh-CN"/>
                    </w:rPr>
                  </w:pPr>
                  <w:r>
                    <w:rPr>
                      <w:rFonts w:hint="eastAsia" w:ascii="Times New Roman"/>
                      <w:bCs/>
                      <w:color w:val="auto"/>
                      <w:sz w:val="21"/>
                      <w:szCs w:val="21"/>
                      <w:lang w:eastAsia="zh-CN"/>
                    </w:rPr>
                    <w:t>深沟村散户</w:t>
                  </w:r>
                </w:p>
              </w:tc>
              <w:tc>
                <w:tcPr>
                  <w:tcW w:w="1266" w:type="dxa"/>
                  <w:noWrap w:val="0"/>
                  <w:vAlign w:val="center"/>
                </w:tcPr>
                <w:p>
                  <w:pPr>
                    <w:pStyle w:val="48"/>
                    <w:adjustRightInd/>
                    <w:spacing w:before="0" w:beforeLines="0" w:afterLines="0" w:line="240" w:lineRule="auto"/>
                    <w:ind w:firstLine="0" w:firstLineChars="0"/>
                    <w:rPr>
                      <w:rFonts w:hint="default" w:ascii="Times New Roman" w:eastAsia="宋体"/>
                      <w:bCs/>
                      <w:color w:val="auto"/>
                      <w:sz w:val="21"/>
                      <w:szCs w:val="21"/>
                      <w:lang w:val="en-US" w:eastAsia="zh-CN"/>
                    </w:rPr>
                  </w:pPr>
                  <w:r>
                    <w:rPr>
                      <w:rFonts w:hint="eastAsia" w:ascii="Times New Roman"/>
                      <w:bCs/>
                      <w:color w:val="auto"/>
                      <w:sz w:val="21"/>
                      <w:szCs w:val="21"/>
                      <w:lang w:val="en-US" w:eastAsia="zh-CN"/>
                    </w:rPr>
                    <w:t>103.162030</w:t>
                  </w:r>
                </w:p>
              </w:tc>
              <w:tc>
                <w:tcPr>
                  <w:tcW w:w="1161" w:type="dxa"/>
                  <w:noWrap w:val="0"/>
                  <w:vAlign w:val="center"/>
                </w:tcPr>
                <w:p>
                  <w:pPr>
                    <w:pStyle w:val="48"/>
                    <w:adjustRightInd/>
                    <w:spacing w:before="0" w:beforeLines="0" w:afterLines="0" w:line="240" w:lineRule="auto"/>
                    <w:ind w:firstLine="0" w:firstLineChars="0"/>
                    <w:rPr>
                      <w:rFonts w:hint="default" w:ascii="Times New Roman" w:eastAsia="宋体"/>
                      <w:bCs/>
                      <w:color w:val="auto"/>
                      <w:sz w:val="21"/>
                      <w:szCs w:val="21"/>
                      <w:lang w:val="en-US" w:eastAsia="zh-CN"/>
                    </w:rPr>
                  </w:pPr>
                  <w:r>
                    <w:rPr>
                      <w:rFonts w:hint="eastAsia" w:ascii="Times New Roman"/>
                      <w:bCs/>
                      <w:color w:val="auto"/>
                      <w:sz w:val="21"/>
                      <w:szCs w:val="21"/>
                    </w:rPr>
                    <w:t>25.</w:t>
                  </w:r>
                  <w:r>
                    <w:rPr>
                      <w:rFonts w:hint="eastAsia" w:ascii="Times New Roman"/>
                      <w:bCs/>
                      <w:color w:val="auto"/>
                      <w:sz w:val="21"/>
                      <w:szCs w:val="21"/>
                      <w:lang w:val="en-US" w:eastAsia="zh-CN"/>
                    </w:rPr>
                    <w:t>465388</w:t>
                  </w:r>
                </w:p>
              </w:tc>
              <w:tc>
                <w:tcPr>
                  <w:tcW w:w="644" w:type="dxa"/>
                  <w:noWrap w:val="0"/>
                  <w:vAlign w:val="center"/>
                </w:tcPr>
                <w:p>
                  <w:pPr>
                    <w:snapToGrid w:val="0"/>
                    <w:jc w:val="center"/>
                    <w:rPr>
                      <w:bCs/>
                      <w:color w:val="auto"/>
                      <w:kern w:val="0"/>
                      <w:szCs w:val="21"/>
                    </w:rPr>
                  </w:pPr>
                  <w:r>
                    <w:rPr>
                      <w:color w:val="auto"/>
                      <w:szCs w:val="21"/>
                    </w:rPr>
                    <w:t>大气环境</w:t>
                  </w:r>
                </w:p>
              </w:tc>
              <w:tc>
                <w:tcPr>
                  <w:tcW w:w="1259" w:type="dxa"/>
                  <w:noWrap w:val="0"/>
                  <w:vAlign w:val="center"/>
                </w:tcPr>
                <w:p>
                  <w:pPr>
                    <w:jc w:val="center"/>
                    <w:rPr>
                      <w:bCs/>
                      <w:color w:val="auto"/>
                      <w:szCs w:val="21"/>
                    </w:rPr>
                  </w:pPr>
                  <w:r>
                    <w:rPr>
                      <w:bCs/>
                      <w:color w:val="auto"/>
                      <w:szCs w:val="21"/>
                    </w:rPr>
                    <w:t>居民区</w:t>
                  </w:r>
                  <w:r>
                    <w:rPr>
                      <w:rFonts w:hint="eastAsia"/>
                      <w:bCs/>
                      <w:color w:val="auto"/>
                      <w:szCs w:val="21"/>
                    </w:rPr>
                    <w:t>，约</w:t>
                  </w:r>
                  <w:r>
                    <w:rPr>
                      <w:rFonts w:hint="eastAsia"/>
                      <w:bCs/>
                      <w:color w:val="auto"/>
                      <w:szCs w:val="21"/>
                      <w:lang w:val="en-US" w:eastAsia="zh-CN"/>
                    </w:rPr>
                    <w:t>40</w:t>
                  </w:r>
                  <w:r>
                    <w:rPr>
                      <w:rFonts w:hint="eastAsia"/>
                      <w:bCs/>
                      <w:color w:val="auto"/>
                      <w:szCs w:val="21"/>
                    </w:rPr>
                    <w:t>人</w:t>
                  </w:r>
                </w:p>
              </w:tc>
              <w:tc>
                <w:tcPr>
                  <w:tcW w:w="1838" w:type="dxa"/>
                  <w:noWrap w:val="0"/>
                  <w:vAlign w:val="center"/>
                </w:tcPr>
                <w:p>
                  <w:pPr>
                    <w:pStyle w:val="48"/>
                    <w:adjustRightInd/>
                    <w:spacing w:before="0" w:beforeLines="0" w:afterLines="0" w:line="240" w:lineRule="auto"/>
                    <w:ind w:firstLine="0" w:firstLineChars="0"/>
                    <w:rPr>
                      <w:rFonts w:ascii="Times New Roman"/>
                      <w:bCs/>
                      <w:color w:val="auto"/>
                      <w:sz w:val="21"/>
                      <w:szCs w:val="21"/>
                    </w:rPr>
                  </w:pPr>
                  <w:r>
                    <w:rPr>
                      <w:rFonts w:ascii="Times New Roman"/>
                      <w:bCs/>
                      <w:color w:val="auto"/>
                      <w:sz w:val="21"/>
                      <w:szCs w:val="21"/>
                    </w:rPr>
                    <w:t>二类区，环境空气质量执行《环境空气质量标准》GB 3095-2012)二级标准</w:t>
                  </w:r>
                </w:p>
              </w:tc>
              <w:tc>
                <w:tcPr>
                  <w:tcW w:w="619" w:type="dxa"/>
                  <w:noWrap w:val="0"/>
                  <w:vAlign w:val="center"/>
                </w:tcPr>
                <w:p>
                  <w:pPr>
                    <w:pStyle w:val="48"/>
                    <w:adjustRightInd/>
                    <w:spacing w:before="0" w:beforeLines="0" w:afterLines="0" w:line="240" w:lineRule="auto"/>
                    <w:ind w:firstLine="0" w:firstLineChars="0"/>
                    <w:rPr>
                      <w:rFonts w:ascii="Times New Roman"/>
                      <w:bCs/>
                      <w:color w:val="auto"/>
                      <w:sz w:val="21"/>
                      <w:szCs w:val="21"/>
                    </w:rPr>
                  </w:pPr>
                  <w:r>
                    <w:rPr>
                      <w:rFonts w:hint="eastAsia"/>
                      <w:bCs/>
                      <w:color w:val="auto"/>
                      <w:sz w:val="21"/>
                      <w:szCs w:val="21"/>
                      <w:lang w:eastAsia="zh-CN"/>
                    </w:rPr>
                    <w:t>东</w:t>
                  </w:r>
                  <w:r>
                    <w:rPr>
                      <w:rFonts w:hint="eastAsia"/>
                      <w:bCs/>
                      <w:color w:val="auto"/>
                      <w:sz w:val="21"/>
                      <w:szCs w:val="21"/>
                    </w:rPr>
                    <w:t>侧</w:t>
                  </w:r>
                </w:p>
              </w:tc>
              <w:tc>
                <w:tcPr>
                  <w:tcW w:w="801" w:type="dxa"/>
                  <w:noWrap w:val="0"/>
                  <w:vAlign w:val="center"/>
                </w:tcPr>
                <w:p>
                  <w:pPr>
                    <w:snapToGrid w:val="0"/>
                    <w:jc w:val="center"/>
                    <w:rPr>
                      <w:bCs/>
                      <w:color w:val="auto"/>
                      <w:szCs w:val="21"/>
                    </w:rPr>
                  </w:pPr>
                  <w:r>
                    <w:rPr>
                      <w:rFonts w:hint="eastAsia"/>
                      <w:bCs/>
                      <w:color w:val="auto"/>
                      <w:szCs w:val="21"/>
                      <w:lang w:val="en-US" w:eastAsia="zh-CN"/>
                    </w:rPr>
                    <w:t>417</w:t>
                  </w:r>
                  <w:r>
                    <w:rPr>
                      <w:bCs/>
                      <w:color w:val="auto"/>
                      <w:szCs w:val="21"/>
                    </w:rPr>
                    <w:t>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796" w:type="dxa"/>
                  <w:noWrap w:val="0"/>
                  <w:vAlign w:val="center"/>
                </w:tcPr>
                <w:p>
                  <w:pPr>
                    <w:pStyle w:val="48"/>
                    <w:adjustRightInd/>
                    <w:spacing w:before="0" w:beforeLines="0" w:afterLines="0" w:line="240" w:lineRule="auto"/>
                    <w:ind w:firstLine="0" w:firstLineChars="0"/>
                    <w:rPr>
                      <w:rFonts w:hint="eastAsia"/>
                      <w:bCs/>
                      <w:color w:val="auto"/>
                      <w:sz w:val="21"/>
                      <w:szCs w:val="21"/>
                      <w:lang w:eastAsia="zh-CN"/>
                    </w:rPr>
                  </w:pPr>
                  <w:r>
                    <w:rPr>
                      <w:rFonts w:hint="eastAsia" w:cs="Times New Roman"/>
                      <w:color w:val="auto"/>
                      <w:kern w:val="0"/>
                      <w:sz w:val="21"/>
                      <w:szCs w:val="21"/>
                      <w:lang w:eastAsia="zh-CN"/>
                    </w:rPr>
                    <w:t>羊街河</w:t>
                  </w:r>
                  <w:r>
                    <w:rPr>
                      <w:rFonts w:ascii="Times New Roman" w:hAnsi="Times New Roman" w:eastAsia="宋体" w:cs="Times New Roman"/>
                      <w:color w:val="auto"/>
                      <w:kern w:val="0"/>
                      <w:sz w:val="21"/>
                      <w:szCs w:val="21"/>
                    </w:rPr>
                    <w:t>（果马河）</w:t>
                  </w:r>
                </w:p>
              </w:tc>
              <w:tc>
                <w:tcPr>
                  <w:tcW w:w="1266" w:type="dxa"/>
                  <w:noWrap w:val="0"/>
                  <w:vAlign w:val="center"/>
                </w:tcPr>
                <w:p>
                  <w:pPr>
                    <w:pStyle w:val="48"/>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1161" w:type="dxa"/>
                  <w:noWrap w:val="0"/>
                  <w:vAlign w:val="center"/>
                </w:tcPr>
                <w:p>
                  <w:pPr>
                    <w:pStyle w:val="48"/>
                    <w:adjustRightInd/>
                    <w:spacing w:before="0" w:beforeLines="0" w:afterLines="0" w:line="240" w:lineRule="auto"/>
                    <w:ind w:firstLine="0" w:firstLineChars="0"/>
                    <w:rPr>
                      <w:rFonts w:hint="default" w:ascii="Times New Roman"/>
                      <w:bCs/>
                      <w:color w:val="auto"/>
                      <w:sz w:val="21"/>
                      <w:szCs w:val="21"/>
                      <w:lang w:val="en-US" w:eastAsia="zh-CN"/>
                    </w:rPr>
                  </w:pPr>
                  <w:r>
                    <w:rPr>
                      <w:rFonts w:hint="eastAsia" w:ascii="Times New Roman"/>
                      <w:bCs/>
                      <w:color w:val="auto"/>
                      <w:sz w:val="21"/>
                      <w:szCs w:val="21"/>
                      <w:lang w:val="en-US" w:eastAsia="zh-CN"/>
                    </w:rPr>
                    <w:t>/</w:t>
                  </w:r>
                </w:p>
              </w:tc>
              <w:tc>
                <w:tcPr>
                  <w:tcW w:w="644" w:type="dxa"/>
                  <w:noWrap w:val="0"/>
                  <w:vAlign w:val="center"/>
                </w:tcPr>
                <w:p>
                  <w:pPr>
                    <w:snapToGrid w:val="0"/>
                    <w:jc w:val="center"/>
                    <w:rPr>
                      <w:rFonts w:hint="eastAsia" w:eastAsia="宋体"/>
                      <w:color w:val="auto"/>
                      <w:szCs w:val="21"/>
                      <w:lang w:eastAsia="zh-CN"/>
                    </w:rPr>
                  </w:pPr>
                  <w:r>
                    <w:rPr>
                      <w:rFonts w:hint="eastAsia"/>
                      <w:color w:val="auto"/>
                      <w:szCs w:val="21"/>
                    </w:rPr>
                    <w:t>地表水环境</w:t>
                  </w:r>
                </w:p>
              </w:tc>
              <w:tc>
                <w:tcPr>
                  <w:tcW w:w="1259" w:type="dxa"/>
                  <w:noWrap w:val="0"/>
                  <w:vAlign w:val="center"/>
                </w:tcPr>
                <w:p>
                  <w:pPr>
                    <w:jc w:val="center"/>
                    <w:rPr>
                      <w:rFonts w:hint="default"/>
                      <w:bCs/>
                      <w:color w:val="auto"/>
                      <w:szCs w:val="21"/>
                      <w:lang w:val="en-US" w:eastAsia="zh-CN"/>
                    </w:rPr>
                  </w:pPr>
                  <w:r>
                    <w:rPr>
                      <w:rFonts w:hint="eastAsia"/>
                      <w:bCs/>
                      <w:color w:val="auto"/>
                      <w:szCs w:val="21"/>
                      <w:lang w:val="en-US" w:eastAsia="zh-CN"/>
                    </w:rPr>
                    <w:t>/</w:t>
                  </w:r>
                </w:p>
              </w:tc>
              <w:tc>
                <w:tcPr>
                  <w:tcW w:w="1838" w:type="dxa"/>
                  <w:noWrap w:val="0"/>
                  <w:vAlign w:val="center"/>
                </w:tcPr>
                <w:p>
                  <w:pPr>
                    <w:pStyle w:val="48"/>
                    <w:adjustRightInd/>
                    <w:spacing w:before="0" w:beforeLines="0" w:afterLines="0" w:line="240" w:lineRule="auto"/>
                    <w:rPr>
                      <w:rFonts w:ascii="Times New Roman"/>
                      <w:bCs/>
                      <w:color w:val="auto"/>
                      <w:sz w:val="21"/>
                      <w:szCs w:val="21"/>
                    </w:rPr>
                  </w:pPr>
                  <w:r>
                    <w:rPr>
                      <w:rFonts w:hint="eastAsia"/>
                      <w:color w:val="auto"/>
                      <w:sz w:val="21"/>
                      <w:szCs w:val="21"/>
                    </w:rPr>
                    <w:t>《地表水环境质</w:t>
                  </w:r>
                  <w:r>
                    <w:rPr>
                      <w:rFonts w:hint="eastAsia" w:ascii="Times New Roman"/>
                      <w:bCs/>
                      <w:color w:val="auto"/>
                      <w:kern w:val="2"/>
                      <w:sz w:val="21"/>
                      <w:szCs w:val="21"/>
                    </w:rPr>
                    <w:t>量标准》（GB3838-2002）Ⅲ类标准</w:t>
                  </w:r>
                </w:p>
              </w:tc>
              <w:tc>
                <w:tcPr>
                  <w:tcW w:w="619" w:type="dxa"/>
                  <w:noWrap w:val="0"/>
                  <w:vAlign w:val="center"/>
                </w:tcPr>
                <w:p>
                  <w:pPr>
                    <w:pStyle w:val="48"/>
                    <w:adjustRightInd/>
                    <w:spacing w:before="0" w:beforeLines="0" w:afterLines="0" w:line="240" w:lineRule="auto"/>
                    <w:ind w:firstLine="0" w:firstLineChars="0"/>
                    <w:rPr>
                      <w:rFonts w:hint="eastAsia" w:ascii="宋体" w:hAnsi="Times New Roman" w:eastAsia="宋体" w:cs="Times New Roman"/>
                      <w:bCs/>
                      <w:color w:val="auto"/>
                      <w:sz w:val="21"/>
                      <w:szCs w:val="21"/>
                      <w:lang w:eastAsia="zh-CN"/>
                    </w:rPr>
                  </w:pPr>
                  <w:r>
                    <w:rPr>
                      <w:rFonts w:hint="eastAsia" w:ascii="宋体" w:hAnsi="Times New Roman" w:eastAsia="宋体" w:cs="Times New Roman"/>
                      <w:bCs/>
                      <w:color w:val="auto"/>
                      <w:sz w:val="21"/>
                      <w:szCs w:val="21"/>
                      <w:lang w:eastAsia="zh-CN"/>
                    </w:rPr>
                    <w:t>东侧</w:t>
                  </w:r>
                </w:p>
              </w:tc>
              <w:tc>
                <w:tcPr>
                  <w:tcW w:w="801" w:type="dxa"/>
                  <w:noWrap w:val="0"/>
                  <w:vAlign w:val="center"/>
                </w:tcPr>
                <w:p>
                  <w:pPr>
                    <w:pStyle w:val="48"/>
                    <w:adjustRightInd/>
                    <w:spacing w:before="0" w:beforeLines="0" w:afterLines="0" w:line="240" w:lineRule="auto"/>
                    <w:ind w:firstLine="0" w:firstLineChars="0"/>
                    <w:rPr>
                      <w:rFonts w:hint="eastAsia" w:ascii="Times New Roman" w:hAnsi="Times New Roman" w:eastAsia="宋体" w:cs="Times New Roman"/>
                      <w:bCs/>
                      <w:color w:val="auto"/>
                      <w:kern w:val="2"/>
                      <w:sz w:val="21"/>
                      <w:szCs w:val="21"/>
                      <w:lang w:val="en-US" w:eastAsia="zh-CN" w:bidi="ar-SA"/>
                    </w:rPr>
                  </w:pPr>
                  <w:r>
                    <w:rPr>
                      <w:rFonts w:hint="eastAsia" w:ascii="Times New Roman" w:cs="Times New Roman"/>
                      <w:bCs/>
                      <w:color w:val="auto"/>
                      <w:kern w:val="2"/>
                      <w:sz w:val="21"/>
                      <w:szCs w:val="21"/>
                      <w:lang w:val="en-US" w:eastAsia="zh-CN" w:bidi="ar-SA"/>
                    </w:rPr>
                    <w:t>2533</w:t>
                  </w:r>
                  <w:r>
                    <w:rPr>
                      <w:rFonts w:hint="eastAsia" w:ascii="Times New Roman" w:hAnsi="Times New Roman" w:eastAsia="宋体" w:cs="Times New Roman"/>
                      <w:bCs/>
                      <w:color w:val="auto"/>
                      <w:kern w:val="2"/>
                      <w:sz w:val="21"/>
                      <w:szCs w:val="21"/>
                      <w:lang w:val="en-US" w:eastAsia="zh-CN" w:bidi="ar-SA"/>
                    </w:rPr>
                    <w:t>m</w:t>
                  </w:r>
                </w:p>
              </w:tc>
            </w:tr>
          </w:tbl>
          <w:p>
            <w:pPr>
              <w:pStyle w:val="12"/>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kern w:val="0"/>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dxa"/>
            <w:tcMar>
              <w:left w:w="28" w:type="dxa"/>
              <w:right w:w="28" w:type="dxa"/>
            </w:tcMar>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污染</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物排</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放控</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制标</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准</w:t>
            </w:r>
          </w:p>
        </w:tc>
        <w:tc>
          <w:tcPr>
            <w:tcW w:w="8609" w:type="dxa"/>
            <w:vAlign w:val="center"/>
          </w:tcPr>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rPr>
              <w:t>施工期无组织粉尘执行《大气污染物综合排放标准》（GB16297-1996）表2中颗粒物无组织排放监控浓度限值要求</w:t>
            </w:r>
            <w:r>
              <w:rPr>
                <w:rFonts w:hint="eastAsia"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rPr>
              <w:t xml:space="preserve">  无组织颗粒物排放标准</w:t>
            </w:r>
          </w:p>
          <w:tbl>
            <w:tblPr>
              <w:tblStyle w:val="27"/>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657"/>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w:t>
                  </w:r>
                </w:p>
              </w:tc>
              <w:tc>
                <w:tcPr>
                  <w:tcW w:w="61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2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监控点</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浓度（mg/m</w:t>
                  </w:r>
                  <w:r>
                    <w:rPr>
                      <w:rFonts w:hint="default" w:ascii="Times New Roman" w:hAnsi="Times New Roman" w:eastAsia="宋体" w:cs="Times New Roman"/>
                      <w:b/>
                      <w:bCs/>
                      <w:color w:val="auto"/>
                      <w:highlight w:val="none"/>
                      <w:vertAlign w:val="superscript"/>
                    </w:rPr>
                    <w:t>3</w:t>
                  </w:r>
                  <w:r>
                    <w:rPr>
                      <w:rFonts w:hint="default" w:ascii="Times New Roman" w:hAnsi="Times New Roman" w:eastAsia="宋体" w:cs="Times New Roman"/>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颗粒物</w:t>
                  </w:r>
                </w:p>
              </w:tc>
              <w:tc>
                <w:tcPr>
                  <w:tcW w:w="26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周界外浓度最高点</w:t>
                  </w:r>
                </w:p>
              </w:tc>
              <w:tc>
                <w:tcPr>
                  <w:tcW w:w="34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lang w:val="en-US" w:eastAsia="zh-CN"/>
              </w:rPr>
              <w:t>①</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拟设置</w:t>
            </w:r>
            <w:r>
              <w:rPr>
                <w:rFonts w:hint="eastAsia"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台</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t/h的生物质</w:t>
            </w:r>
            <w:r>
              <w:rPr>
                <w:rFonts w:hint="default" w:ascii="Times New Roman" w:hAnsi="Times New Roman" w:eastAsia="宋体" w:cs="Times New Roman"/>
                <w:color w:val="auto"/>
                <w:sz w:val="24"/>
                <w:highlight w:val="none"/>
                <w:shd w:val="clear" w:color="auto" w:fill="FFFFFF"/>
                <w:lang w:eastAsia="zh-CN"/>
              </w:rPr>
              <w:t>蒸汽</w:t>
            </w:r>
            <w:r>
              <w:rPr>
                <w:rFonts w:hint="default" w:ascii="Times New Roman" w:hAnsi="Times New Roman" w:eastAsia="宋体" w:cs="Times New Roman"/>
                <w:color w:val="auto"/>
                <w:sz w:val="24"/>
                <w:highlight w:val="none"/>
                <w:shd w:val="clear" w:color="auto" w:fill="FFFFFF"/>
              </w:rPr>
              <w:t>锅炉</w:t>
            </w:r>
            <w:r>
              <w:rPr>
                <w:rFonts w:hint="eastAsia" w:cs="Times New Roman"/>
                <w:color w:val="auto"/>
                <w:sz w:val="24"/>
                <w:highlight w:val="none"/>
                <w:shd w:val="clear" w:color="auto" w:fill="FFFFFF"/>
                <w:lang w:eastAsia="zh-CN"/>
              </w:rPr>
              <w:t>（一用一备）</w:t>
            </w:r>
            <w:r>
              <w:rPr>
                <w:rFonts w:hint="default" w:ascii="Times New Roman" w:hAnsi="Times New Roman" w:eastAsia="宋体" w:cs="Times New Roman"/>
                <w:color w:val="auto"/>
                <w:sz w:val="24"/>
                <w:shd w:val="clear" w:color="auto" w:fill="FFFFFF"/>
              </w:rPr>
              <w:t>为</w:t>
            </w:r>
            <w:r>
              <w:rPr>
                <w:rFonts w:hint="default" w:ascii="Times New Roman" w:hAnsi="Times New Roman" w:eastAsia="宋体" w:cs="Times New Roman"/>
                <w:color w:val="auto"/>
                <w:sz w:val="24"/>
                <w:shd w:val="clear" w:color="auto" w:fill="FFFFFF"/>
                <w:lang w:val="en-US" w:eastAsia="zh-CN"/>
              </w:rPr>
              <w:t>泡沫箱</w:t>
            </w:r>
            <w:r>
              <w:rPr>
                <w:rFonts w:hint="default" w:ascii="Times New Roman" w:hAnsi="Times New Roman" w:eastAsia="宋体" w:cs="Times New Roman"/>
                <w:color w:val="auto"/>
                <w:sz w:val="24"/>
                <w:shd w:val="clear" w:color="auto" w:fill="FFFFFF"/>
              </w:rPr>
              <w:t>生产过程提供热量</w:t>
            </w:r>
            <w:r>
              <w:rPr>
                <w:rFonts w:hint="default" w:ascii="Times New Roman" w:hAnsi="Times New Roman" w:eastAsia="宋体" w:cs="Times New Roman"/>
                <w:color w:val="auto"/>
                <w:sz w:val="24"/>
              </w:rPr>
              <w:t>，锅炉废气中所产生的污染物主要为烟尘、二氧化硫及氮氧化物。</w:t>
            </w:r>
            <w:r>
              <w:rPr>
                <w:rFonts w:hint="default" w:ascii="Times New Roman" w:hAnsi="Times New Roman" w:eastAsia="宋体" w:cs="Times New Roman"/>
                <w:color w:val="auto"/>
                <w:sz w:val="24"/>
                <w:lang w:val="en-US" w:eastAsia="zh-CN"/>
              </w:rPr>
              <w:t>废气</w:t>
            </w:r>
            <w:r>
              <w:rPr>
                <w:rFonts w:hint="default" w:ascii="Times New Roman" w:hAnsi="Times New Roman" w:eastAsia="宋体" w:cs="Times New Roman"/>
                <w:color w:val="auto"/>
                <w:sz w:val="24"/>
                <w:lang w:eastAsia="zh-CN"/>
              </w:rPr>
              <w:t>执行</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燃煤</w:t>
            </w:r>
            <w:r>
              <w:rPr>
                <w:rFonts w:hint="default" w:ascii="Times New Roman" w:hAnsi="Times New Roman" w:eastAsia="宋体" w:cs="Times New Roman"/>
                <w:color w:val="auto"/>
                <w:sz w:val="24"/>
              </w:rPr>
              <w:t>锅炉废气排放标准见表</w:t>
            </w:r>
            <w:r>
              <w:rPr>
                <w:rFonts w:hint="default" w:ascii="Times New Roman" w:hAnsi="Times New Roman" w:eastAsia="宋体" w:cs="Times New Roman"/>
                <w:color w:val="auto"/>
                <w:sz w:val="24"/>
                <w:lang w:val="en-US" w:eastAsia="zh-CN"/>
              </w:rPr>
              <w:t>3-</w:t>
            </w:r>
            <w:r>
              <w:rPr>
                <w:rFonts w:hint="eastAsia" w:cs="Times New Roman"/>
                <w:color w:val="auto"/>
                <w:sz w:val="24"/>
                <w:lang w:val="en-US" w:eastAsia="zh-CN"/>
              </w:rPr>
              <w:t>9</w:t>
            </w:r>
            <w:r>
              <w:rPr>
                <w:rFonts w:hint="default" w:ascii="Times New Roman" w:hAnsi="Times New Roman" w:eastAsia="宋体" w:cs="Times New Roman"/>
                <w:color w:val="auto"/>
                <w:sz w:val="24"/>
              </w:rPr>
              <w:t>。</w:t>
            </w:r>
          </w:p>
          <w:p>
            <w:pPr>
              <w:widowControl w:val="0"/>
              <w:jc w:val="center"/>
              <w:rPr>
                <w:rFonts w:hint="default" w:ascii="Times New Roman" w:hAnsi="Times New Roman" w:eastAsia="宋体" w:cs="Times New Roman"/>
                <w:b/>
                <w:bCs/>
                <w:color w:val="auto"/>
                <w:sz w:val="21"/>
                <w:szCs w:val="21"/>
              </w:rPr>
            </w:pPr>
          </w:p>
          <w:p>
            <w:pPr>
              <w:widowControl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9</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燃</w:t>
            </w:r>
            <w:r>
              <w:rPr>
                <w:rFonts w:hint="default" w:ascii="Times New Roman" w:hAnsi="Times New Roman" w:eastAsia="宋体" w:cs="Times New Roman"/>
                <w:b/>
                <w:bCs/>
                <w:color w:val="auto"/>
                <w:sz w:val="21"/>
                <w:szCs w:val="21"/>
                <w:lang w:val="en-US" w:eastAsia="zh-CN"/>
              </w:rPr>
              <w:t>煤</w:t>
            </w:r>
            <w:r>
              <w:rPr>
                <w:rFonts w:hint="default" w:ascii="Times New Roman" w:hAnsi="Times New Roman" w:eastAsia="宋体" w:cs="Times New Roman"/>
                <w:b/>
                <w:bCs/>
                <w:color w:val="auto"/>
                <w:sz w:val="21"/>
                <w:szCs w:val="21"/>
              </w:rPr>
              <w:t>锅炉大气污染物排放标准</w:t>
            </w:r>
            <w:r>
              <w:rPr>
                <w:rFonts w:hint="default" w:ascii="Times New Roman" w:hAnsi="Times New Roman" w:eastAsia="宋体" w:cs="Times New Roman"/>
                <w:b/>
                <w:bCs/>
                <w:color w:val="auto"/>
                <w:spacing w:val="-6"/>
                <w:sz w:val="21"/>
                <w:szCs w:val="21"/>
                <w:highlight w:val="none"/>
                <w:lang w:val="en-US" w:eastAsia="zh-CN"/>
              </w:rPr>
              <w:t xml:space="preserve">   </w:t>
            </w:r>
            <w:r>
              <w:rPr>
                <w:rFonts w:hint="default" w:ascii="Times New Roman" w:hAnsi="Times New Roman" w:eastAsia="宋体" w:cs="Times New Roman"/>
                <w:b/>
                <w:bCs/>
                <w:color w:val="auto"/>
                <w:spacing w:val="-6"/>
                <w:sz w:val="21"/>
                <w:szCs w:val="21"/>
                <w:highlight w:val="none"/>
                <w:lang w:eastAsia="zh-CN"/>
              </w:rPr>
              <w:t>单位：mg/m</w:t>
            </w:r>
            <w:r>
              <w:rPr>
                <w:rFonts w:hint="default" w:ascii="Times New Roman" w:hAnsi="Times New Roman" w:eastAsia="宋体" w:cs="Times New Roman"/>
                <w:b/>
                <w:bCs/>
                <w:color w:val="auto"/>
                <w:spacing w:val="-6"/>
                <w:sz w:val="21"/>
                <w:szCs w:val="21"/>
                <w:highlight w:val="none"/>
                <w:vertAlign w:val="superscript"/>
                <w:lang w:eastAsia="zh-CN"/>
              </w:rPr>
              <w:t>3</w:t>
            </w:r>
          </w:p>
          <w:tbl>
            <w:tblPr>
              <w:tblStyle w:val="27"/>
              <w:tblW w:w="8525"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990"/>
              <w:gridCol w:w="1370"/>
              <w:gridCol w:w="1621"/>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限值</w:t>
                  </w:r>
                </w:p>
              </w:tc>
              <w:tc>
                <w:tcPr>
                  <w:tcW w:w="137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污染物排放</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监控位置</w:t>
                  </w:r>
                </w:p>
              </w:tc>
              <w:tc>
                <w:tcPr>
                  <w:tcW w:w="1621"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eastAsia" w:cs="Times New Roman"/>
                      <w:b/>
                      <w:bCs/>
                      <w:color w:val="auto"/>
                      <w:sz w:val="21"/>
                      <w:szCs w:val="21"/>
                      <w:highlight w:val="none"/>
                      <w:lang w:val="en-US" w:eastAsia="zh-CN"/>
                    </w:rPr>
                    <w:t>10</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lang w:val="en-US" w:eastAsia="zh-CN"/>
                    </w:rPr>
                    <w:t>0t/h</w:t>
                  </w:r>
                  <w:r>
                    <w:rPr>
                      <w:rFonts w:hint="default" w:ascii="Times New Roman" w:hAnsi="Times New Roman" w:eastAsia="宋体" w:cs="Times New Roman"/>
                      <w:b/>
                      <w:bCs/>
                      <w:color w:val="auto"/>
                      <w:sz w:val="21"/>
                      <w:szCs w:val="21"/>
                      <w:highlight w:val="none"/>
                    </w:rPr>
                    <w:t>烟囱最低允许高度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燃</w:t>
                  </w:r>
                  <w:r>
                    <w:rPr>
                      <w:rFonts w:hint="default" w:ascii="Times New Roman" w:hAnsi="Times New Roman" w:eastAsia="宋体" w:cs="Times New Roman"/>
                      <w:b/>
                      <w:bCs/>
                      <w:color w:val="auto"/>
                      <w:sz w:val="21"/>
                      <w:szCs w:val="21"/>
                      <w:highlight w:val="none"/>
                      <w:lang w:val="en-US" w:eastAsia="zh-CN"/>
                    </w:rPr>
                    <w:t>煤</w:t>
                  </w:r>
                  <w:r>
                    <w:rPr>
                      <w:rFonts w:hint="default" w:ascii="Times New Roman" w:hAnsi="Times New Roman" w:eastAsia="宋体" w:cs="Times New Roman"/>
                      <w:b/>
                      <w:bCs/>
                      <w:color w:val="auto"/>
                      <w:sz w:val="21"/>
                      <w:szCs w:val="21"/>
                      <w:highlight w:val="none"/>
                    </w:rPr>
                    <w:t>锅炉</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370" w:type="dxa"/>
                  <w:vMerge w:val="restar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烟囱或烟道</w:t>
                  </w:r>
                </w:p>
              </w:tc>
              <w:tc>
                <w:tcPr>
                  <w:tcW w:w="1621" w:type="dxa"/>
                  <w:vMerge w:val="restart"/>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氮氧化物</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c>
                <w:tcPr>
                  <w:tcW w:w="1370" w:type="dxa"/>
                  <w:vMerge w:val="continue"/>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5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烟气黑度（林格曼黑度，级）</w:t>
                  </w:r>
                </w:p>
              </w:tc>
              <w:tc>
                <w:tcPr>
                  <w:tcW w:w="199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370"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烟囱排放口</w:t>
                  </w:r>
                </w:p>
              </w:tc>
              <w:tc>
                <w:tcPr>
                  <w:tcW w:w="1621" w:type="dxa"/>
                  <w:vMerge w:val="continue"/>
                  <w:tcBorders>
                    <w:tl2br w:val="nil"/>
                    <w:tr2bl w:val="nil"/>
                  </w:tcBorders>
                  <w:noWrap w:val="0"/>
                  <w:vAlign w:val="center"/>
                </w:tcPr>
                <w:p>
                  <w:pPr>
                    <w:keepNext w:val="0"/>
                    <w:keepLines w:val="0"/>
                    <w:widowControl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color w:val="auto"/>
                <w:sz w:val="24"/>
                <w:szCs w:val="24"/>
                <w:lang w:val="en-US" w:eastAsia="zh-CN"/>
              </w:rPr>
              <w:t>②生产过程</w:t>
            </w:r>
            <w:r>
              <w:rPr>
                <w:rFonts w:hint="default" w:ascii="Times New Roman" w:hAnsi="Times New Roman" w:eastAsia="宋体" w:cs="Times New Roman"/>
                <w:color w:val="auto"/>
                <w:sz w:val="24"/>
                <w:szCs w:val="24"/>
                <w:lang w:eastAsia="zh-CN"/>
              </w:rPr>
              <w:t>废气</w:t>
            </w:r>
            <w:r>
              <w:rPr>
                <w:rFonts w:hint="default" w:ascii="Times New Roman" w:hAnsi="Times New Roman" w:eastAsia="宋体" w:cs="Times New Roman"/>
                <w:color w:val="auto"/>
                <w:sz w:val="24"/>
                <w:szCs w:val="24"/>
              </w:rPr>
              <w:t>排放标准执行《</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标准值</w:t>
            </w:r>
            <w:r>
              <w:rPr>
                <w:rFonts w:hint="default" w:ascii="Times New Roman" w:hAnsi="Times New Roman" w:eastAsia="宋体" w:cs="Times New Roman"/>
                <w:color w:val="auto"/>
                <w:sz w:val="24"/>
                <w:szCs w:val="24"/>
                <w:lang w:eastAsia="zh-CN"/>
              </w:rPr>
              <w:t>详</w:t>
            </w:r>
            <w:r>
              <w:rPr>
                <w:rFonts w:hint="default" w:ascii="Times New Roman" w:hAnsi="Times New Roman" w:eastAsia="宋体" w:cs="Times New Roman"/>
                <w:color w:val="auto"/>
                <w:sz w:val="24"/>
                <w:szCs w:val="24"/>
              </w:rPr>
              <w:t>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rPr>
              <w:t>。</w:t>
            </w:r>
          </w:p>
          <w:p>
            <w:pPr>
              <w:widowControl w:val="0"/>
              <w:jc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10</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合成树脂工业污染物排放标准</w:t>
            </w:r>
            <w:r>
              <w:rPr>
                <w:rFonts w:hint="default" w:ascii="Times New Roman" w:hAnsi="Times New Roman" w:eastAsia="宋体" w:cs="Times New Roman"/>
                <w:b/>
                <w:bCs/>
                <w:color w:val="auto"/>
                <w:sz w:val="21"/>
                <w:szCs w:val="21"/>
                <w:lang w:val="en-US" w:eastAsia="zh-CN"/>
              </w:rPr>
              <w:t xml:space="preserve">   单位：</w:t>
            </w: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p>
          <w:tbl>
            <w:tblPr>
              <w:tblStyle w:val="27"/>
              <w:tblW w:w="8388"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536"/>
              <w:gridCol w:w="1174"/>
              <w:gridCol w:w="2032"/>
              <w:gridCol w:w="1555"/>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153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最高允许排放浓度（mg/m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117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排气筒高度（m）</w:t>
                  </w:r>
                </w:p>
              </w:tc>
              <w:tc>
                <w:tcPr>
                  <w:tcW w:w="3587"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9"/>
                    <w:rPr>
                      <w:rFonts w:hint="default" w:ascii="Times New Roman" w:hAnsi="Times New Roman" w:eastAsia="宋体" w:cs="Times New Roman"/>
                      <w:b/>
                      <w:bCs/>
                      <w:color w:val="auto"/>
                      <w:sz w:val="21"/>
                      <w:szCs w:val="21"/>
                    </w:rPr>
                  </w:pPr>
                </w:p>
              </w:tc>
              <w:tc>
                <w:tcPr>
                  <w:tcW w:w="153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baseline"/>
                    <w:outlineLvl w:val="9"/>
                    <w:rPr>
                      <w:rFonts w:hint="default" w:ascii="Times New Roman" w:hAnsi="Times New Roman" w:eastAsia="宋体" w:cs="Times New Roman"/>
                      <w:b/>
                      <w:bCs/>
                      <w:color w:val="auto"/>
                      <w:sz w:val="21"/>
                      <w:szCs w:val="21"/>
                    </w:rPr>
                  </w:pPr>
                </w:p>
              </w:tc>
              <w:tc>
                <w:tcPr>
                  <w:tcW w:w="117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1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11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苯乙烯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50</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甲苯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Cs w:val="21"/>
                      <w:highlight w:val="none"/>
                    </w:rPr>
                    <w:t>乙苯</w:t>
                  </w:r>
                </w:p>
              </w:tc>
              <w:tc>
                <w:tcPr>
                  <w:tcW w:w="1536"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100</w:t>
                  </w:r>
                </w:p>
              </w:tc>
              <w:tc>
                <w:tcPr>
                  <w:tcW w:w="1174"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15</w:t>
                  </w:r>
                </w:p>
              </w:tc>
              <w:tc>
                <w:tcPr>
                  <w:tcW w:w="2032"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Cs w:val="21"/>
                      <w:highlight w:val="none"/>
                    </w:rPr>
                    <w:t>周界外浓度最高点</w:t>
                  </w:r>
                </w:p>
              </w:tc>
              <w:tc>
                <w:tcPr>
                  <w:tcW w:w="1555" w:type="dxa"/>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单位产品非甲烷总烃排放量（kg/t产品）</w:t>
                  </w:r>
                </w:p>
              </w:tc>
              <w:tc>
                <w:tcPr>
                  <w:tcW w:w="15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117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03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p>
              </w:tc>
              <w:tc>
                <w:tcPr>
                  <w:tcW w:w="155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pPr>
              <w:widowControl w:val="0"/>
              <w:adjustRightInd/>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lang w:val="zh-CN"/>
              </w:rPr>
              <w:t>厂内无组织VOCs排放浓度限值执行</w:t>
            </w:r>
            <w:r>
              <w:rPr>
                <w:rFonts w:hint="default" w:ascii="Times New Roman" w:hAnsi="Times New Roman" w:eastAsia="宋体" w:cs="Times New Roman"/>
                <w:color w:val="auto"/>
                <w:sz w:val="24"/>
              </w:rPr>
              <w:t>《挥发性有机物无组织排放控制标准》</w:t>
            </w:r>
            <w:r>
              <w:rPr>
                <w:rFonts w:hint="default" w:ascii="Times New Roman" w:hAnsi="Times New Roman" w:eastAsia="宋体" w:cs="Times New Roman"/>
                <w:color w:val="auto"/>
                <w:sz w:val="24"/>
                <w:lang w:val="zh-CN"/>
              </w:rPr>
              <w:t>（GB</w:t>
            </w:r>
            <w:r>
              <w:rPr>
                <w:rFonts w:hint="default" w:ascii="Times New Roman" w:hAnsi="Times New Roman" w:eastAsia="宋体" w:cs="Times New Roman"/>
                <w:color w:val="auto"/>
                <w:sz w:val="24"/>
              </w:rPr>
              <w:t>37822</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2019</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中的要求</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标准值见表3-</w:t>
            </w:r>
            <w:r>
              <w:rPr>
                <w:rFonts w:hint="eastAsia" w:cs="Times New Roman"/>
                <w:color w:val="auto"/>
                <w:sz w:val="24"/>
                <w:lang w:val="en-US" w:eastAsia="zh-CN"/>
              </w:rPr>
              <w:t>11</w:t>
            </w:r>
            <w:r>
              <w:rPr>
                <w:rFonts w:hint="default" w:ascii="Times New Roman" w:hAnsi="Times New Roman" w:eastAsia="宋体" w:cs="Times New Roman"/>
                <w:color w:val="auto"/>
                <w:sz w:val="24"/>
              </w:rPr>
              <w:t>。</w:t>
            </w:r>
          </w:p>
          <w:p>
            <w:pPr>
              <w:widowControl w:val="0"/>
              <w:spacing w:before="164" w:beforeLines="5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cs="Times New Roman"/>
                <w:b/>
                <w:bCs/>
                <w:color w:val="auto"/>
                <w:sz w:val="21"/>
                <w:szCs w:val="21"/>
                <w:lang w:val="en-US" w:eastAsia="zh-CN"/>
              </w:rPr>
              <w:t>11</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非甲烷总烃厂区内无组织排放限值</w:t>
            </w:r>
            <w:r>
              <w:rPr>
                <w:rFonts w:hint="default" w:ascii="Times New Roman" w:hAnsi="Times New Roman" w:eastAsia="宋体" w:cs="Times New Roman"/>
                <w:b/>
                <w:bCs/>
                <w:color w:val="auto"/>
                <w:sz w:val="21"/>
                <w:szCs w:val="21"/>
                <w:lang w:val="en-US" w:eastAsia="zh-CN"/>
              </w:rPr>
              <w:t xml:space="preserve">  </w:t>
            </w:r>
            <w:r>
              <w:rPr>
                <w:rFonts w:hint="default" w:ascii="Times New Roman" w:hAnsi="Times New Roman" w:eastAsia="宋体" w:cs="Times New Roman"/>
                <w:b/>
                <w:bCs/>
                <w:color w:val="auto"/>
                <w:sz w:val="21"/>
                <w:szCs w:val="21"/>
              </w:rPr>
              <w:t xml:space="preserve"> 单位：mg/m</w:t>
            </w:r>
            <w:r>
              <w:rPr>
                <w:rFonts w:hint="default" w:ascii="Times New Roman" w:hAnsi="Times New Roman" w:eastAsia="宋体" w:cs="Times New Roman"/>
                <w:b/>
                <w:bCs/>
                <w:color w:val="auto"/>
                <w:sz w:val="21"/>
                <w:szCs w:val="21"/>
                <w:vertAlign w:val="superscript"/>
              </w:rPr>
              <w:t>3</w:t>
            </w:r>
          </w:p>
          <w:tbl>
            <w:tblPr>
              <w:tblStyle w:val="27"/>
              <w:tblW w:w="8309"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1662"/>
              <w:gridCol w:w="2423"/>
              <w:gridCol w:w="2563"/>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污染项目</w:t>
                  </w:r>
                </w:p>
              </w:tc>
              <w:tc>
                <w:tcPr>
                  <w:tcW w:w="1662"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排放限值</w:t>
                  </w:r>
                </w:p>
              </w:tc>
              <w:tc>
                <w:tcPr>
                  <w:tcW w:w="242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限值含义</w:t>
                  </w:r>
                </w:p>
              </w:tc>
              <w:tc>
                <w:tcPr>
                  <w:tcW w:w="256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无组织排放监控位置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661" w:type="dxa"/>
                  <w:vMerge w:val="restart"/>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NMHC</w:t>
                  </w:r>
                </w:p>
              </w:tc>
              <w:tc>
                <w:tcPr>
                  <w:tcW w:w="1662"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10mg/m³</w:t>
                  </w:r>
                </w:p>
              </w:tc>
              <w:tc>
                <w:tcPr>
                  <w:tcW w:w="2423" w:type="dxa"/>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 1h 平均浓度值</w:t>
                  </w:r>
                </w:p>
              </w:tc>
              <w:tc>
                <w:tcPr>
                  <w:tcW w:w="2563" w:type="dxa"/>
                  <w:vMerge w:val="restart"/>
                  <w:tcBorders>
                    <w:tl2br w:val="nil"/>
                    <w:tr2bl w:val="nil"/>
                  </w:tcBorders>
                  <w:noWrap w:val="0"/>
                  <w:vAlign w:val="center"/>
                </w:tcPr>
                <w:p>
                  <w:pPr>
                    <w:pStyle w:val="84"/>
                    <w:keepNext w:val="0"/>
                    <w:keepLines w:val="0"/>
                    <w:pageBreakBefore w:val="0"/>
                    <w:widowControl w:val="0"/>
                    <w:kinsoku/>
                    <w:wordWrap/>
                    <w:overflowPunct/>
                    <w:topLinePunct w:val="0"/>
                    <w:bidi w:val="0"/>
                    <w:adjustRightInd/>
                    <w:snapToGrid/>
                    <w:spacing w:before="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在厂房外设置监控点</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166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p>
              </w:tc>
              <w:tc>
                <w:tcPr>
                  <w:tcW w:w="16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30mg/m³</w:t>
                  </w:r>
                </w:p>
              </w:tc>
              <w:tc>
                <w:tcPr>
                  <w:tcW w:w="24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outlineLvl w:val="9"/>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监控点处任意一次浓度值</w:t>
                  </w:r>
                </w:p>
              </w:tc>
              <w:tc>
                <w:tcPr>
                  <w:tcW w:w="2563"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default" w:ascii="Times New Roman" w:hAnsi="Times New Roman" w:eastAsia="宋体" w:cs="Times New Roman"/>
                      <w:color w:val="auto"/>
                      <w:sz w:val="21"/>
                      <w:szCs w:val="21"/>
                    </w:rPr>
                  </w:pPr>
                </w:p>
              </w:tc>
            </w:tr>
          </w:tbl>
          <w:p>
            <w:pPr>
              <w:pStyle w:val="4"/>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w:t>
            </w:r>
            <w:r>
              <w:rPr>
                <w:rFonts w:hint="default" w:ascii="Times New Roman" w:hAnsi="Times New Roman" w:eastAsia="宋体" w:cs="Times New Roman"/>
                <w:color w:val="auto"/>
                <w:sz w:val="24"/>
                <w:highlight w:val="none"/>
              </w:rPr>
              <w:t>项目运营期生产车间、化粪池及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会有臭气浓度产生，化粪池及</w:t>
            </w:r>
            <w:r>
              <w:rPr>
                <w:rFonts w:hint="eastAsia" w:cs="Times New Roman"/>
                <w:color w:val="auto"/>
                <w:sz w:val="24"/>
                <w:highlight w:val="none"/>
                <w:lang w:eastAsia="zh-CN"/>
              </w:rPr>
              <w:t>一体化</w:t>
            </w:r>
            <w:r>
              <w:rPr>
                <w:rFonts w:hint="default" w:ascii="Times New Roman" w:hAnsi="Times New Roman" w:eastAsia="宋体" w:cs="Times New Roman"/>
                <w:color w:val="auto"/>
                <w:sz w:val="24"/>
                <w:highlight w:val="none"/>
              </w:rPr>
              <w:t>污水处理</w:t>
            </w:r>
            <w:r>
              <w:rPr>
                <w:rFonts w:hint="eastAsia" w:cs="Times New Roman"/>
                <w:color w:val="auto"/>
                <w:sz w:val="24"/>
                <w:highlight w:val="none"/>
                <w:lang w:eastAsia="zh-CN"/>
              </w:rPr>
              <w:t>站</w:t>
            </w:r>
            <w:r>
              <w:rPr>
                <w:rFonts w:hint="default" w:ascii="Times New Roman" w:hAnsi="Times New Roman" w:eastAsia="宋体" w:cs="Times New Roman"/>
                <w:color w:val="auto"/>
                <w:sz w:val="24"/>
                <w:highlight w:val="none"/>
              </w:rPr>
              <w:t>为无组织排放源，生产车间臭气浓度大部分随有机废气一同收集为有组织排放，未收集少部分为无组织排放，因此臭气浓度排放执行《恶臭污染物排放标准》（GB14554-93）中标准限值要求，排放执行标准值详见表</w:t>
            </w:r>
            <w:r>
              <w:rPr>
                <w:rFonts w:hint="default" w:ascii="Times New Roman" w:hAnsi="Times New Roman" w:eastAsia="宋体" w:cs="Times New Roman"/>
                <w:color w:val="auto"/>
                <w:sz w:val="24"/>
                <w:highlight w:val="none"/>
                <w:lang w:val="en-US" w:eastAsia="zh-CN"/>
              </w:rPr>
              <w:t>3-</w:t>
            </w:r>
            <w:r>
              <w:rPr>
                <w:rFonts w:hint="eastAsia" w:cs="Times New Roman"/>
                <w:color w:val="auto"/>
                <w:sz w:val="24"/>
                <w:highlight w:val="none"/>
                <w:lang w:val="en-US" w:eastAsia="zh-CN"/>
              </w:rPr>
              <w:t>12</w:t>
            </w:r>
            <w:r>
              <w:rPr>
                <w:rFonts w:hint="default" w:ascii="Times New Roman" w:hAnsi="Times New Roman" w:eastAsia="宋体" w:cs="Times New Roman"/>
                <w:color w:val="auto"/>
                <w:sz w:val="24"/>
                <w:highlight w:val="none"/>
              </w:rPr>
              <w:t>。</w:t>
            </w:r>
          </w:p>
          <w:p>
            <w:pPr>
              <w:pStyle w:val="54"/>
              <w:shd w:val="clear"/>
              <w:snapToGrid w:val="0"/>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3-</w:t>
            </w:r>
            <w:r>
              <w:rPr>
                <w:rFonts w:hint="eastAsia" w:cs="Times New Roman"/>
                <w:b/>
                <w:color w:val="auto"/>
                <w:sz w:val="21"/>
                <w:szCs w:val="21"/>
                <w:highlight w:val="none"/>
                <w:lang w:val="en-US" w:eastAsia="zh-CN"/>
              </w:rPr>
              <w:t>12</w:t>
            </w:r>
            <w:r>
              <w:rPr>
                <w:rFonts w:hint="default" w:ascii="Times New Roman" w:hAnsi="Times New Roman" w:eastAsia="宋体" w:cs="Times New Roman"/>
                <w:b/>
                <w:color w:val="auto"/>
                <w:sz w:val="21"/>
                <w:szCs w:val="21"/>
                <w:highlight w:val="none"/>
              </w:rPr>
              <w:t xml:space="preserve">  恶臭污染物标准值</w:t>
            </w:r>
          </w:p>
          <w:tbl>
            <w:tblPr>
              <w:tblStyle w:val="2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950"/>
              <w:gridCol w:w="1902"/>
              <w:gridCol w:w="151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90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控制项目</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标准限值</w:t>
                  </w:r>
                </w:p>
              </w:tc>
              <w:tc>
                <w:tcPr>
                  <w:tcW w:w="320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restart"/>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臭气浓度</w:t>
                  </w:r>
                </w:p>
              </w:tc>
              <w:tc>
                <w:tcPr>
                  <w:tcW w:w="95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无组织</w:t>
                  </w:r>
                </w:p>
              </w:tc>
              <w:tc>
                <w:tcPr>
                  <w:tcW w:w="1902"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20</w:t>
                  </w:r>
                </w:p>
              </w:tc>
              <w:tc>
                <w:tcPr>
                  <w:tcW w:w="3207" w:type="dxa"/>
                  <w:vMerge w:val="restart"/>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（GB14554-93）中二级标准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950"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c>
                <w:tcPr>
                  <w:tcW w:w="950" w:type="dxa"/>
                  <w:tcBorders>
                    <w:top w:val="single" w:color="auto" w:sz="4" w:space="0"/>
                    <w:left w:val="single" w:color="auto" w:sz="4" w:space="0"/>
                    <w:right w:val="single" w:color="auto" w:sz="4" w:space="0"/>
                  </w:tcBorders>
                  <w:vAlign w:val="center"/>
                </w:tcPr>
                <w:p>
                  <w:pPr>
                    <w:shd w:val="clear"/>
                    <w:jc w:val="center"/>
                    <w:rPr>
                      <w:rFonts w:hint="eastAsia" w:ascii="Times New Roman" w:hAnsi="Times New Roman" w:eastAsia="宋体" w:cs="Times New Roman"/>
                      <w:bCs/>
                      <w:color w:val="auto"/>
                      <w:szCs w:val="21"/>
                      <w:highlight w:val="none"/>
                      <w:lang w:eastAsia="zh-CN"/>
                    </w:rPr>
                  </w:pPr>
                  <w:r>
                    <w:rPr>
                      <w:rFonts w:hint="eastAsia" w:cs="Times New Roman"/>
                      <w:bCs/>
                      <w:color w:val="auto"/>
                      <w:szCs w:val="21"/>
                      <w:highlight w:val="none"/>
                      <w:lang w:eastAsia="zh-CN"/>
                    </w:rPr>
                    <w:t>有组织</w:t>
                  </w:r>
                </w:p>
              </w:tc>
              <w:tc>
                <w:tcPr>
                  <w:tcW w:w="1902" w:type="dxa"/>
                  <w:tcBorders>
                    <w:top w:val="single" w:color="auto" w:sz="4" w:space="0"/>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无量纲</w:t>
                  </w:r>
                </w:p>
              </w:tc>
              <w:tc>
                <w:tcPr>
                  <w:tcW w:w="1510" w:type="dxa"/>
                  <w:tcBorders>
                    <w:top w:val="single" w:color="auto" w:sz="4" w:space="0"/>
                    <w:left w:val="single" w:color="auto" w:sz="4" w:space="0"/>
                    <w:bottom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2000（15m）</w:t>
                  </w:r>
                </w:p>
              </w:tc>
              <w:tc>
                <w:tcPr>
                  <w:tcW w:w="3207" w:type="dxa"/>
                  <w:vMerge w:val="continue"/>
                  <w:tcBorders>
                    <w:left w:val="single" w:color="auto" w:sz="4" w:space="0"/>
                    <w:right w:val="single" w:color="auto" w:sz="4" w:space="0"/>
                  </w:tcBorders>
                  <w:vAlign w:val="center"/>
                </w:tcPr>
                <w:p>
                  <w:pPr>
                    <w:shd w:val="clear"/>
                    <w:jc w:val="center"/>
                    <w:rPr>
                      <w:rFonts w:hint="default" w:ascii="Times New Roman" w:hAnsi="Times New Roman" w:eastAsia="宋体" w:cs="Times New Roman"/>
                      <w:bCs/>
                      <w:color w:val="auto"/>
                      <w:szCs w:val="21"/>
                      <w:highlight w:val="none"/>
                    </w:rPr>
                  </w:pPr>
                </w:p>
              </w:tc>
            </w:tr>
          </w:tbl>
          <w:p>
            <w:pPr>
              <w:pStyle w:val="4"/>
              <w:adjustRightInd w:val="0"/>
              <w:spacing w:before="0" w:after="0" w:line="360" w:lineRule="auto"/>
              <w:ind w:right="0" w:firstLine="480" w:firstLineChars="200"/>
              <w:rPr>
                <w:rFonts w:hint="default" w:ascii="Times New Roman" w:hAnsi="Times New Roman" w:eastAsia="宋体" w:cs="Times New Roman"/>
                <w:b w:val="0"/>
                <w:bCs w:val="0"/>
                <w:color w:val="auto"/>
                <w:sz w:val="24"/>
                <w:highlight w:val="none"/>
                <w:lang w:val="en-US" w:eastAsia="zh-CN"/>
              </w:rPr>
            </w:pPr>
            <w:r>
              <w:rPr>
                <w:rFonts w:hint="default" w:ascii="Times New Roman" w:hAnsi="Times New Roman" w:eastAsia="宋体" w:cs="Times New Roman"/>
                <w:b w:val="0"/>
                <w:bCs w:val="0"/>
                <w:color w:val="auto"/>
                <w:sz w:val="24"/>
                <w:highlight w:val="none"/>
                <w:lang w:val="en-US" w:eastAsia="zh-CN"/>
              </w:rPr>
              <w:t>⑤食堂油烟</w:t>
            </w:r>
          </w:p>
          <w:p>
            <w:pPr>
              <w:pStyle w:val="4"/>
              <w:adjustRightInd w:val="0"/>
              <w:spacing w:before="0" w:after="0" w:line="360" w:lineRule="auto"/>
              <w:ind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项目运营期食堂油烟排放执行《饮食业油烟排放标准（试行）》（GB18483-2001）中的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排放浓度</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val="0"/>
                <w:color w:val="auto"/>
                <w:sz w:val="24"/>
                <w:szCs w:val="24"/>
                <w:highlight w:val="none"/>
              </w:rPr>
              <w:t>净化设施最低去除效率</w:t>
            </w:r>
            <w:r>
              <w:rPr>
                <w:rFonts w:hint="default" w:ascii="Times New Roman" w:hAnsi="Times New Roman" w:eastAsia="宋体" w:cs="Times New Roman"/>
                <w:bCs w:val="0"/>
                <w:color w:val="auto"/>
                <w:sz w:val="24"/>
                <w:szCs w:val="24"/>
                <w:highlight w:val="none"/>
                <w:lang w:val="en-US" w:eastAsia="zh-CN"/>
              </w:rPr>
              <w:t>60%</w:t>
            </w:r>
            <w:r>
              <w:rPr>
                <w:rFonts w:hint="default" w:ascii="Times New Roman" w:hAnsi="Times New Roman" w:eastAsia="宋体" w:cs="Times New Roman"/>
                <w:bCs w:val="0"/>
                <w:color w:val="auto"/>
                <w:sz w:val="24"/>
                <w:szCs w:val="24"/>
                <w:highlight w:val="none"/>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项目运营期生产车间产生的废水主要为锅炉</w:t>
            </w:r>
            <w:r>
              <w:rPr>
                <w:rFonts w:hint="default" w:ascii="Times New Roman" w:hAnsi="Times New Roman" w:eastAsia="宋体" w:cs="Times New Roman"/>
                <w:color w:val="auto"/>
                <w:sz w:val="24"/>
              </w:rPr>
              <w:t>用水软化处理时产生的</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冷凝水、冷却废水。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食堂废水经隔油池处理后，与其他生活污水一并进入化粪池、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生活污水执行标准值见表3-</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w:t>
            </w:r>
          </w:p>
          <w:p>
            <w:pPr>
              <w:shd w:val="clear" w:color="auto" w:fill="auto"/>
              <w:spacing w:line="240" w:lineRule="auto"/>
              <w:ind w:firstLine="0" w:firstLineChars="0"/>
              <w:jc w:val="center"/>
              <w:rPr>
                <w:rFonts w:hint="default" w:ascii="Times New Roman" w:hAnsi="Times New Roman" w:eastAsia="宋体" w:cs="Times New Roman"/>
                <w:b/>
                <w:bCs/>
                <w:color w:val="auto"/>
                <w:sz w:val="21"/>
                <w:szCs w:val="21"/>
                <w:highlight w:val="none"/>
                <w:lang w:val="en-US" w:bidi="ar"/>
              </w:rPr>
            </w:pPr>
            <w:r>
              <w:rPr>
                <w:rFonts w:hint="default" w:ascii="Times New Roman" w:hAnsi="Times New Roman" w:eastAsia="宋体" w:cs="Times New Roman"/>
                <w:b/>
                <w:bCs/>
                <w:color w:val="auto"/>
                <w:sz w:val="21"/>
                <w:szCs w:val="21"/>
                <w:highlight w:val="none"/>
                <w:lang w:bidi="ar"/>
              </w:rPr>
              <w:t>表</w:t>
            </w:r>
            <w:r>
              <w:rPr>
                <w:rFonts w:hint="default" w:ascii="Times New Roman" w:hAnsi="Times New Roman" w:eastAsia="宋体" w:cs="Times New Roman"/>
                <w:b/>
                <w:bCs/>
                <w:color w:val="auto"/>
                <w:sz w:val="21"/>
                <w:szCs w:val="21"/>
                <w:highlight w:val="none"/>
                <w:lang w:val="en-US" w:eastAsia="zh-CN" w:bidi="ar"/>
              </w:rPr>
              <w:t>3-</w:t>
            </w:r>
            <w:r>
              <w:rPr>
                <w:rFonts w:hint="eastAsia" w:cs="Times New Roman"/>
                <w:b/>
                <w:bCs/>
                <w:color w:val="auto"/>
                <w:sz w:val="21"/>
                <w:szCs w:val="21"/>
                <w:highlight w:val="none"/>
                <w:lang w:val="en-US" w:eastAsia="zh-CN" w:bidi="ar"/>
              </w:rPr>
              <w:t>13</w:t>
            </w:r>
            <w:r>
              <w:rPr>
                <w:rFonts w:hint="default" w:ascii="Times New Roman" w:hAnsi="Times New Roman" w:eastAsia="宋体" w:cs="Times New Roman"/>
                <w:b/>
                <w:bCs/>
                <w:color w:val="auto"/>
                <w:sz w:val="21"/>
                <w:szCs w:val="21"/>
                <w:highlight w:val="none"/>
                <w:lang w:bidi="ar"/>
              </w:rPr>
              <w:t xml:space="preserve"> </w:t>
            </w:r>
            <w:r>
              <w:rPr>
                <w:rFonts w:hint="default" w:ascii="Times New Roman" w:hAnsi="Times New Roman" w:eastAsia="宋体" w:cs="Times New Roman"/>
                <w:b/>
                <w:bCs/>
                <w:color w:val="auto"/>
                <w:sz w:val="21"/>
                <w:szCs w:val="21"/>
                <w:highlight w:val="none"/>
                <w:lang w:val="en-US" w:eastAsia="zh-CN" w:bidi="ar"/>
              </w:rPr>
              <w:t xml:space="preserve"> 城市污水再生利用 城市杂用水水质</w:t>
            </w:r>
          </w:p>
          <w:tbl>
            <w:tblPr>
              <w:tblStyle w:val="27"/>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pStyle w:val="50"/>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pH</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色度≤</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嗅</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浊度/NTU≤</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五日生化需氧量（BOD</w:t>
                  </w:r>
                  <w:r>
                    <w:rPr>
                      <w:rFonts w:hint="default" w:ascii="Times New Roman" w:hAnsi="Times New Roman" w:eastAsia="宋体" w:cs="Times New Roman"/>
                      <w:color w:val="auto"/>
                      <w:sz w:val="21"/>
                      <w:szCs w:val="21"/>
                      <w:highlight w:val="none"/>
                      <w:vertAlign w:val="subscript"/>
                      <w:lang w:val="en-US" w:eastAsia="zh-CN"/>
                    </w:rPr>
                    <w:t>5</w:t>
                  </w:r>
                  <w:r>
                    <w:rPr>
                      <w:rFonts w:hint="default" w:ascii="Times New Roman" w:hAnsi="Times New Roman" w:eastAsia="宋体" w:cs="Times New Roman"/>
                      <w:color w:val="auto"/>
                      <w:sz w:val="21"/>
                      <w:szCs w:val="21"/>
                      <w:highlight w:val="none"/>
                      <w:lang w:val="en-US" w:eastAsia="zh-CN"/>
                    </w:rPr>
                    <w:t>）/（mg/L）≤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溶解性总固体/（mg/L）≤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1000（2000）</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溶解氧/（mg/L）≤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203" w:type="dxa"/>
                  <w:vAlign w:val="center"/>
                </w:tcPr>
                <w:p>
                  <w:pPr>
                    <w:shd w:val="clear" w:color="auto" w:fill="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总氯/（mg/L）≤</w:t>
                  </w:r>
                </w:p>
              </w:tc>
              <w:tc>
                <w:tcPr>
                  <w:tcW w:w="4210" w:type="dxa"/>
                  <w:vAlign w:val="center"/>
                </w:tcPr>
                <w:p>
                  <w:pPr>
                    <w:pStyle w:val="50"/>
                    <w:shd w:val="clear" w:color="auto" w:fill="auto"/>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1.0（出厂），0.2</w:t>
                  </w:r>
                  <w:r>
                    <w:rPr>
                      <w:rFonts w:hint="default" w:ascii="Times New Roman" w:hAnsi="Times New Roman" w:eastAsia="宋体" w:cs="Times New Roman"/>
                      <w:color w:val="auto"/>
                      <w:sz w:val="21"/>
                      <w:szCs w:val="21"/>
                      <w:highlight w:val="none"/>
                      <w:vertAlign w:val="superscript"/>
                      <w:lang w:val="en-US" w:eastAsia="zh-CN"/>
                    </w:rPr>
                    <w:t>b</w:t>
                  </w:r>
                  <w:r>
                    <w:rPr>
                      <w:rFonts w:hint="default" w:ascii="Times New Roman" w:hAnsi="Times New Roman" w:eastAsia="宋体" w:cs="Times New Roman"/>
                      <w:color w:val="auto"/>
                      <w:sz w:val="21"/>
                      <w:szCs w:val="21"/>
                      <w:highlight w:val="none"/>
                      <w:lang w:val="en-US" w:eastAsia="zh-CN"/>
                    </w:rPr>
                    <w:t>（管网末端）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13" w:type="dxa"/>
                  <w:gridSpan w:val="2"/>
                  <w:vAlign w:val="center"/>
                </w:tcPr>
                <w:p>
                  <w:pPr>
                    <w:pStyle w:val="50"/>
                    <w:shd w:val="clear" w:color="auto" w:fill="auto"/>
                    <w:ind w:firstLine="0" w:firstLineChars="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a 括号内指标值为沿海及本地水源中溶解性固体含量较高的区域的指标。</w:t>
                  </w:r>
                </w:p>
                <w:p>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 用于城市绿化时，不应超过2.5mg/L。</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36"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3、噪声</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施工期</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left"/>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项目施工期噪声执行</w:t>
            </w:r>
            <w:r>
              <w:rPr>
                <w:rFonts w:hint="default" w:ascii="Times New Roman" w:hAnsi="Times New Roman" w:eastAsia="宋体" w:cs="Times New Roman"/>
                <w:color w:val="auto"/>
                <w:kern w:val="0"/>
                <w:sz w:val="24"/>
                <w:highlight w:val="none"/>
              </w:rPr>
              <w:t>《建筑施工场界环境噪声排放标准》(GB12523-2011)标准限值见表</w:t>
            </w:r>
            <w:r>
              <w:rPr>
                <w:rFonts w:hint="default" w:ascii="Times New Roman" w:hAnsi="Times New Roman" w:eastAsia="宋体" w:cs="Times New Roman"/>
                <w:color w:val="auto"/>
                <w:kern w:val="0"/>
                <w:sz w:val="24"/>
                <w:highlight w:val="none"/>
                <w:lang w:val="en-US" w:eastAsia="zh-CN"/>
              </w:rPr>
              <w:t>3-</w:t>
            </w:r>
            <w:r>
              <w:rPr>
                <w:rFonts w:hint="eastAsia" w:cs="Times New Roman"/>
                <w:color w:val="auto"/>
                <w:kern w:val="0"/>
                <w:sz w:val="24"/>
                <w:highlight w:val="none"/>
                <w:lang w:val="en-US" w:eastAsia="zh-CN"/>
              </w:rPr>
              <w:t>14</w:t>
            </w:r>
            <w:r>
              <w:rPr>
                <w:rFonts w:hint="default" w:ascii="Times New Roman" w:hAnsi="Times New Roman" w:eastAsia="宋体" w:cs="Times New Roman"/>
                <w:color w:val="auto"/>
                <w:kern w:val="0"/>
                <w:sz w:val="24"/>
                <w:highlight w:val="none"/>
              </w:rPr>
              <w:t>。</w:t>
            </w:r>
          </w:p>
          <w:p>
            <w:pPr>
              <w:adjustRightInd w:val="0"/>
              <w:snapToGrid w:val="0"/>
              <w:jc w:val="center"/>
              <w:textAlignment w:val="baseline"/>
              <w:rPr>
                <w:rFonts w:hint="default" w:ascii="Times New Roman" w:hAnsi="Times New Roman" w:eastAsia="宋体" w:cs="Times New Roman"/>
                <w:b/>
                <w:color w:val="auto"/>
                <w:highlight w:val="none"/>
              </w:rPr>
            </w:pPr>
            <w:r>
              <w:rPr>
                <w:rFonts w:hint="default" w:ascii="Times New Roman" w:hAnsi="Times New Roman" w:eastAsia="宋体" w:cs="Times New Roman"/>
                <w:b/>
                <w:bCs/>
                <w:color w:val="auto"/>
                <w:highlight w:val="none"/>
              </w:rPr>
              <w:t>表</w:t>
            </w:r>
            <w:r>
              <w:rPr>
                <w:rFonts w:hint="default" w:ascii="Times New Roman" w:hAnsi="Times New Roman" w:eastAsia="宋体" w:cs="Times New Roman"/>
                <w:b/>
                <w:bCs/>
                <w:color w:val="auto"/>
                <w:highlight w:val="none"/>
                <w:lang w:val="en-US" w:eastAsia="zh-CN"/>
              </w:rPr>
              <w:t>3-</w:t>
            </w:r>
            <w:r>
              <w:rPr>
                <w:rFonts w:hint="eastAsia" w:cs="Times New Roman"/>
                <w:b/>
                <w:bCs/>
                <w:color w:val="auto"/>
                <w:highlight w:val="none"/>
                <w:lang w:val="en-US" w:eastAsia="zh-CN"/>
              </w:rPr>
              <w:t>14</w:t>
            </w:r>
            <w:r>
              <w:rPr>
                <w:rFonts w:hint="default" w:ascii="Times New Roman" w:hAnsi="Times New Roman" w:eastAsia="宋体" w:cs="Times New Roman"/>
                <w:b/>
                <w:bCs/>
                <w:color w:val="auto"/>
                <w:highlight w:val="none"/>
              </w:rPr>
              <w:t xml:space="preserve">  </w:t>
            </w:r>
            <w:r>
              <w:rPr>
                <w:rFonts w:hint="default" w:ascii="Times New Roman" w:hAnsi="Times New Roman" w:eastAsia="宋体" w:cs="Times New Roman"/>
                <w:b/>
                <w:color w:val="auto"/>
                <w:highlight w:val="none"/>
              </w:rPr>
              <w:t>建筑施工场界环境噪声排放标准   单位：dB(A)</w:t>
            </w:r>
          </w:p>
          <w:tbl>
            <w:tblPr>
              <w:tblStyle w:val="27"/>
              <w:tblW w:w="83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620"/>
              <w:gridCol w:w="1440"/>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68" w:type="dxa"/>
                  <w:noWrap w:val="0"/>
                  <w:vAlign w:val="center"/>
                </w:tcPr>
                <w:p>
                  <w:pPr>
                    <w:pStyle w:val="2"/>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环境要素</w:t>
                  </w:r>
                </w:p>
              </w:tc>
              <w:tc>
                <w:tcPr>
                  <w:tcW w:w="3060" w:type="dxa"/>
                  <w:gridSpan w:val="2"/>
                  <w:noWrap w:val="0"/>
                  <w:vAlign w:val="center"/>
                </w:tcPr>
                <w:p>
                  <w:pPr>
                    <w:pStyle w:val="2"/>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标准值</w:t>
                  </w:r>
                </w:p>
              </w:tc>
              <w:tc>
                <w:tcPr>
                  <w:tcW w:w="3752" w:type="dxa"/>
                  <w:noWrap w:val="0"/>
                  <w:vAlign w:val="center"/>
                </w:tcPr>
                <w:p>
                  <w:pPr>
                    <w:pStyle w:val="2"/>
                    <w:spacing w:after="0"/>
                    <w:ind w:left="0" w:leftChars="0" w:firstLine="0" w:firstLineChars="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68" w:type="dxa"/>
                  <w:vMerge w:val="restart"/>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噪声</w:t>
                  </w:r>
                </w:p>
              </w:tc>
              <w:tc>
                <w:tcPr>
                  <w:tcW w:w="1620" w:type="dxa"/>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昼间</w:t>
                  </w:r>
                </w:p>
              </w:tc>
              <w:tc>
                <w:tcPr>
                  <w:tcW w:w="1440" w:type="dxa"/>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夜间</w:t>
                  </w:r>
                </w:p>
              </w:tc>
              <w:tc>
                <w:tcPr>
                  <w:tcW w:w="3752" w:type="dxa"/>
                  <w:vMerge w:val="restart"/>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《建筑施工场界环境噪声排放标准》（</w:t>
                  </w:r>
                  <w:r>
                    <w:rPr>
                      <w:rFonts w:hint="default" w:ascii="Times New Roman" w:hAnsi="Times New Roman" w:eastAsia="宋体" w:cs="Times New Roman"/>
                      <w:bCs/>
                      <w:color w:val="auto"/>
                      <w:kern w:val="0"/>
                      <w:highlight w:val="none"/>
                    </w:rPr>
                    <w:t>GB12523－2011</w:t>
                  </w:r>
                  <w:r>
                    <w:rPr>
                      <w:rFonts w:hint="default" w:ascii="Times New Roman" w:hAnsi="Times New Roman" w:eastAsia="宋体" w:cs="Times New Roman"/>
                      <w:bCs/>
                      <w:color w:val="auto"/>
                      <w:highlight w:val="none"/>
                    </w:rPr>
                    <w:t>）表1中排放限值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68" w:type="dxa"/>
                  <w:vMerge w:val="continue"/>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p>
              </w:tc>
              <w:tc>
                <w:tcPr>
                  <w:tcW w:w="1620" w:type="dxa"/>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70</w:t>
                  </w:r>
                </w:p>
              </w:tc>
              <w:tc>
                <w:tcPr>
                  <w:tcW w:w="1440" w:type="dxa"/>
                  <w:noWrap w:val="0"/>
                  <w:vAlign w:val="center"/>
                </w:tcPr>
                <w:p>
                  <w:pPr>
                    <w:pStyle w:val="2"/>
                    <w:spacing w:after="0"/>
                    <w:ind w:left="0" w:leftChars="0" w:firstLine="0" w:firstLineChars="0"/>
                    <w:jc w:val="center"/>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highlight w:val="none"/>
                    </w:rPr>
                    <w:t>55</w:t>
                  </w:r>
                </w:p>
              </w:tc>
              <w:tc>
                <w:tcPr>
                  <w:tcW w:w="3752" w:type="dxa"/>
                  <w:vMerge w:val="continue"/>
                  <w:noWrap w:val="0"/>
                  <w:vAlign w:val="center"/>
                </w:tcPr>
                <w:p>
                  <w:pPr>
                    <w:pStyle w:val="2"/>
                    <w:spacing w:after="0"/>
                    <w:ind w:left="0" w:leftChars="0" w:firstLine="0" w:firstLineChars="0"/>
                    <w:jc w:val="center"/>
                    <w:rPr>
                      <w:rFonts w:hint="default" w:ascii="Times New Roman" w:hAnsi="Times New Roman" w:eastAsia="宋体" w:cs="Times New Roman"/>
                      <w:bCs/>
                      <w:color w:val="auto"/>
                      <w:sz w:val="24"/>
                      <w:highlight w:val="none"/>
                    </w:rPr>
                  </w:pPr>
                </w:p>
              </w:tc>
            </w:tr>
          </w:tbl>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（2）运营期</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营运期噪声排放执行《工业企业厂界环境噪声排放标准》（GB12348-2008）</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类标准，</w:t>
            </w:r>
            <w:r>
              <w:rPr>
                <w:rFonts w:hint="default" w:ascii="Times New Roman" w:hAnsi="Times New Roman" w:eastAsia="宋体" w:cs="Times New Roman"/>
                <w:color w:val="auto"/>
                <w:kern w:val="0"/>
                <w:sz w:val="24"/>
                <w:highlight w:val="none"/>
              </w:rPr>
              <w:t>标准限值</w:t>
            </w:r>
            <w:r>
              <w:rPr>
                <w:rFonts w:hint="default" w:ascii="Times New Roman" w:hAnsi="Times New Roman" w:eastAsia="宋体" w:cs="Times New Roman"/>
                <w:color w:val="auto"/>
                <w:sz w:val="24"/>
                <w:highlight w:val="none"/>
              </w:rPr>
              <w:t>详见表</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15</w:t>
            </w:r>
            <w:r>
              <w:rPr>
                <w:rFonts w:hint="default" w:ascii="Times New Roman" w:hAnsi="Times New Roman" w:eastAsia="宋体" w:cs="Times New Roman"/>
                <w:color w:val="auto"/>
                <w:sz w:val="24"/>
                <w:highlight w:val="none"/>
              </w:rPr>
              <w:t>。</w:t>
            </w:r>
          </w:p>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表</w:t>
            </w:r>
            <w:r>
              <w:rPr>
                <w:rFonts w:hint="default" w:ascii="Times New Roman" w:hAnsi="Times New Roman" w:eastAsia="宋体" w:cs="Times New Roman"/>
                <w:b/>
                <w:color w:val="auto"/>
                <w:kern w:val="21"/>
                <w:szCs w:val="21"/>
                <w:highlight w:val="none"/>
                <w:lang w:val="en-US" w:eastAsia="zh-CN"/>
              </w:rPr>
              <w:t>3</w:t>
            </w:r>
            <w:r>
              <w:rPr>
                <w:rFonts w:hint="default" w:ascii="Times New Roman" w:hAnsi="Times New Roman" w:eastAsia="宋体" w:cs="Times New Roman"/>
                <w:b/>
                <w:color w:val="auto"/>
                <w:kern w:val="21"/>
                <w:szCs w:val="21"/>
                <w:highlight w:val="none"/>
              </w:rPr>
              <w:t>-</w:t>
            </w:r>
            <w:r>
              <w:rPr>
                <w:rFonts w:hint="eastAsia" w:cs="Times New Roman"/>
                <w:b/>
                <w:color w:val="auto"/>
                <w:kern w:val="21"/>
                <w:szCs w:val="21"/>
                <w:highlight w:val="none"/>
                <w:lang w:val="en-US" w:eastAsia="zh-CN"/>
              </w:rPr>
              <w:t>15</w:t>
            </w:r>
            <w:r>
              <w:rPr>
                <w:rFonts w:hint="default" w:ascii="Times New Roman" w:hAnsi="Times New Roman" w:eastAsia="宋体" w:cs="Times New Roman"/>
                <w:b/>
                <w:color w:val="auto"/>
                <w:kern w:val="21"/>
                <w:szCs w:val="21"/>
                <w:highlight w:val="none"/>
                <w:lang w:val="en-US" w:eastAsia="zh-CN"/>
              </w:rPr>
              <w:t xml:space="preserve">  </w:t>
            </w:r>
            <w:r>
              <w:rPr>
                <w:rFonts w:hint="default" w:ascii="Times New Roman" w:hAnsi="Times New Roman" w:eastAsia="宋体" w:cs="Times New Roman"/>
                <w:b/>
                <w:color w:val="auto"/>
                <w:kern w:val="21"/>
                <w:szCs w:val="21"/>
                <w:highlight w:val="none"/>
              </w:rPr>
              <w:t>工业企业厂界环境噪声排放标准   单位：dB（A）</w:t>
            </w:r>
          </w:p>
          <w:tbl>
            <w:tblPr>
              <w:tblStyle w:val="27"/>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764"/>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38" w:type="dxa"/>
                  <w:vMerge w:val="restart"/>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lang w:val="en-US" w:eastAsia="zh-CN"/>
                    </w:rPr>
                  </w:pPr>
                  <w:r>
                    <w:rPr>
                      <w:rFonts w:hint="default" w:ascii="Times New Roman" w:hAnsi="Times New Roman" w:eastAsia="宋体" w:cs="Times New Roman"/>
                      <w:b/>
                      <w:color w:val="auto"/>
                      <w:kern w:val="21"/>
                      <w:szCs w:val="21"/>
                      <w:highlight w:val="none"/>
                      <w:lang w:val="en-US" w:eastAsia="zh-CN"/>
                    </w:rPr>
                    <w:t>类别</w:t>
                  </w:r>
                </w:p>
              </w:tc>
              <w:tc>
                <w:tcPr>
                  <w:tcW w:w="5176" w:type="dxa"/>
                  <w:gridSpan w:val="2"/>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Merge w:val="continue"/>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p>
              </w:tc>
              <w:tc>
                <w:tcPr>
                  <w:tcW w:w="3764"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昼间</w:t>
                  </w:r>
                </w:p>
              </w:tc>
              <w:tc>
                <w:tcPr>
                  <w:tcW w:w="1412" w:type="dxa"/>
                  <w:vAlign w:val="center"/>
                </w:tcPr>
                <w:p>
                  <w:pPr>
                    <w:tabs>
                      <w:tab w:val="left" w:pos="0"/>
                    </w:tabs>
                    <w:adjustRightInd w:val="0"/>
                    <w:snapToGrid w:val="0"/>
                    <w:jc w:val="center"/>
                    <w:rPr>
                      <w:rFonts w:hint="default" w:ascii="Times New Roman" w:hAnsi="Times New Roman" w:eastAsia="宋体" w:cs="Times New Roman"/>
                      <w:b/>
                      <w:color w:val="auto"/>
                      <w:kern w:val="21"/>
                      <w:szCs w:val="21"/>
                      <w:highlight w:val="none"/>
                    </w:rPr>
                  </w:pPr>
                  <w:r>
                    <w:rPr>
                      <w:rFonts w:hint="default" w:ascii="Times New Roman" w:hAnsi="Times New Roman" w:eastAsia="宋体" w:cs="Times New Roman"/>
                      <w:b/>
                      <w:color w:val="auto"/>
                      <w:kern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8" w:type="dxa"/>
                  <w:vAlign w:val="center"/>
                </w:tcPr>
                <w:p>
                  <w:pPr>
                    <w:tabs>
                      <w:tab w:val="left" w:pos="0"/>
                    </w:tabs>
                    <w:adjustRightInd w:val="0"/>
                    <w:snapToGrid w:val="0"/>
                    <w:jc w:val="center"/>
                    <w:rPr>
                      <w:rFonts w:hint="default" w:ascii="Times New Roman" w:hAnsi="Times New Roman" w:eastAsia="宋体" w:cs="Times New Roman"/>
                      <w:bCs/>
                      <w:color w:val="auto"/>
                      <w:kern w:val="21"/>
                      <w:szCs w:val="21"/>
                      <w:highlight w:val="none"/>
                    </w:rPr>
                  </w:pPr>
                  <w:r>
                    <w:rPr>
                      <w:rFonts w:hint="eastAsia" w:cs="Times New Roman"/>
                      <w:bCs/>
                      <w:color w:val="auto"/>
                      <w:kern w:val="21"/>
                      <w:szCs w:val="21"/>
                      <w:highlight w:val="none"/>
                      <w:lang w:val="en-US" w:eastAsia="zh-CN"/>
                    </w:rPr>
                    <w:t>3</w:t>
                  </w:r>
                  <w:r>
                    <w:rPr>
                      <w:rFonts w:hint="default" w:ascii="Times New Roman" w:hAnsi="Times New Roman" w:eastAsia="宋体" w:cs="Times New Roman"/>
                      <w:bCs/>
                      <w:color w:val="auto"/>
                      <w:kern w:val="21"/>
                      <w:szCs w:val="21"/>
                      <w:highlight w:val="none"/>
                    </w:rPr>
                    <w:t>类</w:t>
                  </w:r>
                </w:p>
              </w:tc>
              <w:tc>
                <w:tcPr>
                  <w:tcW w:w="3764"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6</w:t>
                  </w:r>
                  <w:r>
                    <w:rPr>
                      <w:rFonts w:hint="eastAsia" w:cs="Times New Roman"/>
                      <w:bCs/>
                      <w:color w:val="auto"/>
                      <w:kern w:val="21"/>
                      <w:szCs w:val="21"/>
                      <w:highlight w:val="none"/>
                      <w:lang w:val="en-US" w:eastAsia="zh-CN"/>
                    </w:rPr>
                    <w:t>5</w:t>
                  </w:r>
                </w:p>
              </w:tc>
              <w:tc>
                <w:tcPr>
                  <w:tcW w:w="1412" w:type="dxa"/>
                  <w:vAlign w:val="center"/>
                </w:tcPr>
                <w:p>
                  <w:pPr>
                    <w:tabs>
                      <w:tab w:val="left" w:pos="0"/>
                    </w:tabs>
                    <w:adjustRightInd w:val="0"/>
                    <w:snapToGrid w:val="0"/>
                    <w:jc w:val="center"/>
                    <w:rPr>
                      <w:rFonts w:hint="eastAsia" w:ascii="Times New Roman" w:hAnsi="Times New Roman" w:eastAsia="宋体" w:cs="Times New Roman"/>
                      <w:bCs/>
                      <w:color w:val="auto"/>
                      <w:kern w:val="21"/>
                      <w:szCs w:val="21"/>
                      <w:highlight w:val="none"/>
                      <w:lang w:val="en-US" w:eastAsia="zh-CN"/>
                    </w:rPr>
                  </w:pPr>
                  <w:r>
                    <w:rPr>
                      <w:rFonts w:hint="default" w:ascii="Times New Roman" w:hAnsi="Times New Roman" w:eastAsia="宋体" w:cs="Times New Roman"/>
                      <w:bCs/>
                      <w:color w:val="auto"/>
                      <w:kern w:val="21"/>
                      <w:szCs w:val="21"/>
                      <w:highlight w:val="none"/>
                    </w:rPr>
                    <w:t>5</w:t>
                  </w:r>
                  <w:r>
                    <w:rPr>
                      <w:rFonts w:hint="eastAsia" w:cs="Times New Roman"/>
                      <w:bCs/>
                      <w:color w:val="auto"/>
                      <w:kern w:val="21"/>
                      <w:szCs w:val="21"/>
                      <w:highlight w:val="none"/>
                      <w:lang w:val="en-US" w:eastAsia="zh-CN"/>
                    </w:rPr>
                    <w:t>5</w:t>
                  </w:r>
                </w:p>
              </w:tc>
            </w:tr>
          </w:tbl>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4、固废</w:t>
            </w:r>
          </w:p>
          <w:p>
            <w:pPr>
              <w:pStyle w:val="19"/>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sz w:val="24"/>
                <w:highlight w:val="none"/>
                <w:lang w:val="zh-CN"/>
              </w:rPr>
              <w:t>项目运营</w:t>
            </w:r>
            <w:r>
              <w:rPr>
                <w:rFonts w:hint="default" w:ascii="Times New Roman" w:hAnsi="Times New Roman" w:eastAsia="宋体" w:cs="Times New Roman"/>
                <w:color w:val="auto"/>
                <w:sz w:val="24"/>
                <w:highlight w:val="none"/>
                <w:lang w:val="en-US" w:eastAsia="zh-CN"/>
              </w:rPr>
              <w:t>期</w:t>
            </w:r>
            <w:r>
              <w:rPr>
                <w:rFonts w:hint="default" w:ascii="Times New Roman" w:hAnsi="Times New Roman" w:eastAsia="宋体" w:cs="Times New Roman"/>
                <w:color w:val="auto"/>
                <w:sz w:val="24"/>
                <w:highlight w:val="none"/>
                <w:lang w:val="zh-CN"/>
              </w:rPr>
              <w:t>产生的一般固体废物</w:t>
            </w:r>
            <w:r>
              <w:rPr>
                <w:rFonts w:hint="default" w:ascii="Times New Roman" w:hAnsi="Times New Roman" w:eastAsia="宋体" w:cs="Times New Roman"/>
                <w:color w:val="auto"/>
                <w:sz w:val="24"/>
                <w:highlight w:val="none"/>
                <w:lang w:val="en-US" w:eastAsia="zh-CN"/>
              </w:rPr>
              <w:t>贮存和处置</w:t>
            </w:r>
            <w:r>
              <w:rPr>
                <w:rFonts w:hint="default" w:ascii="Times New Roman" w:hAnsi="Times New Roman" w:eastAsia="宋体" w:cs="Times New Roman"/>
                <w:color w:val="auto"/>
                <w:sz w:val="24"/>
                <w:highlight w:val="none"/>
                <w:lang w:val="zh-CN"/>
              </w:rPr>
              <w:t>执行《一般工业固体废物贮存和填埋污染控制标准》（GB18599-20</w:t>
            </w:r>
            <w:r>
              <w:rPr>
                <w:rFonts w:hint="default" w:ascii="Times New Roman" w:hAnsi="Times New Roman" w:eastAsia="宋体" w:cs="Times New Roman"/>
                <w:color w:val="auto"/>
                <w:sz w:val="24"/>
                <w:highlight w:val="none"/>
                <w:lang w:val="en-US" w:eastAsia="zh-CN"/>
              </w:rPr>
              <w:t>20</w:t>
            </w:r>
            <w:r>
              <w:rPr>
                <w:rFonts w:hint="default" w:ascii="Times New Roman" w:hAnsi="Times New Roman" w:eastAsia="宋体" w:cs="Times New Roman"/>
                <w:color w:val="auto"/>
                <w:sz w:val="24"/>
                <w:highlight w:val="none"/>
                <w:lang w:val="zh-CN"/>
              </w:rPr>
              <w:t>）；危险废物贮存执行</w:t>
            </w:r>
            <w:r>
              <w:rPr>
                <w:rFonts w:hint="eastAsia"/>
                <w:color w:val="auto"/>
                <w:sz w:val="24"/>
                <w:highlight w:val="none"/>
                <w:lang w:eastAsia="zh-CN"/>
              </w:rPr>
              <w:t>《</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color w:val="auto"/>
                <w:sz w:val="24"/>
              </w:rPr>
              <w:t>中的有关规定</w:t>
            </w:r>
            <w:r>
              <w:rPr>
                <w:rFonts w:hint="default" w:ascii="Times New Roman" w:hAnsi="Times New Roman" w:eastAsia="宋体" w:cs="Times New Roman"/>
                <w:color w:val="auto"/>
                <w:sz w:val="24"/>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2" w:type="dxa"/>
            <w:vAlign w:val="center"/>
          </w:tcPr>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总量</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控制</w:t>
            </w:r>
          </w:p>
          <w:p>
            <w:pPr>
              <w:adjustRightInd w:val="0"/>
              <w:snapToGrid w:val="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指标</w:t>
            </w:r>
          </w:p>
        </w:tc>
        <w:tc>
          <w:tcPr>
            <w:tcW w:w="86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zh-CN"/>
              </w:rPr>
            </w:pPr>
            <w:r>
              <w:rPr>
                <w:rFonts w:hint="default" w:ascii="Times New Roman" w:hAnsi="Times New Roman" w:eastAsia="宋体" w:cs="Times New Roman"/>
                <w:b w:val="0"/>
                <w:bCs w:val="0"/>
                <w:color w:val="auto"/>
                <w:sz w:val="24"/>
                <w:szCs w:val="24"/>
                <w:highlight w:val="none"/>
                <w:lang w:val="zh-CN"/>
              </w:rPr>
              <w:t>结合工程分析，本项目总量控制指标建议如下：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废气</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①有组织排放情况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6057.0875</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有组织颗粒物排放量为</w:t>
            </w:r>
            <w:r>
              <w:rPr>
                <w:rFonts w:hint="eastAsia" w:cs="Times New Roman"/>
                <w:bCs/>
                <w:color w:val="auto"/>
                <w:sz w:val="24"/>
                <w:szCs w:val="24"/>
                <w:highlight w:val="none"/>
                <w:lang w:val="en-US" w:eastAsia="zh-CN"/>
              </w:rPr>
              <w:t>0.1562</w:t>
            </w:r>
            <w:r>
              <w:rPr>
                <w:rFonts w:hint="default" w:ascii="Times New Roman" w:hAnsi="Times New Roman" w:eastAsia="宋体" w:cs="Times New Roman"/>
                <w:bCs/>
                <w:color w:val="auto"/>
                <w:sz w:val="24"/>
                <w:szCs w:val="24"/>
                <w:highlight w:val="none"/>
                <w:lang w:val="en-US" w:eastAsia="zh-CN"/>
              </w:rPr>
              <w:t>t/a，有组织</w:t>
            </w:r>
            <w:r>
              <w:rPr>
                <w:rFonts w:hint="default" w:ascii="Times New Roman" w:hAnsi="Times New Roman" w:eastAsia="宋体" w:cs="Times New Roman"/>
                <w:color w:val="auto"/>
                <w:position w:val="2"/>
                <w:sz w:val="24"/>
                <w:szCs w:val="24"/>
                <w:highlight w:val="none"/>
              </w:rPr>
              <w:t>SO</w:t>
            </w:r>
            <w:r>
              <w:rPr>
                <w:rFonts w:hint="default" w:ascii="Times New Roman" w:hAnsi="Times New Roman" w:eastAsia="宋体" w:cs="Times New Roman"/>
                <w:color w:val="auto"/>
                <w:position w:val="2"/>
                <w:sz w:val="24"/>
                <w:szCs w:val="24"/>
                <w:highlight w:val="none"/>
                <w:vertAlign w:val="subscript"/>
              </w:rPr>
              <w:t>2</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5.3115</w:t>
            </w:r>
            <w:r>
              <w:rPr>
                <w:rFonts w:hint="default" w:ascii="Times New Roman" w:hAnsi="Times New Roman" w:eastAsia="宋体" w:cs="Times New Roman"/>
                <w:bCs/>
                <w:color w:val="auto"/>
                <w:sz w:val="24"/>
                <w:szCs w:val="24"/>
                <w:highlight w:val="none"/>
                <w:lang w:val="en-US" w:eastAsia="zh-CN"/>
              </w:rPr>
              <w:t>t/a，有组织</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6.3738</w:t>
            </w:r>
            <w:r>
              <w:rPr>
                <w:rFonts w:hint="default" w:ascii="Times New Roman" w:hAnsi="Times New Roman" w:eastAsia="宋体" w:cs="Times New Roman"/>
                <w:bCs/>
                <w:color w:val="auto"/>
                <w:sz w:val="24"/>
                <w:szCs w:val="24"/>
                <w:highlight w:val="none"/>
                <w:lang w:val="en-US" w:eastAsia="zh-CN"/>
              </w:rPr>
              <w:t>t/a，有组织挥发性有机废气（甲苯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32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16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0000</w:t>
            </w:r>
            <w:r>
              <w:rPr>
                <w:rFonts w:hint="eastAsia" w:cs="Times New Roman"/>
                <w:bCs/>
                <w:color w:val="auto"/>
                <w:sz w:val="24"/>
                <w:szCs w:val="24"/>
                <w:highlight w:val="none"/>
                <w:lang w:val="en-US" w:eastAsia="zh-CN"/>
              </w:rPr>
              <w:t>96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3.9322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3.9322576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②无组织排放情况</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无组织挥发性有机废气（甲苯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w:t>
            </w:r>
            <w:r>
              <w:rPr>
                <w:rFonts w:hint="eastAsia" w:ascii="Times New Roman" w:hAnsi="Times New Roman" w:eastAsia="宋体" w:cs="Times New Roman"/>
                <w:bCs/>
                <w:color w:val="auto"/>
                <w:sz w:val="24"/>
                <w:szCs w:val="24"/>
                <w:highlight w:val="none"/>
                <w:lang w:val="en-US" w:eastAsia="zh-CN"/>
              </w:rPr>
              <w:t>0000</w:t>
            </w:r>
            <w:r>
              <w:rPr>
                <w:rFonts w:hint="eastAsia" w:cs="Times New Roman"/>
                <w:bCs/>
                <w:color w:val="auto"/>
                <w:sz w:val="24"/>
                <w:szCs w:val="24"/>
                <w:highlight w:val="none"/>
                <w:lang w:val="en-US" w:eastAsia="zh-CN"/>
              </w:rPr>
              <w:t>20</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0.00</w:t>
            </w:r>
            <w:r>
              <w:rPr>
                <w:rFonts w:hint="eastAsia" w:ascii="Times New Roman" w:hAnsi="Times New Roman" w:eastAsia="宋体" w:cs="Times New Roman"/>
                <w:bCs/>
                <w:color w:val="auto"/>
                <w:sz w:val="24"/>
                <w:szCs w:val="24"/>
                <w:highlight w:val="none"/>
                <w:lang w:val="en-US" w:eastAsia="zh-CN"/>
              </w:rPr>
              <w:t>00</w:t>
            </w:r>
            <w:r>
              <w:rPr>
                <w:rFonts w:hint="eastAsia" w:cs="Times New Roman"/>
                <w:bCs/>
                <w:color w:val="auto"/>
                <w:sz w:val="24"/>
                <w:szCs w:val="24"/>
                <w:highlight w:val="none"/>
                <w:lang w:val="en-US" w:eastAsia="zh-CN"/>
              </w:rPr>
              <w:t>10</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2.4576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）排放量为</w:t>
            </w:r>
            <w:r>
              <w:rPr>
                <w:rFonts w:hint="eastAsia" w:cs="Times New Roman"/>
                <w:bCs/>
                <w:color w:val="auto"/>
                <w:sz w:val="24"/>
                <w:szCs w:val="24"/>
                <w:highlight w:val="none"/>
                <w:lang w:val="en-US" w:eastAsia="zh-CN"/>
              </w:rPr>
              <w:t>1.474636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color w:val="auto"/>
                <w:kern w:val="0"/>
                <w:sz w:val="24"/>
                <w:szCs w:val="24"/>
                <w:highlight w:val="yellow"/>
                <w:lang w:eastAsia="zh-CN"/>
              </w:rPr>
            </w:pPr>
            <w:r>
              <w:rPr>
                <w:rFonts w:hint="default" w:ascii="Times New Roman" w:hAnsi="Times New Roman" w:eastAsia="宋体" w:cs="Times New Roman"/>
                <w:bCs/>
                <w:color w:val="auto"/>
                <w:sz w:val="24"/>
                <w:szCs w:val="24"/>
                <w:highlight w:val="none"/>
                <w:lang w:val="en-US" w:eastAsia="zh-CN"/>
              </w:rPr>
              <w:t>③全厂排放总量情况（有组织排放+无组织排放废气）</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rPr>
              <w:t>废气量：</w:t>
            </w:r>
            <w:r>
              <w:rPr>
                <w:rFonts w:hint="eastAsia" w:cs="Times New Roman"/>
                <w:b w:val="0"/>
                <w:bCs w:val="0"/>
                <w:color w:val="auto"/>
                <w:kern w:val="0"/>
                <w:sz w:val="24"/>
                <w:szCs w:val="24"/>
                <w:highlight w:val="none"/>
                <w:lang w:val="en-US" w:eastAsia="zh-CN"/>
              </w:rPr>
              <w:t>6057.0875</w:t>
            </w:r>
            <w:r>
              <w:rPr>
                <w:rFonts w:hint="default" w:ascii="Times New Roman" w:hAnsi="Times New Roman" w:eastAsia="宋体" w:cs="Times New Roman"/>
                <w:b w:val="0"/>
                <w:bCs w:val="0"/>
                <w:color w:val="auto"/>
                <w:kern w:val="0"/>
                <w:sz w:val="24"/>
                <w:szCs w:val="24"/>
                <w:highlight w:val="none"/>
                <w:lang w:val="en-US" w:eastAsia="zh-CN"/>
              </w:rPr>
              <w:t>万m</w:t>
            </w:r>
            <w:r>
              <w:rPr>
                <w:rFonts w:hint="default" w:ascii="Times New Roman" w:hAnsi="Times New Roman" w:eastAsia="宋体" w:cs="Times New Roman"/>
                <w:b w:val="0"/>
                <w:bCs w:val="0"/>
                <w:color w:val="auto"/>
                <w:kern w:val="0"/>
                <w:sz w:val="24"/>
                <w:szCs w:val="24"/>
                <w:highlight w:val="none"/>
                <w:vertAlign w:val="superscript"/>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/a</w:t>
            </w: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颗粒物排放总量为</w:t>
            </w:r>
            <w:r>
              <w:rPr>
                <w:rFonts w:hint="eastAsia" w:cs="Times New Roman"/>
                <w:bCs/>
                <w:color w:val="auto"/>
                <w:sz w:val="24"/>
                <w:szCs w:val="24"/>
                <w:highlight w:val="none"/>
                <w:lang w:val="en-US" w:eastAsia="zh-CN"/>
              </w:rPr>
              <w:t>0.1562</w:t>
            </w:r>
            <w:r>
              <w:rPr>
                <w:rFonts w:hint="default"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color w:val="auto"/>
                <w:position w:val="2"/>
                <w:sz w:val="24"/>
                <w:szCs w:val="24"/>
                <w:highlight w:val="none"/>
              </w:rPr>
              <w:t>SO</w:t>
            </w:r>
            <w:r>
              <w:rPr>
                <w:rFonts w:hint="default" w:ascii="Times New Roman" w:hAnsi="Times New Roman" w:eastAsia="宋体" w:cs="Times New Roman"/>
                <w:color w:val="auto"/>
                <w:position w:val="2"/>
                <w:sz w:val="24"/>
                <w:szCs w:val="24"/>
                <w:highlight w:val="none"/>
                <w:vertAlign w:val="subscript"/>
              </w:rPr>
              <w:t>2</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5.3115</w:t>
            </w:r>
            <w:r>
              <w:rPr>
                <w:rFonts w:hint="default"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color w:val="auto"/>
                <w:sz w:val="24"/>
                <w:szCs w:val="24"/>
                <w:highlight w:val="none"/>
              </w:rPr>
              <w:t>NO</w:t>
            </w:r>
            <w:r>
              <w:rPr>
                <w:rFonts w:hint="default"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6.3738</w:t>
            </w:r>
            <w:r>
              <w:rPr>
                <w:rFonts w:hint="default" w:ascii="Times New Roman" w:hAnsi="Times New Roman" w:eastAsia="宋体" w:cs="Times New Roman"/>
                <w:bCs/>
                <w:color w:val="auto"/>
                <w:sz w:val="24"/>
                <w:szCs w:val="24"/>
                <w:highlight w:val="none"/>
                <w:lang w:val="en-US" w:eastAsia="zh-CN"/>
              </w:rPr>
              <w:t>t/a，挥发性有机废气（甲苯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52</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、乙苯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26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、苯乙烯</w:t>
            </w:r>
            <w:r>
              <w:rPr>
                <w:rFonts w:hint="eastAsia"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bCs/>
                <w:color w:val="auto"/>
                <w:sz w:val="24"/>
                <w:szCs w:val="24"/>
                <w:highlight w:val="none"/>
                <w:lang w:val="en-US" w:eastAsia="zh-CN"/>
              </w:rPr>
              <w:t>0.0</w:t>
            </w:r>
            <w:r>
              <w:rPr>
                <w:rFonts w:hint="eastAsia" w:ascii="Times New Roman" w:hAnsi="Times New Roman" w:eastAsia="宋体" w:cs="Times New Roman"/>
                <w:bCs/>
                <w:color w:val="auto"/>
                <w:sz w:val="24"/>
                <w:szCs w:val="24"/>
                <w:highlight w:val="none"/>
                <w:lang w:val="en-US" w:eastAsia="zh-CN"/>
              </w:rPr>
              <w:t>000</w:t>
            </w:r>
            <w:r>
              <w:rPr>
                <w:rFonts w:hint="eastAsia" w:cs="Times New Roman"/>
                <w:bCs/>
                <w:color w:val="auto"/>
                <w:sz w:val="24"/>
                <w:szCs w:val="24"/>
                <w:highlight w:val="none"/>
                <w:lang w:val="en-US" w:eastAsia="zh-CN"/>
              </w:rPr>
              <w:t>156</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、非甲烷总烃</w:t>
            </w:r>
            <w:r>
              <w:rPr>
                <w:rFonts w:hint="eastAsia" w:ascii="Times New Roman" w:hAnsi="Times New Roman" w:eastAsia="宋体" w:cs="Times New Roman"/>
                <w:bCs/>
                <w:color w:val="auto"/>
                <w:sz w:val="24"/>
                <w:szCs w:val="24"/>
                <w:highlight w:val="none"/>
                <w:lang w:val="en-US" w:eastAsia="zh-CN"/>
              </w:rPr>
              <w:t>：</w:t>
            </w:r>
            <w:r>
              <w:rPr>
                <w:rFonts w:hint="eastAsia" w:cs="Times New Roman"/>
                <w:bCs/>
                <w:color w:val="auto"/>
                <w:sz w:val="24"/>
                <w:szCs w:val="24"/>
                <w:highlight w:val="none"/>
                <w:lang w:val="en-US" w:eastAsia="zh-CN"/>
              </w:rPr>
              <w:t>6.3898</w:t>
            </w:r>
            <w:r>
              <w:rPr>
                <w:rFonts w:hint="eastAsia" w:ascii="Times New Roman" w:hAnsi="Times New Roman" w:eastAsia="宋体" w:cs="Times New Roman"/>
                <w:bCs/>
                <w:color w:val="auto"/>
                <w:sz w:val="24"/>
                <w:szCs w:val="24"/>
                <w:highlight w:val="none"/>
                <w:lang w:val="en-US" w:eastAsia="zh-CN"/>
              </w:rPr>
              <w:t>t/a</w:t>
            </w:r>
            <w:r>
              <w:rPr>
                <w:rFonts w:hint="default" w:ascii="Times New Roman" w:hAnsi="Times New Roman" w:eastAsia="宋体" w:cs="Times New Roman"/>
                <w:bCs/>
                <w:color w:val="auto"/>
                <w:sz w:val="24"/>
                <w:szCs w:val="24"/>
                <w:highlight w:val="none"/>
                <w:lang w:val="en-US" w:eastAsia="zh-CN"/>
              </w:rPr>
              <w:t>）排放总量为</w:t>
            </w:r>
            <w:r>
              <w:rPr>
                <w:rFonts w:hint="eastAsia" w:cs="Times New Roman"/>
                <w:bCs/>
                <w:color w:val="auto"/>
                <w:sz w:val="24"/>
                <w:szCs w:val="24"/>
                <w:highlight w:val="none"/>
                <w:lang w:val="en-US" w:eastAsia="zh-CN"/>
              </w:rPr>
              <w:t>5.4068936</w:t>
            </w:r>
            <w:r>
              <w:rPr>
                <w:rFonts w:hint="default" w:ascii="Times New Roman" w:hAnsi="Times New Roman" w:eastAsia="宋体" w:cs="Times New Roman"/>
                <w:bCs/>
                <w:color w:val="auto"/>
                <w:sz w:val="24"/>
                <w:szCs w:val="24"/>
                <w:highlight w:val="none"/>
                <w:lang w:val="en-US" w:eastAsia="zh-CN"/>
              </w:rPr>
              <w:t>t/a</w:t>
            </w:r>
            <w:r>
              <w:rPr>
                <w:rFonts w:hint="eastAsia" w:cs="Times New Roman"/>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废水</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lang w:eastAsia="zh-CN"/>
              </w:rPr>
              <w:t>项目运营期生产车间产生的废水主要为锅炉</w:t>
            </w:r>
            <w:r>
              <w:rPr>
                <w:rFonts w:hint="default" w:ascii="Times New Roman" w:hAnsi="Times New Roman" w:eastAsia="宋体" w:cs="Times New Roman"/>
                <w:color w:val="auto"/>
                <w:sz w:val="24"/>
              </w:rPr>
              <w:t>用水软化处理时产生的</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冷凝水、冷却废水。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食堂废水经隔油池处理后，与其他生活污水一并进入化粪池、</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污水处理站处理达</w:t>
            </w:r>
            <w:r>
              <w:rPr>
                <w:rFonts w:hint="default" w:ascii="Times New Roman" w:hAnsi="Times New Roman" w:eastAsia="宋体" w:cs="Times New Roman"/>
                <w:color w:val="auto"/>
                <w:sz w:val="24"/>
                <w:highlight w:val="none"/>
                <w:lang w:val="en-US" w:eastAsia="zh-CN"/>
              </w:rPr>
              <w:t>《城市污水再生利用 城市杂用水水质》（GB/T18920-2020）</w:t>
            </w:r>
            <w:r>
              <w:rPr>
                <w:rFonts w:hint="default" w:ascii="Times New Roman" w:hAnsi="Times New Roman" w:eastAsia="宋体" w:cs="Times New Roman"/>
                <w:color w:val="auto"/>
                <w:sz w:val="24"/>
                <w:szCs w:val="24"/>
                <w:highlight w:val="none"/>
                <w:lang w:val="en-US" w:eastAsia="zh-CN"/>
              </w:rPr>
              <w:t>中的城市绿化、道路清扫、消防、建筑施工标准后，</w:t>
            </w:r>
            <w:r>
              <w:rPr>
                <w:rFonts w:hint="default" w:ascii="Times New Roman" w:hAnsi="Times New Roman" w:eastAsia="宋体" w:cs="Times New Roman"/>
                <w:b w:val="0"/>
                <w:bCs w:val="0"/>
                <w:color w:val="auto"/>
                <w:sz w:val="24"/>
                <w:szCs w:val="24"/>
                <w:highlight w:val="none"/>
                <w:lang w:val="en-US" w:eastAsia="zh-CN"/>
              </w:rPr>
              <w:t>用于项目区内绿化及道路场地洒水降尘，不外排</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因此，不设总量控制指标</w:t>
            </w:r>
            <w:r>
              <w:rPr>
                <w:rFonts w:hint="default" w:ascii="Times New Roman" w:hAnsi="Times New Roman" w:eastAsia="宋体" w:cs="Times New Roman"/>
                <w:b w:val="0"/>
                <w:bCs w:val="0"/>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固体废物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kern w:val="0"/>
                <w:szCs w:val="21"/>
                <w:highlight w:val="none"/>
                <w:lang w:eastAsia="zh-CN"/>
              </w:rPr>
            </w:pPr>
            <w:r>
              <w:rPr>
                <w:rFonts w:hint="default" w:ascii="Times New Roman" w:hAnsi="Times New Roman" w:eastAsia="宋体" w:cs="Times New Roman"/>
                <w:b w:val="0"/>
                <w:bCs w:val="0"/>
                <w:color w:val="auto"/>
                <w:sz w:val="24"/>
                <w:szCs w:val="24"/>
                <w:highlight w:val="none"/>
                <w:lang w:val="en-US" w:eastAsia="zh-CN"/>
              </w:rPr>
              <w:t>本项目固体废物</w:t>
            </w:r>
            <w:r>
              <w:rPr>
                <w:rFonts w:hint="default" w:ascii="Times New Roman" w:hAnsi="Times New Roman" w:eastAsia="宋体" w:cs="Times New Roman"/>
                <w:b w:val="0"/>
                <w:bCs w:val="0"/>
                <w:color w:val="auto"/>
                <w:sz w:val="24"/>
                <w:szCs w:val="24"/>
                <w:highlight w:val="none"/>
              </w:rPr>
              <w:t>处置率100%</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不</w:t>
            </w:r>
            <w:r>
              <w:rPr>
                <w:rFonts w:hint="default" w:ascii="Times New Roman" w:hAnsi="Times New Roman" w:eastAsia="宋体" w:cs="Times New Roman"/>
                <w:color w:val="auto"/>
                <w:sz w:val="24"/>
                <w:szCs w:val="24"/>
                <w:highlight w:val="none"/>
                <w:lang w:val="en-US" w:eastAsia="zh-CN"/>
              </w:rPr>
              <w:t>设总量控制指标</w:t>
            </w:r>
            <w:r>
              <w:rPr>
                <w:rFonts w:hint="eastAsia"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eastAsia" w:cs="Times New Roman"/>
                <w:color w:val="auto"/>
                <w:kern w:val="0"/>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48" w:lineRule="auto"/>
              <w:jc w:val="both"/>
              <w:textAlignment w:val="auto"/>
              <w:rPr>
                <w:rFonts w:hint="default" w:ascii="Times New Roman" w:hAnsi="Times New Roman" w:eastAsia="宋体" w:cs="Times New Roman"/>
                <w:color w:val="auto"/>
                <w:kern w:val="0"/>
                <w:szCs w:val="21"/>
                <w:highlight w:val="none"/>
                <w:lang w:val="en-US" w:eastAsia="zh-CN"/>
              </w:rPr>
            </w:pPr>
          </w:p>
        </w:tc>
      </w:tr>
    </w:tbl>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r>
        <w:rPr>
          <w:rFonts w:hint="default" w:ascii="Times New Roman" w:hAnsi="Times New Roman" w:eastAsia="宋体" w:cs="Times New Roman"/>
          <w:snapToGrid w:val="0"/>
          <w:color w:val="auto"/>
          <w:sz w:val="36"/>
          <w:szCs w:val="36"/>
          <w:highlight w:val="none"/>
        </w:rPr>
        <w:br w:type="page"/>
      </w:r>
      <w:bookmarkStart w:id="20" w:name="_Toc6112"/>
      <w:bookmarkStart w:id="21" w:name="_Toc32349"/>
      <w:r>
        <w:rPr>
          <w:rFonts w:hint="default" w:ascii="Times New Roman" w:hAnsi="Times New Roman" w:eastAsia="宋体" w:cs="Times New Roman"/>
          <w:b/>
          <w:bCs/>
          <w:snapToGrid w:val="0"/>
          <w:color w:val="auto"/>
          <w:sz w:val="30"/>
          <w:szCs w:val="30"/>
          <w:highlight w:val="none"/>
        </w:rPr>
        <w:t>四、主要环境影响和保护措施</w:t>
      </w:r>
      <w:bookmarkEnd w:id="20"/>
      <w:bookmarkEnd w:id="21"/>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4"/>
        <w:gridCol w:w="86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4" w:type="dxa"/>
            <w:tcMar>
              <w:left w:w="28" w:type="dxa"/>
              <w:right w:w="28" w:type="dxa"/>
            </w:tcMar>
            <w:vAlign w:val="center"/>
          </w:tcPr>
          <w:p>
            <w:pPr>
              <w:pStyle w:val="26"/>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施工</w:t>
            </w:r>
          </w:p>
          <w:p>
            <w:pPr>
              <w:pStyle w:val="26"/>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期环</w:t>
            </w:r>
          </w:p>
          <w:p>
            <w:pPr>
              <w:pStyle w:val="26"/>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境保</w:t>
            </w:r>
          </w:p>
          <w:p>
            <w:pPr>
              <w:pStyle w:val="26"/>
              <w:adjustRightInd w:val="0"/>
              <w:snapToGrid w:val="0"/>
              <w:spacing w:before="0" w:beforeAutospacing="0" w:after="0" w:afterAutospacing="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护措</w:t>
            </w:r>
          </w:p>
          <w:p>
            <w:pPr>
              <w:pStyle w:val="26"/>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color w:val="auto"/>
                <w:kern w:val="2"/>
                <w:sz w:val="24"/>
                <w:szCs w:val="24"/>
                <w:highlight w:val="none"/>
              </w:rPr>
              <w:t>施</w:t>
            </w:r>
          </w:p>
        </w:tc>
        <w:tc>
          <w:tcPr>
            <w:tcW w:w="8627" w:type="dxa"/>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iCs/>
                <w:color w:val="auto"/>
                <w:sz w:val="24"/>
                <w:lang w:val="en-US" w:eastAsia="zh-CN"/>
              </w:rPr>
              <w:t>本</w:t>
            </w:r>
            <w:r>
              <w:rPr>
                <w:rFonts w:hint="eastAsia" w:cs="Times New Roman"/>
                <w:iCs/>
                <w:color w:val="auto"/>
                <w:sz w:val="24"/>
                <w:lang w:val="en-US" w:eastAsia="zh-CN"/>
              </w:rPr>
              <w:t>项目现场为空地及一间空厂房、一栋办公楼</w:t>
            </w:r>
            <w:r>
              <w:rPr>
                <w:rFonts w:hint="eastAsia" w:ascii="Times New Roman" w:hAnsi="Times New Roman" w:cs="Times New Roman"/>
                <w:iCs/>
                <w:color w:val="auto"/>
                <w:sz w:val="24"/>
                <w:lang w:eastAsia="zh-CN"/>
              </w:rPr>
              <w:t>，</w:t>
            </w:r>
            <w:r>
              <w:rPr>
                <w:rFonts w:hint="default" w:ascii="Times New Roman" w:hAnsi="Times New Roman" w:eastAsia="宋体" w:cs="Times New Roman"/>
                <w:iCs/>
                <w:color w:val="auto"/>
                <w:sz w:val="24"/>
                <w:lang w:val="en-US" w:eastAsia="zh-CN"/>
              </w:rPr>
              <w:t>本次施工期主要进行</w:t>
            </w:r>
            <w:r>
              <w:rPr>
                <w:rFonts w:hint="eastAsia" w:cs="Times New Roman"/>
                <w:iCs/>
                <w:color w:val="auto"/>
                <w:sz w:val="24"/>
                <w:lang w:val="en-US" w:eastAsia="zh-CN"/>
              </w:rPr>
              <w:t>生产厂房、办公楼及相关配套设施的建设，</w:t>
            </w:r>
            <w:r>
              <w:rPr>
                <w:rFonts w:hint="default" w:ascii="Times New Roman" w:hAnsi="Times New Roman" w:eastAsia="宋体" w:cs="Times New Roman"/>
                <w:iCs/>
                <w:color w:val="auto"/>
                <w:sz w:val="24"/>
                <w:lang w:val="en-US" w:eastAsia="zh-CN"/>
              </w:rPr>
              <w:t>进行设备安装、分区隔断及装修等，</w:t>
            </w:r>
            <w:r>
              <w:rPr>
                <w:rFonts w:hint="default" w:ascii="Times New Roman" w:hAnsi="Times New Roman" w:eastAsia="宋体" w:cs="Times New Roman"/>
                <w:b w:val="0"/>
                <w:bCs w:val="0"/>
                <w:color w:val="auto"/>
                <w:sz w:val="24"/>
                <w:szCs w:val="24"/>
                <w:highlight w:val="none"/>
                <w:lang w:val="en-US" w:eastAsia="zh-CN"/>
              </w:rPr>
              <w:t>项目施工过程污染物主要为废气、废水、噪声、固废等。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1、施工期废气影响分析</w:t>
            </w:r>
          </w:p>
          <w:p>
            <w:pPr>
              <w:pStyle w:val="3"/>
              <w:keepNext w:val="0"/>
              <w:keepLines w:val="0"/>
              <w:pageBreakBefore w:val="0"/>
              <w:kinsoku/>
              <w:wordWrap/>
              <w:overflowPunct/>
              <w:topLinePunct w:val="0"/>
              <w:autoSpaceDE/>
              <w:autoSpaceDN/>
              <w:bidi w:val="0"/>
              <w:spacing w:after="0" w:afterLines="0" w:line="360" w:lineRule="auto"/>
              <w:ind w:firstLine="480" w:firstLineChars="200"/>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施工期废气主要为施工粉尘、焊接烟尘、施工机械及车辆燃油废气等。</w:t>
            </w:r>
          </w:p>
          <w:p>
            <w:pPr>
              <w:keepNext w:val="0"/>
              <w:keepLines w:val="0"/>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val="0"/>
                <w:color w:val="auto"/>
                <w:kern w:val="2"/>
                <w:sz w:val="24"/>
                <w:szCs w:val="24"/>
                <w:highlight w:val="none"/>
                <w:lang w:val="zh-CN" w:eastAsia="zh-CN" w:bidi="ar-SA"/>
              </w:rPr>
            </w:pPr>
            <w:r>
              <w:rPr>
                <w:rFonts w:hint="default" w:ascii="Times New Roman" w:hAnsi="Times New Roman" w:eastAsia="宋体" w:cs="Times New Roman"/>
                <w:b/>
                <w:bCs w:val="0"/>
                <w:color w:val="auto"/>
                <w:kern w:val="2"/>
                <w:sz w:val="24"/>
                <w:szCs w:val="24"/>
                <w:highlight w:val="none"/>
                <w:lang w:val="zh-CN" w:eastAsia="zh-CN" w:bidi="ar-SA"/>
              </w:rPr>
              <w:t>（1）施工粉尘影响</w:t>
            </w:r>
          </w:p>
          <w:p>
            <w:pPr>
              <w:adjustRightInd w:val="0"/>
              <w:snapToGrid w:val="0"/>
              <w:spacing w:afterLines="0" w:line="360" w:lineRule="auto"/>
              <w:ind w:firstLine="480" w:firstLineChars="200"/>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项目施工扬尘主要来自施工建筑材料装卸、运输，施工垃圾堆放，施工车辆的扬尘等。</w:t>
            </w:r>
            <w:r>
              <w:rPr>
                <w:rFonts w:hint="default" w:ascii="Times New Roman" w:hAnsi="Times New Roman" w:eastAsia="宋体" w:cs="Times New Roman"/>
                <w:color w:val="auto"/>
                <w:kern w:val="0"/>
                <w:sz w:val="24"/>
                <w:szCs w:val="24"/>
                <w:highlight w:val="none"/>
                <w:lang w:bidi="ar"/>
              </w:rPr>
              <w:t>为降低施工粉尘对周边大气环境的影响，应采取如下防治措施：</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施工场地定期洒水，以有效防止扬尘，在风速大于四级风速气象条件下加大洒水量及洒水频次；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施工建筑材料定点堆放，在大风天气对散料堆场采用水喷淋防尘，用</w:t>
            </w:r>
            <w:r>
              <w:rPr>
                <w:rFonts w:hint="eastAsia" w:cs="Times New Roman"/>
                <w:color w:val="auto"/>
                <w:sz w:val="24"/>
                <w:szCs w:val="24"/>
                <w:highlight w:val="none"/>
                <w:lang w:eastAsia="zh-CN"/>
              </w:rPr>
              <w:t>篷布</w:t>
            </w:r>
            <w:r>
              <w:rPr>
                <w:rFonts w:hint="default" w:ascii="Times New Roman" w:hAnsi="Times New Roman" w:eastAsia="宋体" w:cs="Times New Roman"/>
                <w:color w:val="auto"/>
                <w:sz w:val="24"/>
                <w:szCs w:val="24"/>
                <w:highlight w:val="none"/>
              </w:rPr>
              <w:t>遮盖建筑材料，尽量按量购进建筑材料，避免在场内长时间堆放；</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施工场地清理阶段做到先洒水，后清扫，施工后期建筑垃圾及时清理；</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eastAsia="ja-JP"/>
              </w:rPr>
              <w:t>加强施工现场运输车辆管理，运输车辆必须车身整洁，装载车厢完好、严密，装载货物堆码整齐，严禁在装运过程中沿途抛、洒、滴、漏</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ja-JP"/>
              </w:rPr>
              <w:t>不得污染道路</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rPr>
              <w:t>优化施工期间运输车辆的出入场路径</w:t>
            </w:r>
            <w:r>
              <w:rPr>
                <w:rFonts w:hint="default" w:ascii="Times New Roman" w:hAnsi="Times New Roman" w:eastAsia="宋体" w:cs="Times New Roman"/>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⑥</w:t>
            </w:r>
            <w:r>
              <w:rPr>
                <w:rFonts w:hint="default" w:ascii="Times New Roman" w:hAnsi="Times New Roman" w:eastAsia="宋体" w:cs="Times New Roman"/>
                <w:color w:val="auto"/>
                <w:sz w:val="24"/>
                <w:szCs w:val="24"/>
                <w:highlight w:val="none"/>
              </w:rPr>
              <w:t>运输车辆及机械</w:t>
            </w:r>
            <w:r>
              <w:rPr>
                <w:rFonts w:hint="default" w:ascii="Times New Roman" w:hAnsi="Times New Roman" w:eastAsia="宋体" w:cs="Times New Roman"/>
                <w:bCs/>
                <w:color w:val="auto"/>
                <w:sz w:val="24"/>
                <w:highlight w:val="none"/>
              </w:rPr>
              <w:t>驶出施工场地前应尽可能清除表面粘附的泥土等</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auto"/>
                <w:sz w:val="28"/>
                <w:highlight w:val="none"/>
              </w:rPr>
            </w:pPr>
            <w:r>
              <w:rPr>
                <w:rFonts w:hint="default" w:ascii="Times New Roman" w:hAnsi="Times New Roman" w:eastAsia="宋体" w:cs="Times New Roman"/>
                <w:color w:val="auto"/>
                <w:sz w:val="24"/>
                <w:szCs w:val="24"/>
                <w:highlight w:val="none"/>
                <w:lang w:val="en-US" w:eastAsia="zh-CN"/>
              </w:rPr>
              <w:t>⑦</w:t>
            </w:r>
            <w:r>
              <w:rPr>
                <w:rFonts w:hint="default" w:ascii="Times New Roman" w:hAnsi="Times New Roman" w:eastAsia="宋体" w:cs="Times New Roman"/>
                <w:color w:val="auto"/>
                <w:sz w:val="24"/>
                <w:szCs w:val="24"/>
                <w:highlight w:val="none"/>
              </w:rPr>
              <w:t>在施工中合理组织施工，缩短施工时间，尽量减少施工污染。</w:t>
            </w:r>
          </w:p>
          <w:p>
            <w:pPr>
              <w:adjustRightInd w:val="0"/>
              <w:spacing w:afterLines="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施工期产生的粉尘污染是短期的，随着施工活动的结束，施工扬尘对环境空气的影响也就随之结束，因此施工期粉尘对评价区域的空气环境质量影响较小。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）焊接烟尘影响</w:t>
            </w:r>
          </w:p>
          <w:p>
            <w:pPr>
              <w:spacing w:afterLines="0" w:line="360" w:lineRule="auto"/>
              <w:ind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default" w:ascii="Times New Roman" w:hAnsi="Times New Roman" w:eastAsia="宋体" w:cs="Times New Roman"/>
                <w:color w:val="auto"/>
                <w:sz w:val="24"/>
                <w:szCs w:val="24"/>
                <w:highlight w:val="none"/>
                <w:lang w:val="zh-CN" w:eastAsia="zh-CN"/>
              </w:rPr>
              <w:t>后对周围环境影响很小。</w:t>
            </w:r>
          </w:p>
          <w:p>
            <w:pPr>
              <w:spacing w:afterLines="0" w:line="360" w:lineRule="auto"/>
              <w:ind w:firstLine="482" w:firstLineChars="200"/>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highlight w:val="none"/>
              </w:rPr>
              <w:t>施工机械及车辆燃油废气</w:t>
            </w:r>
            <w:r>
              <w:rPr>
                <w:rFonts w:hint="default" w:ascii="Times New Roman" w:hAnsi="Times New Roman" w:eastAsia="宋体" w:cs="Times New Roman"/>
                <w:b/>
                <w:bCs/>
                <w:color w:val="auto"/>
                <w:sz w:val="24"/>
                <w:szCs w:val="24"/>
                <w:highlight w:val="none"/>
                <w:lang w:val="zh-CN"/>
              </w:rPr>
              <w:t>影响</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项目施工车辆运输过程及施工机械使用过程中产生的尾气将对沿路居民生活及环境空气产生一定的影响。因此，建设单位应在施工期间加强对车辆及施工机械的维修，尽量减少尾气的排放。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pPr>
              <w:pStyle w:val="2"/>
              <w:spacing w:after="0" w:line="360" w:lineRule="auto"/>
              <w:ind w:left="0" w:leftChars="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2、施工期废水影响分析</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施工期产生的废水主要是施工废水</w:t>
            </w:r>
            <w:r>
              <w:rPr>
                <w:rFonts w:hint="default" w:ascii="Times New Roman" w:hAnsi="Times New Roman" w:eastAsia="宋体" w:cs="Times New Roman"/>
                <w:color w:val="auto"/>
                <w:sz w:val="24"/>
                <w:szCs w:val="24"/>
                <w:highlight w:val="none"/>
                <w:lang w:val="en-US" w:eastAsia="zh-CN"/>
              </w:rPr>
              <w:t>及施工人员</w:t>
            </w:r>
            <w:r>
              <w:rPr>
                <w:rFonts w:hint="default" w:ascii="Times New Roman" w:hAnsi="Times New Roman" w:eastAsia="宋体" w:cs="Times New Roman"/>
                <w:color w:val="auto"/>
                <w:sz w:val="24"/>
                <w:szCs w:val="24"/>
                <w:highlight w:val="none"/>
                <w:lang w:val="zh-CN" w:eastAsia="zh-CN"/>
              </w:rPr>
              <w:t>生活污水。</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①施工废水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项目施工过程中主要产生施工设备维修、清洗产生的废水，施工期废水量约为</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/d，主要污染物为SS，浓度约1000mg/L。</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施工人员生活污水</w:t>
            </w:r>
          </w:p>
          <w:p>
            <w:pPr>
              <w:spacing w:line="360" w:lineRule="auto"/>
              <w:ind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项目施工期不设施工营地，施工人员均不在项目区食宿，仅产生少量洗手清洁废水。项目施工总周期为</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zh-CN" w:eastAsia="zh-CN"/>
              </w:rPr>
              <w:t>个月，施工高峰期人员</w:t>
            </w:r>
            <w:r>
              <w:rPr>
                <w:rFonts w:hint="default" w:ascii="Times New Roman" w:hAnsi="Times New Roman" w:eastAsia="宋体" w:cs="Times New Roman"/>
                <w:color w:val="auto"/>
                <w:sz w:val="24"/>
                <w:szCs w:val="24"/>
                <w:highlight w:val="none"/>
                <w:lang w:val="en-US" w:eastAsia="zh-CN"/>
              </w:rPr>
              <w:t>约</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zh-CN" w:eastAsia="zh-CN"/>
              </w:rPr>
              <w:t>人计，施工人员洗手清洁用水按</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0L/人·d计，</w:t>
            </w:r>
            <w:r>
              <w:rPr>
                <w:rFonts w:hint="default" w:ascii="Times New Roman" w:hAnsi="Times New Roman" w:eastAsia="宋体" w:cs="Times New Roman"/>
                <w:color w:val="auto"/>
                <w:sz w:val="24"/>
                <w:szCs w:val="24"/>
                <w:highlight w:val="none"/>
                <w:lang w:val="en-US" w:eastAsia="zh-CN"/>
              </w:rPr>
              <w:t>施工人员</w:t>
            </w:r>
            <w:r>
              <w:rPr>
                <w:rFonts w:hint="default" w:ascii="Times New Roman" w:hAnsi="Times New Roman" w:eastAsia="宋体" w:cs="Times New Roman"/>
                <w:color w:val="auto"/>
                <w:sz w:val="24"/>
                <w:szCs w:val="24"/>
                <w:highlight w:val="none"/>
                <w:lang w:val="zh-CN" w:eastAsia="zh-CN"/>
              </w:rPr>
              <w:t>用水量为</w:t>
            </w:r>
            <w:r>
              <w:rPr>
                <w:rFonts w:hint="eastAsia" w:cs="Times New Roman"/>
                <w:color w:val="auto"/>
                <w:sz w:val="24"/>
                <w:szCs w:val="24"/>
                <w:highlight w:val="none"/>
                <w:lang w:val="en-US" w:eastAsia="zh-CN"/>
              </w:rPr>
              <w:t>109.5</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/d，排水系数按80%计算，则施工人员洗手清洁废水产生量为</w:t>
            </w:r>
            <w:r>
              <w:rPr>
                <w:rFonts w:hint="eastAsia" w:cs="Times New Roman"/>
                <w:color w:val="auto"/>
                <w:sz w:val="24"/>
                <w:szCs w:val="24"/>
                <w:highlight w:val="none"/>
                <w:lang w:val="en-US" w:eastAsia="zh-CN"/>
              </w:rPr>
              <w:t>87.6</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en-US" w:eastAsia="zh-CN"/>
              </w:rPr>
              <w:t>/施工期</w:t>
            </w:r>
            <w:r>
              <w:rPr>
                <w:rFonts w:hint="default" w:ascii="Times New Roman" w:hAnsi="Times New Roman" w:eastAsia="宋体" w:cs="Times New Roman"/>
                <w:color w:val="auto"/>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平均0.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lang w:val="zh-CN" w:eastAsia="zh-CN"/>
              </w:rPr>
              <w:t>m</w:t>
            </w:r>
            <w:r>
              <w:rPr>
                <w:rFonts w:hint="default" w:ascii="Times New Roman" w:hAnsi="Times New Roman" w:eastAsia="宋体" w:cs="Times New Roman"/>
                <w:color w:val="auto"/>
                <w:sz w:val="24"/>
                <w:szCs w:val="24"/>
                <w:highlight w:val="none"/>
                <w:vertAlign w:val="superscript"/>
                <w:lang w:val="zh-CN" w:eastAsia="zh-CN"/>
              </w:rPr>
              <w:t>3</w:t>
            </w:r>
            <w:r>
              <w:rPr>
                <w:rFonts w:hint="default" w:ascii="Times New Roman" w:hAnsi="Times New Roman" w:eastAsia="宋体" w:cs="Times New Roman"/>
                <w:color w:val="auto"/>
                <w:sz w:val="24"/>
                <w:szCs w:val="24"/>
                <w:highlight w:val="none"/>
                <w:lang w:val="zh-CN" w:eastAsia="zh-CN"/>
              </w:rPr>
              <w:t>/d。</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sz w:val="24"/>
                <w:szCs w:val="24"/>
                <w:highlight w:val="none"/>
                <w:lang w:val="zh-CN" w:eastAsia="zh-CN"/>
              </w:rPr>
            </w:pPr>
            <w:r>
              <w:rPr>
                <w:rFonts w:hint="eastAsia" w:cs="Times New Roman"/>
                <w:color w:val="auto"/>
                <w:sz w:val="24"/>
                <w:szCs w:val="24"/>
                <w:highlight w:val="none"/>
                <w:lang w:val="zh-CN" w:eastAsia="zh-CN"/>
              </w:rPr>
              <w:t>施工人员生活污水依托项目区附近公共卫生间现有的设施处理。</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eastAsia="zh-CN"/>
              </w:rPr>
              <w:t>施工过程中施工废水、施工人员</w:t>
            </w:r>
            <w:r>
              <w:rPr>
                <w:rFonts w:hint="eastAsia" w:cs="Times New Roman"/>
                <w:color w:val="auto"/>
                <w:sz w:val="24"/>
                <w:szCs w:val="24"/>
                <w:highlight w:val="none"/>
                <w:lang w:val="zh-CN" w:eastAsia="zh-CN"/>
              </w:rPr>
              <w:t>洗手清洁废水</w:t>
            </w:r>
            <w:r>
              <w:rPr>
                <w:rFonts w:hint="default" w:ascii="Times New Roman" w:hAnsi="Times New Roman" w:eastAsia="宋体" w:cs="Times New Roman"/>
                <w:color w:val="auto"/>
                <w:sz w:val="24"/>
                <w:szCs w:val="24"/>
                <w:highlight w:val="none"/>
                <w:lang w:val="en-US" w:eastAsia="zh-CN"/>
              </w:rPr>
              <w:t>设置1个容积约为1m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的临时沉淀池收集处理后全部用于施工场地洒水降尘，不外排。</w:t>
            </w:r>
            <w:r>
              <w:rPr>
                <w:rFonts w:hint="default" w:ascii="Times New Roman" w:hAnsi="Times New Roman" w:eastAsia="宋体" w:cs="Times New Roman"/>
                <w:color w:val="auto"/>
                <w:sz w:val="24"/>
                <w:szCs w:val="24"/>
                <w:highlight w:val="none"/>
                <w:lang w:val="zh-CN" w:eastAsia="zh-CN"/>
              </w:rPr>
              <w:t>对周围地表水影响较小。</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3、噪声</w:t>
            </w:r>
          </w:p>
          <w:p>
            <w:pPr>
              <w:widowControl/>
              <w:adjustRightInd w:val="0"/>
              <w:snapToGrid w:val="0"/>
              <w:spacing w:line="360" w:lineRule="auto"/>
              <w:ind w:firstLine="480" w:firstLineChars="200"/>
              <w:rPr>
                <w:color w:val="auto"/>
                <w:sz w:val="24"/>
              </w:rPr>
            </w:pPr>
            <w:r>
              <w:rPr>
                <w:color w:val="auto"/>
                <w:sz w:val="24"/>
              </w:rPr>
              <w:t>项目施工期噪声主要来源于各类施工机械</w:t>
            </w:r>
            <w:r>
              <w:rPr>
                <w:rFonts w:hint="eastAsia"/>
                <w:color w:val="auto"/>
                <w:sz w:val="24"/>
                <w:lang w:eastAsia="zh-CN"/>
              </w:rPr>
              <w:t>噪声</w:t>
            </w:r>
            <w:r>
              <w:rPr>
                <w:color w:val="auto"/>
                <w:sz w:val="24"/>
              </w:rPr>
              <w:t>和运输车辆</w:t>
            </w:r>
            <w:r>
              <w:rPr>
                <w:rFonts w:hint="eastAsia"/>
                <w:color w:val="auto"/>
                <w:sz w:val="24"/>
                <w:lang w:eastAsia="zh-CN"/>
              </w:rPr>
              <w:t>噪声</w:t>
            </w:r>
            <w:r>
              <w:rPr>
                <w:color w:val="auto"/>
                <w:sz w:val="24"/>
              </w:rPr>
              <w:t>，施工噪声具有阶段性、临时性和不固定性，不同的施工设备产生的噪声不同。在多台机械设备同时作业时，各台设备产生的噪声会产生叠加</w:t>
            </w:r>
            <w:r>
              <w:rPr>
                <w:rFonts w:hint="eastAsia"/>
                <w:color w:val="auto"/>
                <w:sz w:val="24"/>
                <w:lang w:eastAsia="zh-CN"/>
              </w:rPr>
              <w:t>。</w:t>
            </w:r>
          </w:p>
          <w:p>
            <w:pPr>
              <w:adjustRightInd w:val="0"/>
              <w:snapToGrid w:val="0"/>
              <w:spacing w:line="360" w:lineRule="auto"/>
              <w:ind w:firstLine="480" w:firstLineChars="200"/>
              <w:rPr>
                <w:color w:val="auto"/>
                <w:sz w:val="24"/>
              </w:rPr>
            </w:pPr>
            <w:r>
              <w:rPr>
                <w:color w:val="auto"/>
                <w:sz w:val="24"/>
              </w:rPr>
              <w:t>为减缓施工噪声的影响，本环评提出如下措施：</w:t>
            </w:r>
          </w:p>
          <w:p>
            <w:pPr>
              <w:adjustRightInd w:val="0"/>
              <w:snapToGrid w:val="0"/>
              <w:spacing w:line="360" w:lineRule="auto"/>
              <w:ind w:firstLine="480" w:firstLineChars="200"/>
              <w:rPr>
                <w:color w:val="auto"/>
                <w:sz w:val="24"/>
              </w:rPr>
            </w:pPr>
            <w:r>
              <w:rPr>
                <w:color w:val="auto"/>
                <w:sz w:val="24"/>
              </w:rPr>
              <w:t>①</w:t>
            </w:r>
            <w:r>
              <w:rPr>
                <w:color w:val="auto"/>
                <w:kern w:val="0"/>
                <w:sz w:val="24"/>
              </w:rPr>
              <w:t>从声源上控制：</w:t>
            </w:r>
            <w:r>
              <w:rPr>
                <w:color w:val="auto"/>
                <w:sz w:val="24"/>
              </w:rPr>
              <w:t>选用噪声相对较低的施工机械设备；</w:t>
            </w:r>
          </w:p>
          <w:p>
            <w:pPr>
              <w:adjustRightInd w:val="0"/>
              <w:snapToGrid w:val="0"/>
              <w:spacing w:line="360" w:lineRule="auto"/>
              <w:ind w:firstLine="480" w:firstLineChars="200"/>
              <w:textAlignment w:val="baseline"/>
              <w:rPr>
                <w:color w:val="auto"/>
                <w:kern w:val="0"/>
                <w:sz w:val="24"/>
              </w:rPr>
            </w:pPr>
            <w:r>
              <w:rPr>
                <w:color w:val="auto"/>
                <w:kern w:val="0"/>
                <w:sz w:val="24"/>
              </w:rPr>
              <w:t>②严禁夜间施工，若必须进行夜间作业，需按要求提前向主管部门申请，并在将施工信息告知周边住户及单位。</w:t>
            </w:r>
          </w:p>
          <w:p>
            <w:pPr>
              <w:adjustRightInd w:val="0"/>
              <w:snapToGrid w:val="0"/>
              <w:spacing w:line="360" w:lineRule="auto"/>
              <w:ind w:firstLine="480" w:firstLineChars="200"/>
              <w:textAlignment w:val="baseline"/>
              <w:rPr>
                <w:color w:val="auto"/>
                <w:kern w:val="0"/>
                <w:sz w:val="24"/>
              </w:rPr>
            </w:pPr>
            <w:r>
              <w:rPr>
                <w:color w:val="auto"/>
                <w:kern w:val="0"/>
                <w:sz w:val="24"/>
              </w:rPr>
              <w:t>③施工场地内可固定设备应尽量设置在设备专用房或操作间内，避免露天作业。</w:t>
            </w:r>
          </w:p>
          <w:p>
            <w:pPr>
              <w:adjustRightInd w:val="0"/>
              <w:snapToGrid w:val="0"/>
              <w:spacing w:line="360" w:lineRule="auto"/>
              <w:ind w:firstLine="480" w:firstLineChars="200"/>
              <w:textAlignment w:val="baseline"/>
              <w:rPr>
                <w:color w:val="auto"/>
                <w:kern w:val="0"/>
                <w:sz w:val="24"/>
              </w:rPr>
            </w:pPr>
            <w:r>
              <w:rPr>
                <w:color w:val="auto"/>
                <w:kern w:val="0"/>
                <w:sz w:val="24"/>
              </w:rPr>
              <w:t>④在施工机械的设备与基础或连接部位之间采用弹簧减震、橡胶减震、管道减震、阻尼减震技术，可减少动量，降低噪声；</w:t>
            </w:r>
          </w:p>
          <w:p>
            <w:pPr>
              <w:adjustRightInd w:val="0"/>
              <w:snapToGrid w:val="0"/>
              <w:spacing w:line="360" w:lineRule="auto"/>
              <w:ind w:firstLine="480" w:firstLineChars="200"/>
              <w:textAlignment w:val="baseline"/>
              <w:rPr>
                <w:color w:val="auto"/>
                <w:kern w:val="0"/>
                <w:sz w:val="24"/>
              </w:rPr>
            </w:pPr>
            <w:r>
              <w:rPr>
                <w:color w:val="auto"/>
                <w:kern w:val="0"/>
                <w:sz w:val="24"/>
              </w:rPr>
              <w:t>⑤施工场地的施工车辆出入地点应尽量远离敏感点，车辆出入现场时应低速、禁鸣。</w:t>
            </w:r>
          </w:p>
          <w:p>
            <w:pPr>
              <w:adjustRightInd w:val="0"/>
              <w:snapToGrid w:val="0"/>
              <w:spacing w:line="360" w:lineRule="auto"/>
              <w:ind w:firstLine="480" w:firstLineChars="200"/>
              <w:textAlignment w:val="baseline"/>
              <w:rPr>
                <w:color w:val="auto"/>
                <w:kern w:val="0"/>
                <w:sz w:val="24"/>
              </w:rPr>
            </w:pPr>
            <w:r>
              <w:rPr>
                <w:color w:val="auto"/>
                <w:kern w:val="0"/>
                <w:sz w:val="24"/>
              </w:rPr>
              <w:t>⑥建设管理部门应加强对施工场地的噪声管理，施工企业也应对施工噪声进行自律，合理安排工期，减短施工的施工时间；加强对施工人员的管理，做到文明施工，避免人为噪声的产生文明施工，避免因施工噪声产生纠纷。</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val="0"/>
                <w:bCs w:val="0"/>
                <w:color w:val="auto"/>
                <w:sz w:val="24"/>
                <w:szCs w:val="24"/>
                <w:highlight w:val="none"/>
                <w:lang w:eastAsia="zh-CN"/>
              </w:rPr>
            </w:pPr>
            <w:r>
              <w:rPr>
                <w:rFonts w:hint="eastAsia" w:ascii="宋体" w:hAnsi="宋体" w:cs="宋体"/>
                <w:color w:val="auto"/>
                <w:sz w:val="24"/>
              </w:rPr>
              <w:t>通过以上措施的实施，可以最大限度的减小施工期机械噪声对环境的影响。项目</w:t>
            </w:r>
            <w:r>
              <w:rPr>
                <w:color w:val="auto"/>
                <w:sz w:val="24"/>
              </w:rPr>
              <w:t>施工期较短，施工期噪声的影响</w:t>
            </w:r>
            <w:r>
              <w:rPr>
                <w:rFonts w:hint="eastAsia"/>
                <w:color w:val="auto"/>
                <w:sz w:val="24"/>
              </w:rPr>
              <w:t>符合</w:t>
            </w:r>
            <w:r>
              <w:rPr>
                <w:color w:val="auto"/>
                <w:sz w:val="24"/>
                <w:lang w:bidi="ar"/>
              </w:rPr>
              <w:t>《建筑施工场界环境噪声排放标准》（GB 12523－2011）</w:t>
            </w:r>
            <w:r>
              <w:rPr>
                <w:rFonts w:hint="eastAsia"/>
                <w:color w:val="auto"/>
                <w:sz w:val="24"/>
                <w:lang w:bidi="ar"/>
              </w:rPr>
              <w:t>要求</w:t>
            </w:r>
            <w:r>
              <w:rPr>
                <w:rFonts w:hint="eastAsia"/>
                <w:color w:val="auto"/>
                <w:sz w:val="24"/>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4、固体废弃物</w:t>
            </w:r>
          </w:p>
          <w:p>
            <w:pPr>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项目施工期固体废弃物主要为建筑垃圾和生活垃圾</w:t>
            </w:r>
            <w:r>
              <w:rPr>
                <w:rFonts w:hint="eastAsia" w:cs="Times New Roman"/>
                <w:color w:val="auto"/>
                <w:sz w:val="24"/>
                <w:szCs w:val="24"/>
                <w:highlight w:val="none"/>
                <w:lang w:eastAsia="zh-CN"/>
              </w:rPr>
              <w:t>，</w:t>
            </w:r>
            <w:r>
              <w:rPr>
                <w:rFonts w:hint="eastAsia"/>
                <w:color w:val="auto"/>
                <w:sz w:val="24"/>
              </w:rPr>
              <w:t>项目地基开挖的土石方用于项目区回填及绿化用土，无外运土石方</w:t>
            </w:r>
            <w:r>
              <w:rPr>
                <w:rFonts w:hint="default" w:ascii="Times New Roman" w:hAnsi="Times New Roman" w:eastAsia="宋体" w:cs="Times New Roman"/>
                <w:color w:val="auto"/>
                <w:sz w:val="24"/>
                <w:szCs w:val="24"/>
                <w:highlight w:val="none"/>
              </w:rPr>
              <w:t>。</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eastAsia="zh-CN"/>
              </w:rPr>
              <w:t>）建筑垃圾</w:t>
            </w:r>
          </w:p>
          <w:p>
            <w:pPr>
              <w:spacing w:line="360"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项目产生的建筑垃圾进行分类集中堆存，能回收利用的部分，请回收商进行收购，重复利用；不能回收利用的运至政府部门指定的建筑垃圾堆放场处置，禁止与生活垃圾混合处置，禁止随意丢弃。</w:t>
            </w:r>
          </w:p>
          <w:p>
            <w:pPr>
              <w:spacing w:line="360" w:lineRule="auto"/>
              <w:ind w:firstLine="48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）施工人员生活垃圾</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rPr>
              <w:t>施工期施工人员</w:t>
            </w:r>
            <w:r>
              <w:rPr>
                <w:rFonts w:hint="default" w:ascii="Times New Roman" w:hAnsi="Times New Roman" w:eastAsia="宋体"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不在项目区食宿，生活垃圾产生量较小。</w:t>
            </w:r>
            <w:r>
              <w:rPr>
                <w:rFonts w:hint="default" w:ascii="Times New Roman" w:hAnsi="Times New Roman" w:eastAsia="宋体" w:cs="Times New Roman"/>
                <w:color w:val="auto"/>
                <w:sz w:val="24"/>
                <w:highlight w:val="none"/>
              </w:rPr>
              <w:t>生活垃圾以每人每天0.</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kg计，</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施工期生活垃圾产生量为</w:t>
            </w:r>
            <w:r>
              <w:rPr>
                <w:rFonts w:hint="eastAsia" w:cs="Times New Roman"/>
                <w:color w:val="auto"/>
                <w:sz w:val="24"/>
                <w:szCs w:val="24"/>
                <w:highlight w:val="none"/>
                <w:lang w:val="en-US" w:eastAsia="zh-CN"/>
              </w:rPr>
              <w:t>3</w:t>
            </w:r>
            <w:r>
              <w:rPr>
                <w:rFonts w:hint="default" w:ascii="Times New Roman" w:hAnsi="Times New Roman" w:eastAsia="宋体" w:cs="Times New Roman"/>
                <w:snapToGrid w:val="0"/>
                <w:color w:val="auto"/>
                <w:spacing w:val="12"/>
                <w:sz w:val="24"/>
                <w:highlight w:val="none"/>
              </w:rPr>
              <w:t>kg/d</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rPr>
              <w:t>施工人员生活垃圾统一收集</w:t>
            </w:r>
            <w:r>
              <w:rPr>
                <w:rFonts w:hint="default" w:ascii="Times New Roman" w:hAnsi="Times New Roman" w:eastAsia="宋体" w:cs="Times New Roman"/>
                <w:color w:val="auto"/>
                <w:kern w:val="0"/>
                <w:sz w:val="24"/>
                <w:szCs w:val="24"/>
                <w:highlight w:val="none"/>
              </w:rPr>
              <w:t>至垃圾房后，由当地环卫部门处置</w:t>
            </w:r>
            <w:r>
              <w:rPr>
                <w:rFonts w:hint="default" w:ascii="Times New Roman" w:hAnsi="Times New Roman" w:eastAsia="宋体" w:cs="Times New Roman"/>
                <w:color w:val="auto"/>
                <w:sz w:val="24"/>
                <w:highlight w:val="none"/>
              </w:rPr>
              <w:t>。固废处置率100%，对周围环境影响</w:t>
            </w:r>
            <w:r>
              <w:rPr>
                <w:rFonts w:hint="default" w:ascii="Times New Roman" w:hAnsi="Times New Roman" w:eastAsia="宋体" w:cs="Times New Roman"/>
                <w:color w:val="auto"/>
                <w:sz w:val="24"/>
                <w:highlight w:val="none"/>
                <w:lang w:val="en-US" w:eastAsia="zh-CN"/>
              </w:rPr>
              <w:t>较</w:t>
            </w:r>
            <w:r>
              <w:rPr>
                <w:rFonts w:hint="default" w:ascii="Times New Roman" w:hAnsi="Times New Roman" w:eastAsia="宋体" w:cs="Times New Roman"/>
                <w:color w:val="auto"/>
                <w:sz w:val="24"/>
                <w:highlight w:val="none"/>
              </w:rPr>
              <w:t>小。</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jc w:val="both"/>
              <w:textAlignment w:val="auto"/>
              <w:rPr>
                <w:rFonts w:hint="default" w:ascii="Times New Roman" w:hAnsi="Times New Roman" w:eastAsia="宋体" w:cs="Times New Roman"/>
                <w:bCs/>
                <w:color w:val="auto"/>
                <w:spacing w:val="-10"/>
                <w:szCs w:val="21"/>
                <w:highlight w:val="none"/>
              </w:rPr>
            </w:pPr>
            <w:r>
              <w:rPr>
                <w:rFonts w:hint="default" w:ascii="Times New Roman" w:hAnsi="Times New Roman" w:eastAsia="宋体" w:cs="Times New Roman"/>
                <w:color w:val="auto"/>
                <w:sz w:val="24"/>
                <w:highlight w:val="none"/>
              </w:rPr>
              <w:t>综上，在各项环保措施得到切实实施的情况下，项目施工期产生的环境影响较小，且为暂时的，随着施工期的结束而消失，对周围环境产生的影响较小。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4"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7" w:type="dxa"/>
            <w:vAlign w:val="top"/>
          </w:tcPr>
          <w:p>
            <w:pPr>
              <w:adjustRightInd w:val="0"/>
              <w:snapToGrid w:val="0"/>
              <w:spacing w:line="360" w:lineRule="auto"/>
              <w:ind w:firstLine="482" w:firstLineChars="200"/>
              <w:rPr>
                <w:rFonts w:hint="default"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lang w:val="en-US" w:eastAsia="zh-CN"/>
              </w:rPr>
              <w:t>一</w:t>
            </w:r>
            <w:r>
              <w:rPr>
                <w:rFonts w:hint="default" w:ascii="Times New Roman" w:hAnsi="Times New Roman" w:eastAsia="宋体" w:cs="Times New Roman"/>
                <w:b/>
                <w:color w:val="auto"/>
                <w:sz w:val="24"/>
                <w:highlight w:val="none"/>
              </w:rPr>
              <w:t>、废气</w:t>
            </w:r>
            <w:r>
              <w:rPr>
                <w:rFonts w:hint="default" w:ascii="Times New Roman" w:hAnsi="Times New Roman" w:eastAsia="宋体" w:cs="Times New Roman"/>
                <w:b/>
                <w:color w:val="auto"/>
                <w:sz w:val="24"/>
                <w:highlight w:val="none"/>
                <w:lang w:eastAsia="zh-CN"/>
              </w:rPr>
              <w:t>源强核算及影响分析</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运营期</w:t>
            </w:r>
            <w:r>
              <w:rPr>
                <w:rFonts w:hint="default" w:ascii="Times New Roman" w:hAnsi="Times New Roman" w:eastAsia="宋体" w:cs="Times New Roman"/>
                <w:color w:val="auto"/>
                <w:sz w:val="24"/>
                <w:highlight w:val="none"/>
                <w:u w:val="none"/>
              </w:rPr>
              <w:t>废气主</w:t>
            </w:r>
            <w:r>
              <w:rPr>
                <w:rFonts w:hint="default" w:ascii="Times New Roman" w:hAnsi="Times New Roman" w:eastAsia="宋体" w:cs="Times New Roman"/>
                <w:color w:val="auto"/>
                <w:sz w:val="24"/>
                <w:highlight w:val="none"/>
                <w:u w:val="none"/>
                <w:lang w:val="en-US" w:eastAsia="zh-CN"/>
              </w:rPr>
              <w:t>要为</w:t>
            </w:r>
            <w:r>
              <w:rPr>
                <w:rFonts w:hint="default" w:ascii="Times New Roman" w:hAnsi="Times New Roman" w:eastAsia="宋体" w:cs="Times New Roman"/>
                <w:color w:val="auto"/>
                <w:sz w:val="24"/>
                <w:szCs w:val="24"/>
              </w:rPr>
              <w:t>锅炉废气</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预发泡</w:t>
            </w:r>
            <w:r>
              <w:rPr>
                <w:rFonts w:hint="default" w:ascii="Times New Roman" w:hAnsi="Times New Roman" w:eastAsia="宋体" w:cs="Times New Roman"/>
                <w:b w:val="0"/>
                <w:bCs w:val="0"/>
                <w:color w:val="auto"/>
                <w:sz w:val="24"/>
                <w:szCs w:val="24"/>
                <w:highlight w:val="none"/>
                <w:lang w:eastAsia="zh-CN"/>
              </w:rPr>
              <w:t>废气、成型废气</w:t>
            </w:r>
            <w:r>
              <w:rPr>
                <w:rFonts w:hint="default" w:ascii="Times New Roman" w:hAnsi="Times New Roman" w:eastAsia="宋体" w:cs="Times New Roman"/>
                <w:color w:val="auto"/>
                <w:sz w:val="24"/>
                <w:highlight w:val="none"/>
                <w:u w:val="none"/>
                <w:lang w:val="en-US" w:eastAsia="zh-CN"/>
              </w:rPr>
              <w:t>、食堂油烟及异味等。</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highlight w:val="none"/>
                <w:lang w:val="en-US" w:eastAsia="zh-CN"/>
              </w:rPr>
              <w:t>1、污染物源强核算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1</w:t>
            </w: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正常情况时废气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1）生产废气</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项目运营期废气排放源见表4-1。</w:t>
            </w:r>
          </w:p>
          <w:p>
            <w:pPr>
              <w:pStyle w:val="1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表4-1  项目运营期废气排放源一览表</w:t>
            </w:r>
          </w:p>
          <w:tbl>
            <w:tblPr>
              <w:tblStyle w:val="28"/>
              <w:tblW w:w="8447"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1195"/>
              <w:gridCol w:w="624"/>
              <w:gridCol w:w="612"/>
              <w:gridCol w:w="541"/>
              <w:gridCol w:w="549"/>
              <w:gridCol w:w="524"/>
              <w:gridCol w:w="527"/>
              <w:gridCol w:w="519"/>
              <w:gridCol w:w="493"/>
              <w:gridCol w:w="524"/>
              <w:gridCol w:w="463"/>
              <w:gridCol w:w="463"/>
              <w:gridCol w:w="600"/>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锅炉燃料燃烧</w:t>
                  </w:r>
                </w:p>
              </w:tc>
              <w:tc>
                <w:tcPr>
                  <w:tcW w:w="5108"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预发泡、成型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highlight w:val="none"/>
                    </w:rPr>
                    <w:t>NO</w:t>
                  </w:r>
                  <w:r>
                    <w:rPr>
                      <w:rFonts w:hint="default" w:ascii="Times New Roman" w:hAnsi="Times New Roman" w:eastAsia="宋体" w:cs="Times New Roman"/>
                      <w:bCs/>
                      <w:color w:val="auto"/>
                      <w:sz w:val="21"/>
                      <w:szCs w:val="21"/>
                      <w:highlight w:val="none"/>
                      <w:vertAlign w:val="subscript"/>
                      <w:lang w:val="en-US" w:eastAsia="zh-CN"/>
                    </w:rPr>
                    <w:t>X</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3.1244</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6.3738</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9.8304</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46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2.4576</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80.13</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136.22</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163.46</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00037</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00018</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00011</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45.55722</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有组织</w:t>
                  </w:r>
                </w:p>
              </w:tc>
              <w:tc>
                <w:tcPr>
                  <w:tcW w:w="24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10831.2430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59940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04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8</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04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1777" w:type="dxa"/>
                  <w:gridSpan w:val="3"/>
                  <w:vAlign w:val="center"/>
                </w:tcPr>
                <w:p>
                  <w:pPr>
                    <w:pStyle w:val="12"/>
                    <w:rPr>
                      <w:rFonts w:hint="eastAsia"/>
                      <w:color w:val="auto"/>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color w:val="auto"/>
                      <w:lang w:val="en-US" w:eastAsia="zh-CN"/>
                    </w:rPr>
                    <w:t>耐高温布袋除</w:t>
                  </w:r>
                </w:p>
                <w:p>
                  <w:pPr>
                    <w:pStyle w:val="12"/>
                    <w:jc w:val="center"/>
                    <w:rPr>
                      <w:rFonts w:hint="default" w:ascii="Times New Roman" w:hAnsi="Times New Roman" w:eastAsia="宋体" w:cs="Times New Roman"/>
                      <w:color w:val="auto"/>
                      <w:sz w:val="21"/>
                      <w:szCs w:val="21"/>
                      <w:highlight w:val="none"/>
                      <w:lang w:val="en-US" w:eastAsia="zh-CN"/>
                    </w:rPr>
                  </w:pPr>
                  <w:r>
                    <w:rPr>
                      <w:rFonts w:hint="eastAsia"/>
                      <w:color w:val="auto"/>
                      <w:lang w:val="en-US" w:eastAsia="zh-CN"/>
                    </w:rPr>
                    <w:t>尘器</w:t>
                  </w:r>
                  <w:r>
                    <w:rPr>
                      <w:rFonts w:hint="default" w:ascii="Times New Roman" w:hAnsi="Times New Roman" w:eastAsia="宋体" w:cs="Times New Roman"/>
                      <w:color w:val="auto"/>
                      <w:sz w:val="21"/>
                      <w:szCs w:val="21"/>
                      <w:highlight w:val="none"/>
                      <w:lang w:val="en-US" w:eastAsia="zh-CN"/>
                    </w:rPr>
                    <w:t>”</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三级活性炭</w:t>
                  </w:r>
                </w:p>
              </w:tc>
              <w:tc>
                <w:tcPr>
                  <w:tcW w:w="24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自然</w:t>
                  </w:r>
                  <w:r>
                    <w:rPr>
                      <w:rFonts w:hint="default" w:ascii="Times New Roman" w:hAnsi="Times New Roman" w:eastAsia="宋体" w:cs="Times New Roman"/>
                      <w:color w:val="auto"/>
                      <w:sz w:val="21"/>
                      <w:szCs w:val="21"/>
                      <w:highlight w:val="none"/>
                      <w:lang w:val="en-US" w:eastAsia="zh-CN"/>
                    </w:rPr>
                    <w:t>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治理工艺去除率</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95</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6</w:t>
                  </w:r>
                  <w:r>
                    <w:rPr>
                      <w:rFonts w:hint="default" w:ascii="Times New Roman" w:hAnsi="Times New Roman" w:eastAsia="宋体" w:cs="Times New Roman"/>
                      <w:b w:val="0"/>
                      <w:bCs/>
                      <w:color w:val="auto"/>
                      <w:spacing w:val="-10"/>
                      <w:sz w:val="21"/>
                      <w:szCs w:val="21"/>
                      <w:highlight w:val="none"/>
                      <w:vertAlign w:val="baseline"/>
                      <w:lang w:val="en-US" w:eastAsia="zh-CN"/>
                    </w:rPr>
                    <w:t>0%</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污染物排放浓度（mg/m</w:t>
                  </w:r>
                  <w:r>
                    <w:rPr>
                      <w:rFonts w:hint="default" w:ascii="Times New Roman" w:hAnsi="Times New Roman" w:eastAsia="宋体" w:cs="Times New Roman"/>
                      <w:b/>
                      <w:bCs w:val="0"/>
                      <w:color w:val="auto"/>
                      <w:spacing w:val="-10"/>
                      <w:sz w:val="21"/>
                      <w:szCs w:val="21"/>
                      <w:highlight w:val="none"/>
                      <w:vertAlign w:val="superscript"/>
                      <w:lang w:val="en-US" w:eastAsia="zh-CN"/>
                    </w:rPr>
                    <w:t>3</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4.00</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136.22</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163.46</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w:t>
                  </w:r>
                  <w:r>
                    <w:rPr>
                      <w:rFonts w:hint="eastAsia" w:cs="Times New Roman"/>
                      <w:i w:val="0"/>
                      <w:iCs w:val="0"/>
                      <w:color w:val="auto"/>
                      <w:kern w:val="0"/>
                      <w:sz w:val="21"/>
                      <w:szCs w:val="21"/>
                      <w:u w:val="none"/>
                      <w:lang w:val="en-US" w:eastAsia="zh-CN" w:bidi="ar"/>
                    </w:rPr>
                    <w:t>15</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0.0000</w:t>
                  </w:r>
                  <w:r>
                    <w:rPr>
                      <w:rFonts w:hint="eastAsia" w:cs="Times New Roman"/>
                      <w:i w:val="0"/>
                      <w:iCs w:val="0"/>
                      <w:color w:val="auto"/>
                      <w:kern w:val="0"/>
                      <w:sz w:val="21"/>
                      <w:szCs w:val="21"/>
                      <w:u w:val="none"/>
                      <w:lang w:val="en-US" w:eastAsia="zh-CN" w:bidi="ar"/>
                    </w:rPr>
                    <w:t>8</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0.0000</w:t>
                  </w:r>
                  <w:r>
                    <w:rPr>
                      <w:rFonts w:hint="eastAsia" w:cs="Times New Roman"/>
                      <w:i w:val="0"/>
                      <w:iCs w:val="0"/>
                      <w:color w:val="auto"/>
                      <w:kern w:val="0"/>
                      <w:sz w:val="21"/>
                      <w:szCs w:val="21"/>
                      <w:u w:val="none"/>
                      <w:lang w:val="en-US" w:eastAsia="zh-CN" w:bidi="ar"/>
                    </w:rPr>
                    <w:t>5</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18.22322</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1152.56</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污染物排放速率（kg/h）</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0.0434</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1.4754</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1.7705</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0.0000045</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1.0923</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污染物排放量（t/a）</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1562</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6.3738</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3.9322</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少量</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463" w:type="dxa"/>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2.4576</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eastAsia"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排气筒高度</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40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15m</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排气筒内径</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yellow"/>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w:t>
                  </w:r>
                  <w:r>
                    <w:rPr>
                      <w:rFonts w:hint="eastAsia" w:cs="Times New Roman"/>
                      <w:b w:val="0"/>
                      <w:bCs/>
                      <w:color w:val="auto"/>
                      <w:spacing w:val="-10"/>
                      <w:sz w:val="21"/>
                      <w:szCs w:val="21"/>
                      <w:highlight w:val="none"/>
                      <w:vertAlign w:val="baseline"/>
                      <w:lang w:val="en-US" w:eastAsia="zh-CN"/>
                    </w:rPr>
                    <w:t>45</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yellow"/>
                      <w:vertAlign w:val="baseline"/>
                      <w:lang w:val="en-US" w:eastAsia="zh-CN"/>
                    </w:rPr>
                  </w:pPr>
                  <w:r>
                    <w:rPr>
                      <w:rFonts w:hint="eastAsia" w:cs="Times New Roman"/>
                      <w:b w:val="0"/>
                      <w:bCs/>
                      <w:color w:val="auto"/>
                      <w:spacing w:val="-10"/>
                      <w:sz w:val="21"/>
                      <w:szCs w:val="21"/>
                      <w:highlight w:val="none"/>
                      <w:vertAlign w:val="baseline"/>
                      <w:lang w:val="en-US" w:eastAsia="zh-CN"/>
                    </w:rPr>
                    <w:t>1.0</w:t>
                  </w:r>
                  <w:r>
                    <w:rPr>
                      <w:rFonts w:hint="default" w:ascii="Times New Roman" w:hAnsi="Times New Roman" w:eastAsia="宋体" w:cs="Times New Roman"/>
                      <w:b w:val="0"/>
                      <w:bCs/>
                      <w:color w:val="auto"/>
                      <w:spacing w:val="-10"/>
                      <w:sz w:val="21"/>
                      <w:szCs w:val="21"/>
                      <w:highlight w:val="none"/>
                      <w:vertAlign w:val="baseline"/>
                      <w:lang w:val="en-US" w:eastAsia="zh-CN"/>
                    </w:rPr>
                    <w:t>m</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温度</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z w:val="21"/>
                      <w:szCs w:val="21"/>
                      <w:lang w:val="en-US" w:eastAsia="zh-CN"/>
                    </w:rPr>
                    <w:t>135</w:t>
                  </w:r>
                  <w:r>
                    <w:rPr>
                      <w:rFonts w:hint="default" w:ascii="Times New Roman" w:hAnsi="Times New Roman" w:eastAsia="宋体" w:cs="Times New Roman"/>
                      <w:color w:val="auto"/>
                      <w:sz w:val="21"/>
                      <w:szCs w:val="21"/>
                    </w:rPr>
                    <w:t>℃</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25℃</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DA001</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DA002</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一般排放口</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24.745</w:t>
                  </w: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27</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59.996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E：103°</w:t>
                  </w:r>
                  <w:r>
                    <w:rPr>
                      <w:rFonts w:hint="eastAsia" w:cs="Times New Roman"/>
                      <w:b w:val="0"/>
                      <w:bCs/>
                      <w:color w:val="auto"/>
                      <w:spacing w:val="-10"/>
                      <w:sz w:val="21"/>
                      <w:szCs w:val="21"/>
                      <w:highlight w:val="none"/>
                      <w:vertAlign w:val="baseline"/>
                      <w:lang w:val="en-US" w:eastAsia="zh-CN"/>
                    </w:rPr>
                    <w:t>9</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21.140</w:t>
                  </w:r>
                  <w:r>
                    <w:rPr>
                      <w:rFonts w:hint="default" w:ascii="Times New Roman" w:hAnsi="Times New Roman" w:eastAsia="宋体" w:cs="Times New Roman"/>
                      <w:b w:val="0"/>
                      <w:bCs/>
                      <w:color w:val="auto"/>
                      <w:spacing w:val="-10"/>
                      <w:sz w:val="21"/>
                      <w:szCs w:val="21"/>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N：25°</w:t>
                  </w:r>
                  <w:r>
                    <w:rPr>
                      <w:rFonts w:hint="eastAsia" w:cs="Times New Roman"/>
                      <w:b w:val="0"/>
                      <w:bCs/>
                      <w:color w:val="auto"/>
                      <w:spacing w:val="-10"/>
                      <w:sz w:val="21"/>
                      <w:szCs w:val="21"/>
                      <w:highlight w:val="none"/>
                      <w:vertAlign w:val="baseline"/>
                      <w:lang w:val="en-US" w:eastAsia="zh-CN"/>
                    </w:rPr>
                    <w:t>27</w:t>
                  </w:r>
                  <w:r>
                    <w:rPr>
                      <w:rFonts w:hint="default" w:ascii="Times New Roman" w:hAnsi="Times New Roman" w:eastAsia="宋体" w:cs="Times New Roman"/>
                      <w:b w:val="0"/>
                      <w:bCs/>
                      <w:color w:val="auto"/>
                      <w:spacing w:val="-10"/>
                      <w:sz w:val="21"/>
                      <w:szCs w:val="21"/>
                      <w:highlight w:val="none"/>
                      <w:vertAlign w:val="baseline"/>
                      <w:lang w:val="en-US" w:eastAsia="zh-CN"/>
                    </w:rPr>
                    <w:t>′</w:t>
                  </w:r>
                  <w:r>
                    <w:rPr>
                      <w:rFonts w:hint="eastAsia" w:cs="Times New Roman"/>
                      <w:b w:val="0"/>
                      <w:bCs/>
                      <w:color w:val="auto"/>
                      <w:spacing w:val="-10"/>
                      <w:sz w:val="21"/>
                      <w:szCs w:val="21"/>
                      <w:highlight w:val="none"/>
                      <w:vertAlign w:val="baseline"/>
                      <w:lang w:val="en-US" w:eastAsia="zh-CN"/>
                    </w:rPr>
                    <w:t>59.226</w:t>
                  </w: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98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50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排放标准</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《锅炉大气污染物排放标准》（GB13271-2014）中</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2新建</w:t>
                  </w:r>
                  <w:r>
                    <w:rPr>
                      <w:rFonts w:hint="default" w:ascii="Times New Roman" w:hAnsi="Times New Roman" w:eastAsia="宋体" w:cs="Times New Roman"/>
                      <w:color w:val="auto"/>
                      <w:sz w:val="21"/>
                      <w:szCs w:val="21"/>
                      <w:lang w:eastAsia="zh-CN"/>
                    </w:rPr>
                    <w:t>燃煤</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大气污染物</w:t>
                  </w:r>
                  <w:r>
                    <w:rPr>
                      <w:rFonts w:hint="default" w:ascii="Times New Roman" w:hAnsi="Times New Roman" w:eastAsia="宋体" w:cs="Times New Roman"/>
                      <w:color w:val="auto"/>
                      <w:sz w:val="21"/>
                      <w:szCs w:val="21"/>
                    </w:rPr>
                    <w:t>排放</w:t>
                  </w:r>
                  <w:r>
                    <w:rPr>
                      <w:rFonts w:hint="default" w:ascii="Times New Roman" w:hAnsi="Times New Roman" w:eastAsia="宋体" w:cs="Times New Roman"/>
                      <w:color w:val="auto"/>
                      <w:sz w:val="21"/>
                      <w:szCs w:val="21"/>
                      <w:lang w:eastAsia="zh-CN"/>
                    </w:rPr>
                    <w:t>浓度限值。</w:t>
                  </w:r>
                </w:p>
              </w:tc>
              <w:tc>
                <w:tcPr>
                  <w:tcW w:w="5108"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DA001排气筒出口</w:t>
                  </w:r>
                </w:p>
              </w:tc>
              <w:tc>
                <w:tcPr>
                  <w:tcW w:w="261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DA002排气筒出口</w:t>
                  </w:r>
                </w:p>
              </w:tc>
              <w:tc>
                <w:tcPr>
                  <w:tcW w:w="24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厂界上风向及下风向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6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61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54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5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eastAsia" w:cs="Times New Roman"/>
                      <w:b w:val="0"/>
                      <w:bCs/>
                      <w:color w:val="auto"/>
                      <w:spacing w:val="-10"/>
                      <w:sz w:val="21"/>
                      <w:szCs w:val="21"/>
                      <w:highlight w:val="none"/>
                      <w:vertAlign w:val="baseline"/>
                      <w:lang w:val="en-US" w:eastAsia="zh-CN"/>
                    </w:rPr>
                    <w:t>臭气浓度</w:t>
                  </w:r>
                </w:p>
              </w:tc>
              <w:tc>
                <w:tcPr>
                  <w:tcW w:w="52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乙苯</w:t>
                  </w:r>
                </w:p>
              </w:tc>
              <w:tc>
                <w:tcPr>
                  <w:tcW w:w="46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苯乙烯</w:t>
                  </w:r>
                </w:p>
              </w:tc>
              <w:tc>
                <w:tcPr>
                  <w:tcW w:w="6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val="0"/>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非甲烷总烃</w:t>
                  </w:r>
                </w:p>
              </w:tc>
              <w:tc>
                <w:tcPr>
                  <w:tcW w:w="44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臭气浓度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1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177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月</w:t>
                  </w:r>
                </w:p>
              </w:tc>
              <w:tc>
                <w:tcPr>
                  <w:tcW w:w="160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eastAsia="zh-CN" w:bidi="ar"/>
                    </w:rPr>
                    <w:t>半</w:t>
                  </w:r>
                  <w:r>
                    <w:rPr>
                      <w:rFonts w:hint="default" w:ascii="Times New Roman" w:hAnsi="Times New Roman" w:eastAsia="宋体" w:cs="Times New Roman"/>
                      <w:color w:val="auto"/>
                      <w:szCs w:val="21"/>
                      <w:highlight w:val="none"/>
                      <w:lang w:val="en-US" w:eastAsia="zh-CN" w:bidi="ar"/>
                    </w:rPr>
                    <w:t>年</w:t>
                  </w:r>
                </w:p>
              </w:tc>
              <w:tc>
                <w:tcPr>
                  <w:tcW w:w="4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c>
                <w:tcPr>
                  <w:tcW w:w="2496"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①</w:t>
            </w:r>
            <w:r>
              <w:rPr>
                <w:rFonts w:hint="default" w:ascii="Times New Roman" w:hAnsi="Times New Roman" w:eastAsia="宋体" w:cs="Times New Roman"/>
                <w:b/>
                <w:bCs/>
                <w:color w:val="auto"/>
                <w:sz w:val="24"/>
                <w:szCs w:val="24"/>
              </w:rPr>
              <w:t>锅炉</w:t>
            </w:r>
            <w:r>
              <w:rPr>
                <w:rFonts w:hint="default" w:ascii="Times New Roman" w:hAnsi="Times New Roman" w:eastAsia="宋体" w:cs="Times New Roman"/>
                <w:b/>
                <w:bCs/>
                <w:color w:val="auto"/>
                <w:sz w:val="24"/>
                <w:szCs w:val="24"/>
                <w:lang w:val="en-US" w:eastAsia="zh-CN"/>
              </w:rPr>
              <w:t>燃料燃烧</w:t>
            </w:r>
            <w:r>
              <w:rPr>
                <w:rFonts w:hint="default" w:ascii="Times New Roman" w:hAnsi="Times New Roman" w:eastAsia="宋体" w:cs="Times New Roman"/>
                <w:b/>
                <w:bCs/>
                <w:color w:val="auto"/>
                <w:sz w:val="24"/>
                <w:szCs w:val="24"/>
              </w:rPr>
              <w:t>废气</w:t>
            </w:r>
          </w:p>
          <w:p>
            <w:pPr>
              <w:pStyle w:val="2"/>
              <w:keepNext w:val="0"/>
              <w:keepLines w:val="0"/>
              <w:pageBreakBefore w:val="0"/>
              <w:widowControl w:val="0"/>
              <w:kinsoku/>
              <w:wordWrap/>
              <w:overflowPunct/>
              <w:topLinePunct w:val="0"/>
              <w:autoSpaceDE/>
              <w:autoSpaceDN/>
              <w:bidi w:val="0"/>
              <w:spacing w:beforeLines="0" w:after="0" w:afterLines="0" w:line="348" w:lineRule="auto"/>
              <w:ind w:left="0" w:leftChars="0" w:firstLine="504" w:firstLineChars="200"/>
              <w:jc w:val="left"/>
              <w:textAlignment w:val="auto"/>
              <w:rPr>
                <w:rFonts w:hint="default" w:ascii="Times New Roman" w:hAnsi="Times New Roman" w:eastAsia="宋体" w:cs="Times New Roman"/>
                <w:b w:val="0"/>
                <w:bCs/>
                <w:color w:val="auto"/>
                <w:spacing w:val="6"/>
                <w:sz w:val="24"/>
                <w:szCs w:val="24"/>
                <w:highlight w:val="none"/>
                <w:lang w:val="en-US" w:eastAsia="zh-CN"/>
              </w:rPr>
            </w:pPr>
            <w:r>
              <w:rPr>
                <w:rFonts w:hint="default" w:ascii="Times New Roman" w:hAnsi="Times New Roman" w:eastAsia="宋体" w:cs="Times New Roman"/>
                <w:bCs/>
                <w:color w:val="auto"/>
                <w:spacing w:val="6"/>
                <w:sz w:val="24"/>
              </w:rPr>
              <w:t>本项目</w:t>
            </w:r>
            <w:r>
              <w:rPr>
                <w:rFonts w:hint="default" w:ascii="Times New Roman" w:hAnsi="Times New Roman" w:eastAsia="宋体" w:cs="Times New Roman"/>
                <w:bCs/>
                <w:color w:val="auto"/>
                <w:spacing w:val="6"/>
                <w:sz w:val="24"/>
                <w:lang w:eastAsia="zh-CN"/>
              </w:rPr>
              <w:t>共</w:t>
            </w:r>
            <w:r>
              <w:rPr>
                <w:rFonts w:hint="default" w:ascii="Times New Roman" w:hAnsi="Times New Roman" w:eastAsia="宋体" w:cs="Times New Roman"/>
                <w:bCs/>
                <w:color w:val="auto"/>
                <w:spacing w:val="6"/>
                <w:sz w:val="24"/>
              </w:rPr>
              <w:t>设置</w:t>
            </w:r>
            <w:r>
              <w:rPr>
                <w:rFonts w:hint="eastAsia" w:cs="Times New Roman"/>
                <w:bCs/>
                <w:color w:val="auto"/>
                <w:spacing w:val="6"/>
                <w:sz w:val="24"/>
                <w:lang w:val="en-US" w:eastAsia="zh-CN"/>
              </w:rPr>
              <w:t>2</w:t>
            </w:r>
            <w:r>
              <w:rPr>
                <w:rFonts w:hint="default" w:ascii="Times New Roman" w:hAnsi="Times New Roman" w:eastAsia="宋体" w:cs="Times New Roman"/>
                <w:bCs/>
                <w:color w:val="auto"/>
                <w:spacing w:val="6"/>
                <w:sz w:val="24"/>
                <w:lang w:val="en-US" w:eastAsia="zh-CN"/>
              </w:rPr>
              <w:t>台</w:t>
            </w:r>
            <w:r>
              <w:rPr>
                <w:rFonts w:hint="eastAsia" w:cs="Times New Roman"/>
                <w:bCs/>
                <w:color w:val="auto"/>
                <w:spacing w:val="6"/>
                <w:sz w:val="24"/>
                <w:lang w:val="en-US" w:eastAsia="zh-CN"/>
              </w:rPr>
              <w:t>10</w:t>
            </w:r>
            <w:r>
              <w:rPr>
                <w:rFonts w:hint="default" w:ascii="Times New Roman" w:hAnsi="Times New Roman" w:eastAsia="宋体" w:cs="Times New Roman"/>
                <w:bCs/>
                <w:color w:val="auto"/>
                <w:spacing w:val="6"/>
                <w:sz w:val="24"/>
                <w:lang w:val="en-US" w:eastAsia="zh-CN"/>
              </w:rPr>
              <w:t>t/h的生物质蒸汽锅炉为泡沫箱生产过程提供热量</w:t>
            </w:r>
            <w:r>
              <w:rPr>
                <w:rFonts w:hint="default" w:ascii="Times New Roman" w:hAnsi="Times New Roman" w:eastAsia="宋体" w:cs="Times New Roman"/>
                <w:bCs/>
                <w:color w:val="auto"/>
                <w:sz w:val="24"/>
              </w:rPr>
              <w:t>，</w:t>
            </w:r>
            <w:r>
              <w:rPr>
                <w:rFonts w:hint="default" w:ascii="Times New Roman" w:hAnsi="Times New Roman" w:eastAsia="宋体" w:cs="Times New Roman"/>
                <w:bCs/>
                <w:color w:val="auto"/>
                <w:spacing w:val="6"/>
                <w:sz w:val="24"/>
              </w:rPr>
              <w:t>使用燃料为生物质成型燃料</w:t>
            </w:r>
            <w:r>
              <w:rPr>
                <w:rFonts w:hint="default" w:ascii="Times New Roman" w:hAnsi="Times New Roman" w:eastAsia="宋体" w:cs="Times New Roman"/>
                <w:bCs/>
                <w:color w:val="auto"/>
                <w:spacing w:val="6"/>
                <w:sz w:val="24"/>
                <w:lang w:eastAsia="zh-CN"/>
              </w:rPr>
              <w:t>，</w:t>
            </w:r>
            <w:r>
              <w:rPr>
                <w:rFonts w:hint="default" w:ascii="Times New Roman" w:hAnsi="Times New Roman" w:eastAsia="宋体" w:cs="Times New Roman"/>
                <w:bCs/>
                <w:color w:val="auto"/>
                <w:spacing w:val="6"/>
                <w:sz w:val="24"/>
                <w:szCs w:val="24"/>
                <w:highlight w:val="none"/>
              </w:rPr>
              <w:t>锅炉每年运营3</w:t>
            </w:r>
            <w:r>
              <w:rPr>
                <w:rFonts w:hint="default" w:ascii="Times New Roman" w:hAnsi="Times New Roman" w:eastAsia="宋体" w:cs="Times New Roman"/>
                <w:bCs/>
                <w:color w:val="auto"/>
                <w:spacing w:val="6"/>
                <w:sz w:val="24"/>
                <w:szCs w:val="24"/>
                <w:highlight w:val="none"/>
                <w:lang w:val="en-US" w:eastAsia="zh-CN"/>
              </w:rPr>
              <w:t>0</w:t>
            </w:r>
            <w:r>
              <w:rPr>
                <w:rFonts w:hint="default" w:ascii="Times New Roman" w:hAnsi="Times New Roman" w:eastAsia="宋体" w:cs="Times New Roman"/>
                <w:bCs/>
                <w:color w:val="auto"/>
                <w:spacing w:val="6"/>
                <w:sz w:val="24"/>
                <w:szCs w:val="24"/>
                <w:highlight w:val="none"/>
              </w:rPr>
              <w:t>0天，</w:t>
            </w:r>
            <w:r>
              <w:rPr>
                <w:rFonts w:hint="default" w:ascii="Times New Roman" w:hAnsi="Times New Roman" w:eastAsia="宋体" w:cs="Times New Roman"/>
                <w:bCs/>
                <w:color w:val="auto"/>
                <w:spacing w:val="6"/>
                <w:sz w:val="24"/>
                <w:lang w:eastAsia="zh-CN"/>
              </w:rPr>
              <w:t>每天工作</w:t>
            </w:r>
            <w:r>
              <w:rPr>
                <w:rFonts w:hint="eastAsia" w:cs="Times New Roman"/>
                <w:bCs/>
                <w:color w:val="auto"/>
                <w:spacing w:val="6"/>
                <w:sz w:val="24"/>
                <w:lang w:val="en-US" w:eastAsia="zh-CN"/>
              </w:rPr>
              <w:t>12</w:t>
            </w:r>
            <w:r>
              <w:rPr>
                <w:rFonts w:hint="default" w:ascii="Times New Roman" w:hAnsi="Times New Roman" w:eastAsia="宋体" w:cs="Times New Roman"/>
                <w:bCs/>
                <w:color w:val="auto"/>
                <w:spacing w:val="6"/>
                <w:sz w:val="24"/>
                <w:lang w:val="en-US" w:eastAsia="zh-CN"/>
              </w:rPr>
              <w:t>h，每年工作时间</w:t>
            </w:r>
            <w:r>
              <w:rPr>
                <w:rFonts w:hint="eastAsia" w:cs="Times New Roman"/>
                <w:bCs/>
                <w:color w:val="auto"/>
                <w:spacing w:val="6"/>
                <w:sz w:val="24"/>
                <w:lang w:val="en-US" w:eastAsia="zh-CN"/>
              </w:rPr>
              <w:t>36</w:t>
            </w:r>
            <w:r>
              <w:rPr>
                <w:rFonts w:hint="default" w:ascii="Times New Roman" w:hAnsi="Times New Roman" w:eastAsia="宋体" w:cs="Times New Roman"/>
                <w:bCs/>
                <w:color w:val="auto"/>
                <w:spacing w:val="6"/>
                <w:sz w:val="24"/>
                <w:lang w:val="en-US" w:eastAsia="zh-CN"/>
              </w:rPr>
              <w:t>00h</w:t>
            </w:r>
            <w:r>
              <w:rPr>
                <w:rFonts w:hint="default" w:ascii="Times New Roman" w:hAnsi="Times New Roman" w:eastAsia="宋体" w:cs="Times New Roman"/>
                <w:bCs/>
                <w:color w:val="auto"/>
                <w:spacing w:val="6"/>
                <w:sz w:val="24"/>
                <w:lang w:eastAsia="zh-CN"/>
              </w:rPr>
              <w:t>。</w:t>
            </w:r>
            <w:r>
              <w:rPr>
                <w:rFonts w:hint="default" w:ascii="Times New Roman" w:hAnsi="Times New Roman" w:eastAsia="宋体" w:cs="Times New Roman"/>
                <w:bCs/>
                <w:color w:val="auto"/>
                <w:spacing w:val="6"/>
                <w:sz w:val="24"/>
                <w:szCs w:val="24"/>
              </w:rPr>
              <w:t>根据生产厂家</w:t>
            </w:r>
            <w:r>
              <w:rPr>
                <w:rFonts w:hint="default" w:ascii="Times New Roman" w:hAnsi="Times New Roman" w:eastAsia="宋体" w:cs="Times New Roman"/>
                <w:bCs/>
                <w:color w:val="auto"/>
                <w:spacing w:val="6"/>
                <w:sz w:val="24"/>
                <w:szCs w:val="24"/>
                <w:lang w:eastAsia="zh-CN"/>
              </w:rPr>
              <w:t>提供的</w:t>
            </w:r>
            <w:r>
              <w:rPr>
                <w:rFonts w:hint="default" w:ascii="Times New Roman" w:hAnsi="Times New Roman" w:eastAsia="宋体" w:cs="Times New Roman"/>
                <w:bCs/>
                <w:color w:val="auto"/>
                <w:spacing w:val="6"/>
                <w:sz w:val="24"/>
                <w:szCs w:val="24"/>
              </w:rPr>
              <w:t>生物质监测报告</w:t>
            </w:r>
            <w:r>
              <w:rPr>
                <w:rFonts w:hint="default" w:ascii="Times New Roman" w:hAnsi="Times New Roman" w:eastAsia="宋体" w:cs="Times New Roman"/>
                <w:bCs/>
                <w:color w:val="auto"/>
                <w:spacing w:val="6"/>
                <w:sz w:val="24"/>
                <w:szCs w:val="24"/>
                <w:lang w:eastAsia="zh-CN"/>
              </w:rPr>
              <w:t>可知</w:t>
            </w:r>
            <w:r>
              <w:rPr>
                <w:rFonts w:hint="default" w:ascii="Times New Roman" w:hAnsi="Times New Roman" w:eastAsia="宋体" w:cs="Times New Roman"/>
                <w:color w:val="auto"/>
                <w:sz w:val="24"/>
                <w:szCs w:val="24"/>
              </w:rPr>
              <w:t>生物质燃料</w:t>
            </w:r>
            <w:r>
              <w:rPr>
                <w:rFonts w:hint="default" w:ascii="Times New Roman" w:hAnsi="Times New Roman" w:eastAsia="宋体" w:cs="Times New Roman"/>
                <w:color w:val="auto"/>
                <w:sz w:val="24"/>
                <w:szCs w:val="24"/>
                <w:lang w:eastAsia="zh-CN"/>
              </w:rPr>
              <w:t>各</w:t>
            </w:r>
            <w:r>
              <w:rPr>
                <w:rFonts w:hint="default" w:ascii="Times New Roman" w:hAnsi="Times New Roman" w:eastAsia="宋体" w:cs="Times New Roman"/>
                <w:color w:val="auto"/>
                <w:sz w:val="24"/>
                <w:szCs w:val="24"/>
              </w:rPr>
              <w:t>成分见表</w:t>
            </w:r>
            <w:r>
              <w:rPr>
                <w:rFonts w:hint="default" w:ascii="Times New Roman" w:hAnsi="Times New Roman" w:eastAsia="宋体" w:cs="Times New Roman"/>
                <w:color w:val="auto"/>
                <w:sz w:val="24"/>
                <w:szCs w:val="24"/>
                <w:lang w:val="en-US" w:eastAsia="zh-CN"/>
              </w:rPr>
              <w:t>4-2所示</w:t>
            </w:r>
            <w:r>
              <w:rPr>
                <w:rFonts w:hint="default" w:ascii="Times New Roman" w:hAnsi="Times New Roman" w:eastAsia="宋体" w:cs="Times New Roman"/>
                <w:bCs/>
                <w:color w:val="auto"/>
                <w:spacing w:val="6"/>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eastAsia="宋体" w:cs="Times New Roman"/>
                <w:b/>
                <w:color w:val="auto"/>
                <w:sz w:val="21"/>
                <w:szCs w:val="21"/>
                <w:highlight w:val="none"/>
                <w:lang w:val="en-US" w:eastAsia="zh-CN"/>
              </w:rPr>
              <w:t>4-2</w:t>
            </w:r>
            <w:r>
              <w:rPr>
                <w:rFonts w:hint="default" w:ascii="Times New Roman" w:hAnsi="Times New Roman" w:eastAsia="宋体" w:cs="Times New Roman"/>
                <w:b/>
                <w:color w:val="auto"/>
                <w:sz w:val="21"/>
                <w:szCs w:val="21"/>
                <w:highlight w:val="none"/>
              </w:rPr>
              <w:t xml:space="preserve"> </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生物质燃料成分一览表</w:t>
            </w:r>
          </w:p>
          <w:tbl>
            <w:tblPr>
              <w:tblStyle w:val="27"/>
              <w:tblW w:w="83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374"/>
              <w:gridCol w:w="935"/>
              <w:gridCol w:w="1225"/>
              <w:gridCol w:w="1337"/>
              <w:gridCol w:w="852"/>
              <w:gridCol w:w="39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全水分（M</w:t>
                  </w:r>
                  <w:r>
                    <w:rPr>
                      <w:rFonts w:hint="default" w:ascii="Times New Roman" w:hAnsi="Times New Roman" w:eastAsia="宋体" w:cs="Times New Roman"/>
                      <w:b/>
                      <w:bCs/>
                      <w:color w:val="auto"/>
                      <w:sz w:val="21"/>
                      <w:szCs w:val="21"/>
                      <w:highlight w:val="none"/>
                      <w:vertAlign w:val="subscript"/>
                    </w:rPr>
                    <w:t>t</w:t>
                  </w:r>
                  <w:r>
                    <w:rPr>
                      <w:rFonts w:hint="default" w:ascii="Times New Roman" w:hAnsi="Times New Roman" w:eastAsia="宋体" w:cs="Times New Roman"/>
                      <w:b/>
                      <w:bCs/>
                      <w:color w:val="auto"/>
                      <w:sz w:val="21"/>
                      <w:szCs w:val="21"/>
                      <w:highlight w:val="none"/>
                    </w:rPr>
                    <w:t>）</w:t>
                  </w:r>
                </w:p>
              </w:tc>
              <w:tc>
                <w:tcPr>
                  <w:tcW w:w="137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空气干燥基水分（M</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c>
                <w:tcPr>
                  <w:tcW w:w="9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干燥基灰分（A</w:t>
                  </w:r>
                  <w:r>
                    <w:rPr>
                      <w:rFonts w:hint="default" w:ascii="Times New Roman" w:hAnsi="Times New Roman" w:eastAsia="宋体" w:cs="Times New Roman"/>
                      <w:b/>
                      <w:bCs/>
                      <w:color w:val="auto"/>
                      <w:sz w:val="21"/>
                      <w:szCs w:val="21"/>
                      <w:highlight w:val="none"/>
                      <w:vertAlign w:val="subscript"/>
                    </w:rPr>
                    <w:t>d</w:t>
                  </w:r>
                  <w:r>
                    <w:rPr>
                      <w:rFonts w:hint="default" w:ascii="Times New Roman" w:hAnsi="Times New Roman" w:eastAsia="宋体" w:cs="Times New Roman"/>
                      <w:b/>
                      <w:bCs/>
                      <w:color w:val="auto"/>
                      <w:sz w:val="21"/>
                      <w:szCs w:val="21"/>
                      <w:highlight w:val="none"/>
                    </w:rPr>
                    <w:t>）</w:t>
                  </w:r>
                </w:p>
              </w:tc>
              <w:tc>
                <w:tcPr>
                  <w:tcW w:w="12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干燥无灰基挥发分（V</w:t>
                  </w:r>
                  <w:r>
                    <w:rPr>
                      <w:rFonts w:hint="default" w:ascii="Times New Roman" w:hAnsi="Times New Roman" w:eastAsia="宋体" w:cs="Times New Roman"/>
                      <w:b/>
                      <w:bCs/>
                      <w:color w:val="auto"/>
                      <w:sz w:val="21"/>
                      <w:szCs w:val="21"/>
                      <w:highlight w:val="none"/>
                      <w:vertAlign w:val="subscript"/>
                    </w:rPr>
                    <w:t>daf</w:t>
                  </w:r>
                  <w:r>
                    <w:rPr>
                      <w:rFonts w:hint="default" w:ascii="Times New Roman" w:hAnsi="Times New Roman" w:eastAsia="宋体" w:cs="Times New Roman"/>
                      <w:b/>
                      <w:bCs/>
                      <w:color w:val="auto"/>
                      <w:sz w:val="21"/>
                      <w:szCs w:val="21"/>
                      <w:highlight w:val="none"/>
                    </w:rPr>
                    <w:t>）</w:t>
                  </w:r>
                </w:p>
              </w:tc>
              <w:tc>
                <w:tcPr>
                  <w:tcW w:w="13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干燥基固定碳（FC</w:t>
                  </w:r>
                  <w:r>
                    <w:rPr>
                      <w:rFonts w:hint="default" w:ascii="Times New Roman" w:hAnsi="Times New Roman" w:eastAsia="宋体" w:cs="Times New Roman"/>
                      <w:b/>
                      <w:bCs/>
                      <w:color w:val="auto"/>
                      <w:sz w:val="21"/>
                      <w:szCs w:val="21"/>
                      <w:highlight w:val="none"/>
                      <w:vertAlign w:val="subscript"/>
                    </w:rPr>
                    <w:t>d</w:t>
                  </w:r>
                  <w:r>
                    <w:rPr>
                      <w:rFonts w:hint="default" w:ascii="Times New Roman" w:hAnsi="Times New Roman" w:eastAsia="宋体" w:cs="Times New Roman"/>
                      <w:b/>
                      <w:bCs/>
                      <w:color w:val="auto"/>
                      <w:sz w:val="21"/>
                      <w:szCs w:val="21"/>
                      <w:highlight w:val="none"/>
                    </w:rPr>
                    <w:t>）</w:t>
                  </w:r>
                </w:p>
              </w:tc>
              <w:tc>
                <w:tcPr>
                  <w:tcW w:w="124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空气干燥基全硫（S</w:t>
                  </w:r>
                  <w:r>
                    <w:rPr>
                      <w:rFonts w:hint="default" w:ascii="Times New Roman" w:hAnsi="Times New Roman" w:eastAsia="宋体" w:cs="Times New Roman"/>
                      <w:b/>
                      <w:bCs/>
                      <w:color w:val="auto"/>
                      <w:sz w:val="21"/>
                      <w:szCs w:val="21"/>
                      <w:highlight w:val="none"/>
                      <w:vertAlign w:val="subscript"/>
                    </w:rPr>
                    <w:t>t,ad</w:t>
                  </w:r>
                  <w:r>
                    <w:rPr>
                      <w:rFonts w:hint="default" w:ascii="Times New Roman" w:hAnsi="Times New Roman" w:eastAsia="宋体" w:cs="Times New Roman"/>
                      <w:b/>
                      <w:bCs/>
                      <w:color w:val="auto"/>
                      <w:sz w:val="21"/>
                      <w:szCs w:val="21"/>
                      <w:highlight w:val="none"/>
                    </w:rPr>
                    <w:t>）</w:t>
                  </w:r>
                </w:p>
              </w:tc>
              <w:tc>
                <w:tcPr>
                  <w:tcW w:w="14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空气干燥基氢元素（H</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5.0%</w:t>
                  </w:r>
                </w:p>
              </w:tc>
              <w:tc>
                <w:tcPr>
                  <w:tcW w:w="137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1.96%</w:t>
                  </w:r>
                </w:p>
              </w:tc>
              <w:tc>
                <w:tcPr>
                  <w:tcW w:w="9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2.94%</w:t>
                  </w:r>
                </w:p>
              </w:tc>
              <w:tc>
                <w:tcPr>
                  <w:tcW w:w="122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83.33%</w:t>
                  </w:r>
                </w:p>
              </w:tc>
              <w:tc>
                <w:tcPr>
                  <w:tcW w:w="1337"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16.32%</w:t>
                  </w:r>
                </w:p>
              </w:tc>
              <w:tc>
                <w:tcPr>
                  <w:tcW w:w="124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lang w:val="en-US" w:eastAsia="zh-CN"/>
                    </w:rPr>
                    <w:t>5%</w:t>
                  </w:r>
                </w:p>
              </w:tc>
              <w:tc>
                <w:tcPr>
                  <w:tcW w:w="1420" w:type="dxa"/>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空气干燥基弹筒发热量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b</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sz w:val="21"/>
                      <w:szCs w:val="21"/>
                      <w:highlight w:val="none"/>
                      <w:lang w:val="en-US" w:eastAsia="zh-CN"/>
                    </w:rPr>
                    <w:t>MJ/kg</w:t>
                  </w:r>
                  <w:r>
                    <w:rPr>
                      <w:rFonts w:hint="default" w:ascii="Times New Roman" w:hAnsi="Times New Roman" w:eastAsia="宋体" w:cs="Times New Roman"/>
                      <w:b/>
                      <w:bCs/>
                      <w:color w:val="auto"/>
                      <w:sz w:val="21"/>
                      <w:szCs w:val="21"/>
                      <w:highlight w:val="none"/>
                      <w:lang w:eastAsia="zh-CN"/>
                    </w:rPr>
                    <w:t>）</w:t>
                  </w:r>
                </w:p>
              </w:tc>
              <w:tc>
                <w:tcPr>
                  <w:tcW w:w="2160"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空气干燥基高位发热量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gr</w:t>
                  </w:r>
                  <w:r>
                    <w:rPr>
                      <w:rFonts w:hint="default" w:ascii="Times New Roman" w:hAnsi="Times New Roman" w:eastAsia="宋体" w:cs="Times New Roman"/>
                      <w:b/>
                      <w:bCs/>
                      <w:color w:val="auto"/>
                      <w:sz w:val="21"/>
                      <w:szCs w:val="21"/>
                      <w:highlight w:val="none"/>
                      <w:vertAlign w:val="subscript"/>
                    </w:rPr>
                    <w:t>,ad</w:t>
                  </w:r>
                  <w:r>
                    <w:rPr>
                      <w:rFonts w:hint="default" w:ascii="Times New Roman" w:hAnsi="Times New Roman" w:eastAsia="宋体" w:cs="Times New Roman"/>
                      <w:b/>
                      <w:bCs/>
                      <w:color w:val="auto"/>
                      <w:sz w:val="21"/>
                      <w:szCs w:val="21"/>
                      <w:highlight w:val="none"/>
                    </w:rPr>
                    <w:t>）</w:t>
                  </w:r>
                </w:p>
              </w:tc>
              <w:tc>
                <w:tcPr>
                  <w:tcW w:w="2189"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收到基恒容低位发热量</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Q</w:t>
                  </w:r>
                  <w:r>
                    <w:rPr>
                      <w:rFonts w:hint="default" w:ascii="Times New Roman" w:hAnsi="Times New Roman" w:eastAsia="宋体" w:cs="Times New Roman"/>
                      <w:b/>
                      <w:bCs/>
                      <w:color w:val="auto"/>
                      <w:sz w:val="21"/>
                      <w:szCs w:val="21"/>
                      <w:highlight w:val="none"/>
                      <w:vertAlign w:val="subscript"/>
                      <w:lang w:val="en-US" w:eastAsia="zh-CN"/>
                    </w:rPr>
                    <w:t>net</w:t>
                  </w:r>
                  <w:r>
                    <w:rPr>
                      <w:rFonts w:hint="default" w:ascii="Times New Roman" w:hAnsi="Times New Roman" w:eastAsia="宋体" w:cs="Times New Roman"/>
                      <w:b/>
                      <w:bCs/>
                      <w:color w:val="auto"/>
                      <w:sz w:val="21"/>
                      <w:szCs w:val="21"/>
                      <w:highlight w:val="none"/>
                      <w:vertAlign w:val="subscript"/>
                    </w:rPr>
                    <w:t>,</w:t>
                  </w:r>
                  <w:r>
                    <w:rPr>
                      <w:rFonts w:hint="default" w:ascii="Times New Roman" w:hAnsi="Times New Roman" w:eastAsia="宋体" w:cs="Times New Roman"/>
                      <w:b/>
                      <w:bCs/>
                      <w:color w:val="auto"/>
                      <w:sz w:val="21"/>
                      <w:szCs w:val="21"/>
                      <w:highlight w:val="none"/>
                      <w:vertAlign w:val="subscript"/>
                      <w:lang w:val="en-US" w:eastAsia="zh-CN"/>
                    </w:rPr>
                    <w:t>v</w:t>
                  </w:r>
                  <w:r>
                    <w:rPr>
                      <w:rFonts w:hint="default" w:ascii="Times New Roman" w:hAnsi="Times New Roman" w:eastAsia="宋体" w:cs="Times New Roman"/>
                      <w:b/>
                      <w:bCs/>
                      <w:color w:val="auto"/>
                      <w:sz w:val="21"/>
                      <w:szCs w:val="21"/>
                      <w:highlight w:val="none"/>
                      <w:vertAlign w:val="subscript"/>
                    </w:rPr>
                    <w:t>,a</w:t>
                  </w:r>
                  <w:r>
                    <w:rPr>
                      <w:rFonts w:hint="default" w:ascii="Times New Roman" w:hAnsi="Times New Roman" w:eastAsia="宋体" w:cs="Times New Roman"/>
                      <w:b/>
                      <w:bCs/>
                      <w:color w:val="auto"/>
                      <w:sz w:val="21"/>
                      <w:szCs w:val="21"/>
                      <w:highlight w:val="none"/>
                      <w:vertAlign w:val="subscript"/>
                      <w:lang w:val="en-US" w:eastAsia="zh-CN"/>
                    </w:rPr>
                    <w:t>r</w:t>
                  </w:r>
                  <w:r>
                    <w:rPr>
                      <w:rFonts w:hint="default" w:ascii="Times New Roman" w:hAnsi="Times New Roman" w:eastAsia="宋体" w:cs="Times New Roman"/>
                      <w:b/>
                      <w:bCs/>
                      <w:color w:val="auto"/>
                      <w:sz w:val="21"/>
                      <w:szCs w:val="21"/>
                      <w:highlight w:val="none"/>
                    </w:rPr>
                    <w:t>）</w:t>
                  </w:r>
                </w:p>
              </w:tc>
              <w:tc>
                <w:tcPr>
                  <w:tcW w:w="1816"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粉末状燃料含量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218"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18.42MJ/kg</w:t>
                  </w:r>
                </w:p>
              </w:tc>
              <w:tc>
                <w:tcPr>
                  <w:tcW w:w="2160"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18.39MJ/kg</w:t>
                  </w:r>
                </w:p>
              </w:tc>
              <w:tc>
                <w:tcPr>
                  <w:tcW w:w="2189"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17.93MJ/kg</w:t>
                  </w:r>
                </w:p>
              </w:tc>
              <w:tc>
                <w:tcPr>
                  <w:tcW w:w="1816" w:type="dxa"/>
                  <w:gridSpan w:val="2"/>
                  <w:tcBorders>
                    <w:tl2br w:val="nil"/>
                    <w:tr2bl w:val="nil"/>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1.7%</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jc w:val="left"/>
              <w:textAlignment w:val="auto"/>
              <w:outlineLvl w:val="9"/>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color w:val="auto"/>
                <w:sz w:val="24"/>
                <w:lang w:eastAsia="zh-CN"/>
              </w:rPr>
              <w:t>根据建设单位提供的资料可知，本项目拟安装的锅炉各参数见表</w:t>
            </w:r>
            <w:r>
              <w:rPr>
                <w:rFonts w:hint="default" w:ascii="Times New Roman" w:hAnsi="Times New Roman" w:eastAsia="宋体" w:cs="Times New Roman"/>
                <w:color w:val="auto"/>
                <w:sz w:val="24"/>
                <w:lang w:val="en-US" w:eastAsia="zh-CN"/>
              </w:rPr>
              <w:t>4-3所示。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表4-3</w:t>
            </w:r>
            <w:r>
              <w:rPr>
                <w:rFonts w:hint="default" w:ascii="Times New Roman" w:hAnsi="Times New Roman" w:eastAsia="宋体" w:cs="Times New Roman"/>
                <w:b/>
                <w:color w:val="auto"/>
                <w:sz w:val="21"/>
                <w:szCs w:val="21"/>
              </w:rPr>
              <w:t xml:space="preserve"> </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锅炉基本参数</w:t>
            </w:r>
          </w:p>
          <w:tbl>
            <w:tblPr>
              <w:tblStyle w:val="27"/>
              <w:tblW w:w="83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878"/>
              <w:gridCol w:w="976"/>
              <w:gridCol w:w="695"/>
              <w:gridCol w:w="1000"/>
              <w:gridCol w:w="878"/>
              <w:gridCol w:w="888"/>
              <w:gridCol w:w="113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1"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锅炉型号</w:t>
                  </w:r>
                </w:p>
              </w:tc>
              <w:tc>
                <w:tcPr>
                  <w:tcW w:w="878"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额定蒸发量</w:t>
                  </w:r>
                </w:p>
              </w:tc>
              <w:tc>
                <w:tcPr>
                  <w:tcW w:w="976"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额定</w:t>
                  </w:r>
                  <w:r>
                    <w:rPr>
                      <w:rFonts w:hint="eastAsia" w:cs="Times New Roman"/>
                      <w:b/>
                      <w:bCs/>
                      <w:color w:val="auto"/>
                      <w:sz w:val="21"/>
                      <w:szCs w:val="21"/>
                      <w:lang w:eastAsia="zh-CN"/>
                    </w:rPr>
                    <w:t>工作</w:t>
                  </w:r>
                  <w:r>
                    <w:rPr>
                      <w:rFonts w:hint="default" w:ascii="Times New Roman" w:hAnsi="Times New Roman" w:eastAsia="宋体" w:cs="Times New Roman"/>
                      <w:b/>
                      <w:bCs/>
                      <w:color w:val="auto"/>
                      <w:sz w:val="21"/>
                      <w:szCs w:val="21"/>
                    </w:rPr>
                    <w:t>压力</w:t>
                  </w:r>
                </w:p>
              </w:tc>
              <w:tc>
                <w:tcPr>
                  <w:tcW w:w="695" w:type="dxa"/>
                  <w:tcBorders>
                    <w:tl2br w:val="nil"/>
                    <w:tr2bl w:val="nil"/>
                  </w:tcBorders>
                  <w:noWrap w:val="0"/>
                  <w:vAlign w:val="center"/>
                </w:tcPr>
                <w:p>
                  <w:pPr>
                    <w:pStyle w:val="2"/>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给水温度</w:t>
                  </w:r>
                </w:p>
              </w:tc>
              <w:tc>
                <w:tcPr>
                  <w:tcW w:w="1000" w:type="dxa"/>
                  <w:tcBorders>
                    <w:tl2br w:val="nil"/>
                    <w:tr2bl w:val="nil"/>
                  </w:tcBorders>
                  <w:noWrap w:val="0"/>
                  <w:vAlign w:val="center"/>
                </w:tcPr>
                <w:p>
                  <w:pPr>
                    <w:pStyle w:val="2"/>
                    <w:keepLines w:val="0"/>
                    <w:widowControl w:val="0"/>
                    <w:suppressLineNumbers w:val="0"/>
                    <w:spacing w:beforeAutospacing="0" w:afterAutospacing="0"/>
                    <w:ind w:left="0" w:leftChars="0" w:right="0" w:righ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出口</w:t>
                  </w:r>
                  <w:r>
                    <w:rPr>
                      <w:rFonts w:hint="default" w:ascii="Times New Roman" w:hAnsi="Times New Roman" w:eastAsia="宋体" w:cs="Times New Roman"/>
                      <w:b/>
                      <w:bCs/>
                      <w:color w:val="auto"/>
                      <w:sz w:val="21"/>
                      <w:szCs w:val="21"/>
                    </w:rPr>
                    <w:t>蒸汽温度</w:t>
                  </w:r>
                </w:p>
              </w:tc>
              <w:tc>
                <w:tcPr>
                  <w:tcW w:w="878" w:type="dxa"/>
                  <w:tcBorders>
                    <w:tl2br w:val="nil"/>
                    <w:tr2bl w:val="nil"/>
                  </w:tcBorders>
                  <w:noWrap w:val="0"/>
                  <w:vAlign w:val="center"/>
                </w:tcPr>
                <w:p>
                  <w:pPr>
                    <w:pStyle w:val="2"/>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排烟</w:t>
                  </w:r>
                </w:p>
                <w:p>
                  <w:pPr>
                    <w:pStyle w:val="2"/>
                    <w:keepNext/>
                    <w:keepLines w:val="0"/>
                    <w:pageBreakBefore w:val="0"/>
                    <w:widowControl w:val="0"/>
                    <w:suppressLineNumbers w:val="0"/>
                    <w:kinsoku/>
                    <w:wordWrap/>
                    <w:overflowPunct/>
                    <w:topLinePunct w:val="0"/>
                    <w:autoSpaceDE/>
                    <w:autoSpaceDN/>
                    <w:bidi w:val="0"/>
                    <w:adjustRightInd/>
                    <w:snapToGrid/>
                    <w:spacing w:beforeAutospacing="0" w:after="0" w:afterAutospacing="0"/>
                    <w:ind w:left="0" w:leftChars="0" w:right="0"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温度</w:t>
                  </w:r>
                </w:p>
              </w:tc>
              <w:tc>
                <w:tcPr>
                  <w:tcW w:w="888"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eastAsia" w:cs="Times New Roman"/>
                      <w:b/>
                      <w:bCs/>
                      <w:color w:val="auto"/>
                      <w:sz w:val="21"/>
                      <w:szCs w:val="21"/>
                      <w:highlight w:val="none"/>
                      <w:lang w:val="en-US" w:eastAsia="zh-CN"/>
                    </w:rPr>
                    <w:t>炉排有效面积</w:t>
                  </w:r>
                </w:p>
              </w:tc>
              <w:tc>
                <w:tcPr>
                  <w:tcW w:w="1137"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lang w:eastAsia="zh-CN"/>
                    </w:rPr>
                  </w:pPr>
                  <w:r>
                    <w:rPr>
                      <w:rFonts w:hint="eastAsia" w:cs="Times New Roman"/>
                      <w:b/>
                      <w:bCs/>
                      <w:color w:val="auto"/>
                      <w:sz w:val="21"/>
                      <w:szCs w:val="21"/>
                      <w:highlight w:val="none"/>
                      <w:lang w:val="en-US" w:eastAsia="zh-CN"/>
                    </w:rPr>
                    <w:t>省煤器</w:t>
                  </w:r>
                  <w:r>
                    <w:rPr>
                      <w:rFonts w:hint="default" w:ascii="Times New Roman" w:hAnsi="Times New Roman" w:eastAsia="宋体" w:cs="Times New Roman"/>
                      <w:b/>
                      <w:bCs/>
                      <w:color w:val="auto"/>
                      <w:sz w:val="21"/>
                      <w:szCs w:val="21"/>
                      <w:highlight w:val="none"/>
                      <w:lang w:eastAsia="zh-CN"/>
                    </w:rPr>
                    <w:t>受热面积</w:t>
                  </w:r>
                </w:p>
              </w:tc>
              <w:tc>
                <w:tcPr>
                  <w:tcW w:w="902"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锅炉</w:t>
                  </w:r>
                  <w:r>
                    <w:rPr>
                      <w:rFonts w:hint="default" w:ascii="Times New Roman" w:hAnsi="Times New Roman" w:eastAsia="宋体" w:cs="Times New Roman"/>
                      <w:b/>
                      <w:bCs/>
                      <w:color w:val="auto"/>
                      <w:sz w:val="21"/>
                      <w:szCs w:val="21"/>
                      <w:highlight w:val="none"/>
                    </w:rPr>
                    <w:t>设计效率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41"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DZL10-1.25-SCI</w:t>
                  </w:r>
                </w:p>
              </w:tc>
              <w:tc>
                <w:tcPr>
                  <w:tcW w:w="878"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t/h</w:t>
                  </w:r>
                </w:p>
              </w:tc>
              <w:tc>
                <w:tcPr>
                  <w:tcW w:w="976"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1.25</w:t>
                  </w:r>
                  <w:r>
                    <w:rPr>
                      <w:rFonts w:hint="default" w:ascii="Times New Roman" w:hAnsi="Times New Roman" w:eastAsia="宋体" w:cs="Times New Roman"/>
                      <w:color w:val="auto"/>
                      <w:sz w:val="21"/>
                      <w:szCs w:val="21"/>
                    </w:rPr>
                    <w:t>Mpa</w:t>
                  </w:r>
                </w:p>
              </w:tc>
              <w:tc>
                <w:tcPr>
                  <w:tcW w:w="695"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000" w:type="dxa"/>
                  <w:tcBorders>
                    <w:tl2br w:val="nil"/>
                    <w:tr2bl w:val="nil"/>
                  </w:tcBorders>
                  <w:noWrap w:val="0"/>
                  <w:vAlign w:val="center"/>
                </w:tcPr>
                <w:p>
                  <w:pPr>
                    <w:pStyle w:val="2"/>
                    <w:keepLines w:val="0"/>
                    <w:widowControl w:val="0"/>
                    <w:suppressLineNumbers w:val="0"/>
                    <w:spacing w:beforeAutospacing="0" w:afterAutospacing="0"/>
                    <w:ind w:left="0" w:leftChars="0" w:right="0" w:rightChars="0"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194</w:t>
                  </w:r>
                  <w:r>
                    <w:rPr>
                      <w:rFonts w:hint="default" w:ascii="Times New Roman" w:hAnsi="Times New Roman" w:eastAsia="宋体" w:cs="Times New Roman"/>
                      <w:color w:val="auto"/>
                      <w:sz w:val="21"/>
                      <w:szCs w:val="21"/>
                    </w:rPr>
                    <w:t>℃</w:t>
                  </w:r>
                </w:p>
              </w:tc>
              <w:tc>
                <w:tcPr>
                  <w:tcW w:w="878"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both"/>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135</w:t>
                  </w:r>
                  <w:r>
                    <w:rPr>
                      <w:rFonts w:hint="default" w:ascii="Times New Roman" w:hAnsi="Times New Roman" w:eastAsia="宋体" w:cs="Times New Roman"/>
                      <w:color w:val="auto"/>
                      <w:sz w:val="21"/>
                      <w:szCs w:val="21"/>
                    </w:rPr>
                    <w:t>℃</w:t>
                  </w:r>
                </w:p>
              </w:tc>
              <w:tc>
                <w:tcPr>
                  <w:tcW w:w="888"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12</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137"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116</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902" w:type="dxa"/>
                  <w:tcBorders>
                    <w:tl2br w:val="nil"/>
                    <w:tr2bl w:val="nil"/>
                  </w:tcBorders>
                  <w:noWrap w:val="0"/>
                  <w:vAlign w:val="center"/>
                </w:tcPr>
                <w:p>
                  <w:pPr>
                    <w:pStyle w:val="2"/>
                    <w:keepLines w:val="0"/>
                    <w:widowControl w:val="0"/>
                    <w:suppressLineNumbers w:val="0"/>
                    <w:spacing w:beforeAutospacing="0" w:afterAutospacing="0"/>
                    <w:ind w:left="0" w:leftChars="0" w:right="0" w:firstLine="0" w:firstLineChars="0"/>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86.8</w:t>
                  </w:r>
                  <w:r>
                    <w:rPr>
                      <w:rFonts w:hint="default" w:ascii="Times New Roman" w:hAnsi="Times New Roman" w:eastAsia="宋体" w:cs="Times New Roman"/>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生物质燃料用量根据《环境统计手册》进行计算，其计算方法如下：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position w:val="-30"/>
                <w:sz w:val="24"/>
                <w:lang w:eastAsia="zh-CN"/>
              </w:rPr>
              <w:object>
                <v:shape id="_x0000_i1031" o:spt="75" type="#_x0000_t75" style="height:36pt;width:75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4" r:id="rId27">
                  <o:LockedField>false</o:LockedField>
                </o:OLEObject>
              </w:object>
            </w:r>
            <w:r>
              <w:rPr>
                <w:rFonts w:hint="default" w:ascii="Times New Roman" w:hAnsi="Times New Roman" w:eastAsia="宋体" w:cs="Times New Roman"/>
                <w:color w:val="auto"/>
                <w:position w:val="-30"/>
                <w:sz w:val="24"/>
                <w:lang w:val="en-US" w:eastAsia="zh-CN"/>
              </w:rPr>
              <w:t xml:space="preserve">     （1）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w:t>式中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B</w:t>
            </w:r>
            <w:r>
              <w:rPr>
                <w:rFonts w:hint="default" w:ascii="Times New Roman" w:hAnsi="Times New Roman" w:eastAsia="宋体" w:cs="Times New Roman"/>
                <w:color w:val="auto"/>
                <w:sz w:val="24"/>
              </w:rPr>
              <w:t>——锅炉燃料耗量（单位kg/h）；</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D</w:t>
            </w:r>
            <w:r>
              <w:rPr>
                <w:rFonts w:hint="default" w:ascii="Times New Roman" w:hAnsi="Times New Roman" w:eastAsia="宋体" w:cs="Times New Roman"/>
                <w:color w:val="auto"/>
                <w:sz w:val="24"/>
              </w:rPr>
              <w:t>——锅炉产气量（单位kg/h），本项目</w:t>
            </w:r>
            <w:r>
              <w:rPr>
                <w:rFonts w:hint="eastAsia" w:cs="Times New Roman"/>
                <w:color w:val="auto"/>
                <w:sz w:val="24"/>
                <w:lang w:eastAsia="zh-CN"/>
              </w:rPr>
              <w:t>单台</w:t>
            </w:r>
            <w:r>
              <w:rPr>
                <w:rFonts w:hint="default" w:ascii="Times New Roman" w:hAnsi="Times New Roman" w:eastAsia="宋体" w:cs="Times New Roman"/>
                <w:color w:val="auto"/>
                <w:sz w:val="24"/>
              </w:rPr>
              <w:t>锅炉为</w:t>
            </w:r>
            <w:r>
              <w:rPr>
                <w:rFonts w:hint="eastAsia" w:cs="Times New Roman"/>
                <w:color w:val="auto"/>
                <w:sz w:val="24"/>
                <w:lang w:val="en-US" w:eastAsia="zh-CN"/>
              </w:rPr>
              <w:t>10000kg/h</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Q</w:t>
            </w:r>
            <w:r>
              <w:rPr>
                <w:rFonts w:hint="default" w:ascii="Times New Roman" w:hAnsi="Times New Roman" w:eastAsia="宋体" w:cs="Times New Roman"/>
                <w:color w:val="auto"/>
                <w:sz w:val="24"/>
                <w:highlight w:val="none"/>
                <w:vertAlign w:val="subscript"/>
                <w:lang w:val="en-US" w:eastAsia="zh-CN"/>
              </w:rPr>
              <w:t>L</w:t>
            </w:r>
            <w:r>
              <w:rPr>
                <w:rFonts w:hint="default" w:ascii="Times New Roman" w:hAnsi="Times New Roman" w:eastAsia="宋体" w:cs="Times New Roman"/>
                <w:color w:val="auto"/>
                <w:sz w:val="24"/>
                <w:highlight w:val="none"/>
              </w:rPr>
              <w:t>——燃料的低位发热值（单位kJ/kg）</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根据</w:t>
            </w:r>
            <w:r>
              <w:rPr>
                <w:rFonts w:hint="default" w:ascii="Times New Roman" w:hAnsi="Times New Roman" w:eastAsia="宋体" w:cs="Times New Roman"/>
                <w:color w:val="auto"/>
                <w:sz w:val="24"/>
                <w:highlight w:val="none"/>
                <w:lang w:eastAsia="zh-CN"/>
              </w:rPr>
              <w:t>厂家提供的生物质检验报告可知</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本项目使用的</w:t>
            </w:r>
            <w:r>
              <w:rPr>
                <w:rFonts w:hint="default" w:ascii="Times New Roman" w:hAnsi="Times New Roman" w:eastAsia="宋体" w:cs="Times New Roman"/>
                <w:color w:val="auto"/>
                <w:sz w:val="24"/>
                <w:highlight w:val="none"/>
              </w:rPr>
              <w:t>生物质</w:t>
            </w:r>
            <w:r>
              <w:rPr>
                <w:rFonts w:hint="default" w:ascii="Times New Roman" w:hAnsi="Times New Roman" w:eastAsia="宋体" w:cs="Times New Roman"/>
                <w:color w:val="auto"/>
                <w:sz w:val="24"/>
                <w:highlight w:val="none"/>
                <w:lang w:eastAsia="zh-CN"/>
              </w:rPr>
              <w:t>成型颗粒</w:t>
            </w:r>
            <w:r>
              <w:rPr>
                <w:rFonts w:hint="default" w:ascii="Times New Roman" w:hAnsi="Times New Roman" w:eastAsia="宋体" w:cs="Times New Roman"/>
                <w:color w:val="auto"/>
                <w:sz w:val="24"/>
                <w:highlight w:val="none"/>
              </w:rPr>
              <w:t>燃料低位发热值为</w:t>
            </w:r>
            <w:r>
              <w:rPr>
                <w:rFonts w:hint="eastAsia" w:cs="Times New Roman"/>
                <w:color w:val="auto"/>
                <w:sz w:val="24"/>
                <w:highlight w:val="none"/>
                <w:lang w:val="en-US" w:eastAsia="zh-CN"/>
              </w:rPr>
              <w:t>17930</w:t>
            </w:r>
            <w:r>
              <w:rPr>
                <w:rFonts w:hint="default" w:ascii="Times New Roman" w:hAnsi="Times New Roman" w:eastAsia="宋体" w:cs="Times New Roman"/>
                <w:color w:val="auto"/>
                <w:sz w:val="24"/>
                <w:highlight w:val="none"/>
                <w:lang w:val="en-US" w:eastAsia="zh-CN"/>
              </w:rPr>
              <w:t>k</w:t>
            </w:r>
            <w:r>
              <w:rPr>
                <w:rFonts w:hint="default" w:ascii="Times New Roman" w:hAnsi="Times New Roman" w:eastAsia="宋体" w:cs="Times New Roman"/>
                <w:color w:val="auto"/>
                <w:sz w:val="24"/>
                <w:highlight w:val="none"/>
              </w:rPr>
              <w:t>J/kg</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left"/>
              <w:textAlignment w:val="auto"/>
              <w:outlineLvl w:val="9"/>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n</w:t>
            </w:r>
            <w:r>
              <w:rPr>
                <w:rFonts w:hint="default" w:ascii="Times New Roman" w:hAnsi="Times New Roman" w:eastAsia="宋体" w:cs="Times New Roman"/>
                <w:color w:val="auto"/>
                <w:sz w:val="24"/>
              </w:rPr>
              <w:t>——锅炉的热效率，项目锅</w:t>
            </w:r>
            <w:r>
              <w:rPr>
                <w:rFonts w:hint="default" w:ascii="Times New Roman" w:hAnsi="Times New Roman" w:eastAsia="宋体" w:cs="Times New Roman"/>
                <w:color w:val="auto"/>
                <w:sz w:val="24"/>
                <w:highlight w:val="none"/>
              </w:rPr>
              <w:t>炉热效率为</w:t>
            </w:r>
            <w:r>
              <w:rPr>
                <w:rFonts w:hint="eastAsia" w:cs="Times New Roman"/>
                <w:color w:val="auto"/>
                <w:sz w:val="24"/>
                <w:highlight w:val="none"/>
                <w:lang w:val="en-US" w:eastAsia="zh-CN"/>
              </w:rPr>
              <w:t>86.8</w:t>
            </w:r>
            <w:r>
              <w:rPr>
                <w:rFonts w:hint="default" w:ascii="Times New Roman" w:hAnsi="Times New Roman" w:eastAsia="宋体" w:cs="Times New Roman"/>
                <w:color w:val="auto"/>
                <w:sz w:val="24"/>
                <w:highlight w:val="none"/>
              </w:rPr>
              <w:t>%；</w:t>
            </w:r>
          </w:p>
          <w:p>
            <w:pPr>
              <w:spacing w:line="360" w:lineRule="auto"/>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4"/>
                <w:sz w:val="24"/>
                <w:lang w:val="en-US" w:eastAsia="zh-CN"/>
              </w:rPr>
              <w:t>i"</w:t>
            </w:r>
            <w:r>
              <w:rPr>
                <w:rFonts w:hint="default" w:ascii="Times New Roman" w:hAnsi="Times New Roman" w:eastAsia="宋体" w:cs="Times New Roman"/>
                <w:color w:val="auto"/>
                <w:sz w:val="24"/>
              </w:rPr>
              <w:t>——锅炉在绝对工作压力下的饱和蒸汽热焓值（单位kJ/kg），</w:t>
            </w:r>
            <w:r>
              <w:rPr>
                <w:color w:val="auto"/>
                <w:sz w:val="24"/>
              </w:rPr>
              <w:t>项目锅炉额定蒸汽压力为1.25MPa，经查询蒸汽热焓值为2785.14kJ/kg</w:t>
            </w:r>
            <w:r>
              <w:rPr>
                <w:rFonts w:hint="default" w:ascii="Times New Roman" w:hAnsi="Times New Roman" w:eastAsia="宋体" w:cs="Times New Roman"/>
                <w:color w:val="auto"/>
                <w:sz w:val="24"/>
              </w:rPr>
              <w:t>；</w:t>
            </w:r>
          </w:p>
          <w:p>
            <w:pPr>
              <w:widowControl w:val="0"/>
              <w:spacing w:line="360" w:lineRule="auto"/>
              <w:ind w:firstLine="1200" w:firstLineChars="50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position w:val="-4"/>
                <w:sz w:val="24"/>
                <w:lang w:val="en-US" w:eastAsia="zh-CN"/>
              </w:rPr>
              <w:t>i’</w:t>
            </w:r>
            <w:r>
              <w:rPr>
                <w:rFonts w:hint="default" w:ascii="Times New Roman" w:hAnsi="Times New Roman" w:eastAsia="宋体" w:cs="Times New Roman"/>
                <w:color w:val="auto"/>
                <w:sz w:val="24"/>
              </w:rPr>
              <w:t>——锅炉给水热焓值（单位kJ/kg），</w:t>
            </w:r>
            <w:r>
              <w:rPr>
                <w:rFonts w:hint="default" w:ascii="Times New Roman" w:hAnsi="Times New Roman" w:eastAsia="宋体" w:cs="Times New Roman"/>
                <w:color w:val="auto"/>
                <w:sz w:val="24"/>
                <w:lang w:val="en-US" w:eastAsia="zh-CN"/>
              </w:rPr>
              <w:t>本项目</w:t>
            </w:r>
            <w:r>
              <w:rPr>
                <w:rFonts w:hint="default" w:ascii="Times New Roman" w:hAnsi="Times New Roman" w:eastAsia="宋体" w:cs="Times New Roman"/>
                <w:color w:val="auto"/>
                <w:sz w:val="24"/>
              </w:rPr>
              <w:t>锅炉给水温度为20℃，给水热焓值为83.71kJ/kg；</w:t>
            </w:r>
          </w:p>
          <w:p>
            <w:pPr>
              <w:pStyle w:val="2"/>
              <w:spacing w:after="0" w:line="348" w:lineRule="auto"/>
              <w:ind w:left="0" w:leftChars="0" w:firstLine="480"/>
              <w:jc w:val="left"/>
              <w:rPr>
                <w:color w:val="auto"/>
                <w:sz w:val="24"/>
              </w:rPr>
            </w:pPr>
            <w:r>
              <w:rPr>
                <w:rFonts w:hint="default" w:ascii="Times New Roman" w:hAnsi="Times New Roman" w:eastAsia="宋体" w:cs="Times New Roman"/>
                <w:color w:val="auto"/>
                <w:sz w:val="24"/>
              </w:rPr>
              <w:t>经</w:t>
            </w:r>
            <w:r>
              <w:rPr>
                <w:rFonts w:hint="default" w:ascii="Times New Roman" w:hAnsi="Times New Roman" w:eastAsia="宋体" w:cs="Times New Roman"/>
                <w:color w:val="auto"/>
                <w:sz w:val="24"/>
                <w:lang w:eastAsia="zh-CN"/>
              </w:rPr>
              <w:t>以上公式及锅炉参数</w:t>
            </w:r>
            <w:r>
              <w:rPr>
                <w:rFonts w:hint="default" w:ascii="Times New Roman" w:hAnsi="Times New Roman" w:eastAsia="宋体" w:cs="Times New Roman"/>
                <w:color w:val="auto"/>
                <w:sz w:val="24"/>
              </w:rPr>
              <w:t>计算</w:t>
            </w:r>
            <w:r>
              <w:rPr>
                <w:rFonts w:hint="default" w:ascii="Times New Roman" w:hAnsi="Times New Roman" w:eastAsia="宋体" w:cs="Times New Roman"/>
                <w:color w:val="auto"/>
                <w:sz w:val="24"/>
                <w:lang w:eastAsia="zh-CN"/>
              </w:rPr>
              <w:t>得出，</w:t>
            </w:r>
            <w:r>
              <w:rPr>
                <w:color w:val="auto"/>
                <w:sz w:val="24"/>
              </w:rPr>
              <w:t>本项目共设置2台</w:t>
            </w:r>
            <w:r>
              <w:rPr>
                <w:rFonts w:hint="eastAsia"/>
                <w:color w:val="auto"/>
                <w:sz w:val="24"/>
                <w:lang w:val="en-US" w:eastAsia="zh-CN"/>
              </w:rPr>
              <w:t>10</w:t>
            </w:r>
            <w:r>
              <w:rPr>
                <w:color w:val="auto"/>
                <w:sz w:val="24"/>
              </w:rPr>
              <w:t>t/h的生物质蒸汽锅炉，</w:t>
            </w:r>
            <w:r>
              <w:rPr>
                <w:rFonts w:hint="eastAsia"/>
                <w:color w:val="auto"/>
                <w:sz w:val="24"/>
                <w:lang w:eastAsia="zh-CN"/>
              </w:rPr>
              <w:t>一用一备</w:t>
            </w:r>
            <w:r>
              <w:rPr>
                <w:color w:val="auto"/>
                <w:sz w:val="24"/>
              </w:rPr>
              <w:t>，即2台锅炉不存在同时使用的情况，则1台</w:t>
            </w:r>
            <w:r>
              <w:rPr>
                <w:rFonts w:hint="eastAsia"/>
                <w:color w:val="auto"/>
                <w:spacing w:val="6"/>
                <w:sz w:val="24"/>
                <w:lang w:val="en-US" w:eastAsia="zh-CN"/>
              </w:rPr>
              <w:t>10</w:t>
            </w:r>
            <w:r>
              <w:rPr>
                <w:color w:val="auto"/>
                <w:spacing w:val="6"/>
                <w:sz w:val="24"/>
              </w:rPr>
              <w:t>t/h</w:t>
            </w:r>
            <w:r>
              <w:rPr>
                <w:color w:val="auto"/>
                <w:sz w:val="24"/>
              </w:rPr>
              <w:t>锅炉满负荷运行时生物质燃料用量为</w:t>
            </w:r>
            <w:r>
              <w:rPr>
                <w:rFonts w:hint="eastAsia"/>
                <w:color w:val="auto"/>
                <w:sz w:val="24"/>
                <w:lang w:val="en-US" w:eastAsia="zh-CN"/>
              </w:rPr>
              <w:t>1735.7761</w:t>
            </w:r>
            <w:r>
              <w:rPr>
                <w:color w:val="auto"/>
                <w:sz w:val="24"/>
              </w:rPr>
              <w:t>kg/h，</w:t>
            </w:r>
            <w:r>
              <w:rPr>
                <w:rFonts w:hint="eastAsia"/>
                <w:color w:val="auto"/>
                <w:sz w:val="24"/>
                <w:lang w:val="en-US" w:eastAsia="zh-CN"/>
              </w:rPr>
              <w:t>20.8293</w:t>
            </w:r>
            <w:r>
              <w:rPr>
                <w:color w:val="auto"/>
                <w:sz w:val="24"/>
              </w:rPr>
              <w:t>t/d，</w:t>
            </w:r>
            <w:r>
              <w:rPr>
                <w:rFonts w:hint="eastAsia"/>
                <w:color w:val="auto"/>
                <w:sz w:val="24"/>
                <w:lang w:val="en-US" w:eastAsia="zh-CN"/>
              </w:rPr>
              <w:t>6248.7940</w:t>
            </w:r>
            <w:r>
              <w:rPr>
                <w:color w:val="auto"/>
                <w:sz w:val="24"/>
              </w:rPr>
              <w:t>t/a。</w:t>
            </w:r>
          </w:p>
          <w:p>
            <w:pPr>
              <w:pStyle w:val="2"/>
              <w:keepNext w:val="0"/>
              <w:keepLines w:val="0"/>
              <w:pageBreakBefore w:val="0"/>
              <w:widowControl w:val="0"/>
              <w:kinsoku/>
              <w:wordWrap/>
              <w:overflowPunct/>
              <w:topLinePunct w:val="0"/>
              <w:autoSpaceDE/>
              <w:autoSpaceDN/>
              <w:bidi w:val="0"/>
              <w:spacing w:beforeLines="0" w:after="0" w:afterLines="0" w:line="348" w:lineRule="auto"/>
              <w:ind w:left="0" w:leftChars="0" w:firstLine="480" w:firstLineChars="20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生物质锅炉</w:t>
            </w:r>
            <w:r>
              <w:rPr>
                <w:rFonts w:hint="default" w:ascii="Times New Roman" w:hAnsi="Times New Roman" w:eastAsia="宋体" w:cs="Times New Roman"/>
                <w:color w:val="auto"/>
                <w:sz w:val="24"/>
                <w:szCs w:val="24"/>
              </w:rPr>
              <w:t>燃料燃烧废气参</w:t>
            </w:r>
            <w:r>
              <w:rPr>
                <w:rFonts w:hint="default" w:ascii="Times New Roman" w:hAnsi="Times New Roman" w:eastAsia="宋体" w:cs="Times New Roman"/>
                <w:color w:val="auto"/>
                <w:sz w:val="24"/>
                <w:szCs w:val="24"/>
                <w:highlight w:val="none"/>
              </w:rPr>
              <w:t>照</w:t>
            </w:r>
            <w:r>
              <w:rPr>
                <w:rFonts w:hint="default" w:ascii="Times New Roman" w:hAnsi="Times New Roman" w:eastAsia="宋体" w:cs="Times New Roman"/>
                <w:color w:val="auto"/>
                <w:sz w:val="24"/>
                <w:szCs w:val="24"/>
                <w:highlight w:val="none"/>
                <w:lang w:val="en-US" w:eastAsia="zh-CN"/>
              </w:rPr>
              <w:t>中华人民共和国生态环境部2021年6月11日发布的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排放源统计调查产排污核算方法和系数手册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的公告（公告2021年第24号）</w:t>
            </w:r>
            <w:r>
              <w:rPr>
                <w:rFonts w:hint="default" w:ascii="Times New Roman" w:hAnsi="Times New Roman" w:eastAsia="宋体" w:cs="Times New Roman"/>
                <w:color w:val="auto"/>
                <w:sz w:val="24"/>
                <w:szCs w:val="24"/>
                <w:highlight w:val="none"/>
              </w:rPr>
              <w:t>中《</w:t>
            </w:r>
            <w:r>
              <w:rPr>
                <w:rFonts w:hint="default" w:ascii="Times New Roman" w:hAnsi="Times New Roman" w:eastAsia="宋体" w:cs="Times New Roman"/>
                <w:color w:val="auto"/>
                <w:sz w:val="24"/>
                <w:szCs w:val="24"/>
                <w:highlight w:val="none"/>
                <w:lang w:val="en-US" w:eastAsia="zh-CN"/>
              </w:rPr>
              <w:t>锅炉产排污量核算系数手册</w:t>
            </w:r>
            <w:r>
              <w:rPr>
                <w:rFonts w:hint="default" w:ascii="Times New Roman" w:hAnsi="Times New Roman" w:eastAsia="宋体" w:cs="Times New Roman"/>
                <w:color w:val="auto"/>
                <w:sz w:val="24"/>
                <w:szCs w:val="24"/>
                <w:highlight w:val="none"/>
              </w:rPr>
              <w:t>》4430工业锅炉（热力生产和供应行业）产排污系数表-</w:t>
            </w:r>
            <w:r>
              <w:rPr>
                <w:rFonts w:hint="default" w:ascii="Times New Roman" w:hAnsi="Times New Roman" w:eastAsia="宋体" w:cs="Times New Roman"/>
                <w:color w:val="auto"/>
                <w:sz w:val="24"/>
                <w:szCs w:val="24"/>
                <w:highlight w:val="none"/>
                <w:lang w:eastAsia="zh-CN"/>
              </w:rPr>
              <w:t>生物质</w:t>
            </w:r>
            <w:r>
              <w:rPr>
                <w:rFonts w:hint="default" w:ascii="Times New Roman" w:hAnsi="Times New Roman" w:eastAsia="宋体" w:cs="Times New Roman"/>
                <w:color w:val="auto"/>
                <w:sz w:val="24"/>
                <w:szCs w:val="24"/>
                <w:highlight w:val="none"/>
              </w:rPr>
              <w:t>工业锅炉的产排污系数进行计算</w:t>
            </w:r>
            <w:r>
              <w:rPr>
                <w:rFonts w:hint="default" w:ascii="Times New Roman" w:hAnsi="Times New Roman" w:eastAsia="宋体" w:cs="Times New Roman"/>
                <w:bCs/>
                <w:color w:val="auto"/>
                <w:spacing w:val="6"/>
                <w:sz w:val="24"/>
                <w:highlight w:val="none"/>
              </w:rPr>
              <w:t>，产排污系数见</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4-4</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表4-4  工业锅炉（热力生产和供应行业）产排污系数表-生物质工业锅炉（摘录）</w:t>
            </w:r>
          </w:p>
          <w:tbl>
            <w:tblPr>
              <w:tblStyle w:val="27"/>
              <w:tblW w:w="8434"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61"/>
              <w:gridCol w:w="770"/>
              <w:gridCol w:w="1019"/>
              <w:gridCol w:w="1513"/>
              <w:gridCol w:w="1046"/>
              <w:gridCol w:w="1572"/>
              <w:gridCol w:w="112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24"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产品名称</w:t>
                  </w:r>
                </w:p>
              </w:tc>
              <w:tc>
                <w:tcPr>
                  <w:tcW w:w="661"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原料名称</w:t>
                  </w:r>
                </w:p>
              </w:tc>
              <w:tc>
                <w:tcPr>
                  <w:tcW w:w="770"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lang w:val="en-US" w:eastAsia="zh-CN"/>
                    </w:rPr>
                  </w:pPr>
                  <w:r>
                    <w:rPr>
                      <w:rFonts w:hint="default" w:ascii="Times New Roman" w:hAnsi="Times New Roman" w:eastAsia="宋体" w:cs="Times New Roman"/>
                      <w:b/>
                      <w:bCs/>
                      <w:iCs/>
                      <w:color w:val="auto"/>
                      <w:sz w:val="21"/>
                      <w:szCs w:val="21"/>
                      <w:highlight w:val="none"/>
                      <w:lang w:val="en-US" w:eastAsia="zh-CN"/>
                    </w:rPr>
                    <w:t>工艺名称</w:t>
                  </w:r>
                </w:p>
              </w:tc>
              <w:tc>
                <w:tcPr>
                  <w:tcW w:w="10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污染物指标</w:t>
                  </w:r>
                </w:p>
              </w:tc>
              <w:tc>
                <w:tcPr>
                  <w:tcW w:w="1513"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单位</w:t>
                  </w:r>
                </w:p>
              </w:tc>
              <w:tc>
                <w:tcPr>
                  <w:tcW w:w="10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产污系数</w:t>
                  </w:r>
                </w:p>
              </w:tc>
              <w:tc>
                <w:tcPr>
                  <w:tcW w:w="157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末端治理技术名称</w:t>
                  </w:r>
                </w:p>
              </w:tc>
              <w:tc>
                <w:tcPr>
                  <w:tcW w:w="112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b/>
                      <w:bCs/>
                      <w:iCs/>
                      <w:color w:val="auto"/>
                      <w:sz w:val="21"/>
                      <w:szCs w:val="21"/>
                      <w:highlight w:val="none"/>
                    </w:rPr>
                  </w:pPr>
                  <w:r>
                    <w:rPr>
                      <w:rFonts w:hint="default" w:ascii="Times New Roman" w:hAnsi="Times New Roman" w:eastAsia="宋体" w:cs="Times New Roman"/>
                      <w:b/>
                      <w:bCs/>
                      <w:iCs/>
                      <w:color w:val="auto"/>
                      <w:sz w:val="21"/>
                      <w:szCs w:val="21"/>
                      <w:highlight w:val="none"/>
                    </w:rPr>
                    <w:t>排污系数</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4"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蒸汽/热水/其他</w:t>
                  </w:r>
                </w:p>
              </w:tc>
              <w:tc>
                <w:tcPr>
                  <w:tcW w:w="661"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eastAsia="zh-CN"/>
                    </w:rPr>
                    <w:t>生物质</w:t>
                  </w:r>
                  <w:r>
                    <w:rPr>
                      <w:rFonts w:hint="default" w:ascii="Times New Roman" w:hAnsi="Times New Roman" w:eastAsia="宋体" w:cs="Times New Roman"/>
                      <w:iCs/>
                      <w:color w:val="auto"/>
                      <w:sz w:val="21"/>
                      <w:szCs w:val="21"/>
                      <w:highlight w:val="none"/>
                      <w:lang w:val="en-US" w:eastAsia="zh-CN"/>
                    </w:rPr>
                    <w:t>燃料</w:t>
                  </w:r>
                </w:p>
              </w:tc>
              <w:tc>
                <w:tcPr>
                  <w:tcW w:w="770" w:type="dxa"/>
                  <w:vMerge w:val="restart"/>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层燃炉</w:t>
                  </w:r>
                </w:p>
              </w:tc>
              <w:tc>
                <w:tcPr>
                  <w:tcW w:w="10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工业废气量</w:t>
                  </w:r>
                </w:p>
              </w:tc>
              <w:tc>
                <w:tcPr>
                  <w:tcW w:w="1513" w:type="dxa"/>
                  <w:tcBorders>
                    <w:tl2br w:val="nil"/>
                    <w:tr2bl w:val="nil"/>
                  </w:tcBorders>
                  <w:noWrap w:val="0"/>
                  <w:vAlign w:val="top"/>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标立方米/</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eastAsia="zh-CN"/>
                    </w:rPr>
                    <w:t>6240</w:t>
                  </w:r>
                </w:p>
              </w:tc>
              <w:tc>
                <w:tcPr>
                  <w:tcW w:w="157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lang w:eastAsia="zh-CN"/>
                    </w:rPr>
                    <w:t>6240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24"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661"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770"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color w:val="auto"/>
                    </w:rPr>
                  </w:pPr>
                </w:p>
              </w:tc>
              <w:tc>
                <w:tcPr>
                  <w:tcW w:w="10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1513" w:type="dxa"/>
                  <w:tcBorders>
                    <w:tl2br w:val="nil"/>
                    <w:tr2bl w:val="nil"/>
                  </w:tcBorders>
                  <w:noWrap w:val="0"/>
                  <w:vAlign w:val="top"/>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vertAlign w:val="superscript"/>
                    </w:rPr>
                    <w:t>①</w:t>
                  </w:r>
                </w:p>
              </w:tc>
              <w:tc>
                <w:tcPr>
                  <w:tcW w:w="157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rPr>
                    <w:t>S</w:t>
                  </w:r>
                  <w:r>
                    <w:rPr>
                      <w:rFonts w:hint="default" w:ascii="Times New Roman" w:hAnsi="Times New Roman" w:eastAsia="宋体" w:cs="Times New Roman"/>
                      <w:color w:val="auto"/>
                      <w:sz w:val="21"/>
                      <w:szCs w:val="21"/>
                      <w:highlight w:val="none"/>
                      <w:vertAlign w:val="superscript"/>
                    </w:rPr>
                    <w:t>①</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c>
                <w:tcPr>
                  <w:tcW w:w="724"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61"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70"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颗粒物</w:t>
                  </w:r>
                </w:p>
              </w:tc>
              <w:tc>
                <w:tcPr>
                  <w:tcW w:w="1513" w:type="dxa"/>
                  <w:tcBorders>
                    <w:tl2br w:val="nil"/>
                    <w:tr2bl w:val="nil"/>
                  </w:tcBorders>
                  <w:noWrap w:val="0"/>
                  <w:vAlign w:val="top"/>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157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eastAsia" w:cs="Times New Roman"/>
                      <w:iCs/>
                      <w:color w:val="auto"/>
                      <w:sz w:val="21"/>
                      <w:szCs w:val="21"/>
                      <w:highlight w:val="none"/>
                      <w:lang w:val="en-US" w:eastAsia="zh-CN"/>
                    </w:rPr>
                    <w:t>布袋除尘器（95%）</w:t>
                  </w:r>
                </w:p>
              </w:tc>
              <w:tc>
                <w:tcPr>
                  <w:tcW w:w="112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025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661"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770" w:type="dxa"/>
                  <w:vMerge w:val="continue"/>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p>
              </w:tc>
              <w:tc>
                <w:tcPr>
                  <w:tcW w:w="101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iCs/>
                      <w:color w:val="auto"/>
                      <w:sz w:val="21"/>
                      <w:szCs w:val="21"/>
                      <w:highlight w:val="none"/>
                    </w:rPr>
                    <w:t>NO</w:t>
                  </w:r>
                  <w:r>
                    <w:rPr>
                      <w:rFonts w:hint="default" w:ascii="Times New Roman" w:hAnsi="Times New Roman" w:eastAsia="宋体" w:cs="Times New Roman"/>
                      <w:iCs/>
                      <w:color w:val="auto"/>
                      <w:sz w:val="21"/>
                      <w:szCs w:val="21"/>
                      <w:highlight w:val="none"/>
                      <w:vertAlign w:val="subscript"/>
                      <w:lang w:val="en-US"/>
                    </w:rPr>
                    <w:t>x</w:t>
                  </w:r>
                </w:p>
              </w:tc>
              <w:tc>
                <w:tcPr>
                  <w:tcW w:w="1513" w:type="dxa"/>
                  <w:tcBorders>
                    <w:tl2br w:val="nil"/>
                    <w:tr2bl w:val="nil"/>
                  </w:tcBorders>
                  <w:noWrap w:val="0"/>
                  <w:vAlign w:val="top"/>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千克/</w:t>
                  </w:r>
                  <w:r>
                    <w:rPr>
                      <w:rFonts w:hint="default" w:ascii="Times New Roman" w:hAnsi="Times New Roman" w:eastAsia="宋体" w:cs="Times New Roman"/>
                      <w:iCs/>
                      <w:color w:val="auto"/>
                      <w:sz w:val="21"/>
                      <w:szCs w:val="21"/>
                      <w:highlight w:val="none"/>
                      <w:lang w:val="en-US" w:eastAsia="zh-CN"/>
                    </w:rPr>
                    <w:t>吨</w:t>
                  </w:r>
                  <w:r>
                    <w:rPr>
                      <w:rFonts w:hint="default" w:ascii="Times New Roman" w:hAnsi="Times New Roman" w:eastAsia="宋体" w:cs="Times New Roman"/>
                      <w:iCs/>
                      <w:color w:val="auto"/>
                      <w:sz w:val="21"/>
                      <w:szCs w:val="21"/>
                      <w:highlight w:val="none"/>
                    </w:rPr>
                    <w:t>-原料</w:t>
                  </w:r>
                </w:p>
              </w:tc>
              <w:tc>
                <w:tcPr>
                  <w:tcW w:w="1046"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color w:val="auto"/>
                      <w:szCs w:val="21"/>
                      <w:highlight w:val="none"/>
                      <w:lang w:val="en-US" w:eastAsia="zh-CN"/>
                    </w:rPr>
                    <w:t>1.02</w:t>
                  </w:r>
                </w:p>
              </w:tc>
              <w:tc>
                <w:tcPr>
                  <w:tcW w:w="1572"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rPr>
                  </w:pPr>
                  <w:r>
                    <w:rPr>
                      <w:rFonts w:hint="default" w:ascii="Times New Roman" w:hAnsi="Times New Roman" w:eastAsia="宋体" w:cs="Times New Roman"/>
                      <w:iCs/>
                      <w:color w:val="auto"/>
                      <w:sz w:val="21"/>
                      <w:szCs w:val="21"/>
                      <w:highlight w:val="none"/>
                    </w:rPr>
                    <w:t>直排</w:t>
                  </w:r>
                </w:p>
              </w:tc>
              <w:tc>
                <w:tcPr>
                  <w:tcW w:w="1129" w:type="dxa"/>
                  <w:tcBorders>
                    <w:tl2br w:val="nil"/>
                    <w:tr2bl w:val="nil"/>
                  </w:tcBorders>
                  <w:noWrap w:val="0"/>
                  <w:vAlign w:val="center"/>
                </w:tcPr>
                <w:p>
                  <w:pPr>
                    <w:pStyle w:val="4"/>
                    <w:keepNext w:val="0"/>
                    <w:keepLines w:val="0"/>
                    <w:pageBreakBefore w:val="0"/>
                    <w:widowControl w:val="0"/>
                    <w:tabs>
                      <w:tab w:val="left" w:pos="0"/>
                      <w:tab w:val="left" w:pos="1260"/>
                    </w:tabs>
                    <w:kinsoku/>
                    <w:wordWrap/>
                    <w:overflowPunct/>
                    <w:topLinePunct w:val="0"/>
                    <w:autoSpaceDE/>
                    <w:autoSpaceDN/>
                    <w:bidi w:val="0"/>
                    <w:adjustRightInd/>
                    <w:snapToGrid w:val="0"/>
                    <w:spacing w:after="0" w:afterLines="0" w:line="240" w:lineRule="auto"/>
                    <w:jc w:val="center"/>
                    <w:textAlignment w:val="auto"/>
                    <w:rPr>
                      <w:rFonts w:hint="default" w:ascii="Times New Roman" w:hAnsi="Times New Roman" w:eastAsia="宋体" w:cs="Times New Roman"/>
                      <w:iCs/>
                      <w:color w:val="auto"/>
                      <w:sz w:val="21"/>
                      <w:szCs w:val="21"/>
                      <w:highlight w:val="none"/>
                      <w:lang w:val="en-US" w:eastAsia="zh-CN"/>
                    </w:rPr>
                  </w:pPr>
                  <w:r>
                    <w:rPr>
                      <w:rFonts w:hint="default" w:ascii="Times New Roman" w:hAnsi="Times New Roman" w:eastAsia="宋体" w:cs="Times New Roman"/>
                      <w:iCs/>
                      <w:color w:val="auto"/>
                      <w:sz w:val="21"/>
                      <w:szCs w:val="21"/>
                      <w:highlight w:val="none"/>
                      <w:lang w:val="en-US" w:eastAsia="zh-CN"/>
                    </w:rPr>
                    <w:t>1.02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434" w:type="dxa"/>
                  <w:gridSpan w:val="8"/>
                  <w:tcBorders>
                    <w:tl2br w:val="nil"/>
                    <w:tr2bl w:val="nil"/>
                  </w:tcBorders>
                  <w:noWrap w:val="0"/>
                  <w:vAlign w:val="center"/>
                </w:tcPr>
                <w:p>
                  <w:pPr>
                    <w:shd w:val="clear" w:color="auto" w:fill="auto"/>
                    <w:autoSpaceDE w:val="0"/>
                    <w:autoSpaceDN w:val="0"/>
                    <w:jc w:val="left"/>
                    <w:rPr>
                      <w:rFonts w:hint="default" w:ascii="Times New Roman" w:hAnsi="Times New Roman" w:eastAsia="宋体" w:cs="Times New Roman"/>
                      <w:iCs/>
                      <w:color w:val="auto"/>
                      <w:sz w:val="21"/>
                      <w:szCs w:val="21"/>
                      <w:highlight w:val="none"/>
                      <w:lang w:eastAsia="zh-CN"/>
                    </w:rPr>
                  </w:pPr>
                  <w:r>
                    <w:rPr>
                      <w:rFonts w:hint="default" w:ascii="Times New Roman" w:hAnsi="Times New Roman" w:eastAsia="宋体" w:cs="Times New Roman"/>
                      <w:color w:val="auto"/>
                      <w:szCs w:val="21"/>
                      <w:highlight w:val="none"/>
                    </w:rPr>
                    <w:t>注：</w:t>
                  </w:r>
                  <w:r>
                    <w:rPr>
                      <w:rFonts w:hint="default" w:ascii="Times New Roman" w:hAnsi="Times New Roman" w:eastAsia="宋体" w:cs="Times New Roman"/>
                      <w:color w:val="auto"/>
                      <w:szCs w:val="21"/>
                      <w:highlight w:val="none"/>
                      <w:lang w:val="en-US" w:eastAsia="zh-CN"/>
                    </w:rPr>
                    <w:t>①</w:t>
                  </w:r>
                  <w:r>
                    <w:rPr>
                      <w:rFonts w:hint="default" w:ascii="Times New Roman" w:hAnsi="Times New Roman" w:eastAsia="宋体" w:cs="Times New Roman"/>
                      <w:color w:val="auto"/>
                      <w:szCs w:val="21"/>
                      <w:highlight w:val="none"/>
                    </w:rPr>
                    <w:t>二氧化硫的产污系数是以含硫量（S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）的形式表示的，其中含硫量（S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）是指</w:t>
                  </w:r>
                  <w:r>
                    <w:rPr>
                      <w:rFonts w:hint="default" w:ascii="Times New Roman" w:hAnsi="Times New Roman" w:eastAsia="宋体" w:cs="Times New Roman"/>
                      <w:color w:val="auto"/>
                      <w:szCs w:val="21"/>
                      <w:highlight w:val="none"/>
                      <w:lang w:val="en-US" w:eastAsia="zh-CN"/>
                    </w:rPr>
                    <w:t>生物质收到基</w:t>
                  </w:r>
                  <w:r>
                    <w:rPr>
                      <w:rFonts w:hint="default" w:ascii="Times New Roman" w:hAnsi="Times New Roman" w:eastAsia="宋体" w:cs="Times New Roman"/>
                      <w:color w:val="auto"/>
                      <w:szCs w:val="21"/>
                      <w:highlight w:val="none"/>
                    </w:rPr>
                    <w:t>硫</w:t>
                  </w:r>
                  <w:r>
                    <w:rPr>
                      <w:rFonts w:hint="default" w:ascii="Times New Roman" w:hAnsi="Times New Roman" w:eastAsia="宋体" w:cs="Times New Roman"/>
                      <w:color w:val="auto"/>
                      <w:szCs w:val="21"/>
                      <w:highlight w:val="none"/>
                      <w:lang w:val="en-US" w:eastAsia="zh-CN"/>
                    </w:rPr>
                    <w:t>分</w:t>
                  </w:r>
                  <w:r>
                    <w:rPr>
                      <w:rFonts w:hint="default" w:ascii="Times New Roman" w:hAnsi="Times New Roman" w:eastAsia="宋体" w:cs="Times New Roman"/>
                      <w:color w:val="auto"/>
                      <w:szCs w:val="21"/>
                      <w:highlight w:val="none"/>
                    </w:rPr>
                    <w:t>含量，</w:t>
                  </w:r>
                  <w:r>
                    <w:rPr>
                      <w:rFonts w:hint="default" w:ascii="Times New Roman" w:hAnsi="Times New Roman" w:eastAsia="宋体" w:cs="Times New Roman"/>
                      <w:color w:val="auto"/>
                      <w:szCs w:val="21"/>
                      <w:highlight w:val="none"/>
                      <w:lang w:val="en-US" w:eastAsia="zh-CN"/>
                    </w:rPr>
                    <w:t>以质量百分数的形式表示</w:t>
                  </w:r>
                  <w:r>
                    <w:rPr>
                      <w:rFonts w:hint="default" w:ascii="Times New Roman" w:hAnsi="Times New Roman" w:eastAsia="宋体" w:cs="Times New Roman"/>
                      <w:color w:val="auto"/>
                      <w:szCs w:val="21"/>
                      <w:highlight w:val="none"/>
                    </w:rPr>
                    <w:t>。例如</w:t>
                  </w:r>
                  <w:r>
                    <w:rPr>
                      <w:rFonts w:hint="default" w:ascii="Times New Roman" w:hAnsi="Times New Roman" w:eastAsia="宋体" w:cs="Times New Roman"/>
                      <w:color w:val="auto"/>
                      <w:szCs w:val="21"/>
                      <w:highlight w:val="none"/>
                      <w:lang w:val="en-US" w:eastAsia="zh-CN"/>
                    </w:rPr>
                    <w:t>生物质</w:t>
                  </w:r>
                  <w:r>
                    <w:rPr>
                      <w:rFonts w:hint="default" w:ascii="Times New Roman" w:hAnsi="Times New Roman" w:eastAsia="宋体" w:cs="Times New Roman"/>
                      <w:color w:val="auto"/>
                      <w:szCs w:val="21"/>
                      <w:highlight w:val="none"/>
                    </w:rPr>
                    <w:t>中含硫量（S</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rPr>
                    <w:t>）为</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，则S=</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w:t>
                  </w:r>
                </w:p>
              </w:tc>
            </w:tr>
          </w:tbl>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lang w:val="en-US" w:eastAsia="zh-CN"/>
              </w:rPr>
              <w:t>环</w:t>
            </w:r>
            <w:r>
              <w:rPr>
                <w:rFonts w:hint="default" w:ascii="Times New Roman" w:hAnsi="Times New Roman" w:eastAsia="宋体" w:cs="Times New Roman"/>
                <w:color w:val="auto"/>
                <w:kern w:val="2"/>
                <w:sz w:val="24"/>
                <w:szCs w:val="24"/>
                <w:highlight w:val="none"/>
                <w:lang w:val="en-US" w:eastAsia="zh-CN" w:bidi="ar-SA"/>
              </w:rPr>
              <w:t>评提出本项目生物质锅炉燃烧废气经</w:t>
            </w:r>
            <w:r>
              <w:rPr>
                <w:rFonts w:hint="eastAsia" w:ascii="Times New Roman" w:hAnsi="Times New Roman" w:eastAsia="宋体" w:cs="Times New Roman"/>
                <w:color w:val="auto"/>
                <w:kern w:val="2"/>
                <w:sz w:val="24"/>
                <w:szCs w:val="24"/>
                <w:highlight w:val="none"/>
                <w:lang w:val="en-US" w:eastAsia="zh-CN" w:bidi="ar-SA"/>
              </w:rPr>
              <w:t>1套</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耐高温布袋除尘器</w:t>
            </w:r>
            <w:r>
              <w:rPr>
                <w:rFonts w:hint="default" w:ascii="Times New Roman" w:hAnsi="Times New Roman" w:eastAsia="宋体" w:cs="Times New Roman"/>
                <w:color w:val="auto"/>
                <w:kern w:val="2"/>
                <w:sz w:val="24"/>
                <w:szCs w:val="24"/>
                <w:highlight w:val="none"/>
                <w:lang w:val="en-US" w:eastAsia="zh-CN" w:bidi="ar-SA"/>
              </w:rPr>
              <w:t>”处</w:t>
            </w:r>
            <w:r>
              <w:rPr>
                <w:rFonts w:hint="default" w:ascii="Times New Roman" w:hAnsi="Times New Roman" w:eastAsia="宋体" w:cs="Times New Roman"/>
                <w:color w:val="auto"/>
                <w:sz w:val="24"/>
                <w:szCs w:val="24"/>
                <w:lang w:val="en-US" w:eastAsia="zh-CN"/>
              </w:rPr>
              <w:t>理达标后由1根</w:t>
            </w:r>
            <w:r>
              <w:rPr>
                <w:rFonts w:hint="eastAsia" w:ascii="Times New Roman" w:hAnsi="Times New Roman" w:cs="Times New Roman"/>
                <w:color w:val="auto"/>
                <w:sz w:val="24"/>
                <w:szCs w:val="24"/>
                <w:lang w:val="en-US" w:eastAsia="zh-CN"/>
              </w:rPr>
              <w:t>40</w:t>
            </w:r>
            <w:r>
              <w:rPr>
                <w:rFonts w:hint="default" w:ascii="Times New Roman" w:hAnsi="Times New Roman" w:eastAsia="宋体" w:cs="Times New Roman"/>
                <w:color w:val="auto"/>
                <w:sz w:val="24"/>
                <w:szCs w:val="24"/>
                <w:lang w:val="en-US" w:eastAsia="zh-CN"/>
              </w:rPr>
              <w:t>m高的排气筒（DA001）排放。</w:t>
            </w: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中5.3.5排气筒的出口直径应根据出口流速确定，流速宜取15m/s左右。当采用钢管烟</w:t>
            </w:r>
            <w:r>
              <w:rPr>
                <w:rFonts w:hint="eastAsia" w:cs="Times New Roman"/>
                <w:color w:val="auto"/>
                <w:sz w:val="24"/>
                <w:szCs w:val="24"/>
                <w:highlight w:val="none"/>
                <w:lang w:val="en-US" w:eastAsia="zh-CN"/>
              </w:rPr>
              <w:t>囱</w:t>
            </w:r>
            <w:r>
              <w:rPr>
                <w:rFonts w:hint="default" w:ascii="Times New Roman" w:hAnsi="Times New Roman" w:eastAsia="宋体" w:cs="Times New Roman"/>
                <w:color w:val="auto"/>
                <w:sz w:val="24"/>
                <w:szCs w:val="24"/>
                <w:highlight w:val="none"/>
                <w:lang w:val="en-US" w:eastAsia="zh-CN"/>
              </w:rPr>
              <w:t>且高度较高时或烟气量较大时，可适当提高出口流速至20~25m/s。本项目DA001排气筒废气量为</w:t>
            </w:r>
            <w:r>
              <w:rPr>
                <w:rFonts w:hint="eastAsia" w:cs="Times New Roman"/>
                <w:color w:val="auto"/>
                <w:sz w:val="24"/>
                <w:szCs w:val="24"/>
                <w:highlight w:val="none"/>
                <w:lang w:val="en-US" w:eastAsia="zh-CN"/>
              </w:rPr>
              <w:t>10831.2430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/h，内径取0.</w:t>
            </w:r>
            <w:r>
              <w:rPr>
                <w:rFonts w:hint="eastAsia" w:cs="Times New Roman"/>
                <w:color w:val="auto"/>
                <w:sz w:val="24"/>
                <w:szCs w:val="24"/>
                <w:highlight w:val="none"/>
                <w:lang w:val="en-US" w:eastAsia="zh-CN"/>
              </w:rPr>
              <w:t>45</w:t>
            </w:r>
            <w:r>
              <w:rPr>
                <w:rFonts w:hint="default" w:ascii="Times New Roman" w:hAnsi="Times New Roman" w:eastAsia="宋体" w:cs="Times New Roman"/>
                <w:color w:val="auto"/>
                <w:sz w:val="24"/>
                <w:szCs w:val="24"/>
                <w:highlight w:val="none"/>
                <w:lang w:val="en-US" w:eastAsia="zh-CN"/>
              </w:rPr>
              <w:t>m，此时对应的烟气流速为</w:t>
            </w:r>
            <w:r>
              <w:rPr>
                <w:rFonts w:hint="eastAsia" w:cs="Times New Roman"/>
                <w:color w:val="auto"/>
                <w:sz w:val="24"/>
                <w:szCs w:val="24"/>
                <w:highlight w:val="none"/>
                <w:lang w:val="en-US" w:eastAsia="zh-CN"/>
              </w:rPr>
              <w:t>18.92</w:t>
            </w:r>
            <w:r>
              <w:rPr>
                <w:rFonts w:hint="default" w:ascii="Times New Roman" w:hAnsi="Times New Roman" w:eastAsia="宋体" w:cs="Times New Roman"/>
                <w:color w:val="auto"/>
                <w:sz w:val="24"/>
                <w:szCs w:val="24"/>
                <w:highlight w:val="none"/>
                <w:lang w:val="en-US" w:eastAsia="zh-CN"/>
              </w:rPr>
              <w:t>m/s，能够符合导则要求。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default" w:ascii="Times New Roman" w:hAnsi="Times New Roman" w:eastAsia="宋体" w:cs="Times New Roman"/>
                <w:b/>
                <w:bCs/>
                <w:color w:val="auto"/>
                <w:spacing w:val="6"/>
                <w:sz w:val="21"/>
                <w:szCs w:val="21"/>
              </w:rPr>
            </w:pPr>
            <w:r>
              <w:rPr>
                <w:rFonts w:hint="default" w:ascii="Times New Roman" w:hAnsi="Times New Roman" w:eastAsia="宋体" w:cs="Times New Roman"/>
                <w:color w:val="auto"/>
                <w:sz w:val="24"/>
                <w:highlight w:val="none"/>
                <w:lang w:val="en-US" w:eastAsia="zh-CN"/>
              </w:rPr>
              <w:t>综上，</w:t>
            </w:r>
            <w:r>
              <w:rPr>
                <w:rFonts w:hint="default" w:ascii="Times New Roman" w:hAnsi="Times New Roman" w:eastAsia="宋体" w:cs="Times New Roman"/>
                <w:color w:val="auto"/>
                <w:sz w:val="24"/>
                <w:lang w:eastAsia="zh-CN"/>
              </w:rPr>
              <w:t>可计算出</w:t>
            </w:r>
            <w:r>
              <w:rPr>
                <w:rFonts w:hint="default" w:ascii="Times New Roman" w:hAnsi="Times New Roman" w:eastAsia="宋体" w:cs="Times New Roman"/>
                <w:color w:val="auto"/>
                <w:sz w:val="24"/>
                <w:szCs w:val="24"/>
                <w:lang w:eastAsia="zh-CN"/>
              </w:rPr>
              <w:t>生物质</w:t>
            </w:r>
            <w:r>
              <w:rPr>
                <w:rFonts w:hint="default" w:ascii="Times New Roman" w:hAnsi="Times New Roman" w:eastAsia="宋体" w:cs="Times New Roman"/>
                <w:color w:val="auto"/>
                <w:sz w:val="24"/>
                <w:szCs w:val="24"/>
                <w:lang w:val="en-US" w:eastAsia="zh-CN"/>
              </w:rPr>
              <w:t>锅炉</w:t>
            </w:r>
            <w:r>
              <w:rPr>
                <w:rFonts w:hint="default" w:ascii="Times New Roman" w:hAnsi="Times New Roman" w:eastAsia="宋体" w:cs="Times New Roman"/>
                <w:color w:val="auto"/>
                <w:sz w:val="24"/>
                <w:szCs w:val="24"/>
                <w:lang w:eastAsia="zh-CN"/>
              </w:rPr>
              <w:t>燃烧后各污染物的源强见表</w:t>
            </w:r>
            <w:r>
              <w:rPr>
                <w:rFonts w:hint="default" w:ascii="Times New Roman" w:hAnsi="Times New Roman" w:eastAsia="宋体" w:cs="Times New Roman"/>
                <w:color w:val="auto"/>
                <w:sz w:val="24"/>
                <w:szCs w:val="24"/>
                <w:lang w:val="en-US" w:eastAsia="zh-CN"/>
              </w:rPr>
              <w:t>4-5。</w:t>
            </w:r>
          </w:p>
          <w:p>
            <w:pPr>
              <w:widowControl w:val="0"/>
              <w:jc w:val="center"/>
              <w:rPr>
                <w:rFonts w:hint="default" w:ascii="Times New Roman" w:hAnsi="Times New Roman" w:eastAsia="宋体" w:cs="Times New Roman"/>
                <w:b/>
                <w:bCs/>
                <w:color w:val="auto"/>
                <w:spacing w:val="6"/>
                <w:sz w:val="21"/>
                <w:szCs w:val="21"/>
                <w:lang w:val="en-US" w:eastAsia="zh-CN"/>
              </w:rPr>
            </w:pPr>
            <w:r>
              <w:rPr>
                <w:rFonts w:hint="default" w:ascii="Times New Roman" w:hAnsi="Times New Roman" w:eastAsia="宋体" w:cs="Times New Roman"/>
                <w:b/>
                <w:bCs/>
                <w:color w:val="auto"/>
                <w:spacing w:val="6"/>
                <w:sz w:val="21"/>
                <w:szCs w:val="21"/>
              </w:rPr>
              <w:t>表</w:t>
            </w:r>
            <w:r>
              <w:rPr>
                <w:rFonts w:hint="default" w:ascii="Times New Roman" w:hAnsi="Times New Roman" w:eastAsia="宋体" w:cs="Times New Roman"/>
                <w:b/>
                <w:bCs/>
                <w:color w:val="auto"/>
                <w:spacing w:val="6"/>
                <w:sz w:val="21"/>
                <w:szCs w:val="21"/>
                <w:lang w:val="en-US" w:eastAsia="zh-CN"/>
              </w:rPr>
              <w:t>4-5</w:t>
            </w:r>
            <w:r>
              <w:rPr>
                <w:rFonts w:hint="default" w:ascii="Times New Roman" w:hAnsi="Times New Roman" w:eastAsia="宋体" w:cs="Times New Roman"/>
                <w:b/>
                <w:bCs/>
                <w:color w:val="auto"/>
                <w:spacing w:val="6"/>
                <w:sz w:val="21"/>
                <w:szCs w:val="21"/>
              </w:rPr>
              <w:t xml:space="preserve"> </w:t>
            </w:r>
            <w:r>
              <w:rPr>
                <w:rFonts w:hint="default" w:ascii="Times New Roman" w:hAnsi="Times New Roman" w:eastAsia="宋体" w:cs="Times New Roman"/>
                <w:b/>
                <w:bCs/>
                <w:color w:val="auto"/>
                <w:spacing w:val="6"/>
                <w:sz w:val="21"/>
                <w:szCs w:val="21"/>
                <w:lang w:val="en-US" w:eastAsia="zh-CN"/>
              </w:rPr>
              <w:t xml:space="preserve"> 生物质</w:t>
            </w:r>
            <w:r>
              <w:rPr>
                <w:rFonts w:hint="default" w:ascii="Times New Roman" w:hAnsi="Times New Roman" w:eastAsia="宋体" w:cs="Times New Roman"/>
                <w:b/>
                <w:bCs/>
                <w:color w:val="auto"/>
                <w:spacing w:val="6"/>
                <w:sz w:val="21"/>
                <w:szCs w:val="21"/>
              </w:rPr>
              <w:t>锅炉</w:t>
            </w:r>
            <w:r>
              <w:rPr>
                <w:rFonts w:hint="default" w:ascii="Times New Roman" w:hAnsi="Times New Roman" w:eastAsia="宋体" w:cs="Times New Roman"/>
                <w:b/>
                <w:bCs/>
                <w:color w:val="auto"/>
                <w:spacing w:val="6"/>
                <w:sz w:val="21"/>
                <w:szCs w:val="21"/>
                <w:lang w:val="en-US" w:eastAsia="zh-CN"/>
              </w:rPr>
              <w:t>燃料燃烧</w:t>
            </w:r>
            <w:r>
              <w:rPr>
                <w:rFonts w:hint="default" w:ascii="Times New Roman" w:hAnsi="Times New Roman" w:eastAsia="宋体" w:cs="Times New Roman"/>
                <w:b/>
                <w:bCs/>
                <w:color w:val="auto"/>
                <w:spacing w:val="6"/>
                <w:sz w:val="21"/>
                <w:szCs w:val="21"/>
              </w:rPr>
              <w:t>废气</w:t>
            </w:r>
            <w:r>
              <w:rPr>
                <w:rFonts w:hint="default" w:ascii="Times New Roman" w:hAnsi="Times New Roman" w:eastAsia="宋体" w:cs="Times New Roman"/>
                <w:b/>
                <w:bCs/>
                <w:color w:val="auto"/>
                <w:spacing w:val="6"/>
                <w:sz w:val="21"/>
                <w:szCs w:val="21"/>
                <w:lang w:val="en-US" w:eastAsia="zh-CN"/>
              </w:rPr>
              <w:t>产排一览表</w:t>
            </w:r>
          </w:p>
          <w:tbl>
            <w:tblPr>
              <w:tblStyle w:val="27"/>
              <w:tblW w:w="8522"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99"/>
              <w:gridCol w:w="851"/>
              <w:gridCol w:w="910"/>
              <w:gridCol w:w="996"/>
              <w:gridCol w:w="1159"/>
              <w:gridCol w:w="927"/>
              <w:gridCol w:w="914"/>
              <w:gridCol w:w="113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产生源</w:t>
                  </w:r>
                </w:p>
              </w:tc>
              <w:tc>
                <w:tcPr>
                  <w:tcW w:w="6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生物质用量</w:t>
                  </w:r>
                </w:p>
              </w:tc>
              <w:tc>
                <w:tcPr>
                  <w:tcW w:w="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306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298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rPr>
                  </w:pPr>
                </w:p>
              </w:tc>
              <w:tc>
                <w:tcPr>
                  <w:tcW w:w="9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9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11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产生浓度mg/m</w:t>
                  </w:r>
                  <w:r>
                    <w:rPr>
                      <w:rFonts w:hint="default" w:ascii="Times New Roman" w:hAnsi="Times New Roman" w:eastAsia="宋体" w:cs="Times New Roman"/>
                      <w:b/>
                      <w:bCs/>
                      <w:color w:val="auto"/>
                      <w:sz w:val="21"/>
                      <w:szCs w:val="21"/>
                      <w:highlight w:val="none"/>
                      <w:vertAlign w:val="superscript"/>
                    </w:rPr>
                    <w:t>3</w:t>
                  </w:r>
                </w:p>
              </w:tc>
              <w:tc>
                <w:tcPr>
                  <w:tcW w:w="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c>
                <w:tcPr>
                  <w:tcW w:w="9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排放速率</w:t>
                  </w:r>
                  <w:r>
                    <w:rPr>
                      <w:rFonts w:hint="default" w:ascii="Times New Roman" w:hAnsi="Times New Roman" w:eastAsia="宋体" w:cs="Times New Roman"/>
                      <w:b/>
                      <w:bCs/>
                      <w:color w:val="auto"/>
                      <w:sz w:val="21"/>
                      <w:szCs w:val="21"/>
                      <w:highlight w:val="none"/>
                      <w:lang w:val="en-US" w:eastAsia="zh-CN"/>
                    </w:rPr>
                    <w:t>kg/h</w:t>
                  </w:r>
                </w:p>
              </w:tc>
              <w:tc>
                <w:tcPr>
                  <w:tcW w:w="11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排放浓度mg/m</w:t>
                  </w:r>
                  <w:r>
                    <w:rPr>
                      <w:rFonts w:hint="default" w:ascii="Times New Roman" w:hAnsi="Times New Roman" w:eastAsia="宋体" w:cs="Times New Roman"/>
                      <w:b/>
                      <w:bCs/>
                      <w:color w:val="auto"/>
                      <w:sz w:val="21"/>
                      <w:szCs w:val="21"/>
                      <w:highlight w:val="none"/>
                      <w:vertAlign w:val="superscript"/>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2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t/h锅炉</w:t>
                  </w:r>
                  <w:r>
                    <w:rPr>
                      <w:rFonts w:hint="default" w:ascii="Times New Roman" w:hAnsi="Times New Roman" w:eastAsia="宋体" w:cs="Times New Roman"/>
                      <w:color w:val="auto"/>
                      <w:sz w:val="21"/>
                      <w:szCs w:val="21"/>
                      <w:highlight w:val="none"/>
                    </w:rPr>
                    <w:t>燃料燃烧废气</w:t>
                  </w:r>
                </w:p>
              </w:tc>
              <w:tc>
                <w:tcPr>
                  <w:tcW w:w="6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sz w:val="21"/>
                      <w:szCs w:val="21"/>
                      <w:lang w:val="en-US" w:eastAsia="zh-CN"/>
                    </w:rPr>
                    <w:t>20.8293</w:t>
                  </w:r>
                  <w:r>
                    <w:rPr>
                      <w:color w:val="auto"/>
                      <w:sz w:val="21"/>
                      <w:szCs w:val="21"/>
                    </w:rPr>
                    <w:t>t/d，</w:t>
                  </w:r>
                  <w:r>
                    <w:rPr>
                      <w:rFonts w:hint="eastAsia"/>
                      <w:color w:val="auto"/>
                      <w:sz w:val="21"/>
                      <w:szCs w:val="21"/>
                      <w:lang w:val="en-US" w:eastAsia="zh-CN"/>
                    </w:rPr>
                    <w:t>6248.7940</w:t>
                  </w:r>
                  <w:r>
                    <w:rPr>
                      <w:color w:val="auto"/>
                      <w:sz w:val="21"/>
                      <w:szCs w:val="21"/>
                    </w:rPr>
                    <w:t>t/a</w:t>
                  </w: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废气量</w:t>
                  </w:r>
                </w:p>
              </w:tc>
              <w:tc>
                <w:tcPr>
                  <w:tcW w:w="604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10831.2430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/h，</w:t>
                  </w:r>
                  <w:r>
                    <w:rPr>
                      <w:rFonts w:hint="eastAsia" w:cs="Times New Roman"/>
                      <w:color w:val="auto"/>
                      <w:sz w:val="21"/>
                      <w:szCs w:val="21"/>
                      <w:highlight w:val="none"/>
                      <w:lang w:val="en-US" w:eastAsia="zh-CN"/>
                    </w:rPr>
                    <w:t>3899.2475</w:t>
                  </w:r>
                  <w:r>
                    <w:rPr>
                      <w:rFonts w:hint="default" w:ascii="Times New Roman" w:hAnsi="Times New Roman" w:eastAsia="宋体" w:cs="Times New Roman"/>
                      <w:color w:val="auto"/>
                      <w:sz w:val="21"/>
                      <w:szCs w:val="21"/>
                      <w:highlight w:val="none"/>
                      <w:lang w:val="en-US" w:eastAsia="zh-CN"/>
                    </w:rPr>
                    <w:t>万m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3.1244</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0.8679</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80.1</w:t>
                  </w:r>
                  <w:r>
                    <w:rPr>
                      <w:rFonts w:hint="eastAsia" w:ascii="Times New Roman" w:hAnsi="Times New Roman" w:eastAsia="宋体" w:cs="Times New Roman"/>
                      <w:i w:val="0"/>
                      <w:iCs w:val="0"/>
                      <w:color w:val="auto"/>
                      <w:kern w:val="0"/>
                      <w:sz w:val="21"/>
                      <w:szCs w:val="21"/>
                      <w:u w:val="none"/>
                      <w:lang w:val="en-US" w:eastAsia="zh-CN" w:bidi="ar"/>
                    </w:rPr>
                    <w:t>3</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434</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4.00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1.4754</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136.2</w:t>
                  </w:r>
                  <w:r>
                    <w:rPr>
                      <w:rFonts w:hint="eastAsia" w:ascii="Times New Roman" w:hAnsi="Times New Roman" w:eastAsia="宋体" w:cs="Times New Roman"/>
                      <w:i w:val="0"/>
                      <w:iCs w:val="0"/>
                      <w:color w:val="auto"/>
                      <w:kern w:val="0"/>
                      <w:sz w:val="21"/>
                      <w:szCs w:val="21"/>
                      <w:u w:val="none"/>
                      <w:lang w:val="en-US" w:eastAsia="zh-CN" w:bidi="ar"/>
                    </w:rPr>
                    <w:t>2</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1.4754</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w:t>
                  </w:r>
                  <w:r>
                    <w:rPr>
                      <w:rFonts w:hint="eastAsia" w:ascii="Times New Roman" w:hAnsi="Times New Roman" w:eastAsia="宋体" w:cs="Times New Roman"/>
                      <w:i w:val="0"/>
                      <w:iCs w:val="0"/>
                      <w:color w:val="auto"/>
                      <w:kern w:val="0"/>
                      <w:sz w:val="21"/>
                      <w:szCs w:val="21"/>
                      <w:u w:val="none"/>
                      <w:lang w:val="en-US" w:eastAsia="zh-CN" w:bidi="ar"/>
                    </w:rPr>
                    <w:t>2</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6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p>
              </w:tc>
              <w:tc>
                <w:tcPr>
                  <w:tcW w:w="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91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9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1.7705</w:t>
                  </w:r>
                </w:p>
              </w:tc>
              <w:tc>
                <w:tcPr>
                  <w:tcW w:w="11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2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91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1.7705</w:t>
                  </w:r>
                </w:p>
              </w:tc>
              <w:tc>
                <w:tcPr>
                  <w:tcW w:w="113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163.46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注：废气执行</w:t>
                  </w:r>
                  <w:r>
                    <w:rPr>
                      <w:rFonts w:hint="default" w:ascii="Times New Roman" w:hAnsi="Times New Roman" w:eastAsia="宋体" w:cs="Times New Roman"/>
                      <w:color w:val="auto"/>
                      <w:sz w:val="21"/>
                      <w:szCs w:val="21"/>
                      <w:highlight w:val="none"/>
                    </w:rPr>
                    <w:t>《锅炉大气污染物排放标准》（GB13271-2014）表2新建锅炉大气污染物排放浓度限值中燃</w:t>
                  </w:r>
                  <w:r>
                    <w:rPr>
                      <w:rFonts w:hint="default" w:ascii="Times New Roman" w:hAnsi="Times New Roman" w:eastAsia="宋体" w:cs="Times New Roman"/>
                      <w:color w:val="auto"/>
                      <w:sz w:val="21"/>
                      <w:szCs w:val="21"/>
                      <w:highlight w:val="none"/>
                      <w:lang w:val="en-US" w:eastAsia="zh-CN"/>
                    </w:rPr>
                    <w:t>煤</w:t>
                  </w:r>
                  <w:r>
                    <w:rPr>
                      <w:rFonts w:hint="default" w:ascii="Times New Roman" w:hAnsi="Times New Roman" w:eastAsia="宋体" w:cs="Times New Roman"/>
                      <w:color w:val="auto"/>
                      <w:sz w:val="21"/>
                      <w:szCs w:val="21"/>
                      <w:highlight w:val="none"/>
                    </w:rPr>
                    <w:t>锅炉排放要求</w:t>
                  </w:r>
                  <w:r>
                    <w:rPr>
                      <w:rFonts w:hint="default" w:ascii="Times New Roman" w:hAnsi="Times New Roman" w:eastAsia="宋体" w:cs="Times New Roman"/>
                      <w:color w:val="auto"/>
                      <w:sz w:val="21"/>
                      <w:szCs w:val="21"/>
                      <w:highlight w:val="none"/>
                      <w:lang w:eastAsia="zh-CN"/>
                    </w:rPr>
                    <w:t>，即颗粒物</w:t>
                  </w:r>
                  <w:r>
                    <w:rPr>
                      <w:rFonts w:hint="default" w:ascii="Times New Roman" w:hAnsi="Times New Roman" w:eastAsia="宋体" w:cs="Times New Roman"/>
                      <w:color w:val="auto"/>
                      <w:sz w:val="21"/>
                      <w:szCs w:val="21"/>
                      <w:highlight w:val="none"/>
                      <w:lang w:val="en-US" w:eastAsia="zh-CN"/>
                    </w:rPr>
                    <w:t>≤50mg/m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lang w:val="en-US" w:eastAsia="zh-CN"/>
                    </w:rPr>
                    <w:t>≤300mg/m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、NOx≤300mg/m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eastAsia="zh-CN"/>
                    </w:rPr>
                    <w:t>。</w:t>
                  </w:r>
                </w:p>
              </w:tc>
            </w:tr>
          </w:tbl>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en-US" w:eastAsia="zh-CN"/>
              </w:rPr>
              <w:t>由上表可见，</w:t>
            </w:r>
            <w:r>
              <w:rPr>
                <w:rFonts w:hint="default" w:ascii="Times New Roman" w:hAnsi="Times New Roman" w:eastAsia="宋体" w:cs="Times New Roman"/>
                <w:color w:val="auto"/>
                <w:sz w:val="24"/>
                <w:szCs w:val="24"/>
                <w:lang w:eastAsia="zh-CN"/>
              </w:rPr>
              <w:t>本项目生物质</w:t>
            </w:r>
            <w:r>
              <w:rPr>
                <w:rFonts w:hint="default" w:ascii="Times New Roman" w:hAnsi="Times New Roman" w:eastAsia="宋体" w:cs="Times New Roman"/>
                <w:color w:val="auto"/>
                <w:sz w:val="24"/>
                <w:szCs w:val="24"/>
                <w:lang w:val="en-US" w:eastAsia="zh-CN"/>
              </w:rPr>
              <w:t>锅炉</w:t>
            </w:r>
            <w:r>
              <w:rPr>
                <w:rFonts w:hint="default" w:ascii="Times New Roman" w:hAnsi="Times New Roman" w:eastAsia="宋体" w:cs="Times New Roman"/>
                <w:color w:val="auto"/>
                <w:sz w:val="24"/>
                <w:szCs w:val="24"/>
                <w:lang w:eastAsia="zh-CN"/>
              </w:rPr>
              <w:t>燃烧废气</w:t>
            </w:r>
            <w:r>
              <w:rPr>
                <w:rFonts w:hint="default" w:ascii="Times New Roman" w:hAnsi="Times New Roman" w:eastAsia="宋体" w:cs="Times New Roman"/>
                <w:color w:val="auto"/>
                <w:kern w:val="2"/>
                <w:sz w:val="24"/>
                <w:szCs w:val="24"/>
                <w:lang w:val="en-US" w:eastAsia="zh-CN" w:bidi="ar-SA"/>
              </w:rPr>
              <w:t>经</w:t>
            </w:r>
            <w:r>
              <w:rPr>
                <w:rFonts w:hint="eastAsia" w:ascii="Times New Roman" w:hAnsi="Times New Roman" w:eastAsia="宋体" w:cs="Times New Roman"/>
                <w:color w:val="auto"/>
                <w:kern w:val="2"/>
                <w:sz w:val="24"/>
                <w:szCs w:val="24"/>
                <w:lang w:val="en-US" w:eastAsia="zh-CN" w:bidi="ar-SA"/>
              </w:rPr>
              <w:t>1套</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耐高温布袋除尘器</w:t>
            </w:r>
            <w:r>
              <w:rPr>
                <w:rFonts w:hint="default" w:ascii="Times New Roman" w:hAnsi="Times New Roman" w:eastAsia="宋体" w:cs="Times New Roman"/>
                <w:color w:val="auto"/>
                <w:sz w:val="24"/>
                <w:szCs w:val="24"/>
                <w:lang w:val="en-US" w:eastAsia="zh-CN"/>
              </w:rPr>
              <w:t>”处理后</w:t>
            </w:r>
            <w:r>
              <w:rPr>
                <w:rFonts w:hint="eastAsia" w:ascii="Times New Roman" w:hAnsi="Times New Roman" w:cs="Times New Roman"/>
                <w:color w:val="auto"/>
                <w:sz w:val="24"/>
                <w:szCs w:val="24"/>
                <w:lang w:val="en-US" w:eastAsia="zh-CN"/>
              </w:rPr>
              <w:t>通过一根40m的排气筒（DA001）排放，</w:t>
            </w:r>
            <w:r>
              <w:rPr>
                <w:rFonts w:hint="default" w:ascii="Times New Roman" w:hAnsi="Times New Roman" w:eastAsia="宋体" w:cs="Times New Roman"/>
                <w:color w:val="auto"/>
                <w:sz w:val="24"/>
                <w:szCs w:val="24"/>
                <w:lang w:eastAsia="zh-CN"/>
              </w:rPr>
              <w:t>各污染物排放浓度</w:t>
            </w:r>
            <w:r>
              <w:rPr>
                <w:rFonts w:hint="default" w:ascii="Times New Roman" w:hAnsi="Times New Roman" w:eastAsia="宋体" w:cs="Times New Roman"/>
                <w:color w:val="auto"/>
                <w:sz w:val="24"/>
                <w:szCs w:val="24"/>
                <w:lang w:val="en-US" w:eastAsia="zh-CN"/>
              </w:rPr>
              <w:t>均能满足</w:t>
            </w:r>
            <w:r>
              <w:rPr>
                <w:rFonts w:hint="default" w:ascii="Times New Roman" w:hAnsi="Times New Roman" w:eastAsia="宋体" w:cs="Times New Roman"/>
                <w:color w:val="auto"/>
                <w:sz w:val="24"/>
              </w:rPr>
              <w:t>《锅炉大气污染物排放标准》（GB13271-2014）表2新建锅炉大气污染物排放浓度限值中</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锅炉排放控制要求</w:t>
            </w:r>
            <w:r>
              <w:rPr>
                <w:rFonts w:hint="default" w:ascii="Times New Roman" w:hAnsi="Times New Roman" w:eastAsia="宋体" w:cs="Times New Roman"/>
                <w:color w:val="auto"/>
                <w:spacing w:val="-6"/>
                <w:sz w:val="24"/>
                <w:szCs w:val="24"/>
                <w:lang w:eastAsia="zh-CN"/>
              </w:rPr>
              <w:t>，能够达标排放。</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②</w:t>
            </w:r>
            <w:r>
              <w:rPr>
                <w:rFonts w:hint="default" w:ascii="Times New Roman" w:hAnsi="Times New Roman" w:eastAsia="宋体" w:cs="Times New Roman"/>
                <w:b/>
                <w:bCs/>
                <w:color w:val="auto"/>
                <w:sz w:val="24"/>
                <w:szCs w:val="24"/>
                <w:highlight w:val="none"/>
                <w:lang w:eastAsia="zh-CN"/>
              </w:rPr>
              <w:t>预发泡</w:t>
            </w:r>
            <w:r>
              <w:rPr>
                <w:rFonts w:hint="default" w:ascii="Times New Roman" w:hAnsi="Times New Roman" w:eastAsia="宋体" w:cs="Times New Roman"/>
                <w:b/>
                <w:bCs/>
                <w:color w:val="auto"/>
                <w:sz w:val="24"/>
                <w:szCs w:val="24"/>
                <w:highlight w:val="none"/>
                <w:lang w:val="en-US" w:eastAsia="zh-CN"/>
              </w:rPr>
              <w:t>及成型</w:t>
            </w:r>
            <w:r>
              <w:rPr>
                <w:rFonts w:hint="default" w:ascii="Times New Roman" w:hAnsi="Times New Roman" w:eastAsia="宋体" w:cs="Times New Roman"/>
                <w:b/>
                <w:bCs/>
                <w:color w:val="auto"/>
                <w:sz w:val="24"/>
                <w:szCs w:val="24"/>
                <w:highlight w:val="none"/>
                <w:lang w:eastAsia="zh-CN"/>
              </w:rPr>
              <w:t>过程有机废气</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 橡胶和塑料制品工业》（HJ1122-2020）</w:t>
            </w:r>
            <w:r>
              <w:rPr>
                <w:rFonts w:hint="default" w:ascii="Times New Roman" w:hAnsi="Times New Roman" w:eastAsia="宋体" w:cs="Times New Roman"/>
                <w:color w:val="auto"/>
                <w:sz w:val="24"/>
                <w:highlight w:val="none"/>
                <w:lang w:val="en-US" w:eastAsia="zh-CN"/>
              </w:rPr>
              <w:t>第二部分中表7</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生产塑料板、管、型材制造，泡沫塑料制造，塑料包装箱及容器制造过程使用除聚氯乙烯以外的树脂生产的污染物包括：颗粒物、非甲烷总烃、臭气浓度、恶臭特征污染物。同时本项目废气执行</w:t>
            </w:r>
            <w:r>
              <w:rPr>
                <w:rFonts w:hint="default" w:ascii="Times New Roman" w:hAnsi="Times New Roman" w:eastAsia="宋体" w:cs="Times New Roman"/>
                <w:color w:val="auto"/>
                <w:sz w:val="24"/>
                <w:highlight w:val="none"/>
              </w:rPr>
              <w:t>《合成树脂工业污染物排放标准》（GB31572-2015）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根据该标准表4大气污染物排放限值中聚苯乙烯树脂类型对应的污染物项目包括非甲烷总烃、颗粒物、苯乙烯、甲苯、乙苯，因此最终确定本项目的污染因子为甲苯、乙苯、苯乙烯、非甲烷总烃、臭气</w:t>
            </w:r>
            <w:r>
              <w:rPr>
                <w:rFonts w:hint="eastAsia" w:cs="Times New Roman"/>
                <w:color w:val="auto"/>
                <w:sz w:val="24"/>
                <w:highlight w:val="none"/>
                <w:lang w:val="en-US" w:eastAsia="zh-CN"/>
              </w:rPr>
              <w:t>浓度</w:t>
            </w:r>
            <w:r>
              <w:rPr>
                <w:rFonts w:hint="default" w:ascii="Times New Roman" w:hAnsi="Times New Roman" w:eastAsia="宋体" w:cs="Times New Roman"/>
                <w:color w:val="auto"/>
                <w:kern w:val="0"/>
                <w:sz w:val="24"/>
                <w:highlight w:val="none"/>
                <w:lang w:val="en-US" w:eastAsia="zh-CN"/>
              </w:rPr>
              <w:t>等</w:t>
            </w:r>
            <w:r>
              <w:rPr>
                <w:rFonts w:hint="default" w:ascii="Times New Roman" w:hAnsi="Times New Roman" w:eastAsia="宋体" w:cs="Times New Roman"/>
                <w:color w:val="auto"/>
                <w:kern w:val="0"/>
                <w:sz w:val="24"/>
                <w:highlight w:val="none"/>
              </w:rPr>
              <w:t>。</w:t>
            </w:r>
          </w:p>
          <w:p>
            <w:pPr>
              <w:pStyle w:val="92"/>
              <w:spacing w:line="348" w:lineRule="auto"/>
              <w:ind w:firstLine="480"/>
              <w:rPr>
                <w:rFonts w:cs="Times New Roman"/>
                <w:color w:val="auto"/>
                <w:szCs w:val="21"/>
              </w:rPr>
            </w:pPr>
            <w:r>
              <w:rPr>
                <w:rFonts w:cs="Times New Roman"/>
                <w:color w:val="auto"/>
              </w:rPr>
              <w:t>本项目原料为</w:t>
            </w:r>
            <w:r>
              <w:rPr>
                <w:rFonts w:cs="Times New Roman"/>
                <w:color w:val="auto"/>
                <w:szCs w:val="21"/>
              </w:rPr>
              <w:t>可发性聚苯乙烯，为颗粒状，无粉状物料，因此在上料、投料及搅拌过程均无颗粒物产生。</w:t>
            </w:r>
          </w:p>
          <w:p>
            <w:pPr>
              <w:pStyle w:val="92"/>
              <w:spacing w:line="348" w:lineRule="auto"/>
              <w:ind w:firstLine="48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lang w:val="en-US" w:eastAsia="zh-CN"/>
              </w:rPr>
              <w:t>A、</w:t>
            </w:r>
            <w:r>
              <w:rPr>
                <w:rFonts w:hint="default" w:ascii="Times New Roman" w:hAnsi="Times New Roman" w:eastAsia="宋体" w:cs="Times New Roman"/>
                <w:b/>
                <w:bCs/>
                <w:color w:val="auto"/>
                <w:highlight w:val="none"/>
              </w:rPr>
              <w:t>甲苯、乙苯、苯乙烯</w:t>
            </w:r>
          </w:p>
          <w:p>
            <w:pPr>
              <w:adjustRightInd w:val="0"/>
              <w:snapToGrid w:val="0"/>
              <w:spacing w:line="348" w:lineRule="auto"/>
              <w:ind w:firstLine="480"/>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color w:val="auto"/>
                <w:sz w:val="24"/>
                <w:highlight w:val="none"/>
              </w:rPr>
              <w:t>根据林华影、张伟、张琼，林瑶（气相色谱-质谱法分析聚苯乙烯加热分解产物）【J】，中国卫生检验杂志，2009年9月第19卷第9期研究结果可知，聚苯乙烯在不同温度的加工使用条件下所释放于工作场所空气中的毒害物质的种类、数量，具体数据详见表</w:t>
            </w:r>
            <w:r>
              <w:rPr>
                <w:rFonts w:hint="default" w:ascii="Times New Roman" w:hAnsi="Times New Roman" w:eastAsia="宋体" w:cs="Times New Roman"/>
                <w:color w:val="auto"/>
                <w:sz w:val="24"/>
                <w:highlight w:val="none"/>
                <w:lang w:val="en-US" w:eastAsia="zh-CN"/>
              </w:rPr>
              <w:t>4-6</w:t>
            </w:r>
            <w:r>
              <w:rPr>
                <w:rFonts w:hint="default" w:ascii="Times New Roman" w:hAnsi="Times New Roman" w:eastAsia="宋体" w:cs="Times New Roman"/>
                <w:color w:val="auto"/>
                <w:sz w:val="24"/>
                <w:highlight w:val="none"/>
              </w:rPr>
              <w:t>所示。</w:t>
            </w:r>
          </w:p>
          <w:p>
            <w:pPr>
              <w:jc w:val="center"/>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b/>
                <w:bCs/>
                <w:color w:val="auto"/>
                <w:spacing w:val="6"/>
                <w:szCs w:val="21"/>
                <w:highlight w:val="none"/>
              </w:rPr>
              <w:t>表</w:t>
            </w:r>
            <w:r>
              <w:rPr>
                <w:rFonts w:hint="default" w:ascii="Times New Roman" w:hAnsi="Times New Roman" w:eastAsia="宋体" w:cs="Times New Roman"/>
                <w:b/>
                <w:bCs/>
                <w:color w:val="auto"/>
                <w:spacing w:val="6"/>
                <w:szCs w:val="21"/>
                <w:highlight w:val="none"/>
                <w:lang w:val="en-US" w:eastAsia="zh-CN"/>
              </w:rPr>
              <w:t>4-6</w:t>
            </w:r>
            <w:r>
              <w:rPr>
                <w:rFonts w:hint="default" w:ascii="Times New Roman" w:hAnsi="Times New Roman" w:eastAsia="宋体" w:cs="Times New Roman"/>
                <w:b/>
                <w:bCs/>
                <w:color w:val="auto"/>
                <w:spacing w:val="6"/>
                <w:szCs w:val="21"/>
                <w:highlight w:val="none"/>
              </w:rPr>
              <w:t xml:space="preserve">  </w:t>
            </w:r>
            <w:r>
              <w:rPr>
                <w:rFonts w:hint="default" w:ascii="Times New Roman" w:hAnsi="Times New Roman" w:eastAsia="宋体" w:cs="Times New Roman"/>
                <w:b/>
                <w:bCs/>
                <w:color w:val="auto"/>
                <w:szCs w:val="21"/>
                <w:highlight w:val="none"/>
              </w:rPr>
              <w:t>不同温度条件下聚苯乙烯的加热产物种类和浓度   单位：mg/m</w:t>
            </w:r>
            <w:r>
              <w:rPr>
                <w:rFonts w:hint="default" w:ascii="Times New Roman" w:hAnsi="Times New Roman" w:eastAsia="宋体" w:cs="Times New Roman"/>
                <w:b/>
                <w:bCs/>
                <w:color w:val="auto"/>
                <w:szCs w:val="21"/>
                <w:highlight w:val="none"/>
                <w:vertAlign w:val="superscript"/>
              </w:rPr>
              <w:t>3</w:t>
            </w:r>
          </w:p>
          <w:tbl>
            <w:tblPr>
              <w:tblStyle w:val="27"/>
              <w:tblW w:w="852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023"/>
              <w:gridCol w:w="1062"/>
              <w:gridCol w:w="1171"/>
              <w:gridCol w:w="1606"/>
              <w:gridCol w:w="1048"/>
              <w:gridCol w:w="122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 xml:space="preserve"> 加热</w:t>
                  </w:r>
                </w:p>
                <w:p>
                  <w:pPr>
                    <w:pStyle w:val="2"/>
                    <w:spacing w:after="0"/>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产</w:t>
                  </w:r>
                  <w:r>
                    <w:rPr>
                      <w:rFonts w:hint="default" w:ascii="Times New Roman" w:hAnsi="Times New Roman" w:eastAsia="宋体" w:cs="Times New Roman"/>
                      <w:b/>
                      <w:bCs/>
                      <w:color w:val="auto"/>
                      <w:sz w:val="21"/>
                      <w:szCs w:val="21"/>
                      <w:highlight w:val="none"/>
                      <w:lang w:val="en-US" w:eastAsia="zh-CN"/>
                    </w:rPr>
                    <w:t>污</w:t>
                  </w:r>
                </w:p>
              </w:tc>
              <w:tc>
                <w:tcPr>
                  <w:tcW w:w="7137" w:type="dxa"/>
                  <w:gridSpan w:val="6"/>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温度（℃）</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continue"/>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80</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100</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120</w:t>
                  </w:r>
                </w:p>
              </w:tc>
              <w:tc>
                <w:tcPr>
                  <w:tcW w:w="1606"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140</w:t>
                  </w:r>
                </w:p>
              </w:tc>
              <w:tc>
                <w:tcPr>
                  <w:tcW w:w="1048"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160</w:t>
                  </w:r>
                </w:p>
              </w:tc>
              <w:tc>
                <w:tcPr>
                  <w:tcW w:w="1227"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180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0.08</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0.14</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0.20</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0.22</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0.73</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0.18</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0.38</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023"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06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171"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未检出</w:t>
                  </w:r>
                </w:p>
              </w:tc>
              <w:tc>
                <w:tcPr>
                  <w:tcW w:w="1606"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0.10</w:t>
                  </w:r>
                </w:p>
              </w:tc>
              <w:tc>
                <w:tcPr>
                  <w:tcW w:w="1048"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0.23</w:t>
                  </w:r>
                </w:p>
              </w:tc>
              <w:tc>
                <w:tcPr>
                  <w:tcW w:w="1227"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0.42</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由上可知，</w:t>
            </w:r>
            <w:r>
              <w:rPr>
                <w:rFonts w:hint="default" w:ascii="Times New Roman" w:hAnsi="Times New Roman" w:eastAsia="宋体" w:cs="Times New Roman"/>
                <w:color w:val="auto"/>
                <w:sz w:val="24"/>
                <w:highlight w:val="none"/>
                <w:lang w:val="en-US" w:eastAsia="zh-CN"/>
              </w:rPr>
              <w:t>该论文试验条件为常温常压下进行，因此本项目产排污条件与其一致。</w:t>
            </w:r>
            <w:r>
              <w:rPr>
                <w:rFonts w:hint="default" w:ascii="Times New Roman" w:hAnsi="Times New Roman" w:eastAsia="宋体" w:cs="Times New Roman"/>
                <w:color w:val="auto"/>
                <w:sz w:val="24"/>
                <w:highlight w:val="none"/>
              </w:rPr>
              <w:t>聚苯乙烯在180℃的加热条件下即可产生甲苯、乙苯及苯乙烯，不同的加热温度条件下产物不同，温度越高，分解产物的种类越多，浓度越大。本项目生产</w:t>
            </w:r>
            <w:r>
              <w:rPr>
                <w:rFonts w:hint="default" w:ascii="Times New Roman" w:hAnsi="Times New Roman" w:eastAsia="宋体" w:cs="Times New Roman"/>
                <w:color w:val="auto"/>
                <w:sz w:val="24"/>
                <w:highlight w:val="none"/>
                <w:lang w:val="en-US" w:eastAsia="zh-CN"/>
              </w:rPr>
              <w:t>泡沫箱</w:t>
            </w:r>
            <w:r>
              <w:rPr>
                <w:rFonts w:hint="default" w:ascii="Times New Roman" w:hAnsi="Times New Roman" w:eastAsia="宋体" w:cs="Times New Roman"/>
                <w:color w:val="auto"/>
                <w:sz w:val="24"/>
                <w:highlight w:val="none"/>
              </w:rPr>
              <w:t>时选取在</w:t>
            </w:r>
            <w:r>
              <w:rPr>
                <w:rFonts w:hint="default" w:ascii="Times New Roman" w:hAnsi="Times New Roman" w:eastAsia="宋体" w:cs="Times New Roman"/>
                <w:color w:val="auto"/>
                <w:sz w:val="24"/>
                <w:highlight w:val="none"/>
                <w:lang w:val="en-US" w:eastAsia="zh-CN"/>
              </w:rPr>
              <w:t>最高温度</w:t>
            </w:r>
            <w:r>
              <w:rPr>
                <w:rFonts w:hint="default" w:ascii="Times New Roman" w:hAnsi="Times New Roman" w:eastAsia="宋体" w:cs="Times New Roman"/>
                <w:color w:val="auto"/>
                <w:sz w:val="24"/>
                <w:highlight w:val="none"/>
              </w:rPr>
              <w:t>180℃加热情况下的各污染物进行核算。根据（气相色谱-质谱法分析聚苯乙烯加热分解产物）论文中内容介绍，该论文实验时称取25g的聚苯乙烯粉末在250</w:t>
            </w:r>
            <w:r>
              <w:rPr>
                <w:rFonts w:hint="eastAsia" w:cs="Times New Roman"/>
                <w:color w:val="auto"/>
                <w:sz w:val="24"/>
                <w:highlight w:val="none"/>
                <w:lang w:val="en-US" w:eastAsia="zh-CN"/>
              </w:rPr>
              <w:t>m</w:t>
            </w:r>
            <w:r>
              <w:rPr>
                <w:rFonts w:hint="default" w:ascii="Times New Roman" w:hAnsi="Times New Roman" w:eastAsia="宋体" w:cs="Times New Roman"/>
                <w:color w:val="auto"/>
                <w:sz w:val="24"/>
                <w:highlight w:val="none"/>
              </w:rPr>
              <w:t>L的量瓶中进行加热，因此可对应计算出在180℃时各污染物的产生情况如下：</w:t>
            </w:r>
          </w:p>
          <w:p>
            <w:pPr>
              <w:jc w:val="center"/>
              <w:rPr>
                <w:rFonts w:hint="default" w:ascii="Times New Roman" w:hAnsi="Times New Roman" w:eastAsia="宋体" w:cs="Times New Roman"/>
                <w:b/>
                <w:bCs/>
                <w:color w:val="auto"/>
                <w:spacing w:val="6"/>
                <w:szCs w:val="21"/>
                <w:highlight w:val="none"/>
              </w:rPr>
            </w:pPr>
            <w:r>
              <w:rPr>
                <w:rFonts w:hint="default" w:ascii="Times New Roman" w:hAnsi="Times New Roman" w:eastAsia="宋体" w:cs="Times New Roman"/>
                <w:b/>
                <w:bCs/>
                <w:color w:val="auto"/>
                <w:spacing w:val="6"/>
                <w:szCs w:val="21"/>
                <w:highlight w:val="none"/>
              </w:rPr>
              <w:t>表</w:t>
            </w:r>
            <w:r>
              <w:rPr>
                <w:rFonts w:hint="default" w:ascii="Times New Roman" w:hAnsi="Times New Roman" w:eastAsia="宋体" w:cs="Times New Roman"/>
                <w:b/>
                <w:bCs/>
                <w:color w:val="auto"/>
                <w:spacing w:val="6"/>
                <w:szCs w:val="21"/>
                <w:highlight w:val="none"/>
                <w:lang w:val="en-US" w:eastAsia="zh-CN"/>
              </w:rPr>
              <w:t>4-7</w:t>
            </w:r>
            <w:r>
              <w:rPr>
                <w:rFonts w:hint="default" w:ascii="Times New Roman" w:hAnsi="Times New Roman" w:eastAsia="宋体" w:cs="Times New Roman"/>
                <w:b/>
                <w:bCs/>
                <w:color w:val="auto"/>
                <w:spacing w:val="6"/>
                <w:szCs w:val="21"/>
                <w:highlight w:val="none"/>
              </w:rPr>
              <w:t xml:space="preserve">  180</w:t>
            </w:r>
            <w:r>
              <w:rPr>
                <w:rFonts w:hint="default" w:ascii="Times New Roman" w:hAnsi="Times New Roman" w:eastAsia="宋体" w:cs="Times New Roman"/>
                <w:b/>
                <w:bCs/>
                <w:color w:val="auto"/>
                <w:szCs w:val="21"/>
                <w:highlight w:val="none"/>
              </w:rPr>
              <w:t>℃温度条件下聚苯乙烯的加热</w:t>
            </w:r>
            <w:r>
              <w:rPr>
                <w:rFonts w:hint="default" w:ascii="Times New Roman" w:hAnsi="Times New Roman" w:eastAsia="宋体" w:cs="Times New Roman"/>
                <w:b/>
                <w:bCs/>
                <w:color w:val="auto"/>
                <w:szCs w:val="21"/>
                <w:highlight w:val="none"/>
                <w:lang w:val="en-US" w:eastAsia="zh-CN"/>
              </w:rPr>
              <w:t>产污</w:t>
            </w:r>
            <w:r>
              <w:rPr>
                <w:rFonts w:hint="default" w:ascii="Times New Roman" w:hAnsi="Times New Roman" w:eastAsia="宋体" w:cs="Times New Roman"/>
                <w:b/>
                <w:bCs/>
                <w:color w:val="auto"/>
                <w:szCs w:val="21"/>
                <w:highlight w:val="none"/>
              </w:rPr>
              <w:t>种类及量</w:t>
            </w:r>
          </w:p>
          <w:tbl>
            <w:tblPr>
              <w:tblStyle w:val="27"/>
              <w:tblW w:w="8520" w:type="dxa"/>
              <w:tblInd w:w="-2"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427"/>
              <w:gridCol w:w="1032"/>
              <w:gridCol w:w="1215"/>
              <w:gridCol w:w="1785"/>
              <w:gridCol w:w="1678"/>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restart"/>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b/>
                      <w:bCs/>
                      <w:color w:val="auto"/>
                      <w:szCs w:val="21"/>
                      <w:highlight w:val="none"/>
                    </w:rPr>
                    <w:t xml:space="preserve"> 加热</w:t>
                  </w:r>
                </w:p>
                <w:p>
                  <w:pPr>
                    <w:pStyle w:val="2"/>
                    <w:spacing w:after="0"/>
                    <w:ind w:left="0" w:leftChars="0" w:firstLine="0" w:firstLineChar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产污</w:t>
                  </w:r>
                </w:p>
              </w:tc>
              <w:tc>
                <w:tcPr>
                  <w:tcW w:w="7137" w:type="dxa"/>
                  <w:gridSpan w:val="5"/>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温度为180℃情况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vMerge w:val="continue"/>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p>
              </w:tc>
              <w:tc>
                <w:tcPr>
                  <w:tcW w:w="1427"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聚苯乙烯原料（g）</w:t>
                  </w:r>
                </w:p>
              </w:tc>
              <w:tc>
                <w:tcPr>
                  <w:tcW w:w="1032"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实验体积（</w:t>
                  </w:r>
                  <w:r>
                    <w:rPr>
                      <w:rFonts w:hint="eastAsia" w:cs="Times New Roman"/>
                      <w:b/>
                      <w:bCs/>
                      <w:color w:val="auto"/>
                      <w:szCs w:val="21"/>
                      <w:highlight w:val="none"/>
                      <w:lang w:val="en-US" w:eastAsia="zh-CN"/>
                    </w:rPr>
                    <w:t>m</w:t>
                  </w:r>
                  <w:r>
                    <w:rPr>
                      <w:rFonts w:hint="default" w:ascii="Times New Roman" w:hAnsi="Times New Roman" w:eastAsia="宋体" w:cs="Times New Roman"/>
                      <w:b/>
                      <w:bCs/>
                      <w:color w:val="auto"/>
                      <w:szCs w:val="21"/>
                      <w:highlight w:val="none"/>
                    </w:rPr>
                    <w:t>L）</w:t>
                  </w:r>
                </w:p>
              </w:tc>
              <w:tc>
                <w:tcPr>
                  <w:tcW w:w="1215"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浓度（mg/m</w:t>
                  </w:r>
                  <w:r>
                    <w:rPr>
                      <w:rFonts w:hint="default" w:ascii="Times New Roman" w:hAnsi="Times New Roman" w:eastAsia="宋体" w:cs="Times New Roman"/>
                      <w:b/>
                      <w:bCs/>
                      <w:color w:val="auto"/>
                      <w:szCs w:val="21"/>
                      <w:highlight w:val="none"/>
                      <w:vertAlign w:val="superscript"/>
                    </w:rPr>
                    <w:t>3</w:t>
                  </w:r>
                  <w:r>
                    <w:rPr>
                      <w:rFonts w:hint="default" w:ascii="Times New Roman" w:hAnsi="Times New Roman" w:eastAsia="宋体" w:cs="Times New Roman"/>
                      <w:b/>
                      <w:bCs/>
                      <w:color w:val="auto"/>
                      <w:szCs w:val="21"/>
                      <w:highlight w:val="none"/>
                    </w:rPr>
                    <w:t>）</w:t>
                  </w:r>
                </w:p>
              </w:tc>
              <w:tc>
                <w:tcPr>
                  <w:tcW w:w="1785"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25g原料对应污染物产生量（mg）</w:t>
                  </w:r>
                </w:p>
              </w:tc>
              <w:tc>
                <w:tcPr>
                  <w:tcW w:w="1678" w:type="dxa"/>
                  <w:tcBorders>
                    <w:tl2br w:val="nil"/>
                    <w:tr2bl w:val="nil"/>
                  </w:tcBorders>
                  <w:noWrap w:val="0"/>
                  <w:vAlign w:val="center"/>
                </w:tcPr>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污染物产生量（kg/t）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1.24</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0.00031</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0.0000124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0.66</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0.000165</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0.0000066</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83" w:type="dxa"/>
                  <w:tcBorders>
                    <w:tl2br w:val="nil"/>
                    <w:tr2bl w:val="nil"/>
                  </w:tcBorders>
                  <w:noWrap w:val="0"/>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苯乙烯</w:t>
                  </w:r>
                </w:p>
              </w:tc>
              <w:tc>
                <w:tcPr>
                  <w:tcW w:w="1427"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w:t>
                  </w:r>
                </w:p>
              </w:tc>
              <w:tc>
                <w:tcPr>
                  <w:tcW w:w="1032"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250</w:t>
                  </w:r>
                </w:p>
              </w:tc>
              <w:tc>
                <w:tcPr>
                  <w:tcW w:w="1215" w:type="dxa"/>
                  <w:tcBorders>
                    <w:tl2br w:val="nil"/>
                    <w:tr2bl w:val="nil"/>
                  </w:tcBorders>
                  <w:noWrap w:val="0"/>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0.42</w:t>
                  </w:r>
                </w:p>
              </w:tc>
              <w:tc>
                <w:tcPr>
                  <w:tcW w:w="178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0.000105</w:t>
                  </w:r>
                </w:p>
              </w:tc>
              <w:tc>
                <w:tcPr>
                  <w:tcW w:w="167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0.0000042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综上可知，加热温度为180℃时甲苯的产生量为0.0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124kg/t聚苯乙烯，乙苯的产生量为0.00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66kg/t聚苯乙烯，苯乙烯的产生量为0.00</w:t>
            </w:r>
            <w:r>
              <w:rPr>
                <w:rFonts w:hint="eastAsia" w:cs="Times New Roman"/>
                <w:color w:val="auto"/>
                <w:sz w:val="24"/>
                <w:highlight w:val="none"/>
                <w:lang w:val="en-US" w:eastAsia="zh-CN"/>
              </w:rPr>
              <w:t>000</w:t>
            </w:r>
            <w:r>
              <w:rPr>
                <w:rFonts w:hint="default" w:ascii="Times New Roman" w:hAnsi="Times New Roman" w:eastAsia="宋体" w:cs="Times New Roman"/>
                <w:color w:val="auto"/>
                <w:sz w:val="24"/>
                <w:highlight w:val="none"/>
              </w:rPr>
              <w:t>42kg/t聚苯乙烯。</w:t>
            </w:r>
          </w:p>
          <w:p>
            <w:pPr>
              <w:keepNext w:val="0"/>
              <w:keepLines w:val="0"/>
              <w:pageBreakBefore w:val="0"/>
              <w:widowControl w:val="0"/>
              <w:kinsoku/>
              <w:wordWrap/>
              <w:overflowPunct/>
              <w:topLinePunct w:val="0"/>
              <w:autoSpaceDE/>
              <w:autoSpaceDN/>
              <w:bidi w:val="0"/>
              <w:adjustRightInd/>
              <w:snapToGrid/>
              <w:spacing w:line="348" w:lineRule="auto"/>
              <w:ind w:firstLine="482" w:firstLineChars="200"/>
              <w:textAlignment w:val="auto"/>
              <w:outlineLvl w:val="9"/>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B、非甲烷总烃</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项目所使用的聚苯乙烯原料生产过程还会产生部分有机废气，此部分有机废气以非甲烷总烃计。非甲烷总烃产生量参考《晋州市风丰包装有限公司年生产400万个泡沫箱项目阶段性竣工环境保护验收报告》进行类比计算，晋州市风丰包装有限公司年生产400万个泡沫箱项目使用的原料为EPS，发泡剂为戊烷，生产工艺为送料-预发泡-熟化-蒸汽成型（80-100℃）-冷却-脱模-检验-成品，产品为泡沫箱，该项目所使用的原料、生产工艺及产品均与本项目一致，因此具有可类比性。项目分期验收，第一期验收产品量为200t/a，根据检测报告，预发泡工序废气处理设施进口排放速率为0.049kg/h；成型工序废气处理设施进口排放速率为0.0534kg/h，项目年生产300d，每天8小时，集气罩收集效率为80%，则生产过程挥发性有机物产生量为1.536千克/吨-产品，本项目产品产量为</w:t>
            </w:r>
            <w:r>
              <w:rPr>
                <w:rFonts w:hint="eastAsia" w:cs="Times New Roman"/>
                <w:b w:val="0"/>
                <w:bCs/>
                <w:color w:val="auto"/>
                <w:spacing w:val="6"/>
                <w:sz w:val="24"/>
                <w:highlight w:val="none"/>
                <w:lang w:val="en-US" w:eastAsia="zh-CN"/>
              </w:rPr>
              <w:t>80</w:t>
            </w:r>
            <w:r>
              <w:rPr>
                <w:rFonts w:hint="default" w:ascii="Times New Roman" w:hAnsi="Times New Roman" w:eastAsia="宋体" w:cs="Times New Roman"/>
                <w:b w:val="0"/>
                <w:bCs/>
                <w:color w:val="auto"/>
                <w:spacing w:val="6"/>
                <w:sz w:val="24"/>
                <w:highlight w:val="none"/>
                <w:lang w:val="en-US" w:eastAsia="zh-CN"/>
              </w:rPr>
              <w:t>00t/a</w:t>
            </w:r>
            <w:r>
              <w:rPr>
                <w:rFonts w:hint="default" w:ascii="Times New Roman" w:hAnsi="Times New Roman" w:eastAsia="宋体" w:cs="Times New Roman"/>
                <w:b w:val="0"/>
                <w:bCs/>
                <w:color w:val="auto"/>
                <w:spacing w:val="6"/>
                <w:sz w:val="24"/>
                <w:szCs w:val="24"/>
                <w:highlight w:val="none"/>
                <w:lang w:val="en-US" w:eastAsia="zh-CN"/>
              </w:rPr>
              <w:t>，</w:t>
            </w:r>
            <w:r>
              <w:rPr>
                <w:rFonts w:hint="default" w:ascii="Times New Roman" w:hAnsi="Times New Roman" w:eastAsia="宋体" w:cs="Times New Roman"/>
                <w:b w:val="0"/>
                <w:bCs/>
                <w:color w:val="auto"/>
                <w:sz w:val="24"/>
                <w:szCs w:val="24"/>
                <w:highlight w:val="none"/>
                <w:lang w:val="zh-CN"/>
              </w:rPr>
              <w:t>则</w:t>
            </w:r>
            <w:r>
              <w:rPr>
                <w:rFonts w:hint="default" w:ascii="Times New Roman" w:hAnsi="Times New Roman" w:eastAsia="宋体" w:cs="Times New Roman"/>
                <w:b w:val="0"/>
                <w:bCs/>
                <w:color w:val="auto"/>
                <w:sz w:val="24"/>
                <w:szCs w:val="24"/>
                <w:highlight w:val="none"/>
                <w:lang w:val="zh-CN" w:bidi="en-US"/>
              </w:rPr>
              <w:t>生产</w:t>
            </w:r>
            <w:r>
              <w:rPr>
                <w:rFonts w:hint="default" w:ascii="Times New Roman" w:hAnsi="Times New Roman" w:eastAsia="宋体" w:cs="Times New Roman"/>
                <w:b w:val="0"/>
                <w:bCs/>
                <w:color w:val="auto"/>
                <w:spacing w:val="6"/>
                <w:sz w:val="24"/>
                <w:szCs w:val="24"/>
                <w:highlight w:val="none"/>
                <w:lang w:val="zh-CN" w:eastAsia="zh-CN"/>
              </w:rPr>
              <w:t>过程</w:t>
            </w:r>
            <w:r>
              <w:rPr>
                <w:rFonts w:hint="default" w:ascii="Times New Roman" w:hAnsi="Times New Roman" w:eastAsia="宋体" w:cs="Times New Roman"/>
                <w:b w:val="0"/>
                <w:bCs/>
                <w:color w:val="auto"/>
                <w:spacing w:val="6"/>
                <w:sz w:val="24"/>
                <w:szCs w:val="24"/>
                <w:highlight w:val="none"/>
                <w:lang w:val="en-US" w:eastAsia="zh-CN"/>
              </w:rPr>
              <w:t>挥发性有机物（以非甲烷总烃计）</w:t>
            </w:r>
            <w:r>
              <w:rPr>
                <w:rFonts w:hint="default" w:ascii="Times New Roman" w:hAnsi="Times New Roman" w:eastAsia="宋体" w:cs="Times New Roman"/>
                <w:b w:val="0"/>
                <w:bCs/>
                <w:color w:val="auto"/>
                <w:spacing w:val="6"/>
                <w:sz w:val="24"/>
                <w:szCs w:val="24"/>
                <w:highlight w:val="none"/>
                <w:lang w:val="zh-CN" w:eastAsia="zh-CN"/>
              </w:rPr>
              <w:t>产生</w:t>
            </w:r>
            <w:r>
              <w:rPr>
                <w:rFonts w:hint="default" w:ascii="Times New Roman" w:hAnsi="Times New Roman" w:eastAsia="宋体" w:cs="Times New Roman"/>
                <w:b w:val="0"/>
                <w:bCs/>
                <w:color w:val="auto"/>
                <w:spacing w:val="6"/>
                <w:sz w:val="24"/>
                <w:szCs w:val="24"/>
                <w:highlight w:val="none"/>
                <w:lang w:val="en-US" w:eastAsia="zh-CN"/>
              </w:rPr>
              <w:t>总</w:t>
            </w:r>
            <w:r>
              <w:rPr>
                <w:rFonts w:hint="default" w:ascii="Times New Roman" w:hAnsi="Times New Roman" w:eastAsia="宋体" w:cs="Times New Roman"/>
                <w:b w:val="0"/>
                <w:bCs/>
                <w:color w:val="auto"/>
                <w:spacing w:val="6"/>
                <w:sz w:val="24"/>
                <w:szCs w:val="24"/>
                <w:highlight w:val="none"/>
                <w:lang w:val="zh-CN" w:eastAsia="zh-CN"/>
              </w:rPr>
              <w:t>量为</w:t>
            </w:r>
            <w:r>
              <w:rPr>
                <w:rFonts w:hint="eastAsia" w:cs="Times New Roman"/>
                <w:b w:val="0"/>
                <w:bCs/>
                <w:color w:val="auto"/>
                <w:spacing w:val="6"/>
                <w:sz w:val="24"/>
                <w:szCs w:val="24"/>
                <w:highlight w:val="none"/>
                <w:lang w:val="en-US" w:eastAsia="zh-CN"/>
              </w:rPr>
              <w:t>12.2880</w:t>
            </w:r>
            <w:r>
              <w:rPr>
                <w:rFonts w:hint="default" w:ascii="Times New Roman" w:hAnsi="Times New Roman" w:eastAsia="宋体" w:cs="Times New Roman"/>
                <w:b w:val="0"/>
                <w:bCs/>
                <w:color w:val="auto"/>
                <w:spacing w:val="6"/>
                <w:sz w:val="24"/>
                <w:szCs w:val="24"/>
                <w:highlight w:val="none"/>
                <w:lang w:val="zh-CN" w:eastAsia="zh-CN"/>
              </w:rPr>
              <w:t>t/a。</w:t>
            </w:r>
            <w:r>
              <w:rPr>
                <w:rFonts w:hint="eastAsia" w:cs="Times New Roman"/>
                <w:b w:val="0"/>
                <w:bCs/>
                <w:color w:val="auto"/>
                <w:spacing w:val="6"/>
                <w:sz w:val="24"/>
                <w:szCs w:val="24"/>
                <w:highlight w:val="none"/>
                <w:lang w:val="zh-CN" w:eastAsia="zh-CN"/>
              </w:rPr>
              <w:t>本项目用料使用量为</w:t>
            </w:r>
            <w:r>
              <w:rPr>
                <w:rFonts w:hint="eastAsia" w:cs="Times New Roman"/>
                <w:b w:val="0"/>
                <w:bCs/>
                <w:color w:val="auto"/>
                <w:spacing w:val="6"/>
                <w:sz w:val="24"/>
                <w:szCs w:val="24"/>
                <w:highlight w:val="none"/>
                <w:lang w:val="en-US" w:eastAsia="zh-CN"/>
              </w:rPr>
              <w:t>8044.28818t/a。</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rPr>
              <w:t>生产过程中</w:t>
            </w:r>
            <w:r>
              <w:rPr>
                <w:rFonts w:hint="default" w:ascii="Times New Roman" w:hAnsi="Times New Roman" w:eastAsia="宋体" w:cs="Times New Roman"/>
                <w:color w:val="auto"/>
                <w:sz w:val="24"/>
                <w:szCs w:val="24"/>
                <w:highlight w:val="none"/>
                <w:lang w:val="en-US" w:eastAsia="zh-CN"/>
              </w:rPr>
              <w:t>废气产生量如下表所示</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 xml:space="preserve">4-8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eastAsia="zh-CN"/>
              </w:rPr>
              <w:t>泡沫箱生产过程有机废气产排情况</w:t>
            </w:r>
            <w:r>
              <w:rPr>
                <w:rFonts w:hint="default" w:ascii="Times New Roman" w:hAnsi="Times New Roman" w:eastAsia="宋体" w:cs="Times New Roman"/>
                <w:b/>
                <w:bCs/>
                <w:color w:val="auto"/>
                <w:sz w:val="21"/>
                <w:szCs w:val="21"/>
                <w:highlight w:val="none"/>
              </w:rPr>
              <w:t>汇总表</w:t>
            </w:r>
          </w:p>
          <w:tbl>
            <w:tblPr>
              <w:tblStyle w:val="27"/>
              <w:tblW w:w="840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735"/>
              <w:gridCol w:w="1643"/>
              <w:gridCol w:w="1959"/>
              <w:gridCol w:w="175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污染物名称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产生情况</w:t>
                  </w:r>
                </w:p>
              </w:tc>
              <w:tc>
                <w:tcPr>
                  <w:tcW w:w="173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甲苯</w:t>
                  </w:r>
                </w:p>
              </w:tc>
              <w:tc>
                <w:tcPr>
                  <w:tcW w:w="16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乙苯</w:t>
                  </w:r>
                </w:p>
              </w:tc>
              <w:tc>
                <w:tcPr>
                  <w:tcW w:w="195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苯乙烯</w:t>
                  </w:r>
                </w:p>
              </w:tc>
              <w:tc>
                <w:tcPr>
                  <w:tcW w:w="175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非甲烷总烃</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产污系数</w:t>
                  </w:r>
                </w:p>
              </w:tc>
              <w:tc>
                <w:tcPr>
                  <w:tcW w:w="173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124kg/t</w:t>
                  </w:r>
                  <w:r>
                    <w:rPr>
                      <w:rFonts w:hint="default" w:ascii="Times New Roman" w:hAnsi="Times New Roman" w:eastAsia="宋体" w:cs="Times New Roman"/>
                      <w:color w:val="auto"/>
                      <w:sz w:val="21"/>
                      <w:szCs w:val="21"/>
                      <w:highlight w:val="none"/>
                      <w:lang w:val="en-US" w:eastAsia="zh-CN"/>
                    </w:rPr>
                    <w:t>-原料</w:t>
                  </w:r>
                </w:p>
              </w:tc>
              <w:tc>
                <w:tcPr>
                  <w:tcW w:w="164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66kg/t</w:t>
                  </w:r>
                  <w:r>
                    <w:rPr>
                      <w:rFonts w:hint="default" w:ascii="Times New Roman" w:hAnsi="Times New Roman" w:eastAsia="宋体" w:cs="Times New Roman"/>
                      <w:color w:val="auto"/>
                      <w:sz w:val="21"/>
                      <w:szCs w:val="21"/>
                      <w:highlight w:val="none"/>
                      <w:lang w:val="en-US" w:eastAsia="zh-CN"/>
                    </w:rPr>
                    <w:t>-原料</w:t>
                  </w:r>
                </w:p>
              </w:tc>
              <w:tc>
                <w:tcPr>
                  <w:tcW w:w="19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0.00</w:t>
                  </w:r>
                  <w:r>
                    <w:rPr>
                      <w:rFonts w:hint="eastAsia" w:cs="Times New Roman"/>
                      <w:color w:val="auto"/>
                      <w:sz w:val="21"/>
                      <w:szCs w:val="21"/>
                      <w:highlight w:val="none"/>
                      <w:lang w:val="en-US" w:eastAsia="zh-CN"/>
                    </w:rPr>
                    <w:t>000</w:t>
                  </w:r>
                  <w:r>
                    <w:rPr>
                      <w:rFonts w:hint="default" w:ascii="Times New Roman" w:hAnsi="Times New Roman" w:eastAsia="宋体" w:cs="Times New Roman"/>
                      <w:color w:val="auto"/>
                      <w:sz w:val="21"/>
                      <w:szCs w:val="21"/>
                      <w:highlight w:val="none"/>
                    </w:rPr>
                    <w:t>42kg/t</w:t>
                  </w:r>
                  <w:r>
                    <w:rPr>
                      <w:rFonts w:hint="default" w:ascii="Times New Roman" w:hAnsi="Times New Roman" w:eastAsia="宋体" w:cs="Times New Roman"/>
                      <w:color w:val="auto"/>
                      <w:sz w:val="21"/>
                      <w:szCs w:val="21"/>
                      <w:highlight w:val="none"/>
                      <w:lang w:val="en-US" w:eastAsia="zh-CN"/>
                    </w:rPr>
                    <w:t>-原料</w:t>
                  </w:r>
                </w:p>
              </w:tc>
              <w:tc>
                <w:tcPr>
                  <w:tcW w:w="17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1</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536</w:t>
                  </w:r>
                  <w:r>
                    <w:rPr>
                      <w:rFonts w:hint="default" w:ascii="Times New Roman" w:hAnsi="Times New Roman" w:eastAsia="宋体" w:cs="Times New Roman"/>
                      <w:color w:val="auto"/>
                      <w:sz w:val="21"/>
                      <w:szCs w:val="21"/>
                      <w:highlight w:val="none"/>
                    </w:rPr>
                    <w:t>kg/t</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产品</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eastAsia="宋体" w:cs="Times New Roman"/>
                      <w:b/>
                      <w:bCs/>
                      <w:color w:val="auto"/>
                      <w:sz w:val="21"/>
                      <w:szCs w:val="21"/>
                      <w:highlight w:val="none"/>
                      <w:lang w:val="en-US" w:eastAsia="zh-CN"/>
                    </w:rPr>
                    <w:t>t/a</w:t>
                  </w:r>
                </w:p>
              </w:tc>
              <w:tc>
                <w:tcPr>
                  <w:tcW w:w="173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0010</w:t>
                  </w:r>
                </w:p>
              </w:tc>
              <w:tc>
                <w:tcPr>
                  <w:tcW w:w="164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0005</w:t>
                  </w:r>
                </w:p>
              </w:tc>
              <w:tc>
                <w:tcPr>
                  <w:tcW w:w="19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w:t>
                  </w:r>
                </w:p>
              </w:tc>
              <w:tc>
                <w:tcPr>
                  <w:tcW w:w="17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12.2880</w:t>
                  </w:r>
                </w:p>
              </w:tc>
            </w:tr>
          </w:tbl>
          <w:p>
            <w:pPr>
              <w:keepNext w:val="0"/>
              <w:keepLines w:val="0"/>
              <w:pageBreakBefore w:val="0"/>
              <w:widowControl w:val="0"/>
              <w:kinsoku/>
              <w:wordWrap/>
              <w:overflowPunct/>
              <w:topLinePunct w:val="0"/>
              <w:autoSpaceDE/>
              <w:autoSpaceDN/>
              <w:bidi w:val="0"/>
              <w:adjustRightInd/>
              <w:snapToGrid/>
              <w:spacing w:line="348" w:lineRule="auto"/>
              <w:ind w:firstLine="506" w:firstLineChars="200"/>
              <w:textAlignment w:val="auto"/>
              <w:outlineLvl w:val="9"/>
              <w:rPr>
                <w:rFonts w:hint="eastAsia" w:ascii="Times New Roman" w:hAnsi="Times New Roman" w:eastAsia="宋体" w:cs="Times New Roman"/>
                <w:b/>
                <w:bCs w:val="0"/>
                <w:color w:val="auto"/>
                <w:spacing w:val="6"/>
                <w:sz w:val="24"/>
                <w:highlight w:val="none"/>
                <w:lang w:val="en-US" w:eastAsia="zh-CN"/>
              </w:rPr>
            </w:pPr>
            <w:r>
              <w:rPr>
                <w:rFonts w:hint="eastAsia" w:ascii="Times New Roman" w:hAnsi="Times New Roman" w:eastAsia="宋体" w:cs="Times New Roman"/>
                <w:b/>
                <w:bCs w:val="0"/>
                <w:color w:val="auto"/>
                <w:spacing w:val="6"/>
                <w:sz w:val="24"/>
                <w:highlight w:val="none"/>
                <w:lang w:val="en-US" w:eastAsia="zh-CN"/>
              </w:rPr>
              <w:t>C、</w:t>
            </w:r>
            <w:r>
              <w:rPr>
                <w:rFonts w:hint="eastAsia" w:ascii="Times New Roman" w:hAnsi="Times New Roman" w:cs="Times New Roman"/>
                <w:b/>
                <w:bCs w:val="0"/>
                <w:color w:val="auto"/>
                <w:spacing w:val="6"/>
                <w:sz w:val="24"/>
                <w:highlight w:val="none"/>
                <w:lang w:val="en-US" w:eastAsia="zh-CN"/>
              </w:rPr>
              <w:t>生产</w:t>
            </w:r>
            <w:r>
              <w:rPr>
                <w:rFonts w:hint="eastAsia" w:ascii="Times New Roman" w:hAnsi="Times New Roman" w:eastAsia="宋体" w:cs="Times New Roman"/>
                <w:b/>
                <w:bCs w:val="0"/>
                <w:color w:val="auto"/>
                <w:spacing w:val="6"/>
                <w:sz w:val="24"/>
                <w:highlight w:val="none"/>
                <w:lang w:val="en-US" w:eastAsia="zh-CN"/>
              </w:rPr>
              <w:t>臭气浓度</w:t>
            </w:r>
          </w:p>
          <w:p>
            <w:pPr>
              <w:keepNext w:val="0"/>
              <w:keepLines w:val="0"/>
              <w:pageBreakBefore w:val="0"/>
              <w:widowControl w:val="0"/>
              <w:kinsoku/>
              <w:wordWrap/>
              <w:overflowPunct/>
              <w:topLinePunct w:val="0"/>
              <w:autoSpaceDE/>
              <w:autoSpaceDN/>
              <w:bidi w:val="0"/>
              <w:adjustRightInd/>
              <w:snapToGrid/>
              <w:spacing w:line="348" w:lineRule="auto"/>
              <w:ind w:firstLine="504" w:firstLineChars="200"/>
              <w:textAlignment w:val="auto"/>
              <w:outlineLvl w:val="9"/>
              <w:rPr>
                <w:rFonts w:hint="default" w:ascii="Times New Roman" w:hAnsi="Times New Roman" w:eastAsia="宋体" w:cs="Times New Roman"/>
                <w:b w:val="0"/>
                <w:bCs/>
                <w:color w:val="auto"/>
                <w:spacing w:val="6"/>
                <w:sz w:val="24"/>
                <w:highlight w:val="none"/>
                <w:lang w:val="en-US" w:eastAsia="zh-CN"/>
              </w:rPr>
            </w:pPr>
            <w:r>
              <w:rPr>
                <w:rFonts w:hint="default" w:ascii="Times New Roman" w:hAnsi="Times New Roman" w:eastAsia="宋体" w:cs="Times New Roman"/>
                <w:b w:val="0"/>
                <w:bCs/>
                <w:color w:val="auto"/>
                <w:spacing w:val="6"/>
                <w:sz w:val="24"/>
                <w:highlight w:val="none"/>
                <w:lang w:val="en-US" w:eastAsia="zh-CN"/>
              </w:rPr>
              <w:t>本项目生产过程中除产生挥发性有机物废气外，同时还会伴有轻微异味产生，以臭气浓度表征，产生量较小。生产车间臭气浓度大部分随有机废气一同收集为有组织排放，少量未收集部分为无组织排放，</w:t>
            </w:r>
            <w:r>
              <w:rPr>
                <w:rFonts w:hint="eastAsia" w:cs="Times New Roman"/>
                <w:b w:val="0"/>
                <w:bCs/>
                <w:color w:val="auto"/>
                <w:spacing w:val="6"/>
                <w:sz w:val="24"/>
                <w:highlight w:val="none"/>
                <w:lang w:val="en-US" w:eastAsia="zh-CN"/>
              </w:rPr>
              <w:t>臭气浓度排放值</w:t>
            </w:r>
            <w:r>
              <w:rPr>
                <w:rFonts w:hint="default" w:ascii="Times New Roman" w:hAnsi="Times New Roman" w:eastAsia="宋体" w:cs="Times New Roman"/>
                <w:b w:val="0"/>
                <w:bCs/>
                <w:color w:val="auto"/>
                <w:spacing w:val="6"/>
                <w:sz w:val="24"/>
                <w:highlight w:val="none"/>
                <w:lang w:val="en-US" w:eastAsia="zh-CN"/>
              </w:rPr>
              <w:t>参考《晋州市风丰包装有限公司年生产400万个泡沫箱项目阶段性竣工环境保护验收报告》进行类比计算，晋州市风丰包装有限公司年生产400万个泡沫箱项目使用的原料为EPS，发泡剂为戊烷，生产工艺为送料-预发泡-熟化-蒸汽成型（80-100℃）-冷却-脱模-检验-成品，产品为泡沫箱，该项目所使用的原料、生产工艺及产品均与本项目一致，因此具有可类比性。项目分期验收，第一期验收产品量为200t/a，根据检测报告，预发泡</w:t>
            </w:r>
            <w:r>
              <w:rPr>
                <w:rFonts w:hint="eastAsia" w:cs="Times New Roman"/>
                <w:b w:val="0"/>
                <w:bCs/>
                <w:color w:val="auto"/>
                <w:spacing w:val="6"/>
                <w:sz w:val="24"/>
                <w:highlight w:val="none"/>
                <w:lang w:val="en-US" w:eastAsia="zh-CN"/>
              </w:rPr>
              <w:t>、成型</w:t>
            </w:r>
            <w:r>
              <w:rPr>
                <w:rFonts w:hint="default" w:ascii="Times New Roman" w:hAnsi="Times New Roman" w:eastAsia="宋体"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排气筒的臭气浓度为309（无量纲），风量为8384m</w:t>
            </w:r>
            <w:r>
              <w:rPr>
                <w:rFonts w:hint="eastAsia" w:cs="Times New Roman"/>
                <w:b w:val="0"/>
                <w:bCs/>
                <w:color w:val="auto"/>
                <w:spacing w:val="6"/>
                <w:sz w:val="24"/>
                <w:highlight w:val="none"/>
                <w:vertAlign w:val="superscript"/>
                <w:lang w:val="en-US" w:eastAsia="zh-CN"/>
              </w:rPr>
              <w:t>3</w:t>
            </w:r>
            <w:r>
              <w:rPr>
                <w:rFonts w:hint="eastAsia" w:cs="Times New Roman"/>
                <w:b w:val="0"/>
                <w:bCs/>
                <w:color w:val="auto"/>
                <w:spacing w:val="6"/>
                <w:sz w:val="24"/>
                <w:highlight w:val="none"/>
                <w:lang w:val="en-US" w:eastAsia="zh-CN"/>
              </w:rPr>
              <w:t>/h</w:t>
            </w:r>
            <w:r>
              <w:rPr>
                <w:rFonts w:hint="default" w:ascii="Times New Roman" w:hAnsi="Times New Roman" w:eastAsia="宋体" w:cs="Times New Roman"/>
                <w:b w:val="0"/>
                <w:bCs/>
                <w:color w:val="auto"/>
                <w:spacing w:val="6"/>
                <w:sz w:val="24"/>
                <w:highlight w:val="none"/>
                <w:lang w:val="en-US" w:eastAsia="zh-CN"/>
              </w:rPr>
              <w:t>；</w:t>
            </w:r>
            <w:r>
              <w:rPr>
                <w:rFonts w:hint="eastAsia" w:cs="Times New Roman"/>
                <w:b w:val="0"/>
                <w:bCs/>
                <w:color w:val="auto"/>
                <w:spacing w:val="6"/>
                <w:sz w:val="24"/>
                <w:highlight w:val="none"/>
                <w:lang w:val="en-US" w:eastAsia="zh-CN"/>
              </w:rPr>
              <w:t>本项目产品量为8000t/a，风量为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i w:val="0"/>
                <w:color w:val="auto"/>
                <w:kern w:val="0"/>
                <w:sz w:val="24"/>
                <w:szCs w:val="24"/>
                <w:highlight w:val="none"/>
                <w:u w:val="none"/>
                <w:lang w:val="en-US" w:eastAsia="zh-CN" w:bidi="ar"/>
              </w:rPr>
              <w:t>m</w:t>
            </w:r>
            <w:r>
              <w:rPr>
                <w:rFonts w:hint="default" w:ascii="Times New Roman" w:hAnsi="Times New Roman" w:eastAsia="宋体" w:cs="Times New Roman"/>
                <w:i w:val="0"/>
                <w:color w:val="auto"/>
                <w:kern w:val="0"/>
                <w:sz w:val="24"/>
                <w:szCs w:val="24"/>
                <w:highlight w:val="none"/>
                <w:u w:val="none"/>
                <w:vertAlign w:val="superscript"/>
                <w:lang w:val="en-US" w:eastAsia="zh-CN" w:bidi="ar"/>
              </w:rPr>
              <w:t>3</w:t>
            </w:r>
            <w:r>
              <w:rPr>
                <w:rFonts w:hint="default" w:ascii="Times New Roman" w:hAnsi="Times New Roman" w:eastAsia="宋体" w:cs="Times New Roman"/>
                <w:i w:val="0"/>
                <w:color w:val="auto"/>
                <w:kern w:val="0"/>
                <w:sz w:val="24"/>
                <w:szCs w:val="24"/>
                <w:highlight w:val="none"/>
                <w:u w:val="none"/>
                <w:lang w:val="en-US" w:eastAsia="zh-CN" w:bidi="ar"/>
              </w:rPr>
              <w:t>/h</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则类比折算</w:t>
            </w:r>
            <w:r>
              <w:rPr>
                <w:rFonts w:hint="eastAsia" w:cs="Times New Roman"/>
                <w:b w:val="0"/>
                <w:bCs/>
                <w:color w:val="auto"/>
                <w:spacing w:val="6"/>
                <w:sz w:val="24"/>
                <w:highlight w:val="none"/>
                <w:lang w:val="en-US" w:eastAsia="zh-CN"/>
              </w:rPr>
              <w:t>出本项目</w:t>
            </w:r>
            <w:r>
              <w:rPr>
                <w:rFonts w:hint="default" w:cs="Times New Roman"/>
                <w:b w:val="0"/>
                <w:bCs/>
                <w:color w:val="auto"/>
                <w:spacing w:val="6"/>
                <w:sz w:val="24"/>
                <w:highlight w:val="none"/>
                <w:lang w:val="en-US" w:eastAsia="zh-CN"/>
              </w:rPr>
              <w:t>预发泡</w:t>
            </w:r>
            <w:r>
              <w:rPr>
                <w:rFonts w:hint="eastAsia" w:cs="Times New Roman"/>
                <w:b w:val="0"/>
                <w:bCs/>
                <w:color w:val="auto"/>
                <w:spacing w:val="6"/>
                <w:sz w:val="24"/>
                <w:highlight w:val="none"/>
                <w:lang w:val="en-US" w:eastAsia="zh-CN"/>
              </w:rPr>
              <w:t>、成型</w:t>
            </w:r>
            <w:r>
              <w:rPr>
                <w:rFonts w:hint="default" w:cs="Times New Roman"/>
                <w:b w:val="0"/>
                <w:bCs/>
                <w:color w:val="auto"/>
                <w:spacing w:val="6"/>
                <w:sz w:val="24"/>
                <w:highlight w:val="none"/>
                <w:lang w:val="en-US" w:eastAsia="zh-CN"/>
              </w:rPr>
              <w:t>工序废气</w:t>
            </w:r>
            <w:r>
              <w:rPr>
                <w:rFonts w:hint="eastAsia" w:cs="Times New Roman"/>
                <w:b w:val="0"/>
                <w:bCs/>
                <w:color w:val="auto"/>
                <w:spacing w:val="6"/>
                <w:sz w:val="24"/>
                <w:highlight w:val="none"/>
                <w:lang w:val="en-US" w:eastAsia="zh-CN"/>
              </w:rPr>
              <w:t>有组织排放臭气浓度为1152.56（无量纲），满足</w:t>
            </w:r>
            <w:r>
              <w:rPr>
                <w:rFonts w:hint="default" w:cs="Times New Roman"/>
                <w:b w:val="0"/>
                <w:bCs/>
                <w:color w:val="auto"/>
                <w:spacing w:val="6"/>
                <w:sz w:val="24"/>
                <w:highlight w:val="none"/>
                <w:lang w:val="zh-CN" w:eastAsia="zh-CN"/>
              </w:rPr>
              <w:t>《恶臭污染物排放标准》（GB14554-93）表</w:t>
            </w:r>
            <w:r>
              <w:rPr>
                <w:rFonts w:hint="eastAsia" w:cs="Times New Roman"/>
                <w:b w:val="0"/>
                <w:bCs/>
                <w:color w:val="auto"/>
                <w:spacing w:val="6"/>
                <w:sz w:val="24"/>
                <w:highlight w:val="none"/>
                <w:lang w:val="en-US" w:eastAsia="zh-CN"/>
              </w:rPr>
              <w:t>2</w:t>
            </w:r>
            <w:r>
              <w:rPr>
                <w:rFonts w:hint="default" w:cs="Times New Roman"/>
                <w:b w:val="0"/>
                <w:bCs/>
                <w:color w:val="auto"/>
                <w:spacing w:val="6"/>
                <w:sz w:val="24"/>
                <w:highlight w:val="none"/>
                <w:lang w:val="en-US" w:eastAsia="zh-CN"/>
              </w:rPr>
              <w:t>中二级</w:t>
            </w:r>
            <w:r>
              <w:rPr>
                <w:rFonts w:hint="eastAsia" w:cs="Times New Roman"/>
                <w:b w:val="0"/>
                <w:bCs/>
                <w:color w:val="auto"/>
                <w:spacing w:val="6"/>
                <w:sz w:val="24"/>
                <w:highlight w:val="none"/>
                <w:lang w:val="en-US" w:eastAsia="zh-CN"/>
              </w:rPr>
              <w:t>恶臭污染物</w:t>
            </w:r>
            <w:r>
              <w:rPr>
                <w:rFonts w:hint="default" w:cs="Times New Roman"/>
                <w:b w:val="0"/>
                <w:bCs/>
                <w:color w:val="auto"/>
                <w:spacing w:val="6"/>
                <w:sz w:val="24"/>
                <w:highlight w:val="none"/>
                <w:lang w:val="zh-CN" w:eastAsia="zh-CN"/>
              </w:rPr>
              <w:t>排放标准</w:t>
            </w:r>
            <w:r>
              <w:rPr>
                <w:rFonts w:hint="eastAsia" w:cs="Times New Roman"/>
                <w:b w:val="0"/>
                <w:bCs/>
                <w:color w:val="auto"/>
                <w:spacing w:val="6"/>
                <w:sz w:val="24"/>
                <w:highlight w:val="none"/>
                <w:lang w:val="zh-CN" w:eastAsia="zh-CN"/>
              </w:rPr>
              <w:t>值要求（</w:t>
            </w:r>
            <w:r>
              <w:rPr>
                <w:rFonts w:hint="eastAsia" w:cs="Times New Roman"/>
                <w:b w:val="0"/>
                <w:bCs/>
                <w:color w:val="auto"/>
                <w:spacing w:val="6"/>
                <w:sz w:val="24"/>
                <w:highlight w:val="none"/>
                <w:lang w:val="en-US" w:eastAsia="zh-CN"/>
              </w:rPr>
              <w:t>2000（无量纲）</w:t>
            </w:r>
            <w:r>
              <w:rPr>
                <w:rFonts w:hint="eastAsia" w:cs="Times New Roman"/>
                <w:b w:val="0"/>
                <w:bCs/>
                <w:color w:val="auto"/>
                <w:spacing w:val="6"/>
                <w:sz w:val="24"/>
                <w:highlight w:val="none"/>
                <w:lang w:val="zh-CN" w:eastAsia="zh-CN"/>
              </w:rPr>
              <w:t>），</w:t>
            </w:r>
            <w:r>
              <w:rPr>
                <w:rFonts w:hint="default" w:ascii="Times New Roman" w:hAnsi="Times New Roman" w:eastAsia="宋体" w:cs="Times New Roman"/>
                <w:b w:val="0"/>
                <w:bCs/>
                <w:color w:val="auto"/>
                <w:spacing w:val="6"/>
                <w:sz w:val="24"/>
                <w:highlight w:val="none"/>
                <w:lang w:val="en-US" w:eastAsia="zh-CN"/>
              </w:rPr>
              <w:t>对外环境的影响较小。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lang w:val="en-US" w:eastAsia="zh-CN"/>
              </w:rPr>
              <w:t>本次环评提出在发泡机上方</w:t>
            </w:r>
            <w:r>
              <w:rPr>
                <w:rFonts w:hint="default" w:ascii="Times New Roman" w:hAnsi="Times New Roman" w:eastAsia="宋体" w:cs="Times New Roman"/>
                <w:color w:val="auto"/>
                <w:sz w:val="24"/>
              </w:rPr>
              <w:t>设</w:t>
            </w:r>
            <w:r>
              <w:rPr>
                <w:rFonts w:hint="default" w:ascii="Times New Roman" w:hAnsi="Times New Roman" w:eastAsia="宋体" w:cs="Times New Roman"/>
                <w:color w:val="auto"/>
                <w:sz w:val="24"/>
                <w:highlight w:val="none"/>
              </w:rPr>
              <w:t>置</w:t>
            </w: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个</w:t>
            </w:r>
            <w:r>
              <w:rPr>
                <w:rFonts w:hint="default" w:ascii="Times New Roman" w:hAnsi="Times New Roman" w:eastAsia="宋体" w:cs="Times New Roman"/>
                <w:color w:val="auto"/>
                <w:sz w:val="24"/>
                <w:highlight w:val="none"/>
                <w:lang w:val="en-US" w:eastAsia="zh-CN"/>
              </w:rPr>
              <w:t>集气罩，</w:t>
            </w:r>
            <w:r>
              <w:rPr>
                <w:rFonts w:hint="default" w:ascii="Times New Roman" w:hAnsi="Times New Roman" w:eastAsia="宋体" w:cs="Times New Roman"/>
                <w:color w:val="auto"/>
                <w:sz w:val="24"/>
                <w:highlight w:val="none"/>
                <w:vertAlign w:val="baseline"/>
                <w:lang w:val="en-US" w:eastAsia="zh-CN"/>
              </w:rPr>
              <w:t>在成型机上方设置</w:t>
            </w:r>
            <w:r>
              <w:rPr>
                <w:rFonts w:hint="eastAsia" w:cs="Times New Roman"/>
                <w:color w:val="auto"/>
                <w:sz w:val="24"/>
                <w:highlight w:val="none"/>
                <w:vertAlign w:val="baseline"/>
                <w:lang w:val="en-US" w:eastAsia="zh-CN"/>
              </w:rPr>
              <w:t>35</w:t>
            </w:r>
            <w:r>
              <w:rPr>
                <w:rFonts w:hint="default" w:ascii="Times New Roman" w:hAnsi="Times New Roman" w:eastAsia="宋体" w:cs="Times New Roman"/>
                <w:color w:val="auto"/>
                <w:sz w:val="24"/>
                <w:highlight w:val="none"/>
                <w:vertAlign w:val="baseline"/>
                <w:lang w:val="en-US" w:eastAsia="zh-CN"/>
              </w:rPr>
              <w:t>个</w:t>
            </w:r>
            <w:r>
              <w:rPr>
                <w:rFonts w:hint="default" w:ascii="Times New Roman" w:hAnsi="Times New Roman" w:eastAsia="宋体" w:cs="Times New Roman"/>
                <w:color w:val="auto"/>
                <w:sz w:val="24"/>
                <w:highlight w:val="none"/>
              </w:rPr>
              <w:t>集气罩分别用于收集预发泡及成型过程产生的废气，废气经收集后</w:t>
            </w:r>
            <w:r>
              <w:rPr>
                <w:rFonts w:hint="default" w:ascii="Times New Roman" w:hAnsi="Times New Roman" w:eastAsia="宋体" w:cs="Times New Roman"/>
                <w:color w:val="auto"/>
                <w:sz w:val="24"/>
                <w:highlight w:val="none"/>
                <w:lang w:val="en-US" w:eastAsia="zh-CN"/>
              </w:rPr>
              <w:t>统一</w:t>
            </w:r>
            <w:r>
              <w:rPr>
                <w:rFonts w:hint="default" w:ascii="Times New Roman" w:hAnsi="Times New Roman" w:eastAsia="宋体" w:cs="Times New Roman"/>
                <w:color w:val="auto"/>
                <w:sz w:val="24"/>
                <w:highlight w:val="none"/>
              </w:rPr>
              <w:t>进入</w:t>
            </w:r>
            <w:r>
              <w:rPr>
                <w:rFonts w:hint="eastAsia" w:cs="Times New Roman"/>
                <w:color w:val="auto"/>
                <w:sz w:val="24"/>
                <w:highlight w:val="none"/>
                <w:lang w:val="en-US" w:eastAsia="zh-CN"/>
              </w:rPr>
              <w:t>1套</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三级</w:t>
            </w:r>
            <w:r>
              <w:rPr>
                <w:rFonts w:hint="default" w:ascii="Times New Roman" w:hAnsi="Times New Roman" w:eastAsia="宋体" w:cs="Times New Roman"/>
                <w:color w:val="auto"/>
                <w:sz w:val="24"/>
                <w:highlight w:val="none"/>
              </w:rPr>
              <w:t>活性炭吸附净化装置</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处理</w:t>
            </w:r>
            <w:r>
              <w:rPr>
                <w:rFonts w:hint="default" w:ascii="Times New Roman" w:hAnsi="Times New Roman" w:eastAsia="宋体" w:cs="Times New Roman"/>
                <w:color w:val="auto"/>
                <w:sz w:val="24"/>
                <w:highlight w:val="none"/>
                <w:lang w:val="en-US" w:eastAsia="zh-CN"/>
              </w:rPr>
              <w:t>后</w:t>
            </w:r>
            <w:r>
              <w:rPr>
                <w:rFonts w:hint="default" w:ascii="Times New Roman" w:hAnsi="Times New Roman" w:eastAsia="宋体" w:cs="Times New Roman"/>
                <w:color w:val="auto"/>
                <w:sz w:val="24"/>
                <w:highlight w:val="none"/>
              </w:rPr>
              <w:t>由</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根15m高排气筒排放</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DA002</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根据《云南省重点行业挥发性有机物综合治理实施方案》，采用局部集气罩的，距集气罩开口面最远处的VOCs无组织排放位置，控制风速应不低于0.3米/秒。</w:t>
            </w:r>
            <w:r>
              <w:rPr>
                <w:rFonts w:hint="default" w:ascii="Times New Roman" w:hAnsi="Times New Roman" w:eastAsia="宋体" w:cs="Times New Roman"/>
                <w:color w:val="auto"/>
                <w:sz w:val="24"/>
                <w:szCs w:val="24"/>
                <w:highlight w:val="none"/>
                <w:lang w:eastAsia="zh-CN"/>
              </w:rPr>
              <w:t>根据本项目生产设备实际情况，单台</w:t>
            </w:r>
            <w:r>
              <w:rPr>
                <w:rFonts w:hint="default" w:ascii="Times New Roman" w:hAnsi="Times New Roman" w:eastAsia="宋体" w:cs="Times New Roman"/>
                <w:color w:val="auto"/>
                <w:sz w:val="24"/>
                <w:szCs w:val="24"/>
                <w:highlight w:val="none"/>
                <w:lang w:val="en-US" w:eastAsia="zh-CN"/>
              </w:rPr>
              <w:t>成型设备集气罩投影面积按1.5m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计，则单个集气罩风量不低于1620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因此</w:t>
            </w:r>
            <w:r>
              <w:rPr>
                <w:rFonts w:hint="eastAsia" w:cs="Times New Roman"/>
                <w:color w:val="auto"/>
                <w:sz w:val="24"/>
                <w:highlight w:val="none"/>
                <w:lang w:val="en-US" w:eastAsia="zh-CN"/>
              </w:rPr>
              <w:t>35</w:t>
            </w:r>
            <w:r>
              <w:rPr>
                <w:rFonts w:hint="default" w:ascii="Times New Roman" w:hAnsi="Times New Roman" w:eastAsia="宋体" w:cs="Times New Roman"/>
                <w:color w:val="auto"/>
                <w:sz w:val="24"/>
                <w:szCs w:val="24"/>
                <w:highlight w:val="none"/>
                <w:lang w:val="en-US" w:eastAsia="zh-CN"/>
              </w:rPr>
              <w:t>台成型机</w:t>
            </w:r>
            <w:r>
              <w:rPr>
                <w:rFonts w:hint="default" w:ascii="Times New Roman" w:hAnsi="Times New Roman" w:eastAsia="宋体" w:cs="Times New Roman"/>
                <w:color w:val="auto"/>
                <w:sz w:val="24"/>
                <w:szCs w:val="24"/>
                <w:highlight w:val="none"/>
                <w:lang w:eastAsia="zh-CN"/>
              </w:rPr>
              <w:t>集气罩</w:t>
            </w:r>
            <w:r>
              <w:rPr>
                <w:rFonts w:hint="default" w:ascii="Times New Roman" w:hAnsi="Times New Roman" w:eastAsia="宋体" w:cs="Times New Roman"/>
                <w:color w:val="auto"/>
                <w:kern w:val="0"/>
                <w:sz w:val="24"/>
                <w:szCs w:val="24"/>
                <w:highlight w:val="none"/>
                <w:lang w:eastAsia="zh-CN"/>
              </w:rPr>
              <w:t>配套总风机</w:t>
            </w:r>
            <w:r>
              <w:rPr>
                <w:rFonts w:hint="default" w:ascii="Times New Roman" w:hAnsi="Times New Roman" w:eastAsia="宋体" w:cs="Times New Roman"/>
                <w:color w:val="auto"/>
                <w:kern w:val="0"/>
                <w:sz w:val="24"/>
                <w:szCs w:val="24"/>
                <w:highlight w:val="none"/>
              </w:rPr>
              <w:t>风量为</w:t>
            </w:r>
            <w:r>
              <w:rPr>
                <w:rFonts w:hint="eastAsia" w:cs="Times New Roman"/>
                <w:color w:val="auto"/>
                <w:kern w:val="0"/>
                <w:sz w:val="24"/>
                <w:szCs w:val="24"/>
                <w:highlight w:val="none"/>
                <w:lang w:val="en-US" w:eastAsia="zh-CN"/>
              </w:rPr>
              <w:t>56700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rPr>
              <w:t>发泡机</w:t>
            </w:r>
            <w:r>
              <w:rPr>
                <w:rFonts w:hint="default" w:ascii="Times New Roman" w:hAnsi="Times New Roman" w:eastAsia="宋体" w:cs="Times New Roman"/>
                <w:color w:val="auto"/>
                <w:sz w:val="24"/>
                <w:szCs w:val="24"/>
                <w:highlight w:val="none"/>
                <w:lang w:val="en-US" w:eastAsia="zh-CN"/>
              </w:rPr>
              <w:t>集气罩投影面积按</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vertAlign w:val="baseline"/>
                <w:lang w:val="en-US" w:eastAsia="zh-CN"/>
              </w:rPr>
              <w:t>计，则发泡机集气罩风量不低于</w:t>
            </w:r>
            <w:r>
              <w:rPr>
                <w:rFonts w:hint="eastAsia" w:cs="Times New Roman"/>
                <w:color w:val="auto"/>
                <w:sz w:val="24"/>
                <w:szCs w:val="24"/>
                <w:highlight w:val="none"/>
                <w:vertAlign w:val="baseline"/>
                <w:lang w:val="en-US" w:eastAsia="zh-CN"/>
              </w:rPr>
              <w:t>1080</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3</w:t>
            </w:r>
            <w:r>
              <w:rPr>
                <w:rFonts w:hint="default" w:ascii="Times New Roman" w:hAnsi="Times New Roman" w:eastAsia="宋体" w:cs="Times New Roman"/>
                <w:color w:val="auto"/>
                <w:sz w:val="24"/>
                <w:highlight w:val="none"/>
              </w:rPr>
              <w:t>/h</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因此</w:t>
            </w:r>
            <w:r>
              <w:rPr>
                <w:rFonts w:hint="eastAsia" w:cs="Times New Roman"/>
                <w:color w:val="auto"/>
                <w:sz w:val="24"/>
                <w:highlight w:val="none"/>
                <w:lang w:val="en-US" w:eastAsia="zh-CN"/>
              </w:rPr>
              <w:t>3台发泡</w:t>
            </w:r>
            <w:r>
              <w:rPr>
                <w:rFonts w:hint="default" w:ascii="Times New Roman" w:hAnsi="Times New Roman" w:eastAsia="宋体" w:cs="Times New Roman"/>
                <w:color w:val="auto"/>
                <w:sz w:val="24"/>
                <w:szCs w:val="24"/>
                <w:highlight w:val="none"/>
                <w:lang w:val="en-US" w:eastAsia="zh-CN"/>
              </w:rPr>
              <w:t>机</w:t>
            </w:r>
            <w:r>
              <w:rPr>
                <w:rFonts w:hint="default" w:ascii="Times New Roman" w:hAnsi="Times New Roman" w:eastAsia="宋体" w:cs="Times New Roman"/>
                <w:color w:val="auto"/>
                <w:sz w:val="24"/>
                <w:szCs w:val="24"/>
                <w:highlight w:val="none"/>
                <w:lang w:eastAsia="zh-CN"/>
              </w:rPr>
              <w:t>集气罩</w:t>
            </w:r>
            <w:r>
              <w:rPr>
                <w:rFonts w:hint="default" w:ascii="Times New Roman" w:hAnsi="Times New Roman" w:eastAsia="宋体" w:cs="Times New Roman"/>
                <w:color w:val="auto"/>
                <w:kern w:val="0"/>
                <w:sz w:val="24"/>
                <w:szCs w:val="24"/>
                <w:highlight w:val="none"/>
                <w:lang w:eastAsia="zh-CN"/>
              </w:rPr>
              <w:t>配套总风机</w:t>
            </w:r>
            <w:r>
              <w:rPr>
                <w:rFonts w:hint="default" w:ascii="Times New Roman" w:hAnsi="Times New Roman" w:eastAsia="宋体" w:cs="Times New Roman"/>
                <w:color w:val="auto"/>
                <w:kern w:val="0"/>
                <w:sz w:val="24"/>
                <w:szCs w:val="24"/>
                <w:highlight w:val="none"/>
              </w:rPr>
              <w:t>风量为</w:t>
            </w:r>
            <w:r>
              <w:rPr>
                <w:rFonts w:hint="eastAsia" w:cs="Times New Roman"/>
                <w:color w:val="auto"/>
                <w:kern w:val="0"/>
                <w:sz w:val="24"/>
                <w:szCs w:val="24"/>
                <w:highlight w:val="none"/>
                <w:lang w:val="en-US" w:eastAsia="zh-CN"/>
              </w:rPr>
              <w:t>3240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sz w:val="24"/>
                <w:highlight w:val="none"/>
                <w:lang w:val="en-US" w:eastAsia="zh-CN"/>
              </w:rPr>
              <w:t>则DA002风机风量为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color w:val="auto"/>
                <w:kern w:val="0"/>
                <w:sz w:val="24"/>
                <w:szCs w:val="24"/>
                <w:highlight w:val="none"/>
              </w:rPr>
              <w:t>m</w:t>
            </w:r>
            <w:r>
              <w:rPr>
                <w:rFonts w:hint="default" w:ascii="Times New Roman" w:hAnsi="Times New Roman" w:eastAsia="宋体" w:cs="Times New Roman"/>
                <w:color w:val="auto"/>
                <w:kern w:val="0"/>
                <w:sz w:val="24"/>
                <w:szCs w:val="24"/>
                <w:highlight w:val="none"/>
                <w:vertAlign w:val="superscript"/>
              </w:rPr>
              <w:t>3</w:t>
            </w:r>
            <w:r>
              <w:rPr>
                <w:rFonts w:hint="default" w:ascii="Times New Roman" w:hAnsi="Times New Roman" w:eastAsia="宋体" w:cs="Times New Roman"/>
                <w:color w:val="auto"/>
                <w:kern w:val="0"/>
                <w:sz w:val="24"/>
                <w:szCs w:val="24"/>
                <w:highlight w:val="none"/>
              </w:rPr>
              <w:t>/h</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kern w:val="2"/>
                <w:sz w:val="24"/>
                <w:szCs w:val="24"/>
                <w:highlight w:val="none"/>
              </w:rPr>
              <w:t>废气收集效率为</w:t>
            </w:r>
            <w:r>
              <w:rPr>
                <w:rFonts w:hint="eastAsia"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lang w:val="en-US" w:eastAsia="zh-CN"/>
              </w:rPr>
              <w:t>0</w:t>
            </w:r>
            <w:r>
              <w:rPr>
                <w:rFonts w:hint="default" w:ascii="Times New Roman" w:hAnsi="Times New Roman" w:eastAsia="宋体" w:cs="Times New Roman"/>
                <w:color w:val="auto"/>
                <w:kern w:val="2"/>
                <w:sz w:val="24"/>
                <w:szCs w:val="24"/>
                <w:highlight w:val="none"/>
              </w:rPr>
              <w: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en-US" w:eastAsia="zh-CN"/>
              </w:rPr>
              <w:t>“活性炭吸附”对有机废气的去除效率与废气进气浓度、气流量等多种因素有关，</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292塑料制品行业系数手册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2924泡沫塑料制造行业系数表中</w:t>
            </w:r>
            <w:r>
              <w:rPr>
                <w:rFonts w:hint="default" w:ascii="Times New Roman" w:hAnsi="Times New Roman" w:eastAsia="宋体" w:cs="Times New Roman"/>
                <w:color w:val="auto"/>
                <w:sz w:val="24"/>
                <w:szCs w:val="24"/>
                <w:highlight w:val="none"/>
              </w:rPr>
              <w:t>的产排污系数</w:t>
            </w:r>
            <w:r>
              <w:rPr>
                <w:rFonts w:hint="default" w:ascii="Times New Roman" w:hAnsi="Times New Roman" w:eastAsia="宋体" w:cs="Times New Roman"/>
                <w:color w:val="auto"/>
                <w:sz w:val="24"/>
                <w:szCs w:val="24"/>
                <w:highlight w:val="none"/>
                <w:lang w:val="en-US" w:eastAsia="zh-CN"/>
              </w:rPr>
              <w:t>可知，一般活性炭吸附装置的处理效率约为21%</w:t>
            </w:r>
            <w:r>
              <w:rPr>
                <w:rFonts w:hint="default" w:ascii="Times New Roman" w:hAnsi="Times New Roman" w:eastAsia="宋体" w:cs="Times New Roman"/>
                <w:color w:val="auto"/>
                <w:sz w:val="24"/>
                <w:szCs w:val="24"/>
              </w:rPr>
              <w:t>，而采用多级活性炭吸附装置（由1层吸附处理提高到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w:t>
            </w:r>
            <w:r>
              <w:rPr>
                <w:rFonts w:hint="default" w:ascii="Times New Roman" w:hAnsi="Times New Roman" w:eastAsia="宋体" w:cs="Times New Roman"/>
                <w:color w:val="auto"/>
                <w:sz w:val="24"/>
                <w:szCs w:val="24"/>
                <w:highlight w:val="none"/>
              </w:rPr>
              <w:t>，通过增加有机废气的停留时间，能有效提高处置效率，有机废气处置率可达</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0%</w:t>
            </w:r>
            <w:r>
              <w:rPr>
                <w:rFonts w:hint="default" w:ascii="Times New Roman" w:hAnsi="Times New Roman" w:eastAsia="宋体" w:cs="Times New Roman"/>
                <w:color w:val="auto"/>
                <w:sz w:val="24"/>
                <w:highlight w:val="none"/>
                <w:lang w:val="en-US" w:eastAsia="zh-CN"/>
              </w:rPr>
              <w:t>，因此本项目三</w:t>
            </w:r>
            <w:r>
              <w:rPr>
                <w:rFonts w:hint="default" w:ascii="Times New Roman" w:hAnsi="Times New Roman" w:eastAsia="宋体" w:cs="Times New Roman"/>
                <w:bCs/>
                <w:color w:val="auto"/>
                <w:sz w:val="24"/>
                <w:szCs w:val="24"/>
                <w:highlight w:val="none"/>
                <w:lang w:val="en-US" w:eastAsia="zh-CN"/>
              </w:rPr>
              <w:t>级</w:t>
            </w:r>
            <w:r>
              <w:rPr>
                <w:rFonts w:hint="default" w:ascii="Times New Roman" w:hAnsi="Times New Roman" w:eastAsia="宋体" w:cs="Times New Roman"/>
                <w:bCs/>
                <w:color w:val="auto"/>
                <w:sz w:val="24"/>
                <w:szCs w:val="24"/>
                <w:highlight w:val="none"/>
              </w:rPr>
              <w:t>活性炭去除效率</w:t>
            </w:r>
            <w:r>
              <w:rPr>
                <w:rFonts w:hint="default" w:ascii="Times New Roman" w:hAnsi="Times New Roman" w:eastAsia="宋体" w:cs="Times New Roman"/>
                <w:bCs/>
                <w:color w:val="auto"/>
                <w:sz w:val="24"/>
                <w:szCs w:val="24"/>
                <w:highlight w:val="none"/>
                <w:lang w:val="en-US" w:eastAsia="zh-CN"/>
              </w:rPr>
              <w:t>取</w:t>
            </w:r>
            <w:r>
              <w:rPr>
                <w:rFonts w:hint="eastAsia"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0%</w:t>
            </w:r>
            <w:r>
              <w:rPr>
                <w:rFonts w:hint="default"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color w:val="auto"/>
                <w:sz w:val="24"/>
                <w:highlight w:val="none"/>
                <w:lang w:val="en-US" w:eastAsia="zh-CN"/>
              </w:rPr>
              <w:t>同时，</w:t>
            </w:r>
            <w:r>
              <w:rPr>
                <w:rFonts w:hint="default" w:ascii="Times New Roman" w:hAnsi="Times New Roman" w:eastAsia="宋体" w:cs="Times New Roman"/>
                <w:color w:val="auto"/>
                <w:kern w:val="0"/>
                <w:sz w:val="24"/>
                <w:szCs w:val="24"/>
                <w:highlight w:val="none"/>
                <w:lang w:val="en-US" w:eastAsia="zh-CN" w:bidi="ar-SA"/>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大气污染治理工程技术导则</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HJ2000-2010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中5.3.5排气筒的出口直径应根据出口流速确定，流速宜取15m/s左右。本项目DA002排气筒废气量为</w:t>
            </w:r>
            <w:r>
              <w:rPr>
                <w:rFonts w:hint="eastAsia" w:cs="Times New Roman"/>
                <w:color w:val="auto"/>
                <w:kern w:val="0"/>
                <w:sz w:val="24"/>
                <w:szCs w:val="24"/>
                <w:highlight w:val="none"/>
                <w:lang w:val="en-US" w:eastAsia="zh-CN"/>
              </w:rPr>
              <w:t>59940</w:t>
            </w:r>
            <w:r>
              <w:rPr>
                <w:rFonts w:hint="default" w:ascii="Times New Roman" w:hAnsi="Times New Roman" w:eastAsia="宋体" w:cs="Times New Roman"/>
                <w:i w:val="0"/>
                <w:color w:val="auto"/>
                <w:kern w:val="0"/>
                <w:sz w:val="24"/>
                <w:szCs w:val="24"/>
                <w:highlight w:val="none"/>
                <w:u w:val="none"/>
                <w:lang w:val="en-US" w:eastAsia="zh-CN" w:bidi="ar"/>
              </w:rPr>
              <w:t>m</w:t>
            </w:r>
            <w:r>
              <w:rPr>
                <w:rFonts w:hint="default" w:ascii="Times New Roman" w:hAnsi="Times New Roman" w:eastAsia="宋体" w:cs="Times New Roman"/>
                <w:i w:val="0"/>
                <w:color w:val="auto"/>
                <w:kern w:val="0"/>
                <w:sz w:val="24"/>
                <w:szCs w:val="24"/>
                <w:highlight w:val="none"/>
                <w:u w:val="none"/>
                <w:vertAlign w:val="superscript"/>
                <w:lang w:val="en-US" w:eastAsia="zh-CN" w:bidi="ar"/>
              </w:rPr>
              <w:t>3</w:t>
            </w:r>
            <w:r>
              <w:rPr>
                <w:rFonts w:hint="default" w:ascii="Times New Roman" w:hAnsi="Times New Roman" w:eastAsia="宋体" w:cs="Times New Roman"/>
                <w:i w:val="0"/>
                <w:color w:val="auto"/>
                <w:kern w:val="0"/>
                <w:sz w:val="24"/>
                <w:szCs w:val="24"/>
                <w:highlight w:val="none"/>
                <w:u w:val="none"/>
                <w:lang w:val="en-US" w:eastAsia="zh-CN" w:bidi="ar"/>
              </w:rPr>
              <w:t>/h</w:t>
            </w:r>
            <w:r>
              <w:rPr>
                <w:rFonts w:hint="default" w:ascii="Times New Roman" w:hAnsi="Times New Roman" w:eastAsia="宋体" w:cs="Times New Roman"/>
                <w:color w:val="auto"/>
                <w:sz w:val="24"/>
                <w:szCs w:val="24"/>
                <w:highlight w:val="none"/>
                <w:lang w:val="en-US" w:eastAsia="zh-CN"/>
              </w:rPr>
              <w:t>，内径取</w:t>
            </w:r>
            <w:r>
              <w:rPr>
                <w:rFonts w:hint="eastAsia"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m，此时对应的烟气流速为</w:t>
            </w:r>
            <w:r>
              <w:rPr>
                <w:rFonts w:hint="eastAsia" w:cs="Times New Roman"/>
                <w:color w:val="auto"/>
                <w:sz w:val="24"/>
                <w:szCs w:val="24"/>
                <w:highlight w:val="none"/>
                <w:lang w:val="en-US" w:eastAsia="zh-CN"/>
              </w:rPr>
              <w:t>21.20</w:t>
            </w:r>
            <w:r>
              <w:rPr>
                <w:rFonts w:hint="default" w:ascii="Times New Roman" w:hAnsi="Times New Roman" w:eastAsia="宋体" w:cs="Times New Roman"/>
                <w:color w:val="auto"/>
                <w:sz w:val="24"/>
                <w:szCs w:val="24"/>
                <w:highlight w:val="none"/>
                <w:lang w:val="en-US" w:eastAsia="zh-CN"/>
              </w:rPr>
              <w:t>m/s，能够符合导则要求。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4"/>
                <w:szCs w:val="24"/>
                <w:highlight w:val="none"/>
                <w:lang w:val="zh-CN" w:eastAsia="zh-CN"/>
              </w:rPr>
              <w:t>项目</w:t>
            </w:r>
            <w:r>
              <w:rPr>
                <w:rFonts w:hint="default" w:ascii="Times New Roman" w:hAnsi="Times New Roman" w:eastAsia="宋体" w:cs="Times New Roman"/>
                <w:color w:val="auto"/>
                <w:sz w:val="24"/>
                <w:szCs w:val="24"/>
                <w:highlight w:val="none"/>
                <w:lang w:val="en-US" w:eastAsia="zh-CN"/>
              </w:rPr>
              <w:t>生产过程废气</w:t>
            </w:r>
            <w:r>
              <w:rPr>
                <w:rFonts w:hint="default" w:ascii="Times New Roman" w:hAnsi="Times New Roman" w:eastAsia="宋体" w:cs="Times New Roman"/>
                <w:color w:val="auto"/>
                <w:sz w:val="24"/>
                <w:szCs w:val="24"/>
                <w:highlight w:val="none"/>
                <w:lang w:val="zh-CN" w:eastAsia="zh-CN"/>
              </w:rPr>
              <w:t>产排情况见表</w:t>
            </w:r>
            <w:r>
              <w:rPr>
                <w:rFonts w:hint="default" w:ascii="Times New Roman" w:hAnsi="Times New Roman" w:eastAsia="宋体" w:cs="Times New Roman"/>
                <w:color w:val="auto"/>
                <w:sz w:val="24"/>
                <w:szCs w:val="24"/>
                <w:highlight w:val="none"/>
                <w:lang w:val="en-US" w:eastAsia="zh-CN"/>
              </w:rPr>
              <w:t>4-9。</w:t>
            </w:r>
          </w:p>
          <w:p>
            <w:pPr>
              <w:pStyle w:val="74"/>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9</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项目</w:t>
            </w:r>
            <w:r>
              <w:rPr>
                <w:rFonts w:hint="default" w:ascii="Times New Roman" w:hAnsi="Times New Roman" w:eastAsia="宋体" w:cs="Times New Roman"/>
                <w:b/>
                <w:bCs/>
                <w:color w:val="auto"/>
                <w:sz w:val="21"/>
                <w:szCs w:val="21"/>
                <w:highlight w:val="none"/>
                <w:lang w:val="en-US" w:eastAsia="zh-CN"/>
              </w:rPr>
              <w:t>生产废气</w:t>
            </w:r>
            <w:r>
              <w:rPr>
                <w:rFonts w:hint="default" w:ascii="Times New Roman" w:hAnsi="Times New Roman" w:eastAsia="宋体" w:cs="Times New Roman"/>
                <w:b/>
                <w:bCs/>
                <w:color w:val="auto"/>
                <w:sz w:val="21"/>
                <w:szCs w:val="21"/>
                <w:highlight w:val="none"/>
              </w:rPr>
              <w:t>产排情况一览表</w:t>
            </w:r>
          </w:p>
          <w:tbl>
            <w:tblPr>
              <w:tblStyle w:val="27"/>
              <w:tblW w:w="8549"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63"/>
              <w:gridCol w:w="836"/>
              <w:gridCol w:w="918"/>
              <w:gridCol w:w="836"/>
              <w:gridCol w:w="1198"/>
              <w:gridCol w:w="811"/>
              <w:gridCol w:w="838"/>
              <w:gridCol w:w="850"/>
              <w:gridCol w:w="847"/>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排放情况</w:t>
                  </w:r>
                </w:p>
              </w:tc>
              <w:tc>
                <w:tcPr>
                  <w:tcW w:w="66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污染物名称</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r>
                    <w:rPr>
                      <w:rFonts w:hint="default" w:ascii="Times New Roman" w:hAnsi="Times New Roman" w:eastAsia="宋体" w:cs="Times New Roman"/>
                      <w:b/>
                      <w:bCs/>
                      <w:color w:val="auto"/>
                      <w:sz w:val="21"/>
                      <w:szCs w:val="21"/>
                      <w:highlight w:val="none"/>
                      <w:lang w:val="en-US" w:eastAsia="zh-CN"/>
                    </w:rPr>
                    <w:t>t/a</w:t>
                  </w:r>
                </w:p>
              </w:tc>
              <w:tc>
                <w:tcPr>
                  <w:tcW w:w="91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产生速率</w:t>
                  </w:r>
                  <w:r>
                    <w:rPr>
                      <w:rFonts w:hint="default" w:ascii="Times New Roman" w:hAnsi="Times New Roman" w:eastAsia="宋体" w:cs="Times New Roman"/>
                      <w:b/>
                      <w:bCs/>
                      <w:color w:val="auto"/>
                      <w:sz w:val="21"/>
                      <w:szCs w:val="21"/>
                      <w:highlight w:val="none"/>
                      <w:lang w:val="en-US" w:eastAsia="zh-CN"/>
                    </w:rPr>
                    <w:t>kg/h</w:t>
                  </w:r>
                </w:p>
              </w:tc>
              <w:tc>
                <w:tcPr>
                  <w:tcW w:w="83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产生浓度</w:t>
                  </w:r>
                  <w:r>
                    <w:rPr>
                      <w:rFonts w:hint="default" w:ascii="Times New Roman" w:hAnsi="Times New Roman" w:eastAsia="宋体" w:cs="Times New Roman"/>
                      <w:b/>
                      <w:bCs/>
                      <w:color w:val="auto"/>
                      <w:sz w:val="21"/>
                      <w:szCs w:val="21"/>
                      <w:highlight w:val="none"/>
                      <w:lang w:val="en-US" w:eastAsia="zh-CN"/>
                    </w:rPr>
                    <w:t>mg/m</w:t>
                  </w:r>
                  <w:r>
                    <w:rPr>
                      <w:rFonts w:hint="default" w:ascii="Times New Roman" w:hAnsi="Times New Roman" w:eastAsia="宋体" w:cs="Times New Roman"/>
                      <w:b/>
                      <w:bCs/>
                      <w:color w:val="auto"/>
                      <w:sz w:val="21"/>
                      <w:szCs w:val="21"/>
                      <w:highlight w:val="none"/>
                      <w:vertAlign w:val="superscript"/>
                      <w:lang w:val="en-US" w:eastAsia="zh-CN"/>
                    </w:rPr>
                    <w:t>3</w:t>
                  </w:r>
                </w:p>
              </w:tc>
              <w:tc>
                <w:tcPr>
                  <w:tcW w:w="119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措施</w:t>
                  </w:r>
                </w:p>
              </w:tc>
              <w:tc>
                <w:tcPr>
                  <w:tcW w:w="81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排放量</w:t>
                  </w:r>
                  <w:r>
                    <w:rPr>
                      <w:rFonts w:hint="default" w:ascii="Times New Roman" w:hAnsi="Times New Roman" w:eastAsia="宋体" w:cs="Times New Roman"/>
                      <w:b/>
                      <w:bCs/>
                      <w:color w:val="auto"/>
                      <w:sz w:val="21"/>
                      <w:szCs w:val="21"/>
                      <w:lang w:val="en-US" w:eastAsia="zh-CN"/>
                    </w:rPr>
                    <w:t>t/a</w:t>
                  </w:r>
                </w:p>
              </w:tc>
              <w:tc>
                <w:tcPr>
                  <w:tcW w:w="83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排放速率</w:t>
                  </w:r>
                  <w:r>
                    <w:rPr>
                      <w:rFonts w:hint="default" w:ascii="Times New Roman" w:hAnsi="Times New Roman" w:eastAsia="宋体" w:cs="Times New Roman"/>
                      <w:b/>
                      <w:bCs/>
                      <w:color w:val="auto"/>
                      <w:sz w:val="21"/>
                      <w:szCs w:val="21"/>
                      <w:lang w:val="en-US" w:eastAsia="zh-CN"/>
                    </w:rPr>
                    <w:t>kg/h</w:t>
                  </w:r>
                </w:p>
              </w:tc>
              <w:tc>
                <w:tcPr>
                  <w:tcW w:w="8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lang w:val="en-US" w:eastAsia="zh-CN"/>
                    </w:rPr>
                    <w:t>排放浓度mg/m</w:t>
                  </w:r>
                  <w:r>
                    <w:rPr>
                      <w:rFonts w:hint="default" w:ascii="Times New Roman" w:hAnsi="Times New Roman" w:eastAsia="宋体" w:cs="Times New Roman"/>
                      <w:b/>
                      <w:bCs/>
                      <w:color w:val="auto"/>
                      <w:sz w:val="21"/>
                      <w:szCs w:val="21"/>
                      <w:vertAlign w:val="superscript"/>
                      <w:lang w:val="en-US" w:eastAsia="zh-CN"/>
                    </w:rPr>
                    <w:t>3</w:t>
                  </w:r>
                </w:p>
              </w:tc>
              <w:tc>
                <w:tcPr>
                  <w:tcW w:w="84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i w:val="0"/>
                      <w:iCs w:val="0"/>
                      <w:color w:val="auto"/>
                      <w:kern w:val="0"/>
                      <w:sz w:val="21"/>
                      <w:szCs w:val="21"/>
                      <w:u w:val="none"/>
                      <w:lang w:val="en-US" w:eastAsia="zh-CN" w:bidi="ar"/>
                    </w:rPr>
                    <w:t>标准限值浓度mg/m</w:t>
                  </w:r>
                  <w:r>
                    <w:rPr>
                      <w:rFonts w:hint="default" w:ascii="Times New Roman" w:hAnsi="Times New Roman" w:eastAsia="宋体" w:cs="Times New Roman"/>
                      <w:b/>
                      <w:bCs/>
                      <w:i w:val="0"/>
                      <w:iCs w:val="0"/>
                      <w:color w:val="auto"/>
                      <w:kern w:val="0"/>
                      <w:sz w:val="21"/>
                      <w:szCs w:val="21"/>
                      <w:u w:val="none"/>
                      <w:vertAlign w:val="superscript"/>
                      <w:lang w:val="en-US" w:eastAsia="zh-CN" w:bidi="ar"/>
                    </w:rPr>
                    <w:t>3</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有组织废气（</w:t>
                  </w:r>
                  <w:r>
                    <w:rPr>
                      <w:rFonts w:hint="default" w:ascii="Times New Roman" w:hAnsi="Times New Roman" w:eastAsia="宋体" w:cs="Times New Roman"/>
                      <w:color w:val="auto"/>
                      <w:sz w:val="21"/>
                      <w:szCs w:val="21"/>
                      <w:lang w:val="en-US" w:eastAsia="zh-CN"/>
                    </w:rPr>
                    <w:t>DA002</w:t>
                  </w:r>
                  <w:r>
                    <w:rPr>
                      <w:rFonts w:hint="default" w:ascii="Times New Roman" w:hAnsi="Times New Roman" w:eastAsia="宋体" w:cs="Times New Roman"/>
                      <w:color w:val="auto"/>
                      <w:sz w:val="21"/>
                      <w:szCs w:val="21"/>
                      <w:lang w:eastAsia="zh-CN"/>
                    </w:rPr>
                    <w:t>）</w:t>
                  </w: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甲苯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00022</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0.00037</w:t>
                  </w:r>
                </w:p>
              </w:tc>
              <w:tc>
                <w:tcPr>
                  <w:tcW w:w="119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集</w:t>
                  </w:r>
                  <w:r>
                    <w:rPr>
                      <w:rFonts w:hint="default" w:ascii="Times New Roman" w:hAnsi="Times New Roman" w:eastAsia="宋体" w:cs="Times New Roman"/>
                      <w:color w:val="auto"/>
                      <w:sz w:val="21"/>
                      <w:szCs w:val="21"/>
                      <w:highlight w:val="none"/>
                      <w:lang w:eastAsia="zh-CN"/>
                    </w:rPr>
                    <w:t>气罩</w:t>
                  </w:r>
                  <w:r>
                    <w:rPr>
                      <w:rFonts w:hint="default" w:ascii="Times New Roman" w:hAnsi="Times New Roman" w:eastAsia="宋体" w:cs="Times New Roman"/>
                      <w:color w:val="auto"/>
                      <w:sz w:val="21"/>
                      <w:szCs w:val="21"/>
                      <w:highlight w:val="none"/>
                      <w:lang w:val="en-US" w:eastAsia="zh-CN"/>
                    </w:rPr>
                    <w:t>+三级活性炭净化装置+15m排气筒（DA002），收集效率</w:t>
                  </w:r>
                  <w:r>
                    <w:rPr>
                      <w:rFonts w:hint="eastAsia"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0%，净化效率</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0%</w:t>
                  </w: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0.00015</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乙苯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0011</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0.00018</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0.0000045</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0.00008</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苯乙烯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0.00011</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0.00005</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非甲烷总烃</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9.8304</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2.7307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45.55722</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3.9322</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1.0923</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18.22322</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color w:val="auto"/>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臭气浓度</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少量</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少量</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b w:val="0"/>
                      <w:bCs/>
                      <w:color w:val="auto"/>
                      <w:spacing w:val="6"/>
                      <w:sz w:val="21"/>
                      <w:szCs w:val="21"/>
                      <w:highlight w:val="none"/>
                      <w:lang w:val="en-US" w:eastAsia="zh-CN"/>
                    </w:rPr>
                    <w:t>1152.56</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2000（无量纲）</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无组织废气</w:t>
                  </w: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highlight w:val="none"/>
                      <w:u w:val="none"/>
                      <w:lang w:val="en-US" w:eastAsia="zh-CN" w:bidi="ar"/>
                    </w:rPr>
                    <w:t>甲苯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无组织排放</w:t>
                  </w: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00056</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乙苯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00028</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苯乙烯</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00017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52"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2.4576</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2.4576</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6827</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eastAsia="zh-CN"/>
                    </w:rPr>
                  </w:pPr>
                </w:p>
              </w:tc>
              <w:tc>
                <w:tcPr>
                  <w:tcW w:w="66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highlight w:val="none"/>
                      <w:lang w:val="en-US" w:eastAsia="zh-CN"/>
                    </w:rPr>
                    <w:t>臭气浓度</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少量</w:t>
                  </w:r>
                </w:p>
              </w:tc>
              <w:tc>
                <w:tcPr>
                  <w:tcW w:w="91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3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119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sz w:val="21"/>
                      <w:szCs w:val="21"/>
                      <w:lang w:val="en-US" w:eastAsia="zh-CN"/>
                    </w:rPr>
                  </w:pPr>
                </w:p>
              </w:tc>
              <w:tc>
                <w:tcPr>
                  <w:tcW w:w="8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少量</w:t>
                  </w:r>
                </w:p>
              </w:tc>
              <w:tc>
                <w:tcPr>
                  <w:tcW w:w="83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20（无量纲）</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9"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备注：①项目风机风量为</w:t>
                  </w:r>
                  <w:r>
                    <w:rPr>
                      <w:rFonts w:hint="eastAsia" w:cs="Times New Roman"/>
                      <w:i w:val="0"/>
                      <w:color w:val="auto"/>
                      <w:kern w:val="0"/>
                      <w:sz w:val="21"/>
                      <w:szCs w:val="21"/>
                      <w:highlight w:val="none"/>
                      <w:u w:val="none"/>
                      <w:lang w:val="en-US" w:eastAsia="zh-CN" w:bidi="ar"/>
                    </w:rPr>
                    <w:t>59940</w:t>
                  </w:r>
                  <w:r>
                    <w:rPr>
                      <w:rFonts w:hint="default" w:ascii="Times New Roman" w:hAnsi="Times New Roman" w:eastAsia="宋体" w:cs="Times New Roman"/>
                      <w:i w:val="0"/>
                      <w:color w:val="auto"/>
                      <w:kern w:val="0"/>
                      <w:sz w:val="21"/>
                      <w:szCs w:val="21"/>
                      <w:highlight w:val="none"/>
                      <w:u w:val="none"/>
                      <w:lang w:val="en-US" w:eastAsia="zh-CN" w:bidi="ar"/>
                    </w:rPr>
                    <w:t>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/h，废气总量为</w:t>
                  </w:r>
                  <w:r>
                    <w:rPr>
                      <w:rFonts w:hint="eastAsia" w:cs="Times New Roman"/>
                      <w:i w:val="0"/>
                      <w:color w:val="auto"/>
                      <w:kern w:val="0"/>
                      <w:sz w:val="21"/>
                      <w:szCs w:val="21"/>
                      <w:highlight w:val="none"/>
                      <w:u w:val="none"/>
                      <w:lang w:val="en-US" w:eastAsia="zh-CN" w:bidi="ar"/>
                    </w:rPr>
                    <w:t>2157.84</w:t>
                  </w:r>
                  <w:r>
                    <w:rPr>
                      <w:rFonts w:hint="default" w:ascii="Times New Roman" w:hAnsi="Times New Roman" w:eastAsia="宋体" w:cs="Times New Roman"/>
                      <w:i w:val="0"/>
                      <w:color w:val="auto"/>
                      <w:kern w:val="0"/>
                      <w:sz w:val="21"/>
                      <w:szCs w:val="21"/>
                      <w:highlight w:val="none"/>
                      <w:u w:val="none"/>
                      <w:lang w:val="en-US" w:eastAsia="zh-CN" w:bidi="ar"/>
                    </w:rPr>
                    <w:t>万m</w:t>
                  </w:r>
                  <w:r>
                    <w:rPr>
                      <w:rFonts w:hint="default" w:ascii="Times New Roman" w:hAnsi="Times New Roman" w:eastAsia="宋体" w:cs="Times New Roman"/>
                      <w:i w:val="0"/>
                      <w:color w:val="auto"/>
                      <w:kern w:val="0"/>
                      <w:sz w:val="21"/>
                      <w:szCs w:val="21"/>
                      <w:highlight w:val="none"/>
                      <w:u w:val="none"/>
                      <w:vertAlign w:val="superscript"/>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val="en-US" w:eastAsia="zh-CN" w:bidi="ar"/>
                    </w:rPr>
                    <w:t>②</w:t>
                  </w:r>
                  <w:r>
                    <w:rPr>
                      <w:rFonts w:hint="default" w:ascii="Times New Roman" w:hAnsi="Times New Roman" w:eastAsia="宋体" w:cs="Times New Roman"/>
                      <w:color w:val="auto"/>
                      <w:kern w:val="0"/>
                      <w:sz w:val="21"/>
                      <w:szCs w:val="21"/>
                      <w:highlight w:val="none"/>
                      <w:lang w:bidi="ar"/>
                    </w:rPr>
                    <w:t>甲苯、乙苯、苯乙烯、非甲烷总烃排放标准执行</w:t>
                  </w:r>
                  <w:r>
                    <w:rPr>
                      <w:rFonts w:hint="default" w:ascii="Times New Roman" w:hAnsi="Times New Roman" w:eastAsia="宋体" w:cs="Times New Roman"/>
                      <w:color w:val="auto"/>
                      <w:sz w:val="21"/>
                      <w:szCs w:val="21"/>
                      <w:highlight w:val="none"/>
                    </w:rPr>
                    <w:t>《合成树脂工业污染物排放标准》（GB31572-2015）中相关大气污染物排放限值</w:t>
                  </w:r>
                  <w:r>
                    <w:rPr>
                      <w:rFonts w:hint="eastAsia" w:cs="Times New Roman"/>
                      <w:color w:val="auto"/>
                      <w:sz w:val="21"/>
                      <w:szCs w:val="21"/>
                      <w:highlight w:val="none"/>
                      <w:lang w:eastAsia="zh-CN"/>
                    </w:rPr>
                    <w:t>；臭气浓度排放标准执行</w:t>
                  </w:r>
                  <w:r>
                    <w:rPr>
                      <w:rFonts w:hint="default" w:ascii="Times New Roman" w:hAnsi="Times New Roman" w:eastAsia="宋体" w:cs="Times New Roman"/>
                      <w:color w:val="auto"/>
                      <w:sz w:val="21"/>
                      <w:szCs w:val="21"/>
                      <w:highlight w:val="none"/>
                      <w:lang w:val="zh-CN" w:eastAsia="zh-CN"/>
                    </w:rPr>
                    <w:t>《恶臭污染物排放标准》（GB14554-93）表</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中二级</w:t>
                  </w:r>
                  <w:r>
                    <w:rPr>
                      <w:rFonts w:hint="eastAsia" w:ascii="Times New Roman" w:hAnsi="Times New Roman" w:cs="Times New Roman"/>
                      <w:color w:val="auto"/>
                      <w:sz w:val="21"/>
                      <w:szCs w:val="21"/>
                      <w:highlight w:val="none"/>
                      <w:lang w:val="en-US" w:eastAsia="zh-CN"/>
                    </w:rPr>
                    <w:t>恶臭污染物</w:t>
                  </w:r>
                  <w:r>
                    <w:rPr>
                      <w:rFonts w:hint="default" w:ascii="Times New Roman" w:hAnsi="Times New Roman" w:eastAsia="宋体" w:cs="Times New Roman"/>
                      <w:color w:val="auto"/>
                      <w:sz w:val="21"/>
                      <w:szCs w:val="21"/>
                      <w:highlight w:val="none"/>
                      <w:lang w:val="zh-CN" w:eastAsia="zh-CN"/>
                    </w:rPr>
                    <w:t>排放标准</w:t>
                  </w:r>
                  <w:r>
                    <w:rPr>
                      <w:rFonts w:hint="eastAsia" w:ascii="Times New Roman" w:hAnsi="Times New Roman" w:cs="Times New Roman"/>
                      <w:color w:val="auto"/>
                      <w:sz w:val="21"/>
                      <w:szCs w:val="21"/>
                      <w:highlight w:val="none"/>
                      <w:lang w:val="zh-CN" w:eastAsia="zh-CN"/>
                    </w:rPr>
                    <w:t>值</w:t>
                  </w:r>
                  <w:r>
                    <w:rPr>
                      <w:rFonts w:hint="default" w:ascii="Times New Roman" w:hAnsi="Times New Roman" w:eastAsia="宋体" w:cs="Times New Roman"/>
                      <w:color w:val="auto"/>
                      <w:spacing w:val="-7"/>
                      <w:sz w:val="21"/>
                      <w:szCs w:val="21"/>
                      <w:highlight w:val="none"/>
                    </w:rPr>
                    <w:t>。</w:t>
                  </w:r>
                </w:p>
              </w:tc>
            </w:tr>
          </w:tbl>
          <w:p>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由上表可见，</w:t>
            </w:r>
            <w:r>
              <w:rPr>
                <w:rFonts w:hint="default" w:ascii="Times New Roman" w:hAnsi="Times New Roman" w:eastAsia="宋体" w:cs="Times New Roman"/>
                <w:color w:val="auto"/>
                <w:sz w:val="24"/>
                <w:szCs w:val="24"/>
                <w:lang w:eastAsia="zh-CN"/>
              </w:rPr>
              <w:t>本</w:t>
            </w:r>
            <w:r>
              <w:rPr>
                <w:rFonts w:hint="default" w:ascii="Times New Roman" w:hAnsi="Times New Roman" w:eastAsia="宋体" w:cs="Times New Roman"/>
                <w:color w:val="auto"/>
                <w:sz w:val="24"/>
                <w:lang w:eastAsia="zh-CN"/>
              </w:rPr>
              <w:t>项目预发泡</w:t>
            </w:r>
            <w:r>
              <w:rPr>
                <w:rFonts w:hint="default" w:ascii="Times New Roman" w:hAnsi="Times New Roman" w:eastAsia="宋体" w:cs="Times New Roman"/>
                <w:color w:val="auto"/>
                <w:sz w:val="24"/>
                <w:lang w:val="en-US" w:eastAsia="zh-CN"/>
              </w:rPr>
              <w:t>及成型</w:t>
            </w:r>
            <w:r>
              <w:rPr>
                <w:rFonts w:hint="default" w:ascii="Times New Roman" w:hAnsi="Times New Roman" w:eastAsia="宋体" w:cs="Times New Roman"/>
                <w:color w:val="auto"/>
                <w:sz w:val="24"/>
                <w:lang w:eastAsia="zh-CN"/>
              </w:rPr>
              <w:t>过程有机废</w:t>
            </w:r>
            <w:r>
              <w:rPr>
                <w:rFonts w:hint="default" w:ascii="Times New Roman" w:hAnsi="Times New Roman" w:eastAsia="宋体" w:cs="Times New Roman"/>
                <w:color w:val="auto"/>
                <w:sz w:val="24"/>
                <w:szCs w:val="24"/>
                <w:lang w:val="en-US" w:eastAsia="zh-CN"/>
              </w:rPr>
              <w:t>气</w:t>
            </w:r>
            <w:r>
              <w:rPr>
                <w:rFonts w:hint="eastAsia" w:ascii="Times New Roman" w:hAnsi="Times New Roman" w:eastAsia="宋体" w:cs="Times New Roman"/>
                <w:color w:val="auto"/>
                <w:sz w:val="24"/>
                <w:szCs w:val="24"/>
                <w:lang w:val="en-US" w:eastAsia="zh-CN"/>
              </w:rPr>
              <w:t>通过集气罩收集后</w:t>
            </w:r>
            <w:r>
              <w:rPr>
                <w:rFonts w:hint="default" w:ascii="Times New Roman" w:hAnsi="Times New Roman" w:eastAsia="宋体" w:cs="Times New Roman"/>
                <w:color w:val="auto"/>
                <w:sz w:val="24"/>
                <w:szCs w:val="24"/>
                <w:lang w:val="en-US" w:eastAsia="zh-CN"/>
              </w:rPr>
              <w:t>经</w:t>
            </w:r>
            <w:r>
              <w:rPr>
                <w:rFonts w:hint="eastAsia" w:ascii="Times New Roman" w:hAnsi="Times New Roman" w:eastAsia="宋体" w:cs="Times New Roman"/>
                <w:color w:val="auto"/>
                <w:sz w:val="24"/>
                <w:szCs w:val="24"/>
                <w:lang w:val="en-US" w:eastAsia="zh-CN"/>
              </w:rPr>
              <w:t>1套</w:t>
            </w:r>
            <w:r>
              <w:rPr>
                <w:rFonts w:hint="default" w:ascii="Times New Roman" w:hAnsi="Times New Roman" w:eastAsia="宋体" w:cs="Times New Roman"/>
                <w:color w:val="auto"/>
                <w:sz w:val="24"/>
                <w:szCs w:val="24"/>
                <w:lang w:val="en-US" w:eastAsia="zh-CN"/>
              </w:rPr>
              <w:t>“三级活性炭净化装置”处理后</w:t>
            </w:r>
            <w:r>
              <w:rPr>
                <w:rFonts w:hint="eastAsia" w:ascii="Times New Roman" w:hAnsi="Times New Roman" w:eastAsia="宋体" w:cs="Times New Roman"/>
                <w:color w:val="auto"/>
                <w:sz w:val="24"/>
                <w:szCs w:val="24"/>
                <w:lang w:val="en-US" w:eastAsia="zh-CN"/>
              </w:rPr>
              <w:t>通过一根15m的排气筒（DA002）排放，</w:t>
            </w:r>
            <w:r>
              <w:rPr>
                <w:rFonts w:hint="default" w:ascii="Times New Roman" w:hAnsi="Times New Roman" w:eastAsia="宋体" w:cs="Times New Roman"/>
                <w:color w:val="auto"/>
                <w:sz w:val="24"/>
                <w:szCs w:val="24"/>
                <w:lang w:val="en-US" w:eastAsia="zh-CN"/>
              </w:rPr>
              <w:t>甲苯、乙苯、苯乙烯、非甲烷总烃排放浓度均能满足《合成树脂工业污染物排放标准》（GB31572-2015）中相关大气污染物排放限值要求</w:t>
            </w:r>
            <w:r>
              <w:rPr>
                <w:rFonts w:hint="eastAsia" w:ascii="Times New Roman" w:hAnsi="Times New Roman" w:eastAsia="宋体" w:cs="Times New Roman"/>
                <w:color w:val="auto"/>
                <w:sz w:val="24"/>
                <w:szCs w:val="24"/>
                <w:lang w:val="en-US" w:eastAsia="zh-CN"/>
              </w:rPr>
              <w:t>；臭气浓度排放</w:t>
            </w:r>
            <w:r>
              <w:rPr>
                <w:rFonts w:hint="default" w:ascii="Times New Roman" w:hAnsi="Times New Roman" w:eastAsia="宋体" w:cs="Times New Roman"/>
                <w:color w:val="auto"/>
                <w:sz w:val="24"/>
                <w:szCs w:val="24"/>
                <w:lang w:val="en-US" w:eastAsia="zh-CN"/>
              </w:rPr>
              <w:t>能满足</w:t>
            </w:r>
            <w:r>
              <w:rPr>
                <w:rFonts w:hint="default" w:ascii="Times New Roman" w:hAnsi="Times New Roman" w:eastAsia="宋体" w:cs="Times New Roman"/>
                <w:color w:val="auto"/>
                <w:sz w:val="24"/>
                <w:szCs w:val="24"/>
                <w:lang w:val="zh-CN" w:eastAsia="zh-CN"/>
              </w:rPr>
              <w:t>《恶臭污染物排放标准》（GB14554-93）表</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中二级</w:t>
            </w:r>
            <w:r>
              <w:rPr>
                <w:rFonts w:hint="eastAsia" w:ascii="Times New Roman" w:hAnsi="Times New Roman" w:eastAsia="宋体" w:cs="Times New Roman"/>
                <w:color w:val="auto"/>
                <w:sz w:val="24"/>
                <w:szCs w:val="24"/>
                <w:lang w:val="en-US" w:eastAsia="zh-CN"/>
              </w:rPr>
              <w:t>恶臭污染物</w:t>
            </w:r>
            <w:r>
              <w:rPr>
                <w:rFonts w:hint="default" w:ascii="Times New Roman" w:hAnsi="Times New Roman" w:eastAsia="宋体" w:cs="Times New Roman"/>
                <w:color w:val="auto"/>
                <w:sz w:val="24"/>
                <w:szCs w:val="24"/>
                <w:lang w:val="zh-CN" w:eastAsia="zh-CN"/>
              </w:rPr>
              <w:t>排放标准</w:t>
            </w:r>
            <w:r>
              <w:rPr>
                <w:rFonts w:hint="eastAsia" w:ascii="Times New Roman" w:hAnsi="Times New Roman" w:eastAsia="宋体" w:cs="Times New Roman"/>
                <w:color w:val="auto"/>
                <w:sz w:val="24"/>
                <w:szCs w:val="24"/>
                <w:lang w:val="zh-CN" w:eastAsia="zh-CN"/>
              </w:rPr>
              <w:t>值要求，</w:t>
            </w:r>
            <w:r>
              <w:rPr>
                <w:rFonts w:hint="default" w:ascii="Times New Roman" w:hAnsi="Times New Roman" w:eastAsia="宋体" w:cs="Times New Roman"/>
                <w:color w:val="auto"/>
                <w:sz w:val="24"/>
                <w:szCs w:val="24"/>
                <w:lang w:val="en-US" w:eastAsia="zh-CN"/>
              </w:rPr>
              <w:t>能够达标排放。</w:t>
            </w:r>
          </w:p>
          <w:p>
            <w:pPr>
              <w:pStyle w:val="84"/>
              <w:keepNext w:val="0"/>
              <w:keepLines w:val="0"/>
              <w:pageBreakBefore w:val="0"/>
              <w:kinsoku/>
              <w:wordWrap/>
              <w:overflowPunct/>
              <w:topLinePunct w:val="0"/>
              <w:autoSpaceDE w:val="0"/>
              <w:autoSpaceDN w:val="0"/>
              <w:bidi w:val="0"/>
              <w:adjustRightInd/>
              <w:spacing w:before="0" w:after="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eastAsia="zh-CN"/>
              </w:rPr>
              <w:t>食堂油烟</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4"/>
                <w:szCs w:val="24"/>
                <w:highlight w:val="none"/>
                <w:lang w:val="en-US" w:eastAsia="zh-CN"/>
              </w:rPr>
              <w:t>项目内拟设置1个食堂，内部设置</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个灶头，属于小型饮食业单位。厨房内使用电和液化气，属于清洁能源。厨房中产生的废气主要</w:t>
            </w:r>
            <w:r>
              <w:rPr>
                <w:rFonts w:hint="default" w:ascii="Times New Roman" w:hAnsi="Times New Roman" w:eastAsia="宋体" w:cs="Times New Roman"/>
                <w:color w:val="auto"/>
                <w:sz w:val="24"/>
                <w:szCs w:val="24"/>
                <w:highlight w:val="none"/>
                <w:lang w:val="zh-CN" w:eastAsia="zh-CN"/>
              </w:rPr>
              <w:t>为油烟，无燃烧废气产生。食堂油烟经净化处理设备处理达标后经高于房顶1.5m高的排气筒外排。根据营养膳食按每天使用食用油30g/人，本项目食堂</w:t>
            </w:r>
            <w:r>
              <w:rPr>
                <w:rFonts w:hint="eastAsia"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zh-CN" w:eastAsia="zh-CN"/>
              </w:rPr>
              <w:t>人用餐，在食堂烹饪过程中产生的油烟挥发量按食用油量的</w:t>
            </w:r>
            <w:r>
              <w:rPr>
                <w:rFonts w:hint="eastAsia"/>
                <w:color w:val="auto"/>
                <w:sz w:val="24"/>
              </w:rPr>
              <w:t>2.83%</w:t>
            </w:r>
            <w:r>
              <w:rPr>
                <w:rFonts w:hint="default" w:ascii="Times New Roman" w:hAnsi="Times New Roman" w:eastAsia="宋体" w:cs="Times New Roman"/>
                <w:color w:val="auto"/>
                <w:sz w:val="24"/>
                <w:szCs w:val="24"/>
                <w:highlight w:val="none"/>
                <w:lang w:val="zh-CN" w:eastAsia="zh-CN"/>
              </w:rPr>
              <w:t>计算，项目每天提供3餐，炊事时间按4h计算。净化设备每天运行4h，油烟净化设施风机风量为</w:t>
            </w: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zh-CN" w:eastAsia="zh-CN"/>
              </w:rPr>
              <w:t>000m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eastAsia="zh-CN"/>
              </w:rPr>
              <w:t>/h</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zh-CN" w:eastAsia="zh-CN"/>
              </w:rPr>
              <w:t>处理效率不低于60%。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b/>
                <w:bCs/>
                <w:color w:val="auto"/>
                <w:sz w:val="21"/>
                <w:szCs w:val="21"/>
                <w:highlight w:val="none"/>
                <w:lang w:val="en-US" w:eastAsia="zh-CN"/>
              </w:rPr>
              <w:t>表4-10  食堂油烟产排情况一览表</w:t>
            </w:r>
          </w:p>
          <w:tbl>
            <w:tblPr>
              <w:tblStyle w:val="27"/>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0"/>
              <w:gridCol w:w="663"/>
              <w:gridCol w:w="799"/>
              <w:gridCol w:w="636"/>
              <w:gridCol w:w="734"/>
              <w:gridCol w:w="682"/>
              <w:gridCol w:w="633"/>
              <w:gridCol w:w="964"/>
              <w:gridCol w:w="710"/>
              <w:gridCol w:w="636"/>
              <w:gridCol w:w="63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污染源</w:t>
                  </w:r>
                </w:p>
              </w:tc>
              <w:tc>
                <w:tcPr>
                  <w:tcW w:w="6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用餐人数</w:t>
                  </w:r>
                </w:p>
              </w:tc>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食用油</w:t>
                  </w:r>
                  <w:r>
                    <w:rPr>
                      <w:rFonts w:hint="default" w:ascii="Times New Roman" w:hAnsi="Times New Roman" w:eastAsia="宋体" w:cs="Times New Roman"/>
                      <w:b/>
                      <w:bCs/>
                      <w:color w:val="auto"/>
                      <w:sz w:val="21"/>
                      <w:szCs w:val="21"/>
                      <w:highlight w:val="none"/>
                      <w:lang w:val="en-US" w:eastAsia="zh-CN"/>
                    </w:rPr>
                    <w:t>用量</w:t>
                  </w:r>
                </w:p>
              </w:tc>
              <w:tc>
                <w:tcPr>
                  <w:tcW w:w="26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油烟产生情况</w:t>
                  </w:r>
                </w:p>
              </w:tc>
              <w:tc>
                <w:tcPr>
                  <w:tcW w:w="9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治理措施</w:t>
                  </w:r>
                </w:p>
              </w:tc>
              <w:tc>
                <w:tcPr>
                  <w:tcW w:w="26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6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7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color w:val="auto"/>
                      <w:sz w:val="21"/>
                      <w:szCs w:val="21"/>
                      <w:highlight w:val="none"/>
                    </w:rPr>
                  </w:pP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7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c>
                <w:tcPr>
                  <w:tcW w:w="9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kg/d</w:t>
                  </w:r>
                </w:p>
              </w:tc>
              <w:tc>
                <w:tcPr>
                  <w:tcW w:w="6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t/a</w:t>
                  </w:r>
                </w:p>
              </w:tc>
              <w:tc>
                <w:tcPr>
                  <w:tcW w:w="6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kg/h</w:t>
                  </w:r>
                </w:p>
              </w:tc>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zh-CN" w:eastAsia="zh-CN"/>
                    </w:rPr>
                    <w:t>mg/m</w:t>
                  </w:r>
                  <w:r>
                    <w:rPr>
                      <w:rFonts w:hint="default" w:ascii="Times New Roman" w:hAnsi="Times New Roman" w:eastAsia="宋体" w:cs="Times New Roman"/>
                      <w:b/>
                      <w:bCs/>
                      <w:color w:val="auto"/>
                      <w:sz w:val="21"/>
                      <w:szCs w:val="21"/>
                      <w:highlight w:val="none"/>
                      <w:vertAlign w:val="superscript"/>
                      <w:lang w:val="zh-CN"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食堂</w:t>
                  </w:r>
                </w:p>
              </w:tc>
              <w:tc>
                <w:tcPr>
                  <w:tcW w:w="6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eastAsia" w:cs="Times New Roman"/>
                      <w:b w:val="0"/>
                      <w:bCs w:val="0"/>
                      <w:i w:val="0"/>
                      <w:iCs w:val="0"/>
                      <w:color w:val="auto"/>
                      <w:kern w:val="0"/>
                      <w:sz w:val="21"/>
                      <w:szCs w:val="21"/>
                      <w:highlight w:val="none"/>
                      <w:u w:val="none"/>
                      <w:lang w:val="en-US" w:eastAsia="zh-CN" w:bidi="ar"/>
                    </w:rPr>
                    <w:t>6</w:t>
                  </w:r>
                  <w:r>
                    <w:rPr>
                      <w:rFonts w:hint="default" w:ascii="Times New Roman" w:hAnsi="Times New Roman" w:eastAsia="宋体" w:cs="Times New Roman"/>
                      <w:b w:val="0"/>
                      <w:bCs w:val="0"/>
                      <w:i w:val="0"/>
                      <w:iCs w:val="0"/>
                      <w:color w:val="auto"/>
                      <w:kern w:val="0"/>
                      <w:sz w:val="21"/>
                      <w:szCs w:val="21"/>
                      <w:highlight w:val="none"/>
                      <w:u w:val="none"/>
                      <w:lang w:val="en-US" w:eastAsia="zh-CN" w:bidi="ar"/>
                    </w:rPr>
                    <w:t>0人/d</w:t>
                  </w:r>
                </w:p>
              </w:tc>
              <w:tc>
                <w:tcPr>
                  <w:tcW w:w="7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30g/人</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i w:val="0"/>
                      <w:iCs w:val="0"/>
                      <w:color w:val="auto"/>
                      <w:kern w:val="0"/>
                      <w:sz w:val="21"/>
                      <w:szCs w:val="21"/>
                      <w:highlight w:val="none"/>
                      <w:u w:val="none"/>
                      <w:lang w:val="en-US" w:eastAsia="zh-CN" w:bidi="ar"/>
                    </w:rPr>
                    <w:t>0.0509</w:t>
                  </w:r>
                </w:p>
              </w:tc>
              <w:tc>
                <w:tcPr>
                  <w:tcW w:w="73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0153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0127</w:t>
                  </w:r>
                </w:p>
              </w:tc>
              <w:tc>
                <w:tcPr>
                  <w:tcW w:w="6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3.18</w:t>
                  </w:r>
                </w:p>
              </w:tc>
              <w:tc>
                <w:tcPr>
                  <w:tcW w:w="9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油烟净化器</w:t>
                  </w:r>
                  <w:r>
                    <w:rPr>
                      <w:rStyle w:val="95"/>
                      <w:rFonts w:hint="default" w:ascii="Times New Roman" w:hAnsi="Times New Roman" w:eastAsia="宋体" w:cs="Times New Roman"/>
                      <w:b w:val="0"/>
                      <w:bCs w:val="0"/>
                      <w:color w:val="auto"/>
                      <w:highlight w:val="none"/>
                      <w:lang w:val="en-US" w:eastAsia="zh-CN" w:bidi="ar"/>
                    </w:rPr>
                    <w:t>+</w:t>
                  </w:r>
                  <w:r>
                    <w:rPr>
                      <w:rStyle w:val="94"/>
                      <w:rFonts w:hint="default" w:ascii="Times New Roman" w:hAnsi="Times New Roman" w:eastAsia="宋体" w:cs="Times New Roman"/>
                      <w:b w:val="0"/>
                      <w:bCs w:val="0"/>
                      <w:color w:val="auto"/>
                      <w:highlight w:val="none"/>
                      <w:lang w:val="en-US" w:eastAsia="zh-CN" w:bidi="ar"/>
                    </w:rPr>
                    <w:t>高于房顶</w:t>
                  </w:r>
                  <w:r>
                    <w:rPr>
                      <w:rStyle w:val="95"/>
                      <w:rFonts w:hint="default" w:ascii="Times New Roman" w:hAnsi="Times New Roman" w:eastAsia="宋体" w:cs="Times New Roman"/>
                      <w:b w:val="0"/>
                      <w:bCs w:val="0"/>
                      <w:color w:val="auto"/>
                      <w:highlight w:val="none"/>
                      <w:lang w:val="en-US" w:eastAsia="zh-CN" w:bidi="ar"/>
                    </w:rPr>
                    <w:t>1.5m</w:t>
                  </w:r>
                  <w:r>
                    <w:rPr>
                      <w:rStyle w:val="94"/>
                      <w:rFonts w:hint="default" w:ascii="Times New Roman" w:hAnsi="Times New Roman" w:eastAsia="宋体" w:cs="Times New Roman"/>
                      <w:b w:val="0"/>
                      <w:bCs w:val="0"/>
                      <w:color w:val="auto"/>
                      <w:highlight w:val="none"/>
                      <w:lang w:val="en-US" w:eastAsia="zh-CN" w:bidi="ar"/>
                    </w:rPr>
                    <w:t>排气筒</w:t>
                  </w:r>
                </w:p>
              </w:tc>
              <w:tc>
                <w:tcPr>
                  <w:tcW w:w="71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0204</w:t>
                  </w:r>
                </w:p>
              </w:tc>
              <w:tc>
                <w:tcPr>
                  <w:tcW w:w="636"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0061</w:t>
                  </w:r>
                </w:p>
              </w:tc>
              <w:tc>
                <w:tcPr>
                  <w:tcW w:w="6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w:t>
                  </w:r>
                  <w:r>
                    <w:rPr>
                      <w:rFonts w:hint="eastAsia" w:cs="Times New Roman"/>
                      <w:b w:val="0"/>
                      <w:bCs w:val="0"/>
                      <w:color w:val="auto"/>
                      <w:sz w:val="21"/>
                      <w:szCs w:val="21"/>
                      <w:highlight w:val="none"/>
                      <w:lang w:val="en-US" w:eastAsia="zh-CN"/>
                    </w:rPr>
                    <w:t>0051</w:t>
                  </w:r>
                </w:p>
              </w:tc>
              <w:tc>
                <w:tcPr>
                  <w:tcW w:w="68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1.28</w:t>
                  </w:r>
                </w:p>
              </w:tc>
            </w:tr>
          </w:tbl>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综上可知，项目区食堂油烟</w:t>
            </w:r>
            <w:r>
              <w:rPr>
                <w:rFonts w:hint="default" w:ascii="Times New Roman" w:hAnsi="Times New Roman" w:eastAsia="宋体" w:cs="Times New Roman"/>
                <w:color w:val="auto"/>
                <w:sz w:val="24"/>
                <w:szCs w:val="24"/>
                <w:highlight w:val="none"/>
                <w:lang w:val="zh-CN" w:eastAsia="zh-CN"/>
              </w:rPr>
              <w:t>能</w:t>
            </w:r>
            <w:r>
              <w:rPr>
                <w:rFonts w:hint="default" w:ascii="Times New Roman" w:hAnsi="Times New Roman" w:eastAsia="宋体" w:cs="Times New Roman"/>
                <w:color w:val="auto"/>
                <w:sz w:val="24"/>
                <w:szCs w:val="24"/>
                <w:highlight w:val="none"/>
                <w:lang w:val="en-US" w:eastAsia="zh-CN"/>
              </w:rPr>
              <w:t>满足</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w:t>
            </w:r>
            <w:r>
              <w:rPr>
                <w:rFonts w:hint="default" w:ascii="Times New Roman" w:hAnsi="Times New Roman" w:eastAsia="宋体" w:cs="Times New Roman"/>
                <w:color w:val="auto"/>
                <w:sz w:val="24"/>
                <w:szCs w:val="24"/>
                <w:highlight w:val="none"/>
                <w:lang w:val="en-US" w:eastAsia="zh-CN"/>
              </w:rPr>
              <w:t>要求</w:t>
            </w:r>
            <w:r>
              <w:rPr>
                <w:rFonts w:hint="default" w:ascii="Times New Roman" w:hAnsi="Times New Roman" w:eastAsia="宋体" w:cs="Times New Roman"/>
                <w:color w:val="auto"/>
                <w:sz w:val="24"/>
                <w:szCs w:val="24"/>
                <w:highlight w:val="none"/>
              </w:rPr>
              <w:t>，即油烟≤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48" w:lineRule="auto"/>
              <w:ind w:left="0" w:leftChars="0" w:firstLine="506" w:firstLineChars="200"/>
              <w:textAlignment w:val="auto"/>
              <w:outlineLvl w:val="9"/>
              <w:rPr>
                <w:rFonts w:hint="default" w:ascii="Times New Roman" w:hAnsi="Times New Roman" w:eastAsia="宋体" w:cs="Times New Roman"/>
                <w:b/>
                <w:bCs/>
                <w:color w:val="auto"/>
                <w:spacing w:val="6"/>
                <w:kern w:val="2"/>
                <w:sz w:val="24"/>
                <w:szCs w:val="24"/>
                <w:highlight w:val="none"/>
                <w:lang w:val="en-US" w:eastAsia="zh-CN" w:bidi="ar-SA"/>
              </w:rPr>
            </w:pPr>
            <w:r>
              <w:rPr>
                <w:rFonts w:hint="default" w:ascii="Times New Roman" w:hAnsi="Times New Roman" w:eastAsia="宋体" w:cs="Times New Roman"/>
                <w:b/>
                <w:bCs/>
                <w:color w:val="auto"/>
                <w:spacing w:val="6"/>
                <w:kern w:val="2"/>
                <w:sz w:val="24"/>
                <w:szCs w:val="24"/>
                <w:highlight w:val="none"/>
                <w:lang w:val="en-US" w:eastAsia="zh-CN" w:bidi="ar-SA"/>
              </w:rPr>
              <w:t>3）</w:t>
            </w:r>
            <w:r>
              <w:rPr>
                <w:rFonts w:hint="default" w:ascii="Times New Roman" w:hAnsi="Times New Roman" w:eastAsia="宋体" w:cs="Times New Roman"/>
                <w:b/>
                <w:bCs/>
                <w:color w:val="auto"/>
                <w:sz w:val="24"/>
                <w:szCs w:val="24"/>
                <w:highlight w:val="none"/>
                <w:lang w:eastAsia="zh-CN"/>
              </w:rPr>
              <w:t>卫生间、化粪池</w:t>
            </w:r>
            <w:r>
              <w:rPr>
                <w:rFonts w:hint="default" w:ascii="Times New Roman" w:hAnsi="Times New Roman" w:eastAsia="宋体" w:cs="Times New Roman"/>
                <w:b/>
                <w:bCs/>
                <w:color w:val="auto"/>
                <w:sz w:val="24"/>
                <w:szCs w:val="24"/>
                <w:highlight w:val="none"/>
                <w:lang w:val="en-US" w:eastAsia="zh-CN"/>
              </w:rPr>
              <w:t>及一体化污水处理站</w:t>
            </w:r>
            <w:r>
              <w:rPr>
                <w:rFonts w:hint="default" w:ascii="Times New Roman" w:hAnsi="Times New Roman" w:eastAsia="宋体" w:cs="Times New Roman"/>
                <w:b/>
                <w:bCs/>
                <w:color w:val="auto"/>
                <w:sz w:val="24"/>
                <w:szCs w:val="24"/>
                <w:highlight w:val="none"/>
                <w:lang w:eastAsia="zh-CN"/>
              </w:rPr>
              <w:t>异味</w:t>
            </w:r>
          </w:p>
          <w:p>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outlineLvl w:val="9"/>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本项目臭气</w:t>
            </w:r>
            <w:r>
              <w:rPr>
                <w:rFonts w:hint="default" w:ascii="Times New Roman" w:hAnsi="Times New Roman" w:eastAsia="宋体" w:cs="Times New Roman"/>
                <w:color w:val="auto"/>
                <w:sz w:val="24"/>
                <w:szCs w:val="24"/>
                <w:highlight w:val="none"/>
                <w:lang w:val="en-US" w:eastAsia="zh-CN"/>
              </w:rPr>
              <w:t>还</w:t>
            </w:r>
            <w:r>
              <w:rPr>
                <w:rFonts w:hint="default" w:ascii="Times New Roman" w:hAnsi="Times New Roman" w:eastAsia="宋体" w:cs="Times New Roman"/>
                <w:color w:val="auto"/>
                <w:sz w:val="24"/>
                <w:szCs w:val="24"/>
                <w:highlight w:val="none"/>
                <w:lang w:val="zh-CN" w:eastAsia="zh-CN"/>
              </w:rPr>
              <w:t>来源于</w:t>
            </w:r>
            <w:r>
              <w:rPr>
                <w:rFonts w:hint="default" w:ascii="Times New Roman" w:hAnsi="Times New Roman" w:eastAsia="宋体" w:cs="Times New Roman"/>
                <w:bCs w:val="0"/>
                <w:color w:val="auto"/>
                <w:sz w:val="24"/>
                <w:highlight w:val="none"/>
                <w:lang w:eastAsia="zh-CN"/>
              </w:rPr>
              <w:t>卫生间</w:t>
            </w:r>
            <w:r>
              <w:rPr>
                <w:rFonts w:hint="default" w:ascii="Times New Roman" w:hAnsi="Times New Roman" w:eastAsia="宋体" w:cs="Times New Roman"/>
                <w:color w:val="auto"/>
                <w:sz w:val="24"/>
                <w:szCs w:val="24"/>
                <w:highlight w:val="none"/>
              </w:rPr>
              <w:t>、化</w:t>
            </w:r>
            <w:r>
              <w:rPr>
                <w:rFonts w:hint="default" w:ascii="Times New Roman" w:hAnsi="Times New Roman" w:eastAsia="宋体" w:cs="Times New Roman"/>
                <w:b w:val="0"/>
                <w:bCs w:val="0"/>
                <w:color w:val="auto"/>
                <w:sz w:val="24"/>
                <w:szCs w:val="24"/>
                <w:highlight w:val="none"/>
              </w:rPr>
              <w:t>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z w:val="24"/>
                <w:szCs w:val="24"/>
                <w:highlight w:val="none"/>
              </w:rPr>
              <w:t>等</w:t>
            </w:r>
            <w:r>
              <w:rPr>
                <w:rFonts w:hint="default" w:ascii="Times New Roman" w:hAnsi="Times New Roman" w:eastAsia="宋体" w:cs="Times New Roman"/>
                <w:color w:val="auto"/>
                <w:sz w:val="24"/>
                <w:szCs w:val="24"/>
                <w:highlight w:val="none"/>
              </w:rPr>
              <w:t>使用过程。</w:t>
            </w:r>
          </w:p>
          <w:p>
            <w:pPr>
              <w:pStyle w:val="9"/>
              <w:keepNext w:val="0"/>
              <w:keepLines w:val="0"/>
              <w:pageBreakBefore w:val="0"/>
              <w:widowControl w:val="0"/>
              <w:kinsoku/>
              <w:wordWrap/>
              <w:overflowPunct/>
              <w:topLinePunct w:val="0"/>
              <w:autoSpaceDE/>
              <w:autoSpaceDN/>
              <w:bidi w:val="0"/>
              <w:adjustRightInd/>
              <w:snapToGrid/>
              <w:spacing w:line="348" w:lineRule="auto"/>
              <w:ind w:firstLine="48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项目产生的生活垃圾</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办公垃圾经项目</w:t>
            </w:r>
            <w:r>
              <w:rPr>
                <w:rFonts w:hint="default" w:ascii="Times New Roman" w:hAnsi="Times New Roman" w:eastAsia="宋体" w:cs="Times New Roman"/>
                <w:color w:val="auto"/>
                <w:sz w:val="24"/>
                <w:szCs w:val="24"/>
                <w:highlight w:val="none"/>
                <w:lang w:eastAsia="zh-CN"/>
              </w:rPr>
              <w:t>带盖</w:t>
            </w:r>
            <w:r>
              <w:rPr>
                <w:rFonts w:hint="default" w:ascii="Times New Roman" w:hAnsi="Times New Roman" w:eastAsia="宋体" w:cs="Times New Roman"/>
                <w:color w:val="auto"/>
                <w:sz w:val="24"/>
                <w:szCs w:val="24"/>
                <w:highlight w:val="none"/>
              </w:rPr>
              <w:t>垃圾桶收集后直接运至</w:t>
            </w:r>
            <w:r>
              <w:rPr>
                <w:rFonts w:hint="default" w:ascii="Times New Roman" w:hAnsi="Times New Roman" w:eastAsia="宋体" w:cs="Times New Roman"/>
                <w:color w:val="auto"/>
                <w:sz w:val="24"/>
                <w:szCs w:val="24"/>
                <w:highlight w:val="none"/>
                <w:lang w:eastAsia="zh-CN"/>
              </w:rPr>
              <w:t>附近</w:t>
            </w:r>
            <w:r>
              <w:rPr>
                <w:rFonts w:hint="default" w:ascii="Times New Roman" w:hAnsi="Times New Roman" w:eastAsia="宋体" w:cs="Times New Roman"/>
                <w:color w:val="auto"/>
                <w:sz w:val="24"/>
                <w:szCs w:val="24"/>
                <w:highlight w:val="none"/>
              </w:rPr>
              <w:t>垃圾收集点，由环卫部门清运处理，生活垃圾日产日清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highlight w:val="none"/>
                <w:lang w:eastAsia="zh-CN"/>
              </w:rPr>
              <w:t>异味</w:t>
            </w:r>
            <w:r>
              <w:rPr>
                <w:rFonts w:hint="default" w:ascii="Times New Roman" w:hAnsi="Times New Roman" w:eastAsia="宋体" w:cs="Times New Roman"/>
                <w:color w:val="auto"/>
                <w:sz w:val="24"/>
                <w:szCs w:val="24"/>
                <w:highlight w:val="none"/>
              </w:rPr>
              <w:t>产生量较小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8" w:lineRule="auto"/>
              <w:ind w:firstLine="488"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同时</w:t>
            </w:r>
            <w:r>
              <w:rPr>
                <w:rFonts w:hint="default" w:ascii="Times New Roman" w:hAnsi="Times New Roman" w:eastAsia="宋体" w:cs="Times New Roman"/>
                <w:color w:val="auto"/>
                <w:spacing w:val="2"/>
                <w:sz w:val="24"/>
                <w:szCs w:val="24"/>
                <w:highlight w:val="none"/>
              </w:rPr>
              <w:t>项目</w:t>
            </w:r>
            <w:r>
              <w:rPr>
                <w:rFonts w:hint="default" w:ascii="Times New Roman" w:hAnsi="Times New Roman" w:eastAsia="宋体" w:cs="Times New Roman"/>
                <w:color w:val="auto"/>
                <w:spacing w:val="2"/>
                <w:sz w:val="24"/>
                <w:szCs w:val="24"/>
                <w:highlight w:val="none"/>
                <w:lang w:eastAsia="zh-CN"/>
              </w:rPr>
              <w:t>卫生间、</w:t>
            </w:r>
            <w:r>
              <w:rPr>
                <w:rFonts w:hint="default" w:ascii="Times New Roman" w:hAnsi="Times New Roman" w:eastAsia="宋体" w:cs="Times New Roman"/>
                <w:color w:val="auto"/>
                <w:spacing w:val="2"/>
                <w:sz w:val="24"/>
                <w:szCs w:val="24"/>
                <w:highlight w:val="none"/>
              </w:rPr>
              <w:t>化粪</w:t>
            </w:r>
            <w:r>
              <w:rPr>
                <w:rFonts w:hint="default" w:ascii="Times New Roman" w:hAnsi="Times New Roman" w:eastAsia="宋体" w:cs="Times New Roman"/>
                <w:b w:val="0"/>
                <w:bCs w:val="0"/>
                <w:color w:val="auto"/>
                <w:spacing w:val="2"/>
                <w:sz w:val="24"/>
                <w:szCs w:val="24"/>
                <w:highlight w:val="none"/>
              </w:rPr>
              <w:t>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在</w:t>
            </w:r>
            <w:r>
              <w:rPr>
                <w:rFonts w:hint="default" w:ascii="Times New Roman" w:hAnsi="Times New Roman" w:eastAsia="宋体" w:cs="Times New Roman"/>
                <w:b w:val="0"/>
                <w:bCs w:val="0"/>
                <w:color w:val="auto"/>
                <w:spacing w:val="2"/>
                <w:sz w:val="24"/>
                <w:szCs w:val="24"/>
                <w:highlight w:val="none"/>
              </w:rPr>
              <w:t>运营</w:t>
            </w:r>
            <w:r>
              <w:rPr>
                <w:rFonts w:hint="default" w:ascii="Times New Roman" w:hAnsi="Times New Roman" w:eastAsia="宋体" w:cs="Times New Roman"/>
                <w:color w:val="auto"/>
                <w:spacing w:val="2"/>
                <w:sz w:val="24"/>
                <w:szCs w:val="24"/>
                <w:highlight w:val="none"/>
              </w:rPr>
              <w:t>过程中</w:t>
            </w:r>
            <w:r>
              <w:rPr>
                <w:rFonts w:hint="default" w:ascii="Times New Roman" w:hAnsi="Times New Roman" w:eastAsia="宋体" w:cs="Times New Roman"/>
                <w:color w:val="auto"/>
                <w:spacing w:val="2"/>
                <w:sz w:val="24"/>
                <w:szCs w:val="24"/>
                <w:highlight w:val="none"/>
                <w:lang w:eastAsia="zh-CN"/>
              </w:rPr>
              <w:t>由于</w:t>
            </w:r>
            <w:r>
              <w:rPr>
                <w:rFonts w:hint="default" w:ascii="Times New Roman" w:hAnsi="Times New Roman" w:eastAsia="宋体" w:cs="Times New Roman"/>
                <w:color w:val="auto"/>
                <w:spacing w:val="2"/>
                <w:sz w:val="24"/>
                <w:szCs w:val="24"/>
                <w:highlight w:val="none"/>
              </w:rPr>
              <w:t>有机物的分解、发酵过程将</w:t>
            </w:r>
            <w:r>
              <w:rPr>
                <w:rFonts w:hint="default" w:ascii="Times New Roman" w:hAnsi="Times New Roman" w:eastAsia="宋体" w:cs="Times New Roman"/>
                <w:color w:val="auto"/>
                <w:spacing w:val="2"/>
                <w:sz w:val="24"/>
                <w:szCs w:val="24"/>
                <w:highlight w:val="none"/>
                <w:lang w:eastAsia="zh-CN"/>
              </w:rPr>
              <w:t>会</w:t>
            </w:r>
            <w:r>
              <w:rPr>
                <w:rFonts w:hint="default" w:ascii="Times New Roman" w:hAnsi="Times New Roman" w:eastAsia="宋体" w:cs="Times New Roman"/>
                <w:color w:val="auto"/>
                <w:spacing w:val="2"/>
                <w:sz w:val="24"/>
                <w:szCs w:val="24"/>
                <w:highlight w:val="none"/>
              </w:rPr>
              <w:t>产生异味，异味为多组分、低浓度化学物质形成的混合物，其主要成分为氨、硫化</w:t>
            </w:r>
            <w:r>
              <w:rPr>
                <w:rFonts w:hint="default" w:ascii="Times New Roman" w:hAnsi="Times New Roman" w:eastAsia="宋体" w:cs="Times New Roman"/>
                <w:b w:val="0"/>
                <w:bCs w:val="0"/>
                <w:color w:val="auto"/>
                <w:spacing w:val="2"/>
                <w:sz w:val="24"/>
                <w:szCs w:val="24"/>
                <w:highlight w:val="none"/>
              </w:rPr>
              <w:t>氢</w:t>
            </w:r>
            <w:r>
              <w:rPr>
                <w:rFonts w:hint="default" w:ascii="Times New Roman" w:hAnsi="Times New Roman" w:eastAsia="宋体" w:cs="Times New Roman"/>
                <w:b w:val="0"/>
                <w:bCs w:val="0"/>
                <w:color w:val="auto"/>
                <w:spacing w:val="2"/>
                <w:sz w:val="24"/>
                <w:szCs w:val="24"/>
                <w:highlight w:val="none"/>
                <w:lang w:eastAsia="zh-CN"/>
              </w:rPr>
              <w:t>等</w:t>
            </w:r>
            <w:r>
              <w:rPr>
                <w:rFonts w:hint="default" w:ascii="Times New Roman" w:hAnsi="Times New Roman" w:eastAsia="宋体" w:cs="Times New Roman"/>
                <w:b w:val="0"/>
                <w:bCs w:val="0"/>
                <w:color w:val="auto"/>
                <w:spacing w:val="2"/>
                <w:sz w:val="24"/>
                <w:szCs w:val="24"/>
                <w:highlight w:val="none"/>
              </w:rPr>
              <w:t>物质。</w:t>
            </w:r>
            <w:r>
              <w:rPr>
                <w:rFonts w:hint="default" w:ascii="Times New Roman" w:hAnsi="Times New Roman" w:eastAsia="宋体" w:cs="Times New Roman"/>
                <w:b w:val="0"/>
                <w:bCs w:val="0"/>
                <w:color w:val="auto"/>
                <w:spacing w:val="2"/>
                <w:sz w:val="24"/>
                <w:szCs w:val="24"/>
                <w:highlight w:val="none"/>
                <w:lang w:eastAsia="zh-CN"/>
              </w:rPr>
              <w:t>项目</w:t>
            </w:r>
            <w:r>
              <w:rPr>
                <w:rFonts w:hint="default" w:ascii="Times New Roman" w:hAnsi="Times New Roman" w:eastAsia="宋体" w:cs="Times New Roman"/>
                <w:b w:val="0"/>
                <w:bCs w:val="0"/>
                <w:color w:val="auto"/>
                <w:sz w:val="24"/>
                <w:szCs w:val="24"/>
                <w:highlight w:val="none"/>
              </w:rPr>
              <w:t>卫生间为</w:t>
            </w:r>
            <w:r>
              <w:rPr>
                <w:rFonts w:hint="default" w:ascii="Times New Roman" w:hAnsi="Times New Roman" w:eastAsia="宋体" w:cs="Times New Roman"/>
                <w:b w:val="0"/>
                <w:bCs w:val="0"/>
                <w:color w:val="auto"/>
                <w:sz w:val="24"/>
                <w:szCs w:val="24"/>
                <w:highlight w:val="none"/>
                <w:lang w:eastAsia="zh-CN"/>
              </w:rPr>
              <w:t>水冲厕</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设置专人打扫；</w:t>
            </w:r>
            <w:r>
              <w:rPr>
                <w:rFonts w:hint="default" w:ascii="Times New Roman" w:hAnsi="Times New Roman" w:eastAsia="宋体" w:cs="Times New Roman"/>
                <w:b w:val="0"/>
                <w:bCs w:val="0"/>
                <w:color w:val="auto"/>
                <w:spacing w:val="2"/>
                <w:sz w:val="24"/>
                <w:szCs w:val="24"/>
                <w:highlight w:val="none"/>
              </w:rPr>
              <w:t>化粪池</w:t>
            </w:r>
            <w:r>
              <w:rPr>
                <w:rFonts w:hint="default" w:ascii="Times New Roman" w:hAnsi="Times New Roman" w:eastAsia="宋体" w:cs="Times New Roman"/>
                <w:b w:val="0"/>
                <w:bCs w:val="0"/>
                <w:color w:val="auto"/>
                <w:sz w:val="24"/>
                <w:szCs w:val="24"/>
                <w:highlight w:val="none"/>
                <w:lang w:val="en-US" w:eastAsia="zh-CN"/>
              </w:rPr>
              <w:t>及一体化污水处理站</w:t>
            </w:r>
            <w:r>
              <w:rPr>
                <w:rFonts w:hint="default" w:ascii="Times New Roman" w:hAnsi="Times New Roman" w:eastAsia="宋体" w:cs="Times New Roman"/>
                <w:b w:val="0"/>
                <w:bCs w:val="0"/>
                <w:color w:val="auto"/>
                <w:spacing w:val="2"/>
                <w:sz w:val="24"/>
                <w:szCs w:val="24"/>
                <w:highlight w:val="none"/>
                <w:lang w:eastAsia="zh-CN"/>
              </w:rPr>
              <w:t>为</w:t>
            </w:r>
            <w:r>
              <w:rPr>
                <w:rFonts w:hint="default" w:ascii="Times New Roman" w:hAnsi="Times New Roman" w:eastAsia="宋体" w:cs="Times New Roman"/>
                <w:b w:val="0"/>
                <w:bCs w:val="0"/>
                <w:color w:val="auto"/>
                <w:spacing w:val="2"/>
                <w:sz w:val="24"/>
                <w:szCs w:val="24"/>
                <w:highlight w:val="none"/>
              </w:rPr>
              <w:t>全封闭加盖设计</w:t>
            </w:r>
            <w:r>
              <w:rPr>
                <w:rFonts w:hint="default" w:ascii="Times New Roman" w:hAnsi="Times New Roman" w:eastAsia="宋体" w:cs="Times New Roman"/>
                <w:b w:val="0"/>
                <w:bCs w:val="0"/>
                <w:color w:val="auto"/>
                <w:sz w:val="24"/>
                <w:szCs w:val="24"/>
                <w:highlight w:val="none"/>
                <w:lang w:eastAsia="zh-CN"/>
              </w:rPr>
              <w:t>，同时</w:t>
            </w:r>
            <w:r>
              <w:rPr>
                <w:rFonts w:hint="default" w:ascii="Times New Roman" w:hAnsi="Times New Roman" w:eastAsia="宋体" w:cs="Times New Roman"/>
                <w:b w:val="0"/>
                <w:bCs w:val="0"/>
                <w:color w:val="auto"/>
                <w:sz w:val="24"/>
                <w:szCs w:val="24"/>
                <w:highlight w:val="none"/>
              </w:rPr>
              <w:t>加强卫生管理后异味产生量较小，</w:t>
            </w:r>
            <w:r>
              <w:rPr>
                <w:rFonts w:hint="default" w:ascii="Times New Roman" w:hAnsi="Times New Roman" w:eastAsia="宋体" w:cs="Times New Roman"/>
                <w:b w:val="0"/>
                <w:bCs w:val="0"/>
                <w:color w:val="auto"/>
                <w:spacing w:val="2"/>
                <w:sz w:val="24"/>
                <w:szCs w:val="24"/>
                <w:highlight w:val="none"/>
                <w:lang w:eastAsia="zh-CN"/>
              </w:rPr>
              <w:t>呈无组织排放。</w:t>
            </w:r>
          </w:p>
          <w:p>
            <w:pPr>
              <w:pStyle w:val="2"/>
              <w:keepNext w:val="0"/>
              <w:keepLines w:val="0"/>
              <w:pageBreakBefore w:val="0"/>
              <w:widowControl w:val="0"/>
              <w:kinsoku/>
              <w:wordWrap/>
              <w:overflowPunct/>
              <w:topLinePunct w:val="0"/>
              <w:autoSpaceDE/>
              <w:autoSpaceDN/>
              <w:bidi w:val="0"/>
              <w:adjustRightInd w:val="0"/>
              <w:snapToGrid w:val="0"/>
              <w:spacing w:after="0" w:line="348"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en-US" w:eastAsia="zh-CN"/>
              </w:rPr>
              <w:t>非正常排放分析</w:t>
            </w:r>
          </w:p>
          <w:p>
            <w:pPr>
              <w:pStyle w:val="12"/>
              <w:spacing w:line="360" w:lineRule="auto"/>
              <w:ind w:firstLine="480"/>
              <w:rPr>
                <w:rFonts w:hint="default" w:ascii="Times New Roman" w:hAnsi="Times New Roman" w:eastAsia="宋体" w:cs="Times New Roman"/>
                <w:b/>
                <w:bCs/>
                <w:color w:val="auto"/>
              </w:rPr>
            </w:pPr>
            <w:r>
              <w:rPr>
                <w:rFonts w:hint="default" w:ascii="Times New Roman" w:hAnsi="Times New Roman" w:eastAsia="宋体" w:cs="Times New Roman"/>
                <w:color w:val="auto"/>
                <w:sz w:val="24"/>
              </w:rPr>
              <w:t>本项目</w:t>
            </w:r>
            <w:r>
              <w:rPr>
                <w:rFonts w:hint="default" w:ascii="Times New Roman" w:hAnsi="Times New Roman" w:eastAsia="宋体" w:cs="Times New Roman"/>
                <w:color w:val="auto"/>
                <w:sz w:val="24"/>
                <w:lang w:val="en-US" w:eastAsia="zh-CN"/>
              </w:rPr>
              <w:t>生物质蒸汽锅炉废气处理方式为“</w:t>
            </w:r>
            <w:r>
              <w:rPr>
                <w:rFonts w:hint="eastAsia" w:cs="Times New Roman"/>
                <w:color w:val="auto"/>
                <w:sz w:val="24"/>
                <w:lang w:val="en-US" w:eastAsia="zh-CN"/>
              </w:rPr>
              <w:t>耐高温</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sz w:val="24"/>
                <w:lang w:val="en-US" w:eastAsia="zh-CN"/>
              </w:rPr>
              <w:t>”，泡沫箱</w:t>
            </w:r>
            <w:r>
              <w:rPr>
                <w:rFonts w:hint="default" w:ascii="Times New Roman" w:hAnsi="Times New Roman" w:eastAsia="宋体" w:cs="Times New Roman"/>
                <w:color w:val="auto"/>
                <w:sz w:val="24"/>
              </w:rPr>
              <w:t>生产过程</w:t>
            </w:r>
            <w:r>
              <w:rPr>
                <w:rFonts w:hint="default" w:ascii="Times New Roman" w:hAnsi="Times New Roman" w:eastAsia="宋体" w:cs="Times New Roman"/>
                <w:color w:val="auto"/>
                <w:sz w:val="24"/>
                <w:lang w:val="en-US" w:eastAsia="zh-CN"/>
              </w:rPr>
              <w:t>有机废气</w:t>
            </w:r>
            <w:r>
              <w:rPr>
                <w:rFonts w:hint="default" w:ascii="Times New Roman" w:hAnsi="Times New Roman" w:eastAsia="宋体" w:cs="Times New Roman"/>
                <w:color w:val="auto"/>
                <w:sz w:val="24"/>
              </w:rPr>
              <w:t>处置方式为</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活性炭</w:t>
            </w:r>
            <w:r>
              <w:rPr>
                <w:rFonts w:hint="default" w:ascii="Times New Roman" w:hAnsi="Times New Roman" w:eastAsia="宋体" w:cs="Times New Roman"/>
                <w:color w:val="auto"/>
                <w:sz w:val="24"/>
                <w:lang w:val="en-US" w:eastAsia="zh-CN"/>
              </w:rPr>
              <w:t>净化装置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，由于在运营中可能会出现废气处理设施运行不正常，导致效率下降</w:t>
            </w:r>
            <w:r>
              <w:rPr>
                <w:rFonts w:hint="default" w:ascii="Times New Roman" w:hAnsi="Times New Roman" w:eastAsia="宋体" w:cs="Times New Roman"/>
                <w:color w:val="auto"/>
                <w:sz w:val="24"/>
                <w:lang w:val="en-US" w:eastAsia="zh-CN"/>
              </w:rPr>
              <w:t>甚至失效</w:t>
            </w:r>
            <w:r>
              <w:rPr>
                <w:rFonts w:hint="default" w:ascii="Times New Roman" w:hAnsi="Times New Roman" w:eastAsia="宋体" w:cs="Times New Roman"/>
                <w:color w:val="auto"/>
                <w:sz w:val="24"/>
              </w:rPr>
              <w:t>的不良情况，</w:t>
            </w: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 橡胶和塑料制品工业》（HJ1122-2020）</w:t>
            </w:r>
            <w:r>
              <w:rPr>
                <w:rFonts w:hint="default" w:ascii="Times New Roman" w:hAnsi="Times New Roman" w:eastAsia="宋体" w:cs="Times New Roman"/>
                <w:color w:val="auto"/>
                <w:sz w:val="24"/>
                <w:highlight w:val="none"/>
                <w:lang w:val="en-US" w:eastAsia="zh-CN"/>
              </w:rPr>
              <w:t>第二部分中4.6.5.2非正常情况</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生产过程中非正常排放按直接排放（即产生量）进行核算。因此，</w:t>
            </w:r>
            <w:r>
              <w:rPr>
                <w:rStyle w:val="38"/>
                <w:rFonts w:hint="default" w:ascii="Times New Roman" w:hAnsi="Times New Roman" w:eastAsia="宋体" w:cs="Times New Roman"/>
                <w:color w:val="auto"/>
                <w:sz w:val="24"/>
                <w:szCs w:val="24"/>
                <w:highlight w:val="none"/>
                <w:lang w:eastAsia="zh-CN"/>
              </w:rPr>
              <w:t>本项目非正常排放</w:t>
            </w:r>
            <w:r>
              <w:rPr>
                <w:rFonts w:hint="default" w:ascii="Times New Roman" w:hAnsi="Times New Roman" w:eastAsia="宋体" w:cs="Times New Roman"/>
                <w:color w:val="auto"/>
                <w:kern w:val="2"/>
                <w:sz w:val="24"/>
                <w:szCs w:val="24"/>
                <w:lang w:val="en-US" w:eastAsia="zh-CN" w:bidi="ar-SA"/>
              </w:rPr>
              <w:t>条件的设定为生物质锅炉废气“</w:t>
            </w:r>
            <w:r>
              <w:rPr>
                <w:rFonts w:hint="eastAsia" w:cs="Times New Roman"/>
                <w:color w:val="auto"/>
                <w:kern w:val="2"/>
                <w:sz w:val="24"/>
                <w:szCs w:val="24"/>
                <w:lang w:val="en-US" w:eastAsia="zh-CN" w:bidi="ar-SA"/>
              </w:rPr>
              <w:t>耐高温</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处理装置处理效率因故障颗粒物处理效率由</w:t>
            </w:r>
            <w:r>
              <w:rPr>
                <w:rFonts w:hint="eastAsia" w:cs="Times New Roman"/>
                <w:color w:val="auto"/>
                <w:kern w:val="2"/>
                <w:sz w:val="24"/>
                <w:szCs w:val="24"/>
                <w:highlight w:val="none"/>
                <w:lang w:val="en-US" w:eastAsia="zh-CN" w:bidi="ar-SA"/>
              </w:rPr>
              <w:t>95</w:t>
            </w:r>
            <w:r>
              <w:rPr>
                <w:rFonts w:hint="default" w:ascii="Times New Roman" w:hAnsi="Times New Roman" w:eastAsia="宋体" w:cs="Times New Roman"/>
                <w:color w:val="auto"/>
                <w:kern w:val="2"/>
                <w:sz w:val="24"/>
                <w:szCs w:val="24"/>
                <w:highlight w:val="none"/>
                <w:lang w:val="en-US" w:eastAsia="zh-CN" w:bidi="ar-SA"/>
              </w:rPr>
              <w:t>%降为0%的情况及有机废气处理装置处理效率因故障处理效率由</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0%降为0%的情况进行设计，“</w:t>
            </w:r>
            <w:r>
              <w:rPr>
                <w:rFonts w:hint="eastAsia" w:cs="Times New Roman"/>
                <w:color w:val="auto"/>
                <w:kern w:val="2"/>
                <w:sz w:val="24"/>
                <w:szCs w:val="24"/>
                <w:highlight w:val="none"/>
                <w:lang w:val="en-US" w:eastAsia="zh-CN" w:bidi="ar-SA"/>
              </w:rPr>
              <w:t>耐高温</w:t>
            </w:r>
            <w:r>
              <w:rPr>
                <w:rFonts w:hint="eastAsia"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highlight w:val="none"/>
                <w:lang w:val="en-US" w:eastAsia="zh-CN" w:bidi="ar-SA"/>
              </w:rPr>
              <w:t>”对废气中污染物NO</w:t>
            </w:r>
            <w:r>
              <w:rPr>
                <w:rFonts w:hint="default" w:ascii="Times New Roman" w:hAnsi="Times New Roman" w:eastAsia="宋体" w:cs="Times New Roman"/>
                <w:color w:val="auto"/>
                <w:kern w:val="2"/>
                <w:sz w:val="24"/>
                <w:szCs w:val="24"/>
                <w:highlight w:val="none"/>
                <w:vertAlign w:val="subscript"/>
                <w:lang w:val="en-US" w:eastAsia="zh-CN" w:bidi="ar-SA"/>
              </w:rPr>
              <w:t>X</w:t>
            </w:r>
            <w:r>
              <w:rPr>
                <w:rFonts w:hint="default" w:ascii="Times New Roman" w:hAnsi="Times New Roman" w:eastAsia="宋体" w:cs="Times New Roman"/>
                <w:color w:val="auto"/>
                <w:kern w:val="2"/>
                <w:sz w:val="24"/>
                <w:szCs w:val="24"/>
                <w:highlight w:val="none"/>
                <w:lang w:val="en-US" w:eastAsia="zh-CN" w:bidi="ar-SA"/>
              </w:rPr>
              <w:t>和SO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无处理效率</w:t>
            </w:r>
            <w:r>
              <w:rPr>
                <w:rFonts w:hint="default" w:ascii="Times New Roman" w:hAnsi="Times New Roman" w:eastAsia="宋体" w:cs="Times New Roman"/>
                <w:b w:val="0"/>
                <w:bCs w:val="0"/>
                <w:color w:val="auto"/>
                <w:sz w:val="24"/>
                <w:highlight w:val="none"/>
                <w:lang w:val="en-US" w:eastAsia="zh-CN"/>
              </w:rPr>
              <w:t>，因此不考虑其非正常的排放情况。</w:t>
            </w:r>
            <w:r>
              <w:rPr>
                <w:rFonts w:hint="default" w:ascii="Times New Roman" w:hAnsi="Times New Roman" w:eastAsia="宋体" w:cs="Times New Roman"/>
                <w:color w:val="auto"/>
                <w:kern w:val="2"/>
                <w:sz w:val="24"/>
                <w:szCs w:val="24"/>
                <w:highlight w:val="none"/>
                <w:lang w:val="en-US" w:eastAsia="zh-CN" w:bidi="ar-SA"/>
              </w:rPr>
              <w:t>项目非正常排</w:t>
            </w:r>
            <w:r>
              <w:rPr>
                <w:rFonts w:hint="default" w:ascii="Times New Roman" w:hAnsi="Times New Roman" w:eastAsia="宋体" w:cs="Times New Roman"/>
                <w:color w:val="auto"/>
                <w:kern w:val="2"/>
                <w:sz w:val="24"/>
                <w:szCs w:val="24"/>
                <w:lang w:val="en-US" w:eastAsia="zh-CN" w:bidi="ar-SA"/>
              </w:rPr>
              <w:t>放条件下废气排放情况详见表4-11。</w:t>
            </w:r>
          </w:p>
          <w:p>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w:t>
            </w:r>
            <w:r>
              <w:rPr>
                <w:rFonts w:hint="default" w:ascii="Times New Roman" w:hAnsi="Times New Roman" w:eastAsia="宋体" w:cs="Times New Roman"/>
                <w:b/>
                <w:color w:val="auto"/>
                <w:szCs w:val="21"/>
                <w:lang w:val="en-US" w:eastAsia="zh-CN"/>
              </w:rPr>
              <w:t>4-11</w:t>
            </w:r>
            <w:r>
              <w:rPr>
                <w:rFonts w:hint="default" w:ascii="Times New Roman" w:hAnsi="Times New Roman" w:eastAsia="宋体" w:cs="Times New Roman"/>
                <w:b/>
                <w:bCs/>
                <w:color w:val="auto"/>
              </w:rPr>
              <w:t xml:space="preserve"> </w:t>
            </w:r>
            <w:r>
              <w:rPr>
                <w:rFonts w:hint="default" w:ascii="Times New Roman" w:hAnsi="Times New Roman" w:eastAsia="宋体" w:cs="Times New Roman"/>
                <w:b/>
                <w:bCs/>
                <w:color w:val="auto"/>
                <w:lang w:val="en-US" w:eastAsia="zh-CN"/>
              </w:rPr>
              <w:t xml:space="preserve"> </w:t>
            </w:r>
            <w:r>
              <w:rPr>
                <w:rFonts w:hint="default" w:ascii="Times New Roman" w:hAnsi="Times New Roman" w:eastAsia="宋体" w:cs="Times New Roman"/>
                <w:b/>
                <w:bCs/>
                <w:color w:val="auto"/>
              </w:rPr>
              <w:t>本项目有组织</w:t>
            </w:r>
            <w:r>
              <w:rPr>
                <w:rFonts w:hint="default" w:ascii="Times New Roman" w:hAnsi="Times New Roman" w:eastAsia="宋体" w:cs="Times New Roman"/>
                <w:b/>
                <w:bCs/>
                <w:color w:val="auto"/>
                <w:lang w:val="en-US" w:eastAsia="zh-CN"/>
              </w:rPr>
              <w:t>有机废气</w:t>
            </w:r>
            <w:r>
              <w:rPr>
                <w:rFonts w:hint="default" w:ascii="Times New Roman" w:hAnsi="Times New Roman" w:eastAsia="宋体" w:cs="Times New Roman"/>
                <w:b/>
                <w:bCs/>
                <w:color w:val="auto"/>
              </w:rPr>
              <w:t>非正常工况下排放情况表</w:t>
            </w:r>
          </w:p>
          <w:tbl>
            <w:tblPr>
              <w:tblStyle w:val="27"/>
              <w:tblW w:w="8349" w:type="dxa"/>
              <w:tblInd w:w="4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6"/>
              <w:gridCol w:w="729"/>
              <w:gridCol w:w="660"/>
              <w:gridCol w:w="845"/>
              <w:gridCol w:w="850"/>
              <w:gridCol w:w="796"/>
              <w:gridCol w:w="772"/>
              <w:gridCol w:w="565"/>
              <w:gridCol w:w="650"/>
              <w:gridCol w:w="518"/>
              <w:gridCol w:w="9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污染源</w:t>
                  </w:r>
                </w:p>
              </w:tc>
              <w:tc>
                <w:tcPr>
                  <w:tcW w:w="72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非正常排放原因</w:t>
                  </w:r>
                </w:p>
              </w:tc>
              <w:tc>
                <w:tcPr>
                  <w:tcW w:w="660"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污染</w:t>
                  </w:r>
                </w:p>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因子</w:t>
                  </w:r>
                </w:p>
              </w:tc>
              <w:tc>
                <w:tcPr>
                  <w:tcW w:w="2491" w:type="dxa"/>
                  <w:gridSpan w:val="3"/>
                  <w:tcBorders>
                    <w:tl2br w:val="nil"/>
                    <w:tr2bl w:val="nil"/>
                  </w:tcBorders>
                  <w:noWrap w:val="0"/>
                  <w:vAlign w:val="top"/>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非正常</w:t>
                  </w:r>
                  <w:r>
                    <w:rPr>
                      <w:rFonts w:hint="default" w:ascii="Times New Roman" w:hAnsi="Times New Roman" w:eastAsia="宋体" w:cs="Times New Roman"/>
                      <w:b/>
                      <w:color w:val="auto"/>
                      <w:sz w:val="21"/>
                      <w:szCs w:val="21"/>
                    </w:rPr>
                    <w:t>排放情况</w:t>
                  </w:r>
                </w:p>
              </w:tc>
              <w:tc>
                <w:tcPr>
                  <w:tcW w:w="772"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标准值mg/m</w:t>
                  </w:r>
                  <w:r>
                    <w:rPr>
                      <w:rFonts w:hint="default" w:ascii="Times New Roman" w:hAnsi="Times New Roman" w:eastAsia="宋体" w:cs="Times New Roman"/>
                      <w:b/>
                      <w:color w:val="auto"/>
                      <w:sz w:val="21"/>
                      <w:szCs w:val="21"/>
                      <w:highlight w:val="none"/>
                      <w:vertAlign w:val="superscript"/>
                    </w:rPr>
                    <w:t>3</w:t>
                  </w:r>
                </w:p>
              </w:tc>
              <w:tc>
                <w:tcPr>
                  <w:tcW w:w="565" w:type="dxa"/>
                  <w:vMerge w:val="restart"/>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达标情况</w:t>
                  </w:r>
                </w:p>
              </w:tc>
              <w:tc>
                <w:tcPr>
                  <w:tcW w:w="6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单次持续时间</w:t>
                  </w:r>
                </w:p>
              </w:tc>
              <w:tc>
                <w:tcPr>
                  <w:tcW w:w="5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年发生频次</w:t>
                  </w:r>
                </w:p>
              </w:tc>
              <w:tc>
                <w:tcPr>
                  <w:tcW w:w="9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val="0"/>
                      <w:color w:val="auto"/>
                      <w:sz w:val="21"/>
                      <w:szCs w:val="21"/>
                      <w:highlight w:val="none"/>
                      <w:lang w:eastAsia="zh-CN"/>
                    </w:rPr>
                    <w:t>应对措施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7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66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8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排放量t/a</w:t>
                  </w:r>
                </w:p>
              </w:tc>
              <w:tc>
                <w:tcPr>
                  <w:tcW w:w="85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排放速率kg/h</w:t>
                  </w:r>
                </w:p>
              </w:tc>
              <w:tc>
                <w:tcPr>
                  <w:tcW w:w="79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排放浓度mg/m</w:t>
                  </w:r>
                  <w:r>
                    <w:rPr>
                      <w:rFonts w:hint="default" w:ascii="Times New Roman" w:hAnsi="Times New Roman" w:eastAsia="宋体" w:cs="Times New Roman"/>
                      <w:b/>
                      <w:color w:val="auto"/>
                      <w:sz w:val="21"/>
                      <w:szCs w:val="21"/>
                      <w:vertAlign w:val="superscript"/>
                    </w:rPr>
                    <w:t>3</w:t>
                  </w:r>
                </w:p>
              </w:tc>
              <w:tc>
                <w:tcPr>
                  <w:tcW w:w="77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highlight w:val="none"/>
                    </w:rPr>
                  </w:pPr>
                </w:p>
              </w:tc>
              <w:tc>
                <w:tcPr>
                  <w:tcW w:w="56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650"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51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c>
                <w:tcPr>
                  <w:tcW w:w="918"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b/>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锅炉燃烧废气（</w:t>
                  </w:r>
                  <w:r>
                    <w:rPr>
                      <w:rFonts w:hint="default" w:ascii="Times New Roman" w:hAnsi="Times New Roman" w:eastAsia="宋体" w:cs="Times New Roman"/>
                      <w:color w:val="auto"/>
                      <w:sz w:val="21"/>
                      <w:szCs w:val="21"/>
                    </w:rPr>
                    <w:t>DA001</w:t>
                  </w:r>
                  <w:r>
                    <w:rPr>
                      <w:rFonts w:hint="default" w:ascii="Times New Roman" w:hAnsi="Times New Roman" w:eastAsia="宋体" w:cs="Times New Roman"/>
                      <w:color w:val="auto"/>
                      <w:sz w:val="21"/>
                      <w:szCs w:val="21"/>
                      <w:lang w:val="en-US" w:eastAsia="zh-CN"/>
                    </w:rPr>
                    <w:t>）</w:t>
                  </w:r>
                </w:p>
              </w:tc>
              <w:tc>
                <w:tcPr>
                  <w:tcW w:w="729"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eastAsia="zh-CN"/>
                    </w:rPr>
                    <w:t>废气处理设备未及时进行</w:t>
                  </w:r>
                  <w:r>
                    <w:rPr>
                      <w:rFonts w:hint="default" w:ascii="Times New Roman" w:hAnsi="Times New Roman" w:eastAsia="宋体" w:cs="Times New Roman"/>
                      <w:b w:val="0"/>
                      <w:bCs/>
                      <w:color w:val="auto"/>
                      <w:sz w:val="21"/>
                      <w:szCs w:val="21"/>
                      <w:highlight w:val="none"/>
                      <w:lang w:val="en-US" w:eastAsia="zh-CN"/>
                    </w:rPr>
                    <w:t>维护、更换</w:t>
                  </w:r>
                  <w:r>
                    <w:rPr>
                      <w:rFonts w:hint="default" w:ascii="Times New Roman" w:hAnsi="Times New Roman" w:eastAsia="宋体" w:cs="Times New Roman"/>
                      <w:b w:val="0"/>
                      <w:bCs/>
                      <w:color w:val="auto"/>
                      <w:sz w:val="21"/>
                      <w:szCs w:val="21"/>
                      <w:highlight w:val="none"/>
                      <w:lang w:eastAsia="zh-CN"/>
                    </w:rPr>
                    <w:t>或出现故障</w:t>
                  </w: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颗粒物</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3.1244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0.8679</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80.1</w:t>
                  </w:r>
                  <w:r>
                    <w:rPr>
                      <w:rFonts w:hint="eastAsia" w:ascii="Times New Roman" w:hAnsi="Times New Roman" w:eastAsia="宋体" w:cs="Times New Roman"/>
                      <w:i w:val="0"/>
                      <w:iCs w:val="0"/>
                      <w:color w:val="auto"/>
                      <w:kern w:val="0"/>
                      <w:sz w:val="21"/>
                      <w:szCs w:val="21"/>
                      <w:u w:val="none"/>
                      <w:lang w:val="en-US" w:eastAsia="zh-CN" w:bidi="ar"/>
                    </w:rPr>
                    <w:t>3</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超</w:t>
                  </w:r>
                  <w:r>
                    <w:rPr>
                      <w:rFonts w:hint="default" w:ascii="Times New Roman" w:hAnsi="Times New Roman" w:eastAsia="宋体" w:cs="Times New Roman"/>
                      <w:color w:val="auto"/>
                      <w:sz w:val="21"/>
                      <w:szCs w:val="21"/>
                      <w:lang w:val="en-US" w:eastAsia="zh-CN"/>
                    </w:rPr>
                    <w:t>标</w:t>
                  </w:r>
                </w:p>
              </w:tc>
              <w:tc>
                <w:tcPr>
                  <w:tcW w:w="65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val="en-US" w:eastAsia="zh-CN"/>
                    </w:rPr>
                    <w:t>2h</w:t>
                  </w:r>
                </w:p>
              </w:tc>
              <w:tc>
                <w:tcPr>
                  <w:tcW w:w="5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val="en-US" w:eastAsia="zh-CN"/>
                    </w:rPr>
                    <w:t>1次</w:t>
                  </w:r>
                </w:p>
              </w:tc>
              <w:tc>
                <w:tcPr>
                  <w:tcW w:w="91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sz w:val="21"/>
                      <w:szCs w:val="21"/>
                      <w:highlight w:val="none"/>
                      <w:lang w:eastAsia="zh-CN"/>
                    </w:rPr>
                    <w:t>及时停止运行，对设备进行检修，待设备更新或修理完毕后再恢复运营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泡沫箱生产过程（</w:t>
                  </w:r>
                  <w:r>
                    <w:rPr>
                      <w:rFonts w:hint="default" w:ascii="Times New Roman" w:hAnsi="Times New Roman" w:eastAsia="宋体" w:cs="Times New Roman"/>
                      <w:color w:val="auto"/>
                      <w:sz w:val="21"/>
                      <w:szCs w:val="21"/>
                    </w:rPr>
                    <w:t>DA00</w:t>
                  </w:r>
                  <w:r>
                    <w:rPr>
                      <w:rFonts w:hint="default" w:ascii="Times New Roman" w:hAnsi="Times New Roman" w:eastAsia="宋体" w:cs="Times New Roman"/>
                      <w:color w:val="auto"/>
                      <w:sz w:val="21"/>
                      <w:szCs w:val="21"/>
                      <w:lang w:val="en-US" w:eastAsia="zh-CN"/>
                    </w:rPr>
                    <w:t>2）</w:t>
                  </w:r>
                </w:p>
              </w:tc>
              <w:tc>
                <w:tcPr>
                  <w:tcW w:w="72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甲苯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00022</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cs="Times New Roman"/>
                      <w:i w:val="0"/>
                      <w:iCs w:val="0"/>
                      <w:color w:val="auto"/>
                      <w:kern w:val="0"/>
                      <w:sz w:val="21"/>
                      <w:szCs w:val="21"/>
                      <w:u w:val="none"/>
                      <w:lang w:val="en-US" w:eastAsia="zh-CN" w:bidi="ar"/>
                    </w:rPr>
                    <w:t>0.00037</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乙苯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0011</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0.00018</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苯乙烯</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00067</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0.00011</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729"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非甲烷总烃</w:t>
                  </w:r>
                </w:p>
              </w:tc>
              <w:tc>
                <w:tcPr>
                  <w:tcW w:w="84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9.8304</w:t>
                  </w:r>
                </w:p>
              </w:tc>
              <w:tc>
                <w:tcPr>
                  <w:tcW w:w="8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2.7307</w:t>
                  </w:r>
                </w:p>
              </w:tc>
              <w:tc>
                <w:tcPr>
                  <w:tcW w:w="79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45.55722</w:t>
                  </w:r>
                </w:p>
              </w:tc>
              <w:tc>
                <w:tcPr>
                  <w:tcW w:w="77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color w:val="auto"/>
                      <w:sz w:val="21"/>
                      <w:szCs w:val="21"/>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0" w:hRule="atLeast"/>
              </w:trPr>
              <w:tc>
                <w:tcPr>
                  <w:tcW w:w="1046" w:type="dxa"/>
                  <w:vMerge w:val="continue"/>
                  <w:tcBorders>
                    <w:tl2br w:val="nil"/>
                    <w:tr2bl w:val="nil"/>
                  </w:tcBorders>
                  <w:noWrap w:val="0"/>
                  <w:vAlign w:val="center"/>
                </w:tcPr>
                <w:p>
                  <w:pPr>
                    <w:adjustRightInd w:val="0"/>
                    <w:snapToGrid w:val="0"/>
                    <w:jc w:val="center"/>
                    <w:textAlignment w:val="baseline"/>
                    <w:rPr>
                      <w:color w:val="auto"/>
                    </w:rPr>
                  </w:pPr>
                </w:p>
              </w:tc>
              <w:tc>
                <w:tcPr>
                  <w:tcW w:w="729" w:type="dxa"/>
                  <w:vMerge w:val="continue"/>
                  <w:tcBorders>
                    <w:tl2br w:val="nil"/>
                    <w:tr2bl w:val="nil"/>
                  </w:tcBorders>
                  <w:noWrap w:val="0"/>
                  <w:vAlign w:val="center"/>
                </w:tcPr>
                <w:p>
                  <w:pPr>
                    <w:adjustRightInd w:val="0"/>
                    <w:snapToGrid w:val="0"/>
                    <w:jc w:val="center"/>
                    <w:textAlignment w:val="baseline"/>
                    <w:rPr>
                      <w:color w:val="auto"/>
                    </w:rPr>
                  </w:pPr>
                </w:p>
              </w:tc>
              <w:tc>
                <w:tcPr>
                  <w:tcW w:w="66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臭气浓度</w:t>
                  </w:r>
                </w:p>
              </w:tc>
              <w:tc>
                <w:tcPr>
                  <w:tcW w:w="84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少量</w:t>
                  </w:r>
                </w:p>
              </w:tc>
              <w:tc>
                <w:tcPr>
                  <w:tcW w:w="850"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796"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772"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2000（无量纲）</w:t>
                  </w:r>
                </w:p>
              </w:tc>
              <w:tc>
                <w:tcPr>
                  <w:tcW w:w="565" w:type="dxa"/>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达标</w:t>
                  </w:r>
                </w:p>
              </w:tc>
              <w:tc>
                <w:tcPr>
                  <w:tcW w:w="650"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5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c>
                <w:tcPr>
                  <w:tcW w:w="918" w:type="dxa"/>
                  <w:vMerge w:val="continue"/>
                  <w:tcBorders>
                    <w:tl2br w:val="nil"/>
                    <w:tr2bl w:val="nil"/>
                  </w:tcBorders>
                  <w:noWrap w:val="0"/>
                  <w:vAlign w:val="center"/>
                </w:tcPr>
                <w:p>
                  <w:pPr>
                    <w:adjustRightInd w:val="0"/>
                    <w:snapToGrid w:val="0"/>
                    <w:jc w:val="center"/>
                    <w:textAlignment w:val="baseline"/>
                    <w:rPr>
                      <w:rFonts w:hint="default" w:ascii="Times New Roman" w:hAnsi="Times New Roman" w:eastAsia="宋体" w:cs="Times New Roman"/>
                      <w:i w:val="0"/>
                      <w:iCs w:val="0"/>
                      <w:color w:val="auto"/>
                      <w:kern w:val="0"/>
                      <w:sz w:val="21"/>
                      <w:szCs w:val="21"/>
                      <w:u w:val="none"/>
                      <w:lang w:val="en-US" w:eastAsia="zh-CN" w:bidi="ar"/>
                    </w:rPr>
                  </w:pPr>
                </w:p>
              </w:tc>
            </w:tr>
          </w:tbl>
          <w:p>
            <w:pPr>
              <w:pStyle w:val="19"/>
              <w:keepNext w:val="0"/>
              <w:keepLines w:val="0"/>
              <w:pageBreakBefore w:val="0"/>
              <w:widowControl w:val="0"/>
              <w:kinsoku/>
              <w:wordWrap/>
              <w:overflowPunct/>
              <w:topLinePunct w:val="0"/>
              <w:autoSpaceDE/>
              <w:autoSpaceDN/>
              <w:bidi w:val="0"/>
              <w:adjustRightInd/>
              <w:snapToGrid/>
              <w:spacing w:line="351" w:lineRule="auto"/>
              <w:ind w:firstLine="482"/>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根据上表，</w:t>
            </w:r>
            <w:r>
              <w:rPr>
                <w:rFonts w:hint="default" w:ascii="Times New Roman" w:hAnsi="Times New Roman" w:eastAsia="宋体" w:cs="Times New Roman"/>
                <w:color w:val="auto"/>
                <w:sz w:val="24"/>
                <w:highlight w:val="none"/>
              </w:rPr>
              <w:t>非正常情况下</w:t>
            </w:r>
            <w:r>
              <w:rPr>
                <w:rFonts w:hint="default" w:ascii="Times New Roman" w:hAnsi="Times New Roman" w:eastAsia="宋体" w:cs="Times New Roman"/>
                <w:color w:val="auto"/>
                <w:spacing w:val="-3"/>
                <w:sz w:val="24"/>
                <w:highlight w:val="none"/>
                <w:lang w:eastAsia="zh-CN"/>
              </w:rPr>
              <w:t>，</w:t>
            </w:r>
            <w:r>
              <w:rPr>
                <w:rFonts w:hint="default" w:ascii="Times New Roman" w:hAnsi="Times New Roman" w:eastAsia="宋体" w:cs="Times New Roman"/>
                <w:color w:val="auto"/>
                <w:spacing w:val="-3"/>
                <w:sz w:val="24"/>
                <w:highlight w:val="none"/>
              </w:rPr>
              <w:t>即</w:t>
            </w:r>
            <w:r>
              <w:rPr>
                <w:rFonts w:hint="default" w:ascii="Times New Roman" w:hAnsi="Times New Roman" w:eastAsia="宋体" w:cs="Times New Roman"/>
                <w:color w:val="auto"/>
                <w:spacing w:val="-3"/>
                <w:sz w:val="24"/>
                <w:highlight w:val="none"/>
                <w:lang w:val="en-US" w:eastAsia="zh-CN"/>
              </w:rPr>
              <w:t>当锅炉废气处置设施</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耐高温</w:t>
            </w:r>
            <w:r>
              <w:rPr>
                <w:rFonts w:hint="eastAsia" w:ascii="Times New Roman" w:hAnsi="Times New Roman" w:cs="Times New Roman"/>
                <w:color w:val="auto"/>
                <w:sz w:val="24"/>
                <w:szCs w:val="24"/>
                <w:lang w:val="en-US" w:eastAsia="zh-CN"/>
              </w:rPr>
              <w:t>布袋</w:t>
            </w:r>
            <w:r>
              <w:rPr>
                <w:rFonts w:hint="default" w:ascii="Times New Roman" w:hAnsi="Times New Roman" w:eastAsia="宋体" w:cs="Times New Roman"/>
                <w:color w:val="auto"/>
                <w:sz w:val="24"/>
                <w:szCs w:val="24"/>
                <w:lang w:val="en-US" w:eastAsia="zh-CN"/>
              </w:rPr>
              <w:t>除尘器</w:t>
            </w:r>
            <w:r>
              <w:rPr>
                <w:rFonts w:hint="default"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spacing w:val="-3"/>
                <w:sz w:val="24"/>
                <w:highlight w:val="none"/>
                <w:lang w:val="en-US" w:eastAsia="zh-CN"/>
              </w:rPr>
              <w:t>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color w:val="auto"/>
                <w:spacing w:val="-9"/>
                <w:sz w:val="24"/>
                <w:highlight w:val="none"/>
                <w:lang w:val="en-US" w:eastAsia="zh-CN"/>
              </w:rPr>
              <w:t>排气筒中颗粒物排放浓度不能满足</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spacing w:val="-3"/>
                <w:sz w:val="24"/>
                <w:highlight w:val="none"/>
              </w:rPr>
              <w:t>当“</w:t>
            </w:r>
            <w:r>
              <w:rPr>
                <w:rFonts w:hint="default" w:ascii="Times New Roman" w:hAnsi="Times New Roman" w:eastAsia="宋体" w:cs="Times New Roman"/>
                <w:color w:val="auto"/>
                <w:sz w:val="24"/>
                <w:szCs w:val="24"/>
                <w:highlight w:val="none"/>
                <w:lang w:val="en-US" w:eastAsia="zh-CN"/>
              </w:rPr>
              <w:t>活性炭吸附</w:t>
            </w:r>
            <w:r>
              <w:rPr>
                <w:rFonts w:hint="default" w:ascii="Times New Roman" w:hAnsi="Times New Roman" w:eastAsia="宋体" w:cs="Times New Roman"/>
                <w:color w:val="auto"/>
                <w:spacing w:val="-3"/>
                <w:sz w:val="24"/>
                <w:highlight w:val="none"/>
              </w:rPr>
              <w:t>”</w:t>
            </w:r>
            <w:r>
              <w:rPr>
                <w:rFonts w:hint="default" w:ascii="Times New Roman" w:hAnsi="Times New Roman" w:eastAsia="宋体" w:cs="Times New Roman"/>
                <w:color w:val="auto"/>
                <w:spacing w:val="-3"/>
                <w:sz w:val="24"/>
                <w:highlight w:val="none"/>
                <w:lang w:val="en-US" w:eastAsia="zh-CN"/>
              </w:rPr>
              <w:t>装置处理</w:t>
            </w:r>
            <w:r>
              <w:rPr>
                <w:rFonts w:hint="default" w:ascii="Times New Roman" w:hAnsi="Times New Roman" w:eastAsia="宋体" w:cs="Times New Roman"/>
                <w:color w:val="auto"/>
                <w:spacing w:val="-4"/>
                <w:sz w:val="24"/>
                <w:highlight w:val="none"/>
              </w:rPr>
              <w:t>效率因故障降为</w:t>
            </w:r>
            <w:r>
              <w:rPr>
                <w:rFonts w:hint="default" w:ascii="Times New Roman" w:hAnsi="Times New Roman" w:eastAsia="宋体" w:cs="Times New Roman"/>
                <w:color w:val="auto"/>
                <w:sz w:val="24"/>
                <w:highlight w:val="none"/>
              </w:rPr>
              <w:t>0%的情况</w:t>
            </w:r>
            <w:r>
              <w:rPr>
                <w:rFonts w:hint="default" w:ascii="Times New Roman" w:hAnsi="Times New Roman" w:eastAsia="宋体" w:cs="Times New Roman"/>
                <w:color w:val="auto"/>
                <w:spacing w:val="-9"/>
                <w:sz w:val="24"/>
                <w:highlight w:val="none"/>
              </w:rPr>
              <w:t>，</w:t>
            </w:r>
            <w:r>
              <w:rPr>
                <w:rFonts w:hint="default" w:ascii="Times New Roman" w:hAnsi="Times New Roman" w:eastAsia="宋体" w:cs="Times New Roman"/>
                <w:color w:val="auto"/>
                <w:spacing w:val="-9"/>
                <w:sz w:val="24"/>
                <w:highlight w:val="none"/>
                <w:lang w:val="en-US" w:eastAsia="zh-CN"/>
              </w:rPr>
              <w:t>排气筒中</w:t>
            </w:r>
            <w:r>
              <w:rPr>
                <w:rFonts w:hint="default" w:ascii="Times New Roman" w:hAnsi="Times New Roman" w:eastAsia="宋体" w:cs="Times New Roman"/>
                <w:color w:val="auto"/>
                <w:spacing w:val="-3"/>
                <w:sz w:val="24"/>
                <w:highlight w:val="none"/>
              </w:rPr>
              <w:t>排放浓度</w:t>
            </w:r>
            <w:r>
              <w:rPr>
                <w:rFonts w:hint="default" w:ascii="Times New Roman" w:hAnsi="Times New Roman" w:eastAsia="宋体" w:cs="Times New Roman"/>
                <w:color w:val="auto"/>
                <w:spacing w:val="-3"/>
                <w:sz w:val="24"/>
                <w:highlight w:val="none"/>
                <w:lang w:val="en-US" w:eastAsia="zh-CN"/>
              </w:rPr>
              <w:t>仍能</w:t>
            </w:r>
            <w:r>
              <w:rPr>
                <w:rFonts w:hint="default" w:ascii="Times New Roman" w:hAnsi="Times New Roman" w:eastAsia="宋体" w:cs="Times New Roman"/>
                <w:color w:val="auto"/>
                <w:spacing w:val="-3"/>
                <w:sz w:val="24"/>
                <w:highlight w:val="none"/>
              </w:rPr>
              <w:t>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ascii="Times New Roman" w:hAnsi="Times New Roman" w:cs="Times New Roman"/>
                <w:color w:val="auto"/>
                <w:sz w:val="24"/>
                <w:szCs w:val="24"/>
                <w:lang w:val="en-US" w:eastAsia="zh-CN"/>
              </w:rPr>
              <w:t>及</w:t>
            </w:r>
            <w:r>
              <w:rPr>
                <w:rFonts w:hint="default" w:ascii="Times New Roman" w:hAnsi="Times New Roman" w:eastAsia="宋体" w:cs="Times New Roman"/>
                <w:color w:val="auto"/>
                <w:sz w:val="24"/>
                <w:szCs w:val="24"/>
                <w:highlight w:val="none"/>
                <w:lang w:val="zh-CN" w:eastAsia="zh-CN"/>
              </w:rPr>
              <w:t>《恶臭污染物排放标准》（GB14554-93）表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default" w:ascii="Times New Roman" w:hAnsi="Times New Roman" w:eastAsia="宋体" w:cs="Times New Roman"/>
                <w:color w:val="auto"/>
                <w:spacing w:val="-7"/>
                <w:sz w:val="24"/>
                <w:highlight w:val="none"/>
              </w:rPr>
              <w:t>。</w:t>
            </w:r>
            <w:r>
              <w:rPr>
                <w:rFonts w:hint="default" w:ascii="Times New Roman" w:hAnsi="Times New Roman" w:eastAsia="宋体" w:cs="Times New Roman"/>
                <w:color w:val="auto"/>
                <w:sz w:val="24"/>
                <w:szCs w:val="24"/>
                <w:highlight w:val="none"/>
              </w:rPr>
              <w:t>为了进一步降低生产废气排放对周围环境空气的影响，必须杜绝项目废气的非正常排放，本次评价提出以下建议措施：</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加强管理，明确岗位责任制，定期检查、维修、保养设备及构件，确保各种工艺、电气、设备的正常运转。</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在必要位置设置监控、预警等装置，做到及时发现，及时解决。若出现非正常情况，应及时停产维修，减少废气对大气环境的影响。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r>
              <w:rPr>
                <w:rFonts w:hint="default" w:ascii="Times New Roman" w:hAnsi="Times New Roman" w:eastAsia="宋体" w:cs="Times New Roman"/>
                <w:b/>
                <w:color w:val="auto"/>
                <w:sz w:val="24"/>
                <w:szCs w:val="24"/>
                <w:highlight w:val="none"/>
                <w:lang w:val="en-US" w:eastAsia="zh-CN"/>
              </w:rPr>
              <w:t>废气环境</w:t>
            </w:r>
            <w:r>
              <w:rPr>
                <w:rFonts w:hint="default" w:ascii="Times New Roman" w:hAnsi="Times New Roman" w:eastAsia="宋体" w:cs="Times New Roman"/>
                <w:b/>
                <w:color w:val="auto"/>
                <w:sz w:val="24"/>
                <w:szCs w:val="24"/>
                <w:highlight w:val="none"/>
              </w:rPr>
              <w:t>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（1）生产废气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1）大气影响分析</w:t>
            </w:r>
          </w:p>
          <w:p>
            <w:pPr>
              <w:widowControl/>
              <w:spacing w:line="360" w:lineRule="auto"/>
              <w:ind w:firstLine="480" w:firstLineChars="200"/>
              <w:jc w:val="left"/>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①有组织废气达标性分析</w:t>
            </w:r>
          </w:p>
          <w:p>
            <w:pPr>
              <w:pStyle w:val="92"/>
              <w:keepNext w:val="0"/>
              <w:keepLines w:val="0"/>
              <w:pageBreakBefore w:val="0"/>
              <w:kinsoku/>
              <w:wordWrap/>
              <w:overflowPunct/>
              <w:topLinePunct w:val="0"/>
              <w:autoSpaceDE/>
              <w:autoSpaceDN/>
              <w:bidi w:val="0"/>
              <w:spacing w:line="336" w:lineRule="auto"/>
              <w:ind w:firstLine="480"/>
              <w:textAlignment w:val="auto"/>
              <w:rPr>
                <w:rFonts w:hint="default" w:ascii="Times New Roman" w:hAnsi="Times New Roman" w:eastAsia="宋体" w:cs="Times New Roman"/>
                <w:bCs/>
                <w:color w:val="auto"/>
                <w:szCs w:val="24"/>
                <w:highlight w:val="none"/>
              </w:rPr>
            </w:pPr>
            <w:r>
              <w:rPr>
                <w:rFonts w:hint="default" w:ascii="Times New Roman" w:hAnsi="Times New Roman" w:eastAsia="宋体" w:cs="Times New Roman"/>
                <w:bCs/>
                <w:color w:val="auto"/>
                <w:kern w:val="0"/>
                <w:highlight w:val="none"/>
              </w:rPr>
              <w:t>根据废气计算结果对DA001</w:t>
            </w:r>
            <w:r>
              <w:rPr>
                <w:rFonts w:hint="default" w:ascii="Times New Roman" w:hAnsi="Times New Roman" w:eastAsia="宋体" w:cs="Times New Roman"/>
                <w:bCs/>
                <w:color w:val="auto"/>
                <w:kern w:val="0"/>
                <w:highlight w:val="none"/>
                <w:lang w:val="en-US" w:eastAsia="zh-CN"/>
              </w:rPr>
              <w:t>及</w:t>
            </w:r>
            <w:r>
              <w:rPr>
                <w:rFonts w:hint="default" w:ascii="Times New Roman" w:hAnsi="Times New Roman" w:eastAsia="宋体" w:cs="Times New Roman"/>
                <w:bCs/>
                <w:color w:val="auto"/>
                <w:kern w:val="0"/>
                <w:highlight w:val="none"/>
              </w:rPr>
              <w:t>DA00</w:t>
            </w:r>
            <w:r>
              <w:rPr>
                <w:rFonts w:hint="default" w:ascii="Times New Roman" w:hAnsi="Times New Roman" w:eastAsia="宋体" w:cs="Times New Roman"/>
                <w:bCs/>
                <w:color w:val="auto"/>
                <w:kern w:val="0"/>
                <w:highlight w:val="none"/>
                <w:lang w:val="en-US" w:eastAsia="zh-CN"/>
              </w:rPr>
              <w:t>2</w:t>
            </w:r>
            <w:r>
              <w:rPr>
                <w:rFonts w:hint="default" w:ascii="Times New Roman" w:hAnsi="Times New Roman" w:eastAsia="宋体" w:cs="Times New Roman"/>
                <w:bCs/>
                <w:color w:val="auto"/>
                <w:kern w:val="0"/>
                <w:highlight w:val="none"/>
              </w:rPr>
              <w:t>有组织废气进行达标判定。</w:t>
            </w:r>
            <w:r>
              <w:rPr>
                <w:rFonts w:hint="default" w:ascii="Times New Roman" w:hAnsi="Times New Roman" w:eastAsia="宋体" w:cs="Times New Roman"/>
                <w:bCs/>
                <w:color w:val="auto"/>
                <w:szCs w:val="24"/>
                <w:highlight w:val="none"/>
              </w:rPr>
              <w:t>项目有组织生产废气达标情况详见下表</w:t>
            </w:r>
            <w:r>
              <w:rPr>
                <w:rFonts w:hint="default" w:ascii="Times New Roman" w:hAnsi="Times New Roman" w:eastAsia="宋体" w:cs="Times New Roman"/>
                <w:bCs/>
                <w:color w:val="auto"/>
                <w:szCs w:val="24"/>
                <w:highlight w:val="none"/>
                <w:lang w:val="en-US" w:eastAsia="zh-CN"/>
              </w:rPr>
              <w:t>4-12</w:t>
            </w:r>
            <w:r>
              <w:rPr>
                <w:rFonts w:hint="default" w:ascii="Times New Roman" w:hAnsi="Times New Roman" w:eastAsia="宋体" w:cs="Times New Roman"/>
                <w:bCs/>
                <w:color w:val="auto"/>
                <w:szCs w:val="24"/>
                <w:highlight w:val="none"/>
              </w:rPr>
              <w:t>所示。</w:t>
            </w:r>
          </w:p>
          <w:p>
            <w:pPr>
              <w:pStyle w:val="2"/>
              <w:spacing w:after="0"/>
              <w:ind w:left="0" w:leftChars="0" w:firstLine="0" w:firstLineChars="0"/>
              <w:jc w:val="center"/>
              <w:rPr>
                <w:rFonts w:hint="default" w:ascii="Times New Roman" w:hAnsi="Times New Roman" w:eastAsia="宋体" w:cs="Times New Roman"/>
                <w:b/>
                <w:bCs w:val="0"/>
                <w:color w:val="auto"/>
                <w:spacing w:val="0"/>
                <w:kern w:val="0"/>
                <w:sz w:val="21"/>
                <w:szCs w:val="21"/>
                <w:highlight w:val="none"/>
                <w:lang w:bidi="ar"/>
              </w:rPr>
            </w:pPr>
            <w:r>
              <w:rPr>
                <w:rFonts w:hint="default" w:ascii="Times New Roman" w:hAnsi="Times New Roman" w:eastAsia="宋体" w:cs="Times New Roman"/>
                <w:b/>
                <w:bCs w:val="0"/>
                <w:color w:val="auto"/>
                <w:spacing w:val="0"/>
                <w:kern w:val="0"/>
                <w:sz w:val="21"/>
                <w:szCs w:val="21"/>
                <w:highlight w:val="none"/>
                <w:lang w:bidi="ar"/>
              </w:rPr>
              <w:t>表</w:t>
            </w:r>
            <w:r>
              <w:rPr>
                <w:rFonts w:hint="default" w:ascii="Times New Roman" w:hAnsi="Times New Roman" w:eastAsia="宋体" w:cs="Times New Roman"/>
                <w:b/>
                <w:bCs w:val="0"/>
                <w:color w:val="auto"/>
                <w:spacing w:val="0"/>
                <w:kern w:val="0"/>
                <w:sz w:val="21"/>
                <w:szCs w:val="21"/>
                <w:highlight w:val="none"/>
                <w:lang w:val="en-US" w:eastAsia="zh-CN" w:bidi="ar"/>
              </w:rPr>
              <w:t>4-12</w:t>
            </w:r>
            <w:r>
              <w:rPr>
                <w:rFonts w:hint="default" w:ascii="Times New Roman" w:hAnsi="Times New Roman" w:eastAsia="宋体" w:cs="Times New Roman"/>
                <w:b/>
                <w:bCs w:val="0"/>
                <w:color w:val="auto"/>
                <w:spacing w:val="0"/>
                <w:kern w:val="0"/>
                <w:sz w:val="21"/>
                <w:szCs w:val="21"/>
                <w:highlight w:val="none"/>
                <w:lang w:bidi="ar"/>
              </w:rPr>
              <w:t xml:space="preserve">  达标情况分析表</w:t>
            </w:r>
          </w:p>
          <w:tbl>
            <w:tblPr>
              <w:tblStyle w:val="27"/>
              <w:tblW w:w="852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46"/>
              <w:gridCol w:w="1219"/>
              <w:gridCol w:w="920"/>
              <w:gridCol w:w="656"/>
              <w:gridCol w:w="1219"/>
              <w:gridCol w:w="957"/>
              <w:gridCol w:w="1133"/>
              <w:gridCol w:w="672"/>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工程</w:t>
                  </w:r>
                </w:p>
              </w:tc>
              <w:tc>
                <w:tcPr>
                  <w:tcW w:w="84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污染因子</w:t>
                  </w:r>
                </w:p>
              </w:tc>
              <w:tc>
                <w:tcPr>
                  <w:tcW w:w="2139" w:type="dxa"/>
                  <w:gridSpan w:val="2"/>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产生情况</w:t>
                  </w:r>
                </w:p>
              </w:tc>
              <w:tc>
                <w:tcPr>
                  <w:tcW w:w="656"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处理效率%</w:t>
                  </w:r>
                </w:p>
              </w:tc>
              <w:tc>
                <w:tcPr>
                  <w:tcW w:w="2176" w:type="dxa"/>
                  <w:gridSpan w:val="2"/>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排放情况</w:t>
                  </w:r>
                </w:p>
              </w:tc>
              <w:tc>
                <w:tcPr>
                  <w:tcW w:w="1133"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标准值（mg/m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672" w:type="dxa"/>
                  <w:vMerge w:val="restart"/>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84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920"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产生量（t/a）</w:t>
                  </w:r>
                </w:p>
              </w:tc>
              <w:tc>
                <w:tcPr>
                  <w:tcW w:w="656"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1219"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排放浓度（mg/m</w:t>
                  </w:r>
                  <w:r>
                    <w:rPr>
                      <w:rFonts w:hint="default" w:ascii="Times New Roman" w:hAnsi="Times New Roman" w:eastAsia="宋体" w:cs="Times New Roman"/>
                      <w:b/>
                      <w:bCs w:val="0"/>
                      <w:color w:val="auto"/>
                      <w:sz w:val="21"/>
                      <w:szCs w:val="21"/>
                      <w:highlight w:val="none"/>
                      <w:vertAlign w:val="superscript"/>
                    </w:rPr>
                    <w:t>3</w:t>
                  </w:r>
                  <w:r>
                    <w:rPr>
                      <w:rFonts w:hint="default" w:ascii="Times New Roman" w:hAnsi="Times New Roman" w:eastAsia="宋体" w:cs="Times New Roman"/>
                      <w:b/>
                      <w:bCs w:val="0"/>
                      <w:color w:val="auto"/>
                      <w:sz w:val="21"/>
                      <w:szCs w:val="21"/>
                      <w:highlight w:val="none"/>
                    </w:rPr>
                    <w:t>）</w:t>
                  </w:r>
                </w:p>
              </w:tc>
              <w:tc>
                <w:tcPr>
                  <w:tcW w:w="957" w:type="dxa"/>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排放量（t/a）</w:t>
                  </w:r>
                </w:p>
              </w:tc>
              <w:tc>
                <w:tcPr>
                  <w:tcW w:w="1133"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c>
                <w:tcPr>
                  <w:tcW w:w="672" w:type="dxa"/>
                  <w:vMerge w:val="continue"/>
                  <w:tcBorders>
                    <w:tl2br w:val="nil"/>
                    <w:tr2bl w:val="nil"/>
                  </w:tcBorders>
                  <w:noWrap w:val="0"/>
                  <w:vAlign w:val="center"/>
                </w:tcPr>
                <w:p>
                  <w:pPr>
                    <w:jc w:val="center"/>
                    <w:rPr>
                      <w:rFonts w:hint="default" w:ascii="Times New Roman" w:hAnsi="Times New Roman" w:eastAsia="宋体" w:cs="Times New Roman"/>
                      <w:b/>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1</w:t>
                  </w: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80.13</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3.1244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4.00</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50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5.3115</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5.3115</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300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6.3738</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6.3738</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300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restart"/>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DA00</w:t>
                  </w:r>
                  <w:r>
                    <w:rPr>
                      <w:rFonts w:hint="default" w:ascii="Times New Roman" w:hAnsi="Times New Roman" w:eastAsia="宋体" w:cs="Times New Roman"/>
                      <w:bCs/>
                      <w:color w:val="auto"/>
                      <w:sz w:val="21"/>
                      <w:szCs w:val="21"/>
                      <w:highlight w:val="none"/>
                      <w:lang w:val="en-US" w:eastAsia="zh-CN"/>
                    </w:rPr>
                    <w:t>2</w:t>
                  </w: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0.00037</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00080</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0.00015</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0.00018</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00040</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0.00008</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0.00011</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00024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0.00005</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1" w:type="dxa"/>
                  <w:vMerge w:val="continue"/>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非甲烷总烃</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cs="Times New Roman"/>
                      <w:i w:val="0"/>
                      <w:iCs w:val="0"/>
                      <w:color w:val="auto"/>
                      <w:kern w:val="0"/>
                      <w:sz w:val="21"/>
                      <w:szCs w:val="21"/>
                      <w:u w:val="none"/>
                      <w:lang w:val="en-US" w:eastAsia="zh-CN" w:bidi="ar"/>
                    </w:rPr>
                    <w:t>45.55722</w:t>
                  </w:r>
                </w:p>
              </w:tc>
              <w:tc>
                <w:tcPr>
                  <w:tcW w:w="9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9.8304</w:t>
                  </w:r>
                </w:p>
              </w:tc>
              <w:tc>
                <w:tcPr>
                  <w:tcW w:w="656" w:type="dxa"/>
                  <w:tcBorders>
                    <w:tl2br w:val="nil"/>
                    <w:tr2bl w:val="nil"/>
                  </w:tcBorders>
                  <w:noWrap w:val="0"/>
                  <w:vAlign w:val="center"/>
                </w:tcPr>
                <w:p>
                  <w:pPr>
                    <w:jc w:val="center"/>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lang w:val="en-US" w:eastAsia="zh-CN"/>
                    </w:rPr>
                    <w:t>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default" w:cs="Times New Roman"/>
                      <w:i w:val="0"/>
                      <w:iCs w:val="0"/>
                      <w:color w:val="auto"/>
                      <w:kern w:val="0"/>
                      <w:sz w:val="21"/>
                      <w:szCs w:val="21"/>
                      <w:u w:val="none"/>
                      <w:lang w:val="en-US" w:eastAsia="zh-CN" w:bidi="ar"/>
                    </w:rPr>
                    <w:t>18.22322</w:t>
                  </w:r>
                </w:p>
              </w:tc>
              <w:tc>
                <w:tcPr>
                  <w:tcW w:w="9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Cs/>
                      <w:i w:val="0"/>
                      <w:iCs w:val="0"/>
                      <w:color w:val="auto"/>
                      <w:kern w:val="0"/>
                      <w:sz w:val="21"/>
                      <w:szCs w:val="21"/>
                      <w:highlight w:val="none"/>
                      <w:u w:val="none"/>
                      <w:lang w:val="en-US" w:eastAsia="zh-CN" w:bidi="ar"/>
                    </w:rPr>
                  </w:pPr>
                  <w:r>
                    <w:rPr>
                      <w:rFonts w:hint="eastAsia" w:cs="Times New Roman"/>
                      <w:i w:val="0"/>
                      <w:iCs w:val="0"/>
                      <w:color w:val="auto"/>
                      <w:kern w:val="0"/>
                      <w:sz w:val="21"/>
                      <w:szCs w:val="21"/>
                      <w:u w:val="none"/>
                      <w:lang w:val="en-US" w:eastAsia="zh-CN" w:bidi="ar"/>
                    </w:rPr>
                    <w:t>3.9322</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color w:val="auto"/>
                      <w:sz w:val="21"/>
                      <w:szCs w:val="21"/>
                      <w:highlight w:val="none"/>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color w:val="auto"/>
                    </w:rPr>
                  </w:pPr>
                </w:p>
              </w:tc>
              <w:tc>
                <w:tcPr>
                  <w:tcW w:w="8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12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c>
                <w:tcPr>
                  <w:tcW w:w="6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60%</w:t>
                  </w:r>
                </w:p>
              </w:tc>
              <w:tc>
                <w:tcPr>
                  <w:tcW w:w="12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b w:val="0"/>
                      <w:bCs/>
                      <w:color w:val="auto"/>
                      <w:spacing w:val="6"/>
                      <w:sz w:val="21"/>
                      <w:szCs w:val="21"/>
                      <w:highlight w:val="none"/>
                      <w:lang w:val="en-US" w:eastAsia="zh-CN"/>
                    </w:rPr>
                    <w:t>1152.56</w:t>
                  </w:r>
                  <w:r>
                    <w:rPr>
                      <w:rFonts w:hint="eastAsia" w:cs="Times New Roman"/>
                      <w:color w:val="auto"/>
                      <w:sz w:val="21"/>
                      <w:szCs w:val="21"/>
                      <w:lang w:val="en-US" w:eastAsia="zh-CN"/>
                    </w:rPr>
                    <w:t>（无量纲）</w:t>
                  </w:r>
                </w:p>
              </w:tc>
              <w:tc>
                <w:tcPr>
                  <w:tcW w:w="9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2000（无量纲）</w:t>
                  </w:r>
                </w:p>
              </w:tc>
              <w:tc>
                <w:tcPr>
                  <w:tcW w:w="6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rPr>
            </w:pPr>
            <w:r>
              <w:rPr>
                <w:rFonts w:hint="default" w:ascii="Times New Roman" w:hAnsi="Times New Roman" w:eastAsia="宋体" w:cs="Times New Roman"/>
                <w:color w:val="auto"/>
                <w:kern w:val="0"/>
                <w:sz w:val="24"/>
                <w:szCs w:val="24"/>
                <w:highlight w:val="none"/>
              </w:rPr>
              <w:t>根据</w:t>
            </w:r>
            <w:r>
              <w:rPr>
                <w:rFonts w:hint="default" w:ascii="Times New Roman" w:hAnsi="Times New Roman" w:eastAsia="宋体" w:cs="Times New Roman"/>
                <w:color w:val="auto"/>
                <w:kern w:val="0"/>
                <w:sz w:val="24"/>
                <w:szCs w:val="24"/>
                <w:highlight w:val="none"/>
                <w:lang w:val="en-US" w:eastAsia="zh-CN"/>
              </w:rPr>
              <w:t>上文</w:t>
            </w:r>
            <w:r>
              <w:rPr>
                <w:rFonts w:hint="default" w:ascii="Times New Roman" w:hAnsi="Times New Roman" w:eastAsia="宋体" w:cs="Times New Roman"/>
                <w:color w:val="auto"/>
                <w:kern w:val="0"/>
                <w:sz w:val="24"/>
                <w:szCs w:val="24"/>
                <w:highlight w:val="none"/>
                <w:lang w:eastAsia="zh-CN"/>
              </w:rPr>
              <w:t>核算</w:t>
            </w:r>
            <w:r>
              <w:rPr>
                <w:rFonts w:hint="default" w:ascii="Times New Roman" w:hAnsi="Times New Roman" w:eastAsia="宋体" w:cs="Times New Roman"/>
                <w:color w:val="auto"/>
                <w:kern w:val="0"/>
                <w:sz w:val="24"/>
                <w:szCs w:val="24"/>
                <w:highlight w:val="none"/>
                <w:lang w:val="en-US" w:eastAsia="zh-CN"/>
              </w:rPr>
              <w:t>可知</w:t>
            </w:r>
            <w:r>
              <w:rPr>
                <w:rFonts w:hint="default" w:ascii="Times New Roman" w:hAnsi="Times New Roman" w:eastAsia="宋体" w:cs="Times New Roman"/>
                <w:color w:val="auto"/>
                <w:kern w:val="0"/>
                <w:sz w:val="24"/>
                <w:szCs w:val="24"/>
                <w:highlight w:val="none"/>
              </w:rPr>
              <w:t>，</w:t>
            </w:r>
            <w:r>
              <w:rPr>
                <w:rFonts w:hint="default" w:ascii="Times New Roman" w:hAnsi="Times New Roman" w:eastAsia="宋体" w:cs="Times New Roman"/>
                <w:color w:val="auto"/>
                <w:kern w:val="0"/>
                <w:sz w:val="24"/>
                <w:szCs w:val="24"/>
                <w:highlight w:val="none"/>
                <w:lang w:eastAsia="zh-CN"/>
              </w:rPr>
              <w:t>项目</w:t>
            </w:r>
            <w:r>
              <w:rPr>
                <w:rFonts w:hint="default" w:ascii="Times New Roman" w:hAnsi="Times New Roman" w:eastAsia="宋体" w:cs="Times New Roman"/>
                <w:color w:val="auto"/>
                <w:kern w:val="0"/>
                <w:sz w:val="24"/>
                <w:szCs w:val="24"/>
                <w:highlight w:val="none"/>
                <w:lang w:val="en-US" w:eastAsia="zh-CN"/>
              </w:rPr>
              <w:t>DA001排气筒中各污染物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rPr>
              <w:t>《锅炉大气污染物排放标准》（GB13271-2014）中</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2新建</w:t>
            </w:r>
            <w:r>
              <w:rPr>
                <w:rFonts w:hint="default" w:ascii="Times New Roman" w:hAnsi="Times New Roman" w:eastAsia="宋体" w:cs="Times New Roman"/>
                <w:color w:val="auto"/>
                <w:sz w:val="24"/>
                <w:lang w:eastAsia="zh-CN"/>
              </w:rPr>
              <w:t>燃煤</w:t>
            </w:r>
            <w:r>
              <w:rPr>
                <w:rFonts w:hint="default" w:ascii="Times New Roman" w:hAnsi="Times New Roman" w:eastAsia="宋体" w:cs="Times New Roman"/>
                <w:color w:val="auto"/>
                <w:sz w:val="24"/>
              </w:rPr>
              <w:t>锅炉</w:t>
            </w:r>
            <w:r>
              <w:rPr>
                <w:rFonts w:hint="default" w:ascii="Times New Roman" w:hAnsi="Times New Roman" w:eastAsia="宋体" w:cs="Times New Roman"/>
                <w:color w:val="auto"/>
                <w:sz w:val="24"/>
                <w:lang w:eastAsia="zh-CN"/>
              </w:rPr>
              <w:t>大气污染物</w:t>
            </w:r>
            <w:r>
              <w:rPr>
                <w:rFonts w:hint="default" w:ascii="Times New Roman" w:hAnsi="Times New Roman" w:eastAsia="宋体" w:cs="Times New Roman"/>
                <w:color w:val="auto"/>
                <w:sz w:val="24"/>
              </w:rPr>
              <w:t>排放</w:t>
            </w:r>
            <w:r>
              <w:rPr>
                <w:rFonts w:hint="default" w:ascii="Times New Roman" w:hAnsi="Times New Roman" w:eastAsia="宋体" w:cs="Times New Roman"/>
                <w:color w:val="auto"/>
                <w:sz w:val="24"/>
                <w:lang w:eastAsia="zh-CN"/>
              </w:rPr>
              <w:t>浓度限值；</w:t>
            </w:r>
            <w:r>
              <w:rPr>
                <w:rFonts w:hint="default" w:ascii="Times New Roman" w:hAnsi="Times New Roman" w:eastAsia="宋体" w:cs="Times New Roman"/>
                <w:color w:val="auto"/>
                <w:kern w:val="0"/>
                <w:sz w:val="24"/>
                <w:szCs w:val="24"/>
                <w:highlight w:val="none"/>
                <w:lang w:val="en-US" w:eastAsia="zh-CN"/>
              </w:rPr>
              <w:t>DA002排气筒中各污染物</w:t>
            </w:r>
            <w:r>
              <w:rPr>
                <w:rFonts w:hint="default" w:ascii="Times New Roman" w:hAnsi="Times New Roman" w:eastAsia="宋体" w:cs="Times New Roman"/>
                <w:color w:val="auto"/>
                <w:sz w:val="24"/>
                <w:szCs w:val="24"/>
                <w:highlight w:val="none"/>
                <w:lang w:val="en-US" w:eastAsia="zh-CN"/>
              </w:rPr>
              <w:t>排放浓度均能满足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大气污染物排放限值要求</w:t>
            </w:r>
            <w:r>
              <w:rPr>
                <w:rFonts w:hint="eastAsia" w:cs="Times New Roman"/>
                <w:color w:val="auto"/>
                <w:sz w:val="24"/>
                <w:szCs w:val="24"/>
                <w:lang w:val="en-US" w:eastAsia="zh-CN"/>
              </w:rPr>
              <w:t>及</w:t>
            </w:r>
            <w:r>
              <w:rPr>
                <w:rFonts w:hint="default" w:ascii="Times New Roman" w:hAnsi="Times New Roman" w:eastAsia="宋体" w:cs="Times New Roman"/>
                <w:color w:val="auto"/>
                <w:sz w:val="24"/>
                <w:szCs w:val="24"/>
                <w:highlight w:val="none"/>
                <w:lang w:val="zh-CN" w:eastAsia="zh-CN"/>
              </w:rPr>
              <w:t>《恶臭污染物排放标准》（GB14554-93）表</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中二级</w:t>
            </w:r>
            <w:r>
              <w:rPr>
                <w:rFonts w:hint="eastAsia" w:ascii="Times New Roman" w:hAnsi="Times New Roman" w:cs="Times New Roman"/>
                <w:color w:val="auto"/>
                <w:sz w:val="24"/>
                <w:szCs w:val="24"/>
                <w:highlight w:val="none"/>
                <w:lang w:val="en-US" w:eastAsia="zh-CN"/>
              </w:rPr>
              <w:t>恶臭污染物</w:t>
            </w:r>
            <w:r>
              <w:rPr>
                <w:rFonts w:hint="default" w:ascii="Times New Roman" w:hAnsi="Times New Roman" w:eastAsia="宋体" w:cs="Times New Roman"/>
                <w:color w:val="auto"/>
                <w:sz w:val="24"/>
                <w:szCs w:val="24"/>
                <w:highlight w:val="none"/>
                <w:lang w:val="zh-CN" w:eastAsia="zh-CN"/>
              </w:rPr>
              <w:t>排放标准</w:t>
            </w:r>
            <w:r>
              <w:rPr>
                <w:rFonts w:hint="eastAsia" w:ascii="Times New Roman" w:hAnsi="Times New Roman" w:cs="Times New Roman"/>
                <w:color w:val="auto"/>
                <w:sz w:val="24"/>
                <w:szCs w:val="24"/>
                <w:highlight w:val="none"/>
                <w:lang w:val="zh-CN" w:eastAsia="zh-CN"/>
              </w:rPr>
              <w:t>值</w:t>
            </w:r>
            <w:r>
              <w:rPr>
                <w:rFonts w:hint="default" w:ascii="Times New Roman" w:hAnsi="Times New Roman" w:eastAsia="宋体" w:cs="Times New Roman"/>
                <w:color w:val="auto"/>
                <w:sz w:val="24"/>
                <w:szCs w:val="24"/>
                <w:highlight w:val="none"/>
                <w:lang w:eastAsia="zh-CN"/>
              </w:rPr>
              <w:t>。</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w:t>
            </w:r>
            <w:r>
              <w:rPr>
                <w:rFonts w:hint="default" w:ascii="Times New Roman" w:hAnsi="Times New Roman" w:eastAsia="宋体" w:cs="Times New Roman"/>
                <w:b w:val="0"/>
                <w:bCs w:val="0"/>
                <w:color w:val="auto"/>
                <w:kern w:val="0"/>
                <w:sz w:val="24"/>
                <w:szCs w:val="24"/>
                <w:highlight w:val="none"/>
              </w:rPr>
              <w:t>单位产品非甲烷总烃排放量</w:t>
            </w:r>
            <w:r>
              <w:rPr>
                <w:rFonts w:hint="default" w:ascii="Times New Roman" w:hAnsi="Times New Roman" w:eastAsia="宋体" w:cs="Times New Roman"/>
                <w:b w:val="0"/>
                <w:bCs w:val="0"/>
                <w:color w:val="auto"/>
                <w:kern w:val="0"/>
                <w:sz w:val="24"/>
                <w:highlight w:val="none"/>
              </w:rPr>
              <w:t>达标情况分析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yellow"/>
              </w:rPr>
            </w:pPr>
            <w:r>
              <w:rPr>
                <w:rFonts w:hint="default" w:ascii="Times New Roman" w:hAnsi="Times New Roman" w:eastAsia="宋体" w:cs="Times New Roman"/>
                <w:color w:val="auto"/>
                <w:kern w:val="0"/>
                <w:sz w:val="24"/>
                <w:highlight w:val="none"/>
              </w:rPr>
              <w:t>单位产品非甲烷总烃含量根据《合成树脂工业污染物排放标准》（GB31572-2015）附录B公式计算：</w:t>
            </w:r>
          </w:p>
          <w:p>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highlight w:val="none"/>
              </w:rPr>
              <w:drawing>
                <wp:anchor distT="0" distB="0" distL="114300" distR="114300" simplePos="0" relativeHeight="251660288" behindDoc="0" locked="0" layoutInCell="1" allowOverlap="1">
                  <wp:simplePos x="0" y="0"/>
                  <wp:positionH relativeFrom="column">
                    <wp:posOffset>2124075</wp:posOffset>
                  </wp:positionH>
                  <wp:positionV relativeFrom="paragraph">
                    <wp:posOffset>34925</wp:posOffset>
                  </wp:positionV>
                  <wp:extent cx="1844040" cy="616585"/>
                  <wp:effectExtent l="0" t="0" r="3810" b="12065"/>
                  <wp:wrapSquare wrapText="bothSides"/>
                  <wp:docPr id="19" name="图片 26" descr="1628845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1628845270(1)"/>
                          <pic:cNvPicPr>
                            <a:picLocks noChangeAspect="1"/>
                          </pic:cNvPicPr>
                        </pic:nvPicPr>
                        <pic:blipFill>
                          <a:blip r:embed="rId29"/>
                          <a:srcRect l="29050" t="14525"/>
                          <a:stretch>
                            <a:fillRect/>
                          </a:stretch>
                        </pic:blipFill>
                        <pic:spPr>
                          <a:xfrm>
                            <a:off x="0" y="0"/>
                            <a:ext cx="1844040" cy="616585"/>
                          </a:xfrm>
                          <a:prstGeom prst="rect">
                            <a:avLst/>
                          </a:prstGeom>
                          <a:noFill/>
                          <a:ln>
                            <a:noFill/>
                          </a:ln>
                        </pic:spPr>
                      </pic:pic>
                    </a:graphicData>
                  </a:graphic>
                </wp:anchor>
              </w:drawing>
            </w:r>
          </w:p>
          <w:p>
            <w:pPr>
              <w:adjustRightInd w:val="0"/>
              <w:snapToGrid w:val="0"/>
              <w:spacing w:line="360" w:lineRule="auto"/>
              <w:ind w:firstLine="480" w:firstLineChars="200"/>
              <w:rPr>
                <w:rFonts w:hint="default" w:ascii="Times New Roman" w:hAnsi="Times New Roman" w:eastAsia="宋体" w:cs="Times New Roman"/>
                <w:color w:val="auto"/>
                <w:kern w:val="0"/>
                <w:sz w:val="24"/>
              </w:rPr>
            </w:pPr>
          </w:p>
          <w:p>
            <w:pPr>
              <w:adjustRightInd w:val="0"/>
              <w:snapToGrid w:val="0"/>
              <w:spacing w:line="360" w:lineRule="auto"/>
              <w:rPr>
                <w:rFonts w:hint="default" w:ascii="Times New Roman" w:hAnsi="Times New Roman" w:eastAsia="宋体" w:cs="Times New Roman"/>
                <w:color w:val="auto"/>
                <w:kern w:val="0"/>
                <w:sz w:val="24"/>
              </w:rPr>
            </w:pPr>
          </w:p>
          <w:p>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式中：</w:t>
            </w:r>
            <w:r>
              <w:rPr>
                <w:rFonts w:hint="default" w:ascii="Times New Roman" w:hAnsi="Times New Roman" w:eastAsia="宋体" w:cs="Times New Roman"/>
                <w:i/>
                <w:iCs/>
                <w:color w:val="auto"/>
                <w:kern w:val="0"/>
                <w:sz w:val="24"/>
              </w:rPr>
              <w:t>A</w:t>
            </w:r>
            <w:r>
              <w:rPr>
                <w:rFonts w:hint="default" w:ascii="Times New Roman" w:hAnsi="Times New Roman" w:eastAsia="宋体" w:cs="Times New Roman"/>
                <w:color w:val="auto"/>
                <w:kern w:val="0"/>
                <w:sz w:val="24"/>
              </w:rPr>
              <w:t>—单位合成树脂产品非甲烷总烃排放量，kg/t-产品；</w:t>
            </w:r>
          </w:p>
          <w:p>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rPr>
              <w:t>C实—排气筒中非甲烷总烃实测浓度，mg/m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泡沫箱生产DA002排气筒中非甲烷总烃浓度</w:t>
            </w:r>
            <w:r>
              <w:rPr>
                <w:rFonts w:hint="default" w:ascii="Times New Roman" w:hAnsi="Times New Roman" w:eastAsia="宋体" w:cs="Times New Roman"/>
                <w:color w:val="auto"/>
                <w:kern w:val="0"/>
                <w:sz w:val="24"/>
              </w:rPr>
              <w:t>取</w:t>
            </w:r>
            <w:r>
              <w:rPr>
                <w:rFonts w:hint="eastAsia" w:cs="Times New Roman"/>
                <w:color w:val="auto"/>
                <w:kern w:val="0"/>
                <w:sz w:val="24"/>
                <w:highlight w:val="none"/>
                <w:lang w:val="en-US" w:eastAsia="zh-CN"/>
              </w:rPr>
              <w:t>18.2232</w:t>
            </w:r>
            <w:r>
              <w:rPr>
                <w:rFonts w:hint="default" w:ascii="Times New Roman" w:hAnsi="Times New Roman" w:eastAsia="宋体" w:cs="Times New Roman"/>
                <w:color w:val="auto"/>
                <w:kern w:val="0"/>
                <w:sz w:val="24"/>
                <w:highlight w:val="none"/>
              </w:rPr>
              <w:t>mg/m</w:t>
            </w:r>
            <w:r>
              <w:rPr>
                <w:rFonts w:hint="default" w:ascii="Times New Roman" w:hAnsi="Times New Roman" w:eastAsia="宋体" w:cs="Times New Roman"/>
                <w:color w:val="auto"/>
                <w:kern w:val="0"/>
                <w:sz w:val="24"/>
                <w:highlight w:val="none"/>
                <w:vertAlign w:val="superscript"/>
              </w:rPr>
              <w:t>3</w:t>
            </w:r>
            <w:r>
              <w:rPr>
                <w:rFonts w:hint="default" w:ascii="Times New Roman" w:hAnsi="Times New Roman" w:eastAsia="宋体" w:cs="Times New Roman"/>
                <w:color w:val="auto"/>
                <w:kern w:val="0"/>
                <w:sz w:val="24"/>
                <w:highlight w:val="none"/>
              </w:rPr>
              <w:t>；</w:t>
            </w:r>
          </w:p>
          <w:p>
            <w:pPr>
              <w:adjustRightInd w:val="0"/>
              <w:snapToGrid w:val="0"/>
              <w:spacing w:line="360" w:lineRule="auto"/>
              <w:ind w:firstLine="960" w:firstLineChars="4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Q—排气筒单位事件内排气量，m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/h；</w:t>
            </w:r>
            <w:r>
              <w:rPr>
                <w:rFonts w:hint="default" w:ascii="Times New Roman" w:hAnsi="Times New Roman" w:eastAsia="宋体" w:cs="Times New Roman"/>
                <w:color w:val="auto"/>
                <w:kern w:val="0"/>
                <w:sz w:val="24"/>
                <w:lang w:val="en-US" w:eastAsia="zh-CN"/>
              </w:rPr>
              <w:t>泡沫箱生产DA002排气筒风量为</w:t>
            </w:r>
            <w:r>
              <w:rPr>
                <w:rFonts w:hint="eastAsia" w:cs="Times New Roman"/>
                <w:color w:val="auto"/>
                <w:kern w:val="0"/>
                <w:sz w:val="24"/>
                <w:lang w:val="en-US" w:eastAsia="zh-CN"/>
              </w:rPr>
              <w:t>59940</w:t>
            </w:r>
            <w:r>
              <w:rPr>
                <w:rFonts w:hint="default" w:ascii="Times New Roman" w:hAnsi="Times New Roman" w:eastAsia="宋体" w:cs="Times New Roman"/>
                <w:color w:val="auto"/>
                <w:kern w:val="0"/>
                <w:sz w:val="24"/>
              </w:rPr>
              <w:t>m</w:t>
            </w:r>
            <w:r>
              <w:rPr>
                <w:rFonts w:hint="default" w:ascii="Times New Roman" w:hAnsi="Times New Roman" w:eastAsia="宋体" w:cs="Times New Roman"/>
                <w:color w:val="auto"/>
                <w:kern w:val="0"/>
                <w:sz w:val="24"/>
                <w:vertAlign w:val="superscript"/>
              </w:rPr>
              <w:t>3</w:t>
            </w:r>
            <w:r>
              <w:rPr>
                <w:rFonts w:hint="default" w:ascii="Times New Roman" w:hAnsi="Times New Roman" w:eastAsia="宋体" w:cs="Times New Roman"/>
                <w:color w:val="auto"/>
                <w:kern w:val="0"/>
                <w:sz w:val="24"/>
              </w:rPr>
              <w:t>/h</w:t>
            </w:r>
            <w:r>
              <w:rPr>
                <w:rFonts w:hint="default" w:ascii="Times New Roman" w:hAnsi="Times New Roman" w:eastAsia="宋体" w:cs="Times New Roman"/>
                <w:color w:val="auto"/>
                <w:kern w:val="0"/>
                <w:sz w:val="24"/>
                <w:lang w:eastAsia="zh-CN"/>
              </w:rPr>
              <w:t>；</w:t>
            </w:r>
          </w:p>
          <w:p>
            <w:pPr>
              <w:adjustRightInd w:val="0"/>
              <w:snapToGrid w:val="0"/>
              <w:spacing w:line="360" w:lineRule="auto"/>
              <w:ind w:firstLine="960" w:firstLineChars="4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T产—单位时间内合成树脂的产量，t/h；</w:t>
            </w:r>
            <w:r>
              <w:rPr>
                <w:rFonts w:hint="default" w:ascii="Times New Roman" w:hAnsi="Times New Roman" w:eastAsia="宋体" w:cs="Times New Roman"/>
                <w:color w:val="auto"/>
                <w:kern w:val="0"/>
                <w:sz w:val="24"/>
                <w:highlight w:val="none"/>
                <w:lang w:val="en-US" w:eastAsia="zh-CN"/>
              </w:rPr>
              <w:t>项目年生产</w:t>
            </w:r>
            <w:r>
              <w:rPr>
                <w:rFonts w:hint="eastAsia" w:cs="Times New Roman"/>
                <w:color w:val="auto"/>
                <w:kern w:val="0"/>
                <w:sz w:val="24"/>
                <w:highlight w:val="none"/>
                <w:lang w:val="en-US" w:eastAsia="zh-CN"/>
              </w:rPr>
              <w:t>36</w:t>
            </w:r>
            <w:r>
              <w:rPr>
                <w:rFonts w:hint="default" w:ascii="Times New Roman" w:hAnsi="Times New Roman" w:eastAsia="宋体" w:cs="Times New Roman"/>
                <w:color w:val="auto"/>
                <w:kern w:val="0"/>
                <w:sz w:val="24"/>
                <w:highlight w:val="none"/>
                <w:lang w:val="en-US" w:eastAsia="zh-CN"/>
              </w:rPr>
              <w:t>00h，本项目</w:t>
            </w:r>
            <w:r>
              <w:rPr>
                <w:rFonts w:hint="default" w:ascii="Times New Roman" w:hAnsi="Times New Roman" w:eastAsia="宋体" w:cs="Times New Roman"/>
                <w:color w:val="auto"/>
                <w:kern w:val="0"/>
                <w:sz w:val="24"/>
                <w:highlight w:val="none"/>
              </w:rPr>
              <w:t>年产</w:t>
            </w:r>
            <w:r>
              <w:rPr>
                <w:rFonts w:hint="eastAsia" w:cs="Times New Roman"/>
                <w:color w:val="auto"/>
                <w:kern w:val="0"/>
                <w:sz w:val="24"/>
                <w:highlight w:val="none"/>
                <w:lang w:val="en-US" w:eastAsia="zh-CN"/>
              </w:rPr>
              <w:t>80</w:t>
            </w:r>
            <w:r>
              <w:rPr>
                <w:rFonts w:hint="default" w:ascii="Times New Roman" w:hAnsi="Times New Roman" w:eastAsia="宋体" w:cs="Times New Roman"/>
                <w:color w:val="auto"/>
                <w:kern w:val="0"/>
                <w:sz w:val="24"/>
                <w:highlight w:val="none"/>
                <w:lang w:val="en-US" w:eastAsia="zh-CN"/>
              </w:rPr>
              <w:t>00t泡沫箱</w:t>
            </w:r>
            <w:r>
              <w:rPr>
                <w:rFonts w:hint="default" w:ascii="Times New Roman" w:hAnsi="Times New Roman" w:eastAsia="宋体" w:cs="Times New Roman"/>
                <w:color w:val="auto"/>
                <w:kern w:val="0"/>
                <w:sz w:val="24"/>
                <w:highlight w:val="none"/>
              </w:rPr>
              <w:t>，</w:t>
            </w:r>
            <w:r>
              <w:rPr>
                <w:rFonts w:hint="default" w:ascii="Times New Roman" w:hAnsi="Times New Roman" w:eastAsia="宋体" w:cs="Times New Roman"/>
                <w:color w:val="auto"/>
                <w:kern w:val="0"/>
                <w:sz w:val="24"/>
                <w:highlight w:val="none"/>
                <w:lang w:val="en-US" w:eastAsia="zh-CN"/>
              </w:rPr>
              <w:t>即</w:t>
            </w:r>
            <w:r>
              <w:rPr>
                <w:rFonts w:hint="eastAsia" w:cs="Times New Roman"/>
                <w:color w:val="auto"/>
                <w:kern w:val="0"/>
                <w:sz w:val="24"/>
                <w:highlight w:val="none"/>
                <w:lang w:val="en-US" w:eastAsia="zh-CN"/>
              </w:rPr>
              <w:t>2.2222</w:t>
            </w:r>
            <w:r>
              <w:rPr>
                <w:rFonts w:hint="default" w:ascii="Times New Roman" w:hAnsi="Times New Roman" w:eastAsia="宋体" w:cs="Times New Roman"/>
                <w:color w:val="auto"/>
                <w:kern w:val="0"/>
                <w:sz w:val="24"/>
                <w:highlight w:val="none"/>
                <w:lang w:val="en-US" w:eastAsia="zh-CN"/>
              </w:rPr>
              <w:t>t/h；</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根据上式计算得</w:t>
            </w:r>
            <w:r>
              <w:rPr>
                <w:rFonts w:hint="default" w:ascii="Times New Roman" w:hAnsi="Times New Roman" w:eastAsia="宋体" w:cs="Times New Roman"/>
                <w:color w:val="auto"/>
                <w:kern w:val="0"/>
                <w:sz w:val="24"/>
                <w:highlight w:val="none"/>
                <w:lang w:val="en-US" w:eastAsia="zh-CN"/>
              </w:rPr>
              <w:t>本项目</w:t>
            </w:r>
            <w:r>
              <w:rPr>
                <w:rFonts w:hint="default" w:ascii="Times New Roman" w:hAnsi="Times New Roman" w:eastAsia="宋体" w:cs="Times New Roman"/>
                <w:color w:val="auto"/>
                <w:kern w:val="0"/>
                <w:sz w:val="24"/>
                <w:highlight w:val="none"/>
              </w:rPr>
              <w:t>单位产品非甲烷总烃排放量为</w:t>
            </w:r>
            <w:r>
              <w:rPr>
                <w:rFonts w:hint="default" w:ascii="Times New Roman" w:hAnsi="Times New Roman" w:eastAsia="宋体" w:cs="Times New Roman"/>
                <w:color w:val="auto"/>
                <w:kern w:val="0"/>
                <w:sz w:val="24"/>
                <w:highlight w:val="none"/>
                <w:lang w:val="en-US" w:eastAsia="zh-CN"/>
              </w:rPr>
              <w:t>0.</w:t>
            </w:r>
            <w:r>
              <w:rPr>
                <w:rFonts w:hint="eastAsia" w:cs="Times New Roman"/>
                <w:color w:val="auto"/>
                <w:kern w:val="0"/>
                <w:sz w:val="24"/>
                <w:highlight w:val="none"/>
                <w:lang w:val="en-US" w:eastAsia="zh-CN"/>
              </w:rPr>
              <w:t>4915</w:t>
            </w:r>
            <w:r>
              <w:rPr>
                <w:rFonts w:hint="default" w:ascii="Times New Roman" w:hAnsi="Times New Roman" w:eastAsia="宋体" w:cs="Times New Roman"/>
                <w:color w:val="auto"/>
                <w:kern w:val="0"/>
                <w:sz w:val="24"/>
                <w:highlight w:val="none"/>
              </w:rPr>
              <w:t>kg/t-产品</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val="en-US" w:eastAsia="zh-CN"/>
              </w:rPr>
              <w:t>能满足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w:t>
            </w:r>
            <w:r>
              <w:rPr>
                <w:rFonts w:hint="default" w:ascii="Times New Roman" w:hAnsi="Times New Roman" w:eastAsia="宋体" w:cs="Times New Roman"/>
                <w:color w:val="auto"/>
                <w:sz w:val="24"/>
                <w:szCs w:val="24"/>
                <w:highlight w:val="none"/>
              </w:rPr>
              <w:t>单位产品非甲烷总烃排放量</w:t>
            </w:r>
            <w:r>
              <w:rPr>
                <w:rFonts w:hint="default" w:ascii="Times New Roman" w:hAnsi="Times New Roman" w:eastAsia="宋体" w:cs="Times New Roman"/>
                <w:color w:val="auto"/>
                <w:sz w:val="24"/>
                <w:szCs w:val="24"/>
                <w:highlight w:val="none"/>
                <w:lang w:val="en-US" w:eastAsia="zh-CN"/>
              </w:rPr>
              <w:t>满足0.5</w:t>
            </w:r>
            <w:r>
              <w:rPr>
                <w:rFonts w:hint="default" w:ascii="Times New Roman" w:hAnsi="Times New Roman" w:eastAsia="宋体" w:cs="Times New Roman"/>
                <w:color w:val="auto"/>
                <w:sz w:val="24"/>
                <w:szCs w:val="24"/>
                <w:highlight w:val="none"/>
              </w:rPr>
              <w:t>kg/t产品</w:t>
            </w:r>
            <w:r>
              <w:rPr>
                <w:rFonts w:hint="default" w:ascii="Times New Roman" w:hAnsi="Times New Roman" w:eastAsia="宋体" w:cs="Times New Roman"/>
                <w:color w:val="auto"/>
                <w:sz w:val="24"/>
                <w:szCs w:val="24"/>
                <w:highlight w:val="none"/>
                <w:lang w:val="en-US" w:eastAsia="zh-CN"/>
              </w:rPr>
              <w:t>的要求。</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③</w:t>
            </w:r>
            <w:r>
              <w:rPr>
                <w:rFonts w:hint="default" w:ascii="Times New Roman" w:hAnsi="Times New Roman" w:eastAsia="宋体" w:cs="Times New Roman"/>
                <w:color w:val="auto"/>
                <w:kern w:val="0"/>
                <w:sz w:val="24"/>
                <w:highlight w:val="none"/>
                <w:lang w:val="en-US" w:eastAsia="zh-CN"/>
              </w:rPr>
              <w:t>无组织废气达标分析</w:t>
            </w:r>
          </w:p>
          <w:p>
            <w:pPr>
              <w:adjustRightInd w:val="0"/>
              <w:snapToGrid w:val="0"/>
              <w:spacing w:line="360" w:lineRule="auto"/>
              <w:ind w:firstLine="480" w:firstLineChars="200"/>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rPr>
              <w:t>本环评采用AERSCREEN模型估算</w:t>
            </w:r>
            <w:r>
              <w:rPr>
                <w:rFonts w:hint="default" w:ascii="Times New Roman" w:hAnsi="Times New Roman" w:eastAsia="宋体"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rPr>
              <w:t>项目建成后排放的污染物对周围环境的影响，估算模式为国家环境保护部工程评估中心环境质量模拟重点实验室提供。根据估算模式估算结果，项目无</w:t>
            </w:r>
            <w:r>
              <w:rPr>
                <w:rFonts w:hint="default" w:ascii="Times New Roman" w:hAnsi="Times New Roman" w:eastAsia="宋体" w:cs="Times New Roman"/>
                <w:color w:val="auto"/>
                <w:sz w:val="24"/>
                <w:highlight w:val="none"/>
              </w:rPr>
              <w:t>组织</w:t>
            </w:r>
            <w:r>
              <w:rPr>
                <w:rFonts w:hint="default" w:ascii="Times New Roman" w:hAnsi="Times New Roman" w:eastAsia="宋体" w:cs="Times New Roman"/>
                <w:color w:val="auto"/>
                <w:sz w:val="24"/>
                <w:szCs w:val="24"/>
                <w:highlight w:val="none"/>
              </w:rPr>
              <w:t>排放的污染物最大地面落地浓度距源距离为源下风向</w:t>
            </w:r>
            <w:r>
              <w:rPr>
                <w:rFonts w:hint="eastAsia" w:cs="Times New Roman"/>
                <w:color w:val="auto"/>
                <w:sz w:val="24"/>
                <w:szCs w:val="24"/>
                <w:highlight w:val="none"/>
                <w:lang w:val="en-US" w:eastAsia="zh-CN"/>
              </w:rPr>
              <w:t>65</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lang w:val="en-US" w:eastAsia="zh-CN"/>
              </w:rPr>
              <w:t>无组织甲苯</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0.0</w:t>
            </w:r>
            <w:r>
              <w:rPr>
                <w:rFonts w:hint="default" w:ascii="Times New Roman" w:hAnsi="Times New Roman" w:eastAsia="宋体" w:cs="Times New Roman"/>
                <w:color w:val="auto"/>
                <w:sz w:val="24"/>
                <w:szCs w:val="24"/>
                <w:highlight w:val="none"/>
                <w:vertAlign w:val="baseline"/>
                <w:lang w:val="en-US" w:eastAsia="zh-CN"/>
              </w:rPr>
              <w:t>0</w:t>
            </w:r>
            <w:r>
              <w:rPr>
                <w:rFonts w:hint="eastAsia" w:cs="Times New Roman"/>
                <w:color w:val="auto"/>
                <w:sz w:val="24"/>
                <w:szCs w:val="24"/>
                <w:highlight w:val="none"/>
                <w:vertAlign w:val="baseline"/>
                <w:lang w:val="en-US" w:eastAsia="zh-CN"/>
              </w:rPr>
              <w:t>000167</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；苯乙烯</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0.0</w:t>
            </w:r>
            <w:r>
              <w:rPr>
                <w:rFonts w:hint="default" w:ascii="Times New Roman" w:hAnsi="Times New Roman" w:eastAsia="宋体" w:cs="Times New Roman"/>
                <w:color w:val="auto"/>
                <w:sz w:val="24"/>
                <w:szCs w:val="24"/>
                <w:highlight w:val="none"/>
                <w:vertAlign w:val="baseline"/>
                <w:lang w:val="en-US" w:eastAsia="zh-CN"/>
              </w:rPr>
              <w:t>00</w:t>
            </w:r>
            <w:r>
              <w:rPr>
                <w:rFonts w:hint="eastAsia" w:cs="Times New Roman"/>
                <w:color w:val="auto"/>
                <w:sz w:val="24"/>
                <w:szCs w:val="24"/>
                <w:highlight w:val="none"/>
                <w:vertAlign w:val="baseline"/>
                <w:lang w:val="en-US" w:eastAsia="zh-CN"/>
              </w:rPr>
              <w:t>000506</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color w:val="auto"/>
                <w:sz w:val="24"/>
                <w:szCs w:val="24"/>
                <w:highlight w:val="none"/>
                <w:lang w:val="en-US" w:eastAsia="zh-CN"/>
              </w:rPr>
              <w:t>非甲烷总烃</w:t>
            </w:r>
            <w:r>
              <w:rPr>
                <w:rFonts w:hint="default" w:ascii="Times New Roman" w:hAnsi="Times New Roman" w:eastAsia="宋体" w:cs="Times New Roman"/>
                <w:iCs/>
                <w:color w:val="auto"/>
                <w:sz w:val="24"/>
                <w:szCs w:val="24"/>
                <w:highlight w:val="none"/>
              </w:rPr>
              <w:t>最大落地浓度为</w:t>
            </w:r>
            <w:r>
              <w:rPr>
                <w:rFonts w:hint="default" w:ascii="Times New Roman" w:hAnsi="Times New Roman" w:eastAsia="宋体" w:cs="Times New Roman"/>
                <w:color w:val="auto"/>
                <w:sz w:val="24"/>
                <w:szCs w:val="24"/>
                <w:highlight w:val="none"/>
                <w:vertAlign w:val="baseline"/>
                <w:lang w:eastAsia="zh-CN"/>
              </w:rPr>
              <w:t>0.</w:t>
            </w:r>
            <w:r>
              <w:rPr>
                <w:rFonts w:hint="eastAsia" w:cs="Times New Roman"/>
                <w:color w:val="auto"/>
                <w:sz w:val="24"/>
                <w:szCs w:val="24"/>
                <w:highlight w:val="none"/>
                <w:vertAlign w:val="baseline"/>
                <w:lang w:val="en-US" w:eastAsia="zh-CN"/>
              </w:rPr>
              <w:t>203</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rPr>
              <w:t>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iCs/>
                <w:color w:val="auto"/>
                <w:sz w:val="24"/>
                <w:szCs w:val="24"/>
                <w:highlight w:val="none"/>
                <w:lang w:eastAsia="zh-CN"/>
              </w:rPr>
              <w:t>。</w:t>
            </w:r>
            <w:r>
              <w:rPr>
                <w:rFonts w:hint="default" w:ascii="Times New Roman" w:hAnsi="Times New Roman" w:eastAsia="宋体" w:cs="Times New Roman"/>
                <w:color w:val="auto"/>
                <w:sz w:val="24"/>
                <w:highlight w:val="none"/>
              </w:rPr>
              <w:t>厂区内无组织非甲烷总烃满足</w:t>
            </w:r>
            <w:r>
              <w:rPr>
                <w:rFonts w:hint="default" w:ascii="Times New Roman" w:hAnsi="Times New Roman" w:eastAsia="宋体" w:cs="Times New Roman"/>
                <w:color w:val="auto"/>
                <w:sz w:val="24"/>
              </w:rPr>
              <w:t>《挥发性有机物无组织排放控制标准》</w:t>
            </w:r>
            <w:r>
              <w:rPr>
                <w:rFonts w:hint="default" w:ascii="Times New Roman" w:hAnsi="Times New Roman" w:eastAsia="宋体" w:cs="Times New Roman"/>
                <w:color w:val="auto"/>
                <w:sz w:val="24"/>
                <w:lang w:val="zh-CN"/>
              </w:rPr>
              <w:t>（GB</w:t>
            </w:r>
            <w:r>
              <w:rPr>
                <w:rFonts w:hint="default" w:ascii="Times New Roman" w:hAnsi="Times New Roman" w:eastAsia="宋体" w:cs="Times New Roman"/>
                <w:color w:val="auto"/>
                <w:sz w:val="24"/>
              </w:rPr>
              <w:t>37822</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2019</w:t>
            </w:r>
            <w:r>
              <w:rPr>
                <w:rFonts w:hint="default" w:ascii="Times New Roman" w:hAnsi="Times New Roman" w:eastAsia="宋体" w:cs="Times New Roman"/>
                <w:color w:val="auto"/>
                <w:sz w:val="24"/>
                <w:lang w:val="zh-CN"/>
              </w:rPr>
              <w:t>）</w:t>
            </w:r>
            <w:r>
              <w:rPr>
                <w:rFonts w:hint="default" w:ascii="Times New Roman" w:hAnsi="Times New Roman" w:eastAsia="宋体" w:cs="Times New Roman"/>
                <w:color w:val="auto"/>
                <w:sz w:val="24"/>
              </w:rPr>
              <w:t>中要求</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lang w:val="en-US" w:eastAsia="zh-CN"/>
              </w:rPr>
              <w:t>厂界甲苯及</w:t>
            </w:r>
            <w:r>
              <w:rPr>
                <w:rFonts w:hint="default" w:ascii="Times New Roman" w:hAnsi="Times New Roman" w:eastAsia="宋体" w:cs="Times New Roman"/>
                <w:color w:val="auto"/>
                <w:sz w:val="24"/>
                <w:highlight w:val="none"/>
              </w:rPr>
              <w:t>非甲烷总烃满足</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合成树脂工业污染物排放标准</w:t>
            </w:r>
            <w:r>
              <w:rPr>
                <w:rFonts w:hint="default" w:ascii="Times New Roman" w:hAnsi="Times New Roman" w:eastAsia="宋体" w:cs="Times New Roman"/>
                <w:color w:val="auto"/>
                <w:sz w:val="24"/>
                <w:szCs w:val="24"/>
              </w:rPr>
              <w:t>》（GB</w:t>
            </w:r>
            <w:r>
              <w:rPr>
                <w:rFonts w:hint="default" w:ascii="Times New Roman" w:hAnsi="Times New Roman" w:eastAsia="宋体" w:cs="Times New Roman"/>
                <w:color w:val="auto"/>
                <w:sz w:val="24"/>
                <w:szCs w:val="24"/>
                <w:lang w:val="en-US" w:eastAsia="zh-CN"/>
              </w:rPr>
              <w:t>31572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2015</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中相关</w:t>
            </w:r>
            <w:r>
              <w:rPr>
                <w:rFonts w:hint="default" w:ascii="Times New Roman" w:hAnsi="Times New Roman" w:eastAsia="宋体" w:cs="Times New Roman"/>
                <w:color w:val="auto"/>
                <w:sz w:val="24"/>
                <w:szCs w:val="24"/>
                <w:lang w:val="en-US" w:eastAsia="zh-CN"/>
              </w:rPr>
              <w:t>大气污染物排放限值</w:t>
            </w:r>
            <w:r>
              <w:rPr>
                <w:rFonts w:hint="eastAsia" w:cs="Times New Roman"/>
                <w:color w:val="auto"/>
                <w:sz w:val="24"/>
                <w:szCs w:val="24"/>
                <w:lang w:val="en-US" w:eastAsia="zh-CN"/>
              </w:rPr>
              <w:t>，</w:t>
            </w:r>
            <w:r>
              <w:rPr>
                <w:rFonts w:hint="default" w:ascii="Times New Roman" w:hAnsi="Times New Roman" w:eastAsia="宋体" w:cs="Times New Roman"/>
                <w:color w:val="auto"/>
                <w:sz w:val="24"/>
                <w:highlight w:val="none"/>
                <w:lang w:val="en-US" w:eastAsia="zh-CN"/>
              </w:rPr>
              <w:t>乙苯、苯乙烯</w:t>
            </w:r>
            <w:r>
              <w:rPr>
                <w:rFonts w:hint="eastAsia" w:cs="Times New Roman"/>
                <w:color w:val="auto"/>
                <w:sz w:val="24"/>
                <w:highlight w:val="none"/>
                <w:lang w:val="en-US" w:eastAsia="zh-CN"/>
              </w:rPr>
              <w:t>暂无标准；臭气浓度满足</w:t>
            </w:r>
            <w:r>
              <w:rPr>
                <w:color w:val="auto"/>
                <w:sz w:val="24"/>
              </w:rPr>
              <w:t>《恶臭污染物排放标准》（GB14554-93）表1二级标准</w:t>
            </w:r>
            <w:r>
              <w:rPr>
                <w:rFonts w:hint="default" w:ascii="Times New Roman" w:hAnsi="Times New Roman" w:eastAsia="宋体" w:cs="Times New Roman"/>
                <w:color w:val="auto"/>
                <w:sz w:val="24"/>
                <w:highlight w:val="none"/>
                <w:vertAlign w:val="baseli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kern w:val="0"/>
                <w:sz w:val="24"/>
                <w:highlight w:val="none"/>
              </w:rPr>
              <w:t>综上，本项目废气对周边大气环境影响较小。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污染物排放量核算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val="0"/>
                <w:bCs/>
                <w:color w:val="auto"/>
                <w:sz w:val="24"/>
                <w:szCs w:val="24"/>
                <w:highlight w:val="none"/>
                <w:lang w:val="en-US" w:eastAsia="zh-CN"/>
              </w:rPr>
              <w:t>根据《环境影响评价技术导则 大气环境》（HJ2.2-2018）中8.1.2内容，结合项目废气排放形式，根据附录C.6.2 无组织排放量核算，对项目污染物排放量进行核算，详见下表所示。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vertAlign w:val="baseline"/>
                <w:lang w:eastAsia="zh-CN"/>
              </w:rPr>
            </w:pPr>
            <w:r>
              <w:rPr>
                <w:rFonts w:hint="default" w:ascii="Times New Roman" w:hAnsi="Times New Roman" w:eastAsia="宋体" w:cs="Times New Roman"/>
                <w:b/>
                <w:bCs/>
                <w:color w:val="auto"/>
                <w:sz w:val="21"/>
                <w:szCs w:val="21"/>
                <w:highlight w:val="none"/>
                <w:lang w:eastAsia="zh-CN"/>
              </w:rPr>
              <w:t>表</w:t>
            </w:r>
            <w:r>
              <w:rPr>
                <w:rFonts w:hint="default" w:ascii="Times New Roman" w:hAnsi="Times New Roman" w:eastAsia="宋体" w:cs="Times New Roman"/>
                <w:b/>
                <w:bCs/>
                <w:color w:val="auto"/>
                <w:sz w:val="21"/>
                <w:szCs w:val="21"/>
                <w:highlight w:val="none"/>
                <w:lang w:val="en-US" w:eastAsia="zh-CN"/>
              </w:rPr>
              <w:t xml:space="preserve">4-13 </w:t>
            </w:r>
            <w:r>
              <w:rPr>
                <w:rFonts w:hint="default" w:ascii="Times New Roman" w:hAnsi="Times New Roman" w:eastAsia="宋体" w:cs="Times New Roman"/>
                <w:b/>
                <w:bCs/>
                <w:color w:val="auto"/>
                <w:sz w:val="21"/>
                <w:szCs w:val="21"/>
                <w:highlight w:val="none"/>
                <w:lang w:eastAsia="zh-CN"/>
              </w:rPr>
              <w:t xml:space="preserve"> 大气污染物有组织排放量核算表</w:t>
            </w:r>
          </w:p>
          <w:tbl>
            <w:tblPr>
              <w:tblStyle w:val="28"/>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996"/>
              <w:gridCol w:w="1292"/>
              <w:gridCol w:w="1914"/>
              <w:gridCol w:w="140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排放口编号</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1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核算排放浓度（mg/m</w:t>
                  </w:r>
                  <w:r>
                    <w:rPr>
                      <w:rFonts w:hint="default" w:ascii="Times New Roman" w:hAnsi="Times New Roman" w:eastAsia="宋体" w:cs="Times New Roman"/>
                      <w:b/>
                      <w:bCs/>
                      <w:color w:val="auto"/>
                      <w:sz w:val="21"/>
                      <w:szCs w:val="21"/>
                      <w:highlight w:val="none"/>
                      <w:vertAlign w:val="superscript"/>
                      <w:lang w:val="en-US" w:eastAsia="zh-CN"/>
                    </w:rPr>
                    <w:t>3</w:t>
                  </w:r>
                  <w:r>
                    <w:rPr>
                      <w:rFonts w:hint="default" w:ascii="Times New Roman" w:hAnsi="Times New Roman" w:eastAsia="宋体" w:cs="Times New Roman"/>
                      <w:b/>
                      <w:bCs/>
                      <w:color w:val="auto"/>
                      <w:sz w:val="21"/>
                      <w:szCs w:val="21"/>
                      <w:highlight w:val="none"/>
                      <w:vertAlign w:val="baseline"/>
                      <w:lang w:val="en-US" w:eastAsia="zh-CN"/>
                    </w:rPr>
                    <w:t>）</w:t>
                  </w:r>
                </w:p>
              </w:tc>
              <w:tc>
                <w:tcPr>
                  <w:tcW w:w="1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核算排放速率（kg/h）</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锅炉燃料燃烧</w:t>
                  </w:r>
                </w:p>
              </w:tc>
              <w:tc>
                <w:tcPr>
                  <w:tcW w:w="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DA001</w:t>
                  </w: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颗粒物</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i w:val="0"/>
                      <w:iCs w:val="0"/>
                      <w:color w:val="auto"/>
                      <w:kern w:val="0"/>
                      <w:sz w:val="21"/>
                      <w:szCs w:val="21"/>
                      <w:u w:val="none"/>
                      <w:lang w:val="en-US" w:eastAsia="zh-CN" w:bidi="ar"/>
                    </w:rPr>
                    <w:t>4.00</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434</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136.22</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1.4754</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2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163.46</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1.7705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生产过程预发泡、成型</w:t>
                  </w:r>
                </w:p>
              </w:tc>
              <w:tc>
                <w:tcPr>
                  <w:tcW w:w="9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DA002</w:t>
                  </w:r>
                </w:p>
              </w:tc>
              <w:tc>
                <w:tcPr>
                  <w:tcW w:w="1292" w:type="dxa"/>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0.00015</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00089</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292" w:type="dxa"/>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0.00008</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highlight w:val="none"/>
                      <w:u w:val="none"/>
                      <w:lang w:val="en-US" w:eastAsia="zh-CN" w:bidi="ar"/>
                    </w:rPr>
                    <w:t>0.0000045</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292" w:type="dxa"/>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0.00005</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00027</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9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1292" w:type="dxa"/>
                  <w:noWrap w:val="0"/>
                  <w:vAlign w:val="center"/>
                </w:tcPr>
                <w:p>
                  <w:pPr>
                    <w:shd w:val="clear" w:color="auto" w:fill="auto"/>
                    <w:snapToGrid w:val="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cs="Times New Roman"/>
                      <w:i w:val="0"/>
                      <w:iCs w:val="0"/>
                      <w:color w:val="auto"/>
                      <w:kern w:val="0"/>
                      <w:sz w:val="21"/>
                      <w:szCs w:val="21"/>
                      <w:u w:val="none"/>
                      <w:lang w:val="en-US" w:eastAsia="zh-CN" w:bidi="ar"/>
                    </w:rPr>
                    <w:t>18.22322</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1.0923</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331" w:type="dxa"/>
                  <w:vMerge w:val="continue"/>
                  <w:noWrap w:val="0"/>
                  <w:vAlign w:val="center"/>
                </w:tcPr>
                <w:p>
                  <w:pPr>
                    <w:keepNext w:val="0"/>
                    <w:keepLines w:val="0"/>
                    <w:widowControl/>
                    <w:suppressLineNumbers w:val="0"/>
                    <w:jc w:val="center"/>
                    <w:textAlignment w:val="center"/>
                    <w:rPr>
                      <w:color w:val="auto"/>
                    </w:rPr>
                  </w:pPr>
                </w:p>
              </w:tc>
              <w:tc>
                <w:tcPr>
                  <w:tcW w:w="996" w:type="dxa"/>
                  <w:vMerge w:val="continue"/>
                  <w:noWrap w:val="0"/>
                  <w:vAlign w:val="center"/>
                </w:tcPr>
                <w:p>
                  <w:pPr>
                    <w:keepNext w:val="0"/>
                    <w:keepLines w:val="0"/>
                    <w:widowControl/>
                    <w:suppressLineNumbers w:val="0"/>
                    <w:jc w:val="center"/>
                    <w:textAlignment w:val="center"/>
                    <w:rPr>
                      <w:color w:val="auto"/>
                    </w:rPr>
                  </w:pPr>
                </w:p>
              </w:tc>
              <w:tc>
                <w:tcPr>
                  <w:tcW w:w="12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臭气浓度</w:t>
                  </w:r>
                </w:p>
              </w:tc>
              <w:tc>
                <w:tcPr>
                  <w:tcW w:w="1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b w:val="0"/>
                      <w:bCs/>
                      <w:color w:val="auto"/>
                      <w:spacing w:val="6"/>
                      <w:sz w:val="21"/>
                      <w:szCs w:val="21"/>
                      <w:highlight w:val="none"/>
                      <w:lang w:val="en-US" w:eastAsia="zh-CN"/>
                    </w:rPr>
                    <w:t>1152.56（无量纲）</w:t>
                  </w:r>
                </w:p>
              </w:tc>
              <w:tc>
                <w:tcPr>
                  <w:tcW w:w="140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w:t>
                  </w:r>
                </w:p>
              </w:tc>
              <w:tc>
                <w:tcPr>
                  <w:tcW w:w="1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少量</w:t>
                  </w:r>
                </w:p>
              </w:tc>
            </w:tr>
          </w:tbl>
          <w:p>
            <w:pPr>
              <w:pStyle w:val="93"/>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eastAsia="zh-CN"/>
              </w:rPr>
              <w:t>大气污染物无</w:t>
            </w:r>
            <w:r>
              <w:rPr>
                <w:rFonts w:hint="default" w:ascii="Times New Roman" w:hAnsi="Times New Roman" w:eastAsia="宋体" w:cs="Times New Roman"/>
                <w:b w:val="0"/>
                <w:bCs/>
                <w:color w:val="auto"/>
                <w:sz w:val="24"/>
                <w:szCs w:val="24"/>
                <w:highlight w:val="none"/>
              </w:rPr>
              <w:t>组织排放</w:t>
            </w:r>
            <w:r>
              <w:rPr>
                <w:rFonts w:hint="default" w:ascii="Times New Roman" w:hAnsi="Times New Roman" w:eastAsia="宋体" w:cs="Times New Roman"/>
                <w:b w:val="0"/>
                <w:bCs/>
                <w:color w:val="auto"/>
                <w:sz w:val="24"/>
                <w:szCs w:val="24"/>
                <w:highlight w:val="none"/>
                <w:lang w:eastAsia="zh-CN"/>
              </w:rPr>
              <w:t>量</w:t>
            </w:r>
            <w:r>
              <w:rPr>
                <w:rFonts w:hint="default" w:ascii="Times New Roman" w:hAnsi="Times New Roman" w:eastAsia="宋体" w:cs="Times New Roman"/>
                <w:b w:val="0"/>
                <w:bCs/>
                <w:color w:val="auto"/>
                <w:sz w:val="24"/>
                <w:szCs w:val="24"/>
                <w:highlight w:val="none"/>
              </w:rPr>
              <w:t>情况见下表</w:t>
            </w:r>
            <w:r>
              <w:rPr>
                <w:rFonts w:hint="default" w:ascii="Times New Roman" w:hAnsi="Times New Roman" w:eastAsia="宋体" w:cs="Times New Roman"/>
                <w:b w:val="0"/>
                <w:bCs/>
                <w:color w:val="auto"/>
                <w:sz w:val="24"/>
                <w:szCs w:val="24"/>
                <w:highlight w:val="none"/>
                <w:lang w:val="en-US" w:eastAsia="zh-CN"/>
              </w:rPr>
              <w:t>4-14</w:t>
            </w:r>
            <w:r>
              <w:rPr>
                <w:rFonts w:hint="default" w:ascii="Times New Roman" w:hAnsi="Times New Roman" w:eastAsia="宋体" w:cs="Times New Roman"/>
                <w:b w:val="0"/>
                <w:bCs/>
                <w:color w:val="auto"/>
                <w:sz w:val="24"/>
                <w:szCs w:val="24"/>
                <w:highlight w:val="none"/>
                <w:lang w:eastAsia="zh-CN"/>
              </w:rPr>
              <w:t>。</w:t>
            </w:r>
          </w:p>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 xml:space="preserve">4-14 </w:t>
            </w:r>
            <w:r>
              <w:rPr>
                <w:rFonts w:hint="default" w:ascii="Times New Roman" w:hAnsi="Times New Roman" w:eastAsia="宋体" w:cs="Times New Roman"/>
                <w:color w:val="auto"/>
                <w:sz w:val="21"/>
                <w:szCs w:val="21"/>
                <w:highlight w:val="none"/>
                <w:lang w:val="en-US"/>
              </w:rPr>
              <w:t xml:space="preserve"> </w:t>
            </w:r>
            <w:r>
              <w:rPr>
                <w:rFonts w:hint="default" w:ascii="Times New Roman" w:hAnsi="Times New Roman" w:eastAsia="宋体" w:cs="Times New Roman"/>
                <w:color w:val="auto"/>
                <w:sz w:val="21"/>
                <w:szCs w:val="21"/>
                <w:highlight w:val="none"/>
                <w:lang w:val="en-US" w:eastAsia="zh-CN"/>
              </w:rPr>
              <w:t>废气</w:t>
            </w:r>
            <w:r>
              <w:rPr>
                <w:rFonts w:hint="default" w:ascii="Times New Roman" w:hAnsi="Times New Roman" w:eastAsia="宋体" w:cs="Times New Roman"/>
                <w:color w:val="auto"/>
                <w:sz w:val="21"/>
                <w:szCs w:val="21"/>
                <w:highlight w:val="none"/>
                <w:lang w:val="en-US"/>
              </w:rPr>
              <w:t>污染物无组织排放量核算表</w:t>
            </w:r>
          </w:p>
          <w:tbl>
            <w:tblPr>
              <w:tblStyle w:val="2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610"/>
              <w:gridCol w:w="2416"/>
              <w:gridCol w:w="176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产污环节</w:t>
                  </w:r>
                </w:p>
              </w:tc>
              <w:tc>
                <w:tcPr>
                  <w:tcW w:w="1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污染物名称</w:t>
                  </w:r>
                </w:p>
              </w:tc>
              <w:tc>
                <w:tcPr>
                  <w:tcW w:w="4185"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国家或地方污染物排放标准</w:t>
                  </w:r>
                </w:p>
              </w:tc>
              <w:tc>
                <w:tcPr>
                  <w:tcW w:w="13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16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 w:val="21"/>
                      <w:szCs w:val="21"/>
                      <w:highlight w:val="none"/>
                    </w:rPr>
                  </w:pPr>
                </w:p>
              </w:tc>
              <w:tc>
                <w:tcPr>
                  <w:tcW w:w="2416" w:type="dxa"/>
                  <w:noWrap w:val="0"/>
                  <w:vAlign w:val="center"/>
                </w:tcPr>
                <w:p>
                  <w:pPr>
                    <w:pStyle w:val="19"/>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标准名称</w:t>
                  </w:r>
                </w:p>
              </w:tc>
              <w:tc>
                <w:tcPr>
                  <w:tcW w:w="1769" w:type="dxa"/>
                  <w:noWrap w:val="0"/>
                  <w:vAlign w:val="center"/>
                </w:tcPr>
                <w:p>
                  <w:pPr>
                    <w:pStyle w:val="19"/>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浓度限值</w:t>
                  </w:r>
                  <w:r>
                    <w:rPr>
                      <w:rFonts w:hint="default" w:ascii="Times New Roman" w:hAnsi="Times New Roman" w:eastAsia="宋体"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lang w:val="en-US" w:eastAsia="zh-CN"/>
                    </w:rPr>
                    <w:t>）</w:t>
                  </w:r>
                </w:p>
              </w:tc>
              <w:tc>
                <w:tcPr>
                  <w:tcW w:w="13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Merge w:val="restar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w:t>
                  </w:r>
                </w:p>
              </w:tc>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2416" w:type="dxa"/>
                  <w:vMerge w:val="restart"/>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default" w:ascii="Times New Roman" w:hAnsi="Times New Roman" w:eastAsia="宋体" w:cs="Times New Roman"/>
                      <w:color w:val="auto"/>
                      <w:sz w:val="21"/>
                      <w:szCs w:val="21"/>
                      <w:lang w:eastAsia="zh-CN"/>
                    </w:rPr>
                    <w:t>。</w:t>
                  </w:r>
                </w:p>
              </w:tc>
              <w:tc>
                <w:tcPr>
                  <w:tcW w:w="17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0.8</w:t>
                  </w:r>
                </w:p>
              </w:tc>
              <w:tc>
                <w:tcPr>
                  <w:tcW w:w="13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000020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229"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2416" w:type="dxa"/>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w:t>
                  </w:r>
                </w:p>
              </w:tc>
              <w:tc>
                <w:tcPr>
                  <w:tcW w:w="13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229"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2416" w:type="dxa"/>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3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29" w:type="dxa"/>
                  <w:vMerge w:val="continue"/>
                  <w:noWrap w:val="0"/>
                  <w:vAlign w:val="center"/>
                </w:tcPr>
                <w:p>
                  <w:pPr>
                    <w:jc w:val="center"/>
                    <w:rPr>
                      <w:rFonts w:hint="default" w:ascii="Times New Roman" w:hAnsi="Times New Roman" w:eastAsia="宋体" w:cs="Times New Roman"/>
                      <w:color w:val="auto"/>
                      <w:sz w:val="21"/>
                      <w:szCs w:val="21"/>
                      <w:highlight w:val="none"/>
                      <w:lang w:val="en-US" w:eastAsia="zh-CN"/>
                    </w:rPr>
                  </w:pPr>
                </w:p>
              </w:tc>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lang w:val="en-US" w:eastAsia="zh-CN"/>
                    </w:rPr>
                    <w:t>非甲烷总烃</w:t>
                  </w:r>
                </w:p>
              </w:tc>
              <w:tc>
                <w:tcPr>
                  <w:tcW w:w="2416" w:type="dxa"/>
                  <w:vMerge w:val="continue"/>
                  <w:noWrap w:val="0"/>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outlineLvl w:val="9"/>
                    <w:rPr>
                      <w:rFonts w:hint="default" w:ascii="Times New Roman" w:hAnsi="Times New Roman" w:eastAsia="宋体" w:cs="Times New Roman"/>
                      <w:color w:val="auto"/>
                      <w:sz w:val="21"/>
                      <w:szCs w:val="21"/>
                      <w:highlight w:val="none"/>
                    </w:rPr>
                  </w:pPr>
                </w:p>
              </w:tc>
              <w:tc>
                <w:tcPr>
                  <w:tcW w:w="17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4.0</w:t>
                  </w:r>
                </w:p>
              </w:tc>
              <w:tc>
                <w:tcPr>
                  <w:tcW w:w="13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color w:val="auto"/>
                    </w:rPr>
                  </w:pPr>
                </w:p>
              </w:tc>
              <w:tc>
                <w:tcPr>
                  <w:tcW w:w="1610"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2416"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color w:val="auto"/>
                      <w:sz w:val="21"/>
                      <w:szCs w:val="21"/>
                    </w:rPr>
                    <w:t>《恶臭污染物排放标准》（GB14554-93）表1二级标准</w:t>
                  </w:r>
                </w:p>
              </w:tc>
              <w:tc>
                <w:tcPr>
                  <w:tcW w:w="1769"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20（无量纲）</w:t>
                  </w:r>
                </w:p>
              </w:tc>
              <w:tc>
                <w:tcPr>
                  <w:tcW w:w="1374"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r>
          </w:tbl>
          <w:p>
            <w:pPr>
              <w:pStyle w:val="93"/>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outlineLvl w:val="9"/>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4"/>
                <w:szCs w:val="24"/>
                <w:highlight w:val="none"/>
              </w:rPr>
              <w:t>项目运营过程中大气污染物年排放量核算表详见表</w:t>
            </w:r>
            <w:r>
              <w:rPr>
                <w:rFonts w:hint="default" w:ascii="Times New Roman" w:hAnsi="Times New Roman" w:eastAsia="宋体" w:cs="Times New Roman"/>
                <w:b w:val="0"/>
                <w:bCs/>
                <w:color w:val="auto"/>
                <w:sz w:val="24"/>
                <w:szCs w:val="24"/>
                <w:highlight w:val="none"/>
                <w:lang w:val="en-US" w:eastAsia="zh-CN"/>
              </w:rPr>
              <w:t>4-15</w:t>
            </w:r>
            <w:r>
              <w:rPr>
                <w:rFonts w:hint="default" w:ascii="Times New Roman" w:hAnsi="Times New Roman" w:eastAsia="宋体" w:cs="Times New Roman"/>
                <w:b w:val="0"/>
                <w:bCs/>
                <w:color w:val="auto"/>
                <w:sz w:val="24"/>
                <w:szCs w:val="24"/>
                <w:highlight w:val="none"/>
              </w:rPr>
              <w:t>。</w:t>
            </w:r>
          </w:p>
          <w:p>
            <w:pPr>
              <w:pStyle w:val="9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bCs w:val="0"/>
                <w:color w:val="auto"/>
                <w:sz w:val="21"/>
                <w:szCs w:val="21"/>
                <w:highlight w:val="none"/>
                <w:lang w:val="en-US"/>
              </w:rPr>
            </w:pPr>
            <w:r>
              <w:rPr>
                <w:rFonts w:hint="default" w:ascii="Times New Roman" w:hAnsi="Times New Roman" w:eastAsia="宋体" w:cs="Times New Roman"/>
                <w:color w:val="auto"/>
                <w:sz w:val="21"/>
                <w:szCs w:val="21"/>
                <w:highlight w:val="none"/>
                <w:lang w:val="en-US"/>
              </w:rPr>
              <w:t>表</w:t>
            </w:r>
            <w:r>
              <w:rPr>
                <w:rFonts w:hint="default" w:ascii="Times New Roman" w:hAnsi="Times New Roman" w:eastAsia="宋体" w:cs="Times New Roman"/>
                <w:color w:val="auto"/>
                <w:sz w:val="21"/>
                <w:szCs w:val="21"/>
                <w:highlight w:val="none"/>
                <w:lang w:val="en-US" w:eastAsia="zh-CN"/>
              </w:rPr>
              <w:t xml:space="preserve">4-15 </w:t>
            </w:r>
            <w:r>
              <w:rPr>
                <w:rFonts w:hint="default" w:ascii="Times New Roman" w:hAnsi="Times New Roman" w:eastAsia="宋体" w:cs="Times New Roman"/>
                <w:color w:val="auto"/>
                <w:sz w:val="21"/>
                <w:szCs w:val="21"/>
                <w:highlight w:val="none"/>
                <w:lang w:val="en-US"/>
              </w:rPr>
              <w:t xml:space="preserve"> 大气污染物年排放量核算表</w:t>
            </w:r>
          </w:p>
          <w:tbl>
            <w:tblPr>
              <w:tblStyle w:val="27"/>
              <w:tblW w:w="83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2692"/>
              <w:gridCol w:w="3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eastAsia="zh-CN"/>
                    </w:rPr>
                    <w:t>生产阶段</w:t>
                  </w:r>
                </w:p>
              </w:tc>
              <w:tc>
                <w:tcPr>
                  <w:tcW w:w="269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污染物</w:t>
                  </w:r>
                </w:p>
              </w:tc>
              <w:tc>
                <w:tcPr>
                  <w:tcW w:w="3303"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整个生产车间</w:t>
                  </w:r>
                </w:p>
              </w:tc>
              <w:tc>
                <w:tcPr>
                  <w:tcW w:w="2692" w:type="dxa"/>
                  <w:noWrap w:val="0"/>
                  <w:vAlign w:val="center"/>
                </w:tcPr>
                <w:p>
                  <w:pPr>
                    <w:snapToGrid w:val="0"/>
                    <w:spacing w:afterLine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颗粒物</w:t>
                  </w:r>
                </w:p>
              </w:tc>
              <w:tc>
                <w:tcPr>
                  <w:tcW w:w="330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SO</w:t>
                  </w:r>
                  <w:r>
                    <w:rPr>
                      <w:rFonts w:hint="default" w:ascii="Times New Roman" w:hAnsi="Times New Roman" w:eastAsia="宋体" w:cs="Times New Roman"/>
                      <w:b w:val="0"/>
                      <w:bCs w:val="0"/>
                      <w:color w:val="auto"/>
                      <w:sz w:val="21"/>
                      <w:szCs w:val="21"/>
                      <w:highlight w:val="none"/>
                      <w:vertAlign w:val="subscript"/>
                      <w:lang w:val="en-US" w:eastAsia="zh-CN"/>
                    </w:rPr>
                    <w:t>2</w:t>
                  </w:r>
                </w:p>
              </w:tc>
              <w:tc>
                <w:tcPr>
                  <w:tcW w:w="330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NO</w:t>
                  </w:r>
                  <w:r>
                    <w:rPr>
                      <w:rFonts w:hint="default" w:ascii="Times New Roman" w:hAnsi="Times New Roman" w:eastAsia="宋体" w:cs="Times New Roman"/>
                      <w:b w:val="0"/>
                      <w:bCs w:val="0"/>
                      <w:color w:val="auto"/>
                      <w:sz w:val="21"/>
                      <w:szCs w:val="21"/>
                      <w:highlight w:val="none"/>
                      <w:vertAlign w:val="subscript"/>
                      <w:lang w:val="en-US" w:eastAsia="zh-CN"/>
                    </w:rPr>
                    <w:t>X</w:t>
                  </w:r>
                </w:p>
              </w:tc>
              <w:tc>
                <w:tcPr>
                  <w:tcW w:w="330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3303"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3303"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3303"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0.0000156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40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sz w:val="21"/>
                      <w:szCs w:val="21"/>
                      <w:highlight w:val="none"/>
                      <w:lang w:eastAsia="zh-CN"/>
                    </w:rPr>
                  </w:pPr>
                </w:p>
              </w:tc>
              <w:tc>
                <w:tcPr>
                  <w:tcW w:w="2692" w:type="dxa"/>
                  <w:noWrap w:val="0"/>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lang w:val="en-US" w:eastAsia="zh-CN"/>
                    </w:rPr>
                    <w:t>非甲烷总烃</w:t>
                  </w:r>
                </w:p>
              </w:tc>
              <w:tc>
                <w:tcPr>
                  <w:tcW w:w="3303" w:type="dxa"/>
                  <w:noWrap w:val="0"/>
                  <w:vAlign w:val="center"/>
                </w:tcPr>
                <w:p>
                  <w:pPr>
                    <w:keepNext w:val="0"/>
                    <w:keepLines w:val="0"/>
                    <w:widowControl/>
                    <w:suppressLineNumbers w:val="0"/>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2403" w:type="dxa"/>
                  <w:vMerge w:val="continue"/>
                  <w:noWrap w:val="0"/>
                  <w:vAlign w:val="center"/>
                </w:tcPr>
                <w:p>
                  <w:pPr>
                    <w:keepNext w:val="0"/>
                    <w:keepLines w:val="0"/>
                    <w:widowControl/>
                    <w:suppressLineNumbers w:val="0"/>
                    <w:jc w:val="center"/>
                    <w:textAlignment w:val="center"/>
                    <w:rPr>
                      <w:color w:val="auto"/>
                    </w:rPr>
                  </w:pPr>
                </w:p>
              </w:tc>
              <w:tc>
                <w:tcPr>
                  <w:tcW w:w="269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臭气浓度</w:t>
                  </w:r>
                </w:p>
              </w:tc>
              <w:tc>
                <w:tcPr>
                  <w:tcW w:w="330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少量</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zh-CN"/>
              </w:rPr>
            </w:pPr>
            <w:r>
              <w:rPr>
                <w:rFonts w:hint="default" w:ascii="Times New Roman" w:hAnsi="Times New Roman" w:eastAsia="宋体" w:cs="Times New Roman"/>
                <w:b/>
                <w:bCs/>
                <w:color w:val="auto"/>
                <w:sz w:val="24"/>
                <w:highlight w:val="none"/>
                <w:lang w:val="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val="zh-CN"/>
              </w:rPr>
              <w:t>）食堂油烟</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szCs w:val="24"/>
                <w:highlight w:val="none"/>
                <w:lang w:val="en-US" w:eastAsia="zh-CN"/>
              </w:rPr>
              <w:t>项目区食堂油烟</w:t>
            </w:r>
            <w:r>
              <w:rPr>
                <w:rFonts w:hint="default" w:ascii="Times New Roman" w:hAnsi="Times New Roman" w:eastAsia="宋体" w:cs="Times New Roman"/>
                <w:color w:val="auto"/>
                <w:sz w:val="24"/>
                <w:szCs w:val="24"/>
                <w:highlight w:val="none"/>
                <w:lang w:val="zh-CN" w:eastAsia="zh-CN"/>
              </w:rPr>
              <w:t>能达到</w:t>
            </w:r>
            <w:r>
              <w:rPr>
                <w:rFonts w:hint="default" w:ascii="Times New Roman" w:hAnsi="Times New Roman" w:eastAsia="宋体" w:cs="Times New Roman"/>
                <w:color w:val="auto"/>
                <w:sz w:val="24"/>
                <w:highlight w:val="none"/>
                <w:lang w:val="en-US" w:eastAsia="zh-CN"/>
              </w:rPr>
              <w:t>《饮食业油烟排放标准（试行）》（GB18483-2001）中的</w:t>
            </w:r>
            <w:r>
              <w:rPr>
                <w:rFonts w:hint="default" w:ascii="Times New Roman" w:hAnsi="Times New Roman" w:eastAsia="宋体" w:cs="Times New Roman"/>
                <w:color w:val="auto"/>
                <w:sz w:val="24"/>
                <w:szCs w:val="24"/>
                <w:highlight w:val="none"/>
                <w:lang w:val="en-US" w:eastAsia="zh-CN"/>
              </w:rPr>
              <w:t>小型规模</w:t>
            </w:r>
            <w:r>
              <w:rPr>
                <w:rFonts w:hint="default" w:ascii="Times New Roman" w:hAnsi="Times New Roman" w:eastAsia="宋体" w:cs="Times New Roman"/>
                <w:color w:val="auto"/>
                <w:sz w:val="24"/>
                <w:szCs w:val="24"/>
                <w:highlight w:val="none"/>
              </w:rPr>
              <w:t>最高允许排放浓度，即油烟≤</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.0mg/m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highlight w:val="none"/>
                <w:lang w:val="zh-CN"/>
              </w:rPr>
              <w:t>项目食堂油烟经净化器处理后可达标排放，油烟排放经空气扩散稀释后对环境影响较小。</w:t>
            </w:r>
          </w:p>
          <w:p>
            <w:pPr>
              <w:keepNext w:val="0"/>
              <w:keepLines w:val="0"/>
              <w:pageBreakBefore w:val="0"/>
              <w:widowControl w:val="0"/>
              <w:kinsoku/>
              <w:wordWrap/>
              <w:overflowPunct/>
              <w:topLinePunct w:val="0"/>
              <w:autoSpaceDE/>
              <w:autoSpaceDN/>
              <w:bidi w:val="0"/>
              <w:spacing w:line="360" w:lineRule="auto"/>
              <w:ind w:left="0" w:right="0" w:firstLine="482" w:firstLineChars="200"/>
              <w:outlineLvl w:val="9"/>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异味环境影响分析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bCs/>
                <w:color w:val="auto"/>
                <w:sz w:val="24"/>
                <w:highlight w:val="none"/>
              </w:rPr>
              <w:t>项目</w:t>
            </w:r>
            <w:r>
              <w:rPr>
                <w:rFonts w:hint="default" w:ascii="Times New Roman" w:hAnsi="Times New Roman" w:eastAsia="宋体" w:cs="Times New Roman"/>
                <w:bCs/>
                <w:color w:val="auto"/>
                <w:sz w:val="24"/>
                <w:highlight w:val="none"/>
                <w:lang w:eastAsia="zh-CN"/>
              </w:rPr>
              <w:t>运营期异味主要来源于</w:t>
            </w:r>
            <w:r>
              <w:rPr>
                <w:rFonts w:hint="default" w:ascii="Times New Roman" w:hAnsi="Times New Roman" w:eastAsia="宋体" w:cs="Times New Roman"/>
                <w:bCs/>
                <w:color w:val="auto"/>
                <w:sz w:val="24"/>
                <w:highlight w:val="none"/>
                <w:lang w:val="en-US" w:eastAsia="zh-CN"/>
              </w:rPr>
              <w:t>生产车间、</w:t>
            </w:r>
            <w:r>
              <w:rPr>
                <w:rFonts w:hint="default" w:ascii="Times New Roman" w:hAnsi="Times New Roman" w:eastAsia="宋体" w:cs="Times New Roman"/>
                <w:color w:val="auto"/>
                <w:sz w:val="24"/>
                <w:highlight w:val="none"/>
                <w:lang w:eastAsia="zh-CN"/>
              </w:rPr>
              <w:t>卫生间、化粪池、</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z w:val="24"/>
                <w:highlight w:val="none"/>
                <w:lang w:eastAsia="zh-CN"/>
              </w:rPr>
              <w:t>。</w:t>
            </w:r>
          </w:p>
          <w:p>
            <w:pPr>
              <w:keepNext w:val="0"/>
              <w:keepLines w:val="0"/>
              <w:pageBreakBefore w:val="0"/>
              <w:kinsoku/>
              <w:wordWrap/>
              <w:overflowPunct/>
              <w:topLinePunct w:val="0"/>
              <w:autoSpaceDE/>
              <w:autoSpaceDN/>
              <w:bidi w:val="0"/>
              <w:adjustRightInd/>
              <w:spacing w:line="360" w:lineRule="auto"/>
              <w:ind w:right="0" w:firstLine="488"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pacing w:val="2"/>
                <w:sz w:val="24"/>
                <w:szCs w:val="24"/>
                <w:highlight w:val="none"/>
                <w:lang w:eastAsia="zh-CN"/>
              </w:rPr>
              <w:t>项目</w:t>
            </w:r>
            <w:r>
              <w:rPr>
                <w:rFonts w:hint="default" w:ascii="Times New Roman" w:hAnsi="Times New Roman" w:eastAsia="宋体" w:cs="Times New Roman"/>
                <w:color w:val="auto"/>
                <w:spacing w:val="2"/>
                <w:sz w:val="24"/>
                <w:szCs w:val="24"/>
                <w:highlight w:val="none"/>
              </w:rPr>
              <w:t>化粪池</w:t>
            </w:r>
            <w:r>
              <w:rPr>
                <w:rFonts w:hint="default" w:ascii="Times New Roman" w:hAnsi="Times New Roman" w:eastAsia="宋体" w:cs="Times New Roman"/>
                <w:color w:val="auto"/>
                <w:spacing w:val="2"/>
                <w:sz w:val="24"/>
                <w:szCs w:val="24"/>
                <w:highlight w:val="none"/>
                <w:lang w:val="en-US" w:eastAsia="zh-CN"/>
              </w:rPr>
              <w:t>及</w:t>
            </w:r>
            <w:r>
              <w:rPr>
                <w:rFonts w:hint="default" w:ascii="Times New Roman" w:hAnsi="Times New Roman" w:eastAsia="宋体" w:cs="Times New Roman"/>
                <w:color w:val="auto"/>
                <w:sz w:val="24"/>
                <w:highlight w:val="none"/>
                <w:lang w:val="en-US" w:eastAsia="zh-CN"/>
              </w:rPr>
              <w:t>一体化污水处理站</w:t>
            </w:r>
            <w:r>
              <w:rPr>
                <w:rFonts w:hint="default" w:ascii="Times New Roman" w:hAnsi="Times New Roman" w:eastAsia="宋体" w:cs="Times New Roman"/>
                <w:color w:val="auto"/>
                <w:spacing w:val="2"/>
                <w:sz w:val="24"/>
                <w:szCs w:val="24"/>
                <w:highlight w:val="none"/>
                <w:lang w:eastAsia="zh-CN"/>
              </w:rPr>
              <w:t>为</w:t>
            </w:r>
            <w:r>
              <w:rPr>
                <w:rFonts w:hint="default" w:ascii="Times New Roman" w:hAnsi="Times New Roman" w:eastAsia="宋体" w:cs="Times New Roman"/>
                <w:color w:val="auto"/>
                <w:spacing w:val="2"/>
                <w:sz w:val="24"/>
                <w:szCs w:val="24"/>
                <w:highlight w:val="none"/>
              </w:rPr>
              <w:t>全封闭</w:t>
            </w:r>
            <w:r>
              <w:rPr>
                <w:rFonts w:hint="default" w:ascii="Times New Roman" w:hAnsi="Times New Roman" w:eastAsia="宋体" w:cs="Times New Roman"/>
                <w:color w:val="auto"/>
                <w:spacing w:val="2"/>
                <w:sz w:val="24"/>
                <w:szCs w:val="24"/>
                <w:highlight w:val="none"/>
                <w:lang w:eastAsia="zh-CN"/>
              </w:rPr>
              <w:t>式</w:t>
            </w:r>
            <w:r>
              <w:rPr>
                <w:rFonts w:hint="default" w:ascii="Times New Roman" w:hAnsi="Times New Roman" w:eastAsia="宋体" w:cs="Times New Roman"/>
                <w:color w:val="auto"/>
                <w:spacing w:val="2"/>
                <w:sz w:val="24"/>
                <w:szCs w:val="24"/>
                <w:highlight w:val="none"/>
              </w:rPr>
              <w:t>加盖设计</w:t>
            </w:r>
            <w:r>
              <w:rPr>
                <w:rFonts w:hint="default" w:ascii="Times New Roman" w:hAnsi="Times New Roman" w:eastAsia="宋体" w:cs="Times New Roman"/>
                <w:color w:val="auto"/>
                <w:spacing w:val="2"/>
                <w:sz w:val="24"/>
                <w:szCs w:val="24"/>
                <w:highlight w:val="none"/>
                <w:lang w:eastAsia="zh-CN"/>
              </w:rPr>
              <w:t>，异味产生量较少，呈无组织排放。</w:t>
            </w:r>
            <w:r>
              <w:rPr>
                <w:rFonts w:hint="default" w:ascii="Times New Roman" w:hAnsi="Times New Roman" w:eastAsia="宋体" w:cs="Times New Roman"/>
                <w:color w:val="auto"/>
                <w:sz w:val="24"/>
                <w:szCs w:val="24"/>
                <w:highlight w:val="none"/>
                <w:lang w:eastAsia="zh-CN"/>
              </w:rPr>
              <w:t>同时在周边设置绿化带及墙体进行阻隔，</w:t>
            </w:r>
            <w:r>
              <w:rPr>
                <w:rFonts w:hint="default" w:ascii="Times New Roman" w:hAnsi="Times New Roman" w:eastAsia="宋体" w:cs="Times New Roman"/>
                <w:color w:val="auto"/>
                <w:sz w:val="24"/>
                <w:highlight w:val="none"/>
              </w:rPr>
              <w:t>项目</w:t>
            </w:r>
            <w:r>
              <w:rPr>
                <w:rFonts w:hint="default" w:ascii="Times New Roman" w:hAnsi="Times New Roman" w:eastAsia="宋体" w:cs="Times New Roman"/>
                <w:color w:val="auto"/>
                <w:sz w:val="24"/>
                <w:highlight w:val="none"/>
                <w:lang w:eastAsia="zh-CN"/>
              </w:rPr>
              <w:t>卫生间加强管理，做到日产日清</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生产过程生产车间加强通风，</w:t>
            </w:r>
            <w:r>
              <w:rPr>
                <w:rFonts w:hint="default" w:ascii="Times New Roman" w:hAnsi="Times New Roman" w:eastAsia="宋体" w:cs="Times New Roman"/>
                <w:color w:val="auto"/>
                <w:sz w:val="24"/>
                <w:szCs w:val="24"/>
                <w:highlight w:val="none"/>
                <w:lang w:eastAsia="zh-CN"/>
              </w:rPr>
              <w:t>确保</w:t>
            </w:r>
            <w:r>
              <w:rPr>
                <w:rFonts w:hint="default" w:ascii="Times New Roman" w:hAnsi="Times New Roman" w:eastAsia="宋体" w:cs="Times New Roman"/>
                <w:color w:val="auto"/>
                <w:sz w:val="24"/>
                <w:szCs w:val="24"/>
                <w:highlight w:val="none"/>
                <w:lang w:val="en-US" w:eastAsia="zh-CN"/>
              </w:rPr>
              <w:t>厂界臭气</w:t>
            </w:r>
            <w:r>
              <w:rPr>
                <w:rFonts w:hint="default" w:ascii="Times New Roman" w:hAnsi="Times New Roman" w:eastAsia="宋体" w:cs="Times New Roman"/>
                <w:color w:val="auto"/>
                <w:sz w:val="24"/>
                <w:highlight w:val="none"/>
              </w:rPr>
              <w:t>排放</w:t>
            </w:r>
            <w:r>
              <w:rPr>
                <w:rFonts w:hint="default" w:ascii="Times New Roman" w:hAnsi="Times New Roman" w:eastAsia="宋体" w:cs="Times New Roman"/>
                <w:color w:val="auto"/>
                <w:sz w:val="24"/>
                <w:highlight w:val="none"/>
                <w:lang w:eastAsia="zh-CN"/>
              </w:rPr>
              <w:t>浓度</w:t>
            </w:r>
            <w:r>
              <w:rPr>
                <w:rFonts w:hint="default" w:ascii="Times New Roman" w:hAnsi="Times New Roman" w:eastAsia="宋体" w:cs="Times New Roman"/>
                <w:color w:val="auto"/>
                <w:sz w:val="24"/>
                <w:highlight w:val="none"/>
              </w:rPr>
              <w:t>达到《恶臭污染物排放标准》（GB14554-93）</w:t>
            </w:r>
            <w:r>
              <w:rPr>
                <w:rFonts w:hint="default" w:ascii="Times New Roman" w:hAnsi="Times New Roman" w:eastAsia="宋体" w:cs="Times New Roman"/>
                <w:color w:val="auto"/>
                <w:sz w:val="24"/>
                <w:highlight w:val="none"/>
                <w:lang w:eastAsia="zh-CN"/>
              </w:rPr>
              <w:t>中相关标准</w:t>
            </w:r>
            <w:r>
              <w:rPr>
                <w:rFonts w:hint="default" w:ascii="Times New Roman" w:hAnsi="Times New Roman" w:eastAsia="宋体" w:cs="Times New Roman"/>
                <w:color w:val="auto"/>
                <w:sz w:val="24"/>
                <w:highlight w:val="none"/>
              </w:rPr>
              <w:t>。</w:t>
            </w:r>
          </w:p>
          <w:p>
            <w:pPr>
              <w:pStyle w:val="4"/>
              <w:keepNext w:val="0"/>
              <w:keepLines w:val="0"/>
              <w:pageBreakBefore w:val="0"/>
              <w:kinsoku/>
              <w:wordWrap/>
              <w:overflowPunct/>
              <w:topLinePunct w:val="0"/>
              <w:autoSpaceDE/>
              <w:autoSpaceDN/>
              <w:bidi w:val="0"/>
              <w:adjustRightInd/>
              <w:spacing w:before="0" w:after="0" w:line="360" w:lineRule="auto"/>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综上</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highlight w:val="none"/>
              </w:rPr>
              <w:t>异味产生量很小，对环境的影响较小</w:t>
            </w:r>
            <w:r>
              <w:rPr>
                <w:rFonts w:hint="default" w:ascii="Times New Roman" w:hAnsi="Times New Roman" w:eastAsia="宋体" w:cs="Times New Roman"/>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lang w:eastAsia="zh-CN"/>
              </w:rPr>
            </w:pPr>
            <w:r>
              <w:rPr>
                <w:rFonts w:hint="default" w:ascii="Times New Roman" w:hAnsi="Times New Roman" w:eastAsia="宋体" w:cs="Times New Roman"/>
                <w:b/>
                <w:color w:val="auto"/>
                <w:sz w:val="24"/>
                <w:szCs w:val="24"/>
                <w:highlight w:val="none"/>
                <w:lang w:val="en-US" w:eastAsia="zh-CN"/>
              </w:rPr>
              <w:t>3、废气处理措施可行性分析</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（1）可行技术分析</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总则》（HJ 942-2018）</w:t>
            </w:r>
            <w:r>
              <w:rPr>
                <w:rFonts w:hint="default" w:ascii="Times New Roman" w:hAnsi="Times New Roman" w:eastAsia="宋体" w:cs="Times New Roman"/>
                <w:color w:val="auto"/>
                <w:sz w:val="24"/>
                <w:highlight w:val="none"/>
                <w:lang w:val="en-US" w:eastAsia="zh-CN"/>
              </w:rPr>
              <w:t>及</w:t>
            </w:r>
            <w:r>
              <w:rPr>
                <w:rFonts w:hint="default" w:ascii="Times New Roman" w:hAnsi="Times New Roman" w:eastAsia="宋体" w:cs="Times New Roman"/>
                <w:color w:val="auto"/>
                <w:sz w:val="24"/>
                <w:highlight w:val="none"/>
                <w:lang w:eastAsia="zh-CN"/>
              </w:rPr>
              <w:t>《排污许可证申请与核发技</w:t>
            </w:r>
            <w:r>
              <w:rPr>
                <w:rFonts w:hint="default" w:ascii="Times New Roman" w:hAnsi="Times New Roman" w:eastAsia="宋体" w:cs="Times New Roman"/>
                <w:color w:val="auto"/>
                <w:sz w:val="24"/>
                <w:szCs w:val="24"/>
                <w:highlight w:val="none"/>
                <w:lang w:eastAsia="zh-CN"/>
              </w:rPr>
              <w:t>术规范 橡胶和塑料制品工业》（HJ1122-2020）</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highlight w:val="none"/>
              </w:rPr>
              <w:t>《排污许可证申请与核发技术规范</w:t>
            </w:r>
            <w:r>
              <w:rPr>
                <w:rFonts w:hint="default" w:ascii="Times New Roman" w:hAnsi="Times New Roman" w:eastAsia="宋体" w:cs="Times New Roman"/>
                <w:color w:val="auto"/>
                <w:sz w:val="24"/>
                <w:highlight w:val="none"/>
                <w:lang w:val="en-US" w:eastAsia="zh-CN"/>
              </w:rPr>
              <w:t xml:space="preserve"> </w:t>
            </w:r>
            <w:r>
              <w:rPr>
                <w:rFonts w:hint="eastAsia" w:cs="Times New Roman"/>
                <w:color w:val="auto"/>
                <w:sz w:val="24"/>
                <w:highlight w:val="none"/>
                <w:lang w:eastAsia="zh-CN"/>
              </w:rPr>
              <w:t>锅炉</w:t>
            </w:r>
            <w:r>
              <w:rPr>
                <w:rFonts w:hint="default" w:ascii="Times New Roman" w:hAnsi="Times New Roman" w:eastAsia="宋体" w:cs="Times New Roman"/>
                <w:color w:val="auto"/>
                <w:sz w:val="24"/>
                <w:highlight w:val="none"/>
              </w:rPr>
              <w:t xml:space="preserve">》（HJ </w:t>
            </w:r>
            <w:r>
              <w:rPr>
                <w:rFonts w:hint="eastAsia" w:cs="Times New Roman"/>
                <w:color w:val="auto"/>
                <w:sz w:val="24"/>
                <w:highlight w:val="none"/>
                <w:lang w:val="en-US" w:eastAsia="zh-CN"/>
              </w:rPr>
              <w:t>953</w:t>
            </w:r>
            <w:r>
              <w:rPr>
                <w:rFonts w:hint="default" w:ascii="Times New Roman" w:hAnsi="Times New Roman" w:eastAsia="宋体" w:cs="Times New Roman"/>
                <w:color w:val="auto"/>
                <w:sz w:val="24"/>
                <w:highlight w:val="none"/>
              </w:rPr>
              <w:t>-2018）</w:t>
            </w:r>
            <w:r>
              <w:rPr>
                <w:rFonts w:hint="eastAsia"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szCs w:val="24"/>
                <w:highlight w:val="none"/>
                <w:lang w:val="en-US" w:eastAsia="zh-CN"/>
              </w:rPr>
              <w:t>工业锅炉污染防治可行技术指南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（HJ1178-2021）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颗粒物</w:t>
            </w:r>
            <w:r>
              <w:rPr>
                <w:rFonts w:hint="default" w:ascii="Times New Roman" w:hAnsi="Times New Roman" w:eastAsia="宋体" w:cs="Times New Roman"/>
                <w:color w:val="auto"/>
                <w:sz w:val="24"/>
                <w:szCs w:val="24"/>
                <w:highlight w:val="none"/>
              </w:rPr>
              <w:t>收集治理设施包括</w:t>
            </w:r>
            <w:r>
              <w:rPr>
                <w:rFonts w:hint="default" w:ascii="Times New Roman" w:hAnsi="Times New Roman" w:eastAsia="宋体" w:cs="Times New Roman"/>
                <w:color w:val="auto"/>
                <w:sz w:val="24"/>
                <w:szCs w:val="24"/>
                <w:highlight w:val="none"/>
                <w:lang w:val="en-US" w:eastAsia="zh-CN"/>
              </w:rPr>
              <w:t>袋式、滤筒、喷淋除尘，</w:t>
            </w:r>
            <w:r>
              <w:rPr>
                <w:rFonts w:hint="default" w:ascii="Times New Roman" w:hAnsi="Times New Roman" w:eastAsia="宋体" w:cs="Times New Roman"/>
                <w:color w:val="auto"/>
                <w:sz w:val="24"/>
                <w:szCs w:val="24"/>
                <w:highlight w:val="none"/>
              </w:rPr>
              <w:t>有机废气收集治理设施包括吸附</w:t>
            </w:r>
            <w:r>
              <w:rPr>
                <w:rFonts w:hint="default" w:ascii="Times New Roman" w:hAnsi="Times New Roman" w:eastAsia="宋体" w:cs="Times New Roman"/>
                <w:color w:val="auto"/>
                <w:sz w:val="24"/>
                <w:szCs w:val="24"/>
                <w:highlight w:val="none"/>
                <w:lang w:val="en-US" w:eastAsia="zh-CN"/>
              </w:rPr>
              <w:t>、燃烧、低温等离子体、UV光氧化/光催化、生物法</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以上组合技术</w:t>
            </w:r>
            <w:r>
              <w:rPr>
                <w:rFonts w:hint="default" w:ascii="Times New Roman" w:hAnsi="Times New Roman" w:eastAsia="宋体" w:cs="Times New Roman"/>
                <w:color w:val="auto"/>
                <w:sz w:val="24"/>
                <w:szCs w:val="24"/>
                <w:highlight w:val="none"/>
              </w:rPr>
              <w:t>。本项目</w:t>
            </w:r>
            <w:r>
              <w:rPr>
                <w:rFonts w:hint="default" w:ascii="Times New Roman" w:hAnsi="Times New Roman" w:eastAsia="宋体" w:cs="Times New Roman"/>
                <w:color w:val="auto"/>
                <w:sz w:val="24"/>
                <w:szCs w:val="24"/>
                <w:highlight w:val="none"/>
                <w:lang w:val="en-US" w:eastAsia="zh-CN"/>
              </w:rPr>
              <w:t>锅炉废气经</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套“</w:t>
            </w:r>
            <w:r>
              <w:rPr>
                <w:rFonts w:hint="eastAsia" w:cs="Times New Roman"/>
                <w:color w:val="auto"/>
                <w:sz w:val="24"/>
                <w:szCs w:val="24"/>
                <w:highlight w:val="none"/>
                <w:lang w:val="en-US" w:eastAsia="zh-CN"/>
              </w:rPr>
              <w:t>耐高温布袋</w:t>
            </w:r>
            <w:r>
              <w:rPr>
                <w:rFonts w:hint="default" w:ascii="Times New Roman" w:hAnsi="Times New Roman" w:eastAsia="宋体" w:cs="Times New Roman"/>
                <w:color w:val="auto"/>
                <w:sz w:val="24"/>
                <w:szCs w:val="24"/>
                <w:highlight w:val="none"/>
                <w:lang w:val="en-US" w:eastAsia="zh-CN"/>
              </w:rPr>
              <w:t>除尘器”处理后由1根</w:t>
            </w:r>
            <w:r>
              <w:rPr>
                <w:rFonts w:hint="eastAsia"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val="en-US" w:eastAsia="zh-CN"/>
              </w:rPr>
              <w:t>m高排气筒（DA001）排放，</w:t>
            </w:r>
            <w:r>
              <w:rPr>
                <w:rFonts w:hint="default" w:ascii="Times New Roman" w:hAnsi="Times New Roman" w:eastAsia="宋体" w:cs="Times New Roman"/>
                <w:color w:val="auto"/>
                <w:sz w:val="24"/>
                <w:szCs w:val="24"/>
                <w:highlight w:val="none"/>
              </w:rPr>
              <w:t>属于可行性技术中的</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袋式除尘</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生产过程</w:t>
            </w:r>
            <w:r>
              <w:rPr>
                <w:rFonts w:hint="default" w:ascii="Times New Roman" w:hAnsi="Times New Roman" w:eastAsia="宋体" w:cs="Times New Roman"/>
                <w:color w:val="auto"/>
                <w:sz w:val="24"/>
                <w:szCs w:val="24"/>
                <w:highlight w:val="none"/>
              </w:rPr>
              <w:t>产生的有机废气经集气罩收集后采用</w:t>
            </w:r>
            <w:r>
              <w:rPr>
                <w:rFonts w:hint="eastAsia" w:cs="Times New Roman"/>
                <w:color w:val="auto"/>
                <w:sz w:val="24"/>
                <w:szCs w:val="24"/>
                <w:highlight w:val="none"/>
                <w:lang w:val="en-US" w:eastAsia="zh-CN"/>
              </w:rPr>
              <w:t>1套</w:t>
            </w:r>
            <w:r>
              <w:rPr>
                <w:rFonts w:hint="default" w:ascii="Times New Roman" w:hAnsi="Times New Roman" w:eastAsia="宋体" w:cs="Times New Roman"/>
                <w:color w:val="auto"/>
                <w:sz w:val="24"/>
                <w:szCs w:val="24"/>
                <w:highlight w:val="none"/>
                <w:lang w:eastAsia="zh-CN"/>
              </w:rPr>
              <w:t>“三级活性炭吸附装置”</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val="en-US" w:eastAsia="zh-CN"/>
              </w:rPr>
              <w:t>由1根</w:t>
            </w:r>
            <w:r>
              <w:rPr>
                <w:rFonts w:hint="default" w:ascii="Times New Roman" w:hAnsi="Times New Roman" w:eastAsia="宋体" w:cs="Times New Roman"/>
                <w:color w:val="auto"/>
                <w:sz w:val="24"/>
                <w:szCs w:val="24"/>
                <w:highlight w:val="none"/>
              </w:rPr>
              <w:t>15m高的排气筒</w:t>
            </w:r>
            <w:r>
              <w:rPr>
                <w:rFonts w:hint="default" w:ascii="Times New Roman" w:hAnsi="Times New Roman" w:eastAsia="宋体" w:cs="Times New Roman"/>
                <w:color w:val="auto"/>
                <w:sz w:val="24"/>
                <w:szCs w:val="24"/>
                <w:highlight w:val="none"/>
                <w:lang w:val="en-US" w:eastAsia="zh-CN"/>
              </w:rPr>
              <w:t>（DA002）</w:t>
            </w:r>
            <w:r>
              <w:rPr>
                <w:rFonts w:hint="default" w:ascii="Times New Roman" w:hAnsi="Times New Roman" w:eastAsia="宋体" w:cs="Times New Roman"/>
                <w:color w:val="auto"/>
                <w:sz w:val="24"/>
                <w:szCs w:val="24"/>
                <w:highlight w:val="none"/>
              </w:rPr>
              <w:t>排放，属于可行性技术中的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吸附</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right="0"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处理装置原理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eastAsia" w:cs="Times New Roman"/>
                <w:color w:val="auto"/>
                <w:sz w:val="24"/>
                <w:highlight w:val="none"/>
                <w:lang w:val="en-US" w:eastAsia="zh-CN"/>
              </w:rPr>
              <w:t>耐高温布袋</w:t>
            </w:r>
            <w:r>
              <w:rPr>
                <w:rFonts w:hint="default" w:ascii="Times New Roman" w:hAnsi="Times New Roman" w:eastAsia="宋体" w:cs="Times New Roman"/>
                <w:color w:val="auto"/>
                <w:sz w:val="24"/>
                <w:highlight w:val="none"/>
                <w:lang w:val="en-US" w:eastAsia="zh-CN"/>
              </w:rPr>
              <w:t>除尘器</w:t>
            </w:r>
          </w:p>
          <w:p>
            <w:pPr>
              <w:pStyle w:val="26"/>
              <w:spacing w:before="0" w:beforeAutospacing="0" w:after="0" w:afterAutospacing="0" w:line="360" w:lineRule="auto"/>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kern w:val="2"/>
              </w:rPr>
              <w:t>布袋除尘器有净化效率高、处理气体能力大、性能稳定、操作方便、滤袋寿命长、维修工作量小等优点。</w:t>
            </w:r>
            <w:r>
              <w:rPr>
                <w:rFonts w:hint="default" w:ascii="Times New Roman" w:hAnsi="Times New Roman" w:eastAsia="宋体" w:cs="Times New Roman"/>
                <w:color w:val="auto"/>
              </w:rPr>
              <w:t>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排风道，经排风机排至大气。清灰时先切断该室的净气出口风道，使该室的布袋处于无气流通过的状态(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同时，布袋除尘器工艺属于国家推荐的常用除尘设备，除尘效率有保证，可达9</w:t>
            </w:r>
            <w:r>
              <w:rPr>
                <w:rFonts w:hint="eastAsia" w:ascii="Times New Roman" w:hAnsi="Times New Roman" w:cs="Times New Roman"/>
                <w:color w:val="auto"/>
                <w:lang w:val="en-US" w:eastAsia="zh-CN"/>
              </w:rPr>
              <w:t>5</w:t>
            </w:r>
            <w:r>
              <w:rPr>
                <w:rFonts w:hint="default" w:ascii="Times New Roman" w:hAnsi="Times New Roman" w:eastAsia="宋体" w:cs="Times New Roman"/>
                <w:color w:val="auto"/>
              </w:rPr>
              <w:t>%以上。</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布袋除尘技术除尘效率一般为95%-99.7%，本项目“</w:t>
            </w:r>
            <w:r>
              <w:rPr>
                <w:rFonts w:hint="eastAsia" w:cs="Times New Roman"/>
                <w:color w:val="auto"/>
                <w:sz w:val="24"/>
                <w:highlight w:val="none"/>
                <w:lang w:val="en-US" w:eastAsia="zh-CN"/>
              </w:rPr>
              <w:t>耐</w:t>
            </w:r>
            <w:r>
              <w:rPr>
                <w:rFonts w:hint="default" w:ascii="Times New Roman" w:hAnsi="Times New Roman" w:eastAsia="宋体" w:cs="Times New Roman"/>
                <w:color w:val="auto"/>
                <w:sz w:val="24"/>
                <w:highlight w:val="none"/>
                <w:lang w:val="en-US" w:eastAsia="zh-CN"/>
              </w:rPr>
              <w:t>高温布袋除尘器”处理效率按照影响因素最不利考虑，因此本项目选取95%进行计算。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②活性炭吸附装置</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活性炭吸附装置</w:t>
            </w:r>
            <w:r>
              <w:rPr>
                <w:rFonts w:hint="default" w:ascii="Times New Roman" w:hAnsi="Times New Roman" w:eastAsia="宋体" w:cs="Times New Roman"/>
                <w:color w:val="auto"/>
                <w:sz w:val="24"/>
                <w:highlight w:val="none"/>
              </w:rPr>
              <w:t>原理：利用活性炭或</w:t>
            </w:r>
            <w:r>
              <w:rPr>
                <w:rFonts w:hint="eastAsia" w:cs="Times New Roman"/>
                <w:color w:val="auto"/>
                <w:sz w:val="24"/>
                <w:highlight w:val="none"/>
                <w:lang w:eastAsia="zh-CN"/>
              </w:rPr>
              <w:t>碳纤维</w:t>
            </w:r>
            <w:r>
              <w:rPr>
                <w:rFonts w:hint="default" w:ascii="Times New Roman" w:hAnsi="Times New Roman" w:eastAsia="宋体" w:cs="Times New Roman"/>
                <w:color w:val="auto"/>
                <w:sz w:val="24"/>
                <w:highlight w:val="none"/>
              </w:rPr>
              <w:t>表面的高比表面积对废气中挥发性有机化合物进行吸附，从而达到净化效果。</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优点：在短时间内能吸附一定的污染物，主要是针对总挥发性有机物和异味。物理吸附，产品本身无二次污染。</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缺点：活性炭很容易达到吸附饱和，吸附达到饱和不再具有吸附能力时，就必须更换过滤材料，如不及时更换，其所吸附的污染物等将随时被释放出来形成二次污染。活性吸附饱和后，需要经过活化处理才能二次使用。活性炭吸附装置由活</w:t>
            </w:r>
            <w:r>
              <w:rPr>
                <w:rFonts w:hint="default" w:ascii="Times New Roman" w:hAnsi="Times New Roman" w:eastAsia="宋体" w:cs="Times New Roman"/>
                <w:color w:val="auto"/>
                <w:sz w:val="24"/>
                <w:szCs w:val="24"/>
                <w:highlight w:val="none"/>
              </w:rPr>
              <w:t>性炭、排气管和排风机、排气筒等组成。该装置在系统主风机的作用下，废气从塔进风口处进入吸附塔体内的各吸附单元，利用高性能活性炭吸附剂固体本身的表面作用力将有机废气分子吸附质吸附附着在吸附剂表面，经吸附后干净气体透过吸附单元进入塔体内的净化室并汇集至风口排出。</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本项目采用活性炭吸附设备对项目产生的有机废气进行处置，</w:t>
            </w: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292塑料制品行业系数手册</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2924泡沫塑料制造行业系数表中</w:t>
            </w:r>
            <w:r>
              <w:rPr>
                <w:rFonts w:hint="default" w:ascii="Times New Roman" w:hAnsi="Times New Roman" w:eastAsia="宋体" w:cs="Times New Roman"/>
                <w:color w:val="auto"/>
                <w:sz w:val="24"/>
                <w:szCs w:val="24"/>
                <w:highlight w:val="none"/>
              </w:rPr>
              <w:t>的产排污系数</w:t>
            </w:r>
            <w:r>
              <w:rPr>
                <w:rFonts w:hint="default" w:ascii="Times New Roman" w:hAnsi="Times New Roman" w:eastAsia="宋体" w:cs="Times New Roman"/>
                <w:color w:val="auto"/>
                <w:sz w:val="24"/>
                <w:szCs w:val="24"/>
                <w:highlight w:val="none"/>
                <w:lang w:val="en-US" w:eastAsia="zh-CN"/>
              </w:rPr>
              <w:t>可知，一般活性炭吸附装置的处理效率约为21%</w:t>
            </w:r>
            <w:r>
              <w:rPr>
                <w:rFonts w:hint="default" w:ascii="Times New Roman" w:hAnsi="Times New Roman" w:eastAsia="宋体" w:cs="Times New Roman"/>
                <w:color w:val="auto"/>
                <w:sz w:val="24"/>
                <w:szCs w:val="24"/>
              </w:rPr>
              <w:t>，而采用多级活性炭吸附装置（由1层吸附处理提高到</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层吸附处理），通过增加有机废气的停留时间，能有效提高处置效率，有机废气处置率可</w:t>
            </w:r>
            <w:r>
              <w:rPr>
                <w:rFonts w:hint="eastAsia" w:cs="Times New Roman"/>
                <w:color w:val="auto"/>
                <w:sz w:val="24"/>
                <w:szCs w:val="24"/>
                <w:lang w:val="en-US" w:eastAsia="zh-CN"/>
              </w:rPr>
              <w:t>60</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pacing w:val="6"/>
                <w:sz w:val="24"/>
                <w:szCs w:val="24"/>
                <w:highlight w:val="none"/>
                <w:lang w:val="en-US" w:eastAsia="zh-CN"/>
              </w:rPr>
              <w:t>，因此本项目选取</w:t>
            </w:r>
            <w:r>
              <w:rPr>
                <w:rFonts w:hint="eastAsia" w:cs="Times New Roman"/>
                <w:bCs/>
                <w:color w:val="auto"/>
                <w:spacing w:val="6"/>
                <w:sz w:val="24"/>
                <w:szCs w:val="24"/>
                <w:highlight w:val="none"/>
                <w:lang w:val="en-US" w:eastAsia="zh-CN"/>
              </w:rPr>
              <w:t>6</w:t>
            </w:r>
            <w:r>
              <w:rPr>
                <w:rFonts w:hint="default" w:ascii="Times New Roman" w:hAnsi="Times New Roman" w:eastAsia="宋体" w:cs="Times New Roman"/>
                <w:bCs/>
                <w:color w:val="auto"/>
                <w:spacing w:val="6"/>
                <w:sz w:val="24"/>
                <w:szCs w:val="24"/>
                <w:highlight w:val="none"/>
                <w:lang w:val="en-US" w:eastAsia="zh-CN"/>
              </w:rPr>
              <w:t>0%进行计算。</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综上所述，项目采用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处理废气</w:t>
            </w:r>
            <w:r>
              <w:rPr>
                <w:rFonts w:hint="default" w:ascii="Times New Roman" w:hAnsi="Times New Roman" w:eastAsia="宋体" w:cs="Times New Roman"/>
                <w:color w:val="auto"/>
                <w:sz w:val="24"/>
                <w:szCs w:val="24"/>
              </w:rPr>
              <w:t>可达标排放，故环保</w:t>
            </w:r>
            <w:r>
              <w:rPr>
                <w:rFonts w:hint="eastAsia" w:cs="Times New Roman"/>
                <w:color w:val="auto"/>
                <w:sz w:val="24"/>
                <w:szCs w:val="24"/>
                <w:lang w:eastAsia="zh-CN"/>
              </w:rPr>
              <w:t>设施</w:t>
            </w:r>
            <w:r>
              <w:rPr>
                <w:rFonts w:hint="default" w:ascii="Times New Roman" w:hAnsi="Times New Roman" w:eastAsia="宋体" w:cs="Times New Roman"/>
                <w:color w:val="auto"/>
                <w:sz w:val="24"/>
                <w:szCs w:val="24"/>
              </w:rPr>
              <w:t>设置合理。</w:t>
            </w:r>
          </w:p>
          <w:p>
            <w:pPr>
              <w:widowControl/>
              <w:spacing w:line="360" w:lineRule="auto"/>
              <w:ind w:firstLine="482" w:firstLineChars="200"/>
              <w:jc w:val="left"/>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4、无组织排放废气防治措施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本项目无组织废气为未收集的有机废气。为了进一步减少废气对生产车间环境空气的影响和保障工人健康，建议建设单位采取下列措施：</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①加强生产车间内通风，并设置较强的排风系统；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②提高集气罩废气收集效率，加强</w:t>
            </w:r>
            <w:r>
              <w:rPr>
                <w:rFonts w:hint="eastAsia" w:cs="Times New Roman"/>
                <w:color w:val="auto"/>
                <w:sz w:val="24"/>
                <w:highlight w:val="none"/>
                <w:lang w:val="en-US" w:eastAsia="zh-CN"/>
              </w:rPr>
              <w:t>发泡、成型</w:t>
            </w:r>
            <w:r>
              <w:rPr>
                <w:rFonts w:hint="default" w:ascii="Times New Roman" w:hAnsi="Times New Roman" w:eastAsia="宋体" w:cs="Times New Roman"/>
                <w:color w:val="auto"/>
                <w:sz w:val="24"/>
                <w:highlight w:val="none"/>
                <w:lang w:val="en-US" w:eastAsia="zh-CN"/>
              </w:rPr>
              <w:t>工段的风量控制，确保生产过程产生的废气能够有效收集；</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③加强设备维护，防止不良工况下的有机废气产生；</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④建议生产车间操作人员操作时佩戴口罩；</w:t>
            </w:r>
          </w:p>
          <w:p>
            <w:pPr>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⑤加强操作工的培训和管理，所有操作严格按照既定的规程进行，以减少人为造成的对环境的污染。</w:t>
            </w:r>
          </w:p>
          <w:p>
            <w:pPr>
              <w:widowControl/>
              <w:spacing w:line="360" w:lineRule="auto"/>
              <w:ind w:firstLine="482" w:firstLineChars="200"/>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5</w:t>
            </w:r>
            <w:r>
              <w:rPr>
                <w:rFonts w:hint="default" w:ascii="Times New Roman" w:hAnsi="Times New Roman" w:eastAsia="宋体" w:cs="Times New Roman"/>
                <w:b/>
                <w:color w:val="auto"/>
                <w:sz w:val="24"/>
                <w:highlight w:val="none"/>
              </w:rPr>
              <w:t>、监测要求</w:t>
            </w:r>
          </w:p>
          <w:p>
            <w:pPr>
              <w:adjustRightInd w:val="0"/>
              <w:snapToGrid w:val="0"/>
              <w:spacing w:line="360" w:lineRule="auto"/>
              <w:ind w:firstLine="480"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Cs/>
                <w:color w:val="auto"/>
                <w:sz w:val="24"/>
                <w:highlight w:val="none"/>
              </w:rPr>
              <w:t>根</w:t>
            </w:r>
            <w:r>
              <w:rPr>
                <w:rFonts w:hint="default" w:ascii="Times New Roman" w:hAnsi="Times New Roman" w:eastAsia="宋体" w:cs="Times New Roman"/>
                <w:bCs/>
                <w:color w:val="auto"/>
                <w:sz w:val="24"/>
                <w:szCs w:val="24"/>
                <w:highlight w:val="none"/>
              </w:rPr>
              <w:t>据</w:t>
            </w:r>
            <w:r>
              <w:rPr>
                <w:rFonts w:hint="default" w:ascii="Times New Roman" w:hAnsi="Times New Roman" w:eastAsia="宋体" w:cs="Times New Roman"/>
                <w:color w:val="auto"/>
                <w:sz w:val="24"/>
                <w:szCs w:val="24"/>
                <w:lang w:bidi="ar"/>
              </w:rPr>
              <w:t>《排污单位自行监测技术指南</w:t>
            </w:r>
            <w:r>
              <w:rPr>
                <w:rFonts w:hint="default" w:ascii="Times New Roman" w:hAnsi="Times New Roman" w:eastAsia="宋体" w:cs="Times New Roman"/>
                <w:color w:val="auto"/>
                <w:sz w:val="24"/>
                <w:szCs w:val="24"/>
                <w:lang w:val="en-US" w:eastAsia="zh-CN" w:bidi="ar"/>
              </w:rPr>
              <w:t xml:space="preserve"> 橡胶和塑料制品</w:t>
            </w:r>
            <w:r>
              <w:rPr>
                <w:rFonts w:hint="default" w:ascii="Times New Roman" w:hAnsi="Times New Roman" w:eastAsia="宋体" w:cs="Times New Roman"/>
                <w:color w:val="auto"/>
                <w:sz w:val="24"/>
                <w:szCs w:val="24"/>
                <w:lang w:bidi="ar"/>
              </w:rPr>
              <w:t>》（HJ</w:t>
            </w:r>
            <w:r>
              <w:rPr>
                <w:rFonts w:hint="default" w:ascii="Times New Roman" w:hAnsi="Times New Roman" w:eastAsia="宋体" w:cs="Times New Roman"/>
                <w:color w:val="auto"/>
                <w:sz w:val="24"/>
                <w:szCs w:val="24"/>
                <w:lang w:val="en-US" w:eastAsia="zh-CN" w:bidi="ar"/>
              </w:rPr>
              <w:t>1207-2021</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val="en-US" w:eastAsia="zh-CN" w:bidi="ar"/>
              </w:rPr>
              <w:t>及</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val="en-US" w:eastAsia="zh-CN" w:bidi="ar"/>
              </w:rPr>
              <w:t>排污单位自行监测技术指南 火力发电及锅炉</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color w:val="auto"/>
                <w:sz w:val="24"/>
                <w:szCs w:val="24"/>
                <w:lang w:val="en-US" w:eastAsia="zh-CN" w:bidi="ar"/>
              </w:rPr>
              <w:t>HJ 820-2017</w:t>
            </w:r>
            <w:r>
              <w:rPr>
                <w:rFonts w:hint="default" w:ascii="Times New Roman" w:hAnsi="Times New Roman" w:eastAsia="宋体" w:cs="Times New Roman"/>
                <w:color w:val="auto"/>
                <w:sz w:val="24"/>
                <w:szCs w:val="24"/>
                <w:lang w:eastAsia="zh-CN" w:bidi="ar"/>
              </w:rPr>
              <w:t>）</w:t>
            </w:r>
            <w:r>
              <w:rPr>
                <w:rFonts w:hint="default" w:ascii="Times New Roman" w:hAnsi="Times New Roman" w:eastAsia="宋体" w:cs="Times New Roman"/>
                <w:bCs/>
                <w:color w:val="auto"/>
                <w:sz w:val="24"/>
                <w:szCs w:val="24"/>
                <w:highlight w:val="none"/>
              </w:rPr>
              <w:t>，项</w:t>
            </w:r>
            <w:r>
              <w:rPr>
                <w:rFonts w:hint="default" w:ascii="Times New Roman" w:hAnsi="Times New Roman" w:eastAsia="宋体" w:cs="Times New Roman"/>
                <w:bCs/>
                <w:color w:val="auto"/>
                <w:sz w:val="24"/>
                <w:highlight w:val="none"/>
              </w:rPr>
              <w:t>目的监测计划如表4-</w:t>
            </w:r>
            <w:r>
              <w:rPr>
                <w:rFonts w:hint="default" w:ascii="Times New Roman" w:hAnsi="Times New Roman" w:eastAsia="宋体" w:cs="Times New Roman"/>
                <w:bCs/>
                <w:color w:val="auto"/>
                <w:sz w:val="24"/>
                <w:highlight w:val="none"/>
                <w:lang w:val="en-US" w:eastAsia="zh-CN"/>
              </w:rPr>
              <w:t>16</w:t>
            </w:r>
            <w:r>
              <w:rPr>
                <w:rFonts w:hint="default" w:ascii="Times New Roman" w:hAnsi="Times New Roman" w:eastAsia="宋体" w:cs="Times New Roman"/>
                <w:bCs/>
                <w:color w:val="auto"/>
                <w:sz w:val="24"/>
                <w:highlight w:val="none"/>
              </w:rPr>
              <w:t>。</w:t>
            </w:r>
          </w:p>
          <w:p>
            <w:pPr>
              <w:tabs>
                <w:tab w:val="left" w:pos="630"/>
              </w:tabs>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表4-</w:t>
            </w:r>
            <w:r>
              <w:rPr>
                <w:rFonts w:hint="default" w:ascii="Times New Roman" w:hAnsi="Times New Roman" w:eastAsia="宋体" w:cs="Times New Roman"/>
                <w:b/>
                <w:color w:val="auto"/>
                <w:szCs w:val="21"/>
                <w:highlight w:val="none"/>
                <w:lang w:val="en-US" w:eastAsia="zh-CN"/>
              </w:rPr>
              <w:t>16</w:t>
            </w:r>
            <w:r>
              <w:rPr>
                <w:rFonts w:hint="default" w:ascii="Times New Roman" w:hAnsi="Times New Roman" w:eastAsia="宋体" w:cs="Times New Roman"/>
                <w:b/>
                <w:color w:val="auto"/>
                <w:szCs w:val="21"/>
                <w:highlight w:val="none"/>
              </w:rPr>
              <w:t xml:space="preserve">  自行监测计划</w:t>
            </w:r>
          </w:p>
          <w:tbl>
            <w:tblPr>
              <w:tblStyle w:val="28"/>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047"/>
              <w:gridCol w:w="854"/>
              <w:gridCol w:w="1879"/>
              <w:gridCol w:w="314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1047"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854"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879"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3143"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1054" w:type="dxa"/>
                  <w:vAlign w:val="center"/>
                </w:tcPr>
                <w:p>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21" w:type="dxa"/>
                  <w:vMerge w:val="restart"/>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1047" w:type="dxa"/>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锅炉燃料燃烧</w:t>
                  </w:r>
                </w:p>
              </w:tc>
              <w:tc>
                <w:tcPr>
                  <w:tcW w:w="854" w:type="dxa"/>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有组织</w:t>
                  </w:r>
                </w:p>
              </w:tc>
              <w:tc>
                <w:tcPr>
                  <w:tcW w:w="1879" w:type="dxa"/>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排气口（DA001）</w:t>
                  </w:r>
                </w:p>
              </w:tc>
              <w:tc>
                <w:tcPr>
                  <w:tcW w:w="3143" w:type="dxa"/>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r>
                    <w:rPr>
                      <w:rFonts w:hint="default" w:ascii="Times New Roman" w:hAnsi="Times New Roman" w:eastAsia="宋体" w:cs="Times New Roman"/>
                      <w:iCs/>
                      <w:color w:val="auto"/>
                      <w:sz w:val="21"/>
                      <w:szCs w:val="21"/>
                      <w:highlight w:val="none"/>
                    </w:rPr>
                    <w:t>SO</w:t>
                  </w:r>
                  <w:r>
                    <w:rPr>
                      <w:rFonts w:hint="default" w:ascii="Times New Roman" w:hAnsi="Times New Roman" w:eastAsia="宋体" w:cs="Times New Roman"/>
                      <w:iCs/>
                      <w:color w:val="auto"/>
                      <w:sz w:val="21"/>
                      <w:szCs w:val="21"/>
                      <w:highlight w:val="none"/>
                      <w:vertAlign w:val="subscript"/>
                    </w:rPr>
                    <w:t>2</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eastAsia="宋体" w:cs="Times New Roman"/>
                      <w:bCs/>
                      <w:color w:val="auto"/>
                      <w:sz w:val="21"/>
                      <w:szCs w:val="21"/>
                    </w:rPr>
                    <w:t>NO</w:t>
                  </w:r>
                  <w:r>
                    <w:rPr>
                      <w:rFonts w:hint="default" w:ascii="Times New Roman" w:hAnsi="Times New Roman" w:eastAsia="宋体" w:cs="Times New Roman"/>
                      <w:bCs/>
                      <w:color w:val="auto"/>
                      <w:sz w:val="21"/>
                      <w:szCs w:val="21"/>
                      <w:vertAlign w:val="subscript"/>
                      <w:lang w:val="en-US" w:eastAsia="zh-CN"/>
                    </w:rPr>
                    <w:t>X</w:t>
                  </w:r>
                </w:p>
              </w:tc>
              <w:tc>
                <w:tcPr>
                  <w:tcW w:w="1054" w:type="dxa"/>
                  <w:vAlign w:val="center"/>
                </w:tcPr>
                <w:p>
                  <w:pPr>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1" w:type="dxa"/>
                  <w:vMerge w:val="continue"/>
                  <w:vAlign w:val="center"/>
                </w:tcPr>
                <w:p>
                  <w:pPr>
                    <w:jc w:val="center"/>
                    <w:rPr>
                      <w:rFonts w:hint="default" w:ascii="Times New Roman" w:hAnsi="Times New Roman" w:eastAsia="宋体" w:cs="Times New Roman"/>
                      <w:bCs/>
                      <w:color w:val="auto"/>
                      <w:szCs w:val="21"/>
                      <w:highlight w:val="none"/>
                    </w:rPr>
                  </w:pPr>
                </w:p>
              </w:tc>
              <w:tc>
                <w:tcPr>
                  <w:tcW w:w="1047" w:type="dxa"/>
                  <w:vMerge w:val="restart"/>
                  <w:vAlign w:val="center"/>
                </w:tcPr>
                <w:p>
                  <w:pPr>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发泡、成型</w:t>
                  </w:r>
                </w:p>
              </w:tc>
              <w:tc>
                <w:tcPr>
                  <w:tcW w:w="854" w:type="dxa"/>
                  <w:vMerge w:val="restar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有组织</w:t>
                  </w:r>
                </w:p>
              </w:tc>
              <w:tc>
                <w:tcPr>
                  <w:tcW w:w="1879" w:type="dxa"/>
                  <w:vMerge w:val="restart"/>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w:t>
                  </w:r>
                  <w:r>
                    <w:rPr>
                      <w:rFonts w:hint="default" w:ascii="Times New Roman" w:hAnsi="Times New Roman" w:eastAsia="宋体" w:cs="Times New Roman"/>
                      <w:bCs/>
                      <w:snapToGrid w:val="0"/>
                      <w:color w:val="auto"/>
                      <w:kern w:val="0"/>
                      <w:szCs w:val="21"/>
                      <w:highlight w:val="none"/>
                      <w:lang w:val="en-US" w:eastAsia="zh-CN"/>
                    </w:rPr>
                    <w:t>2</w:t>
                  </w:r>
                  <w:r>
                    <w:rPr>
                      <w:rFonts w:hint="default" w:ascii="Times New Roman" w:hAnsi="Times New Roman" w:eastAsia="宋体" w:cs="Times New Roman"/>
                      <w:bCs/>
                      <w:snapToGrid w:val="0"/>
                      <w:color w:val="auto"/>
                      <w:kern w:val="0"/>
                      <w:szCs w:val="21"/>
                      <w:highlight w:val="none"/>
                    </w:rPr>
                    <w:t>）</w:t>
                  </w:r>
                </w:p>
              </w:tc>
              <w:tc>
                <w:tcPr>
                  <w:tcW w:w="3143" w:type="dxa"/>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color w:val="auto"/>
                      <w:sz w:val="21"/>
                      <w:szCs w:val="21"/>
                      <w:highlight w:val="none"/>
                      <w:lang w:val="en-US" w:eastAsia="zh-CN"/>
                    </w:rPr>
                    <w:t>甲苯、乙苯、苯乙烯</w:t>
                  </w:r>
                  <w:r>
                    <w:rPr>
                      <w:rFonts w:hint="eastAsia" w:cs="Times New Roman"/>
                      <w:color w:val="auto"/>
                      <w:sz w:val="21"/>
                      <w:szCs w:val="21"/>
                      <w:highlight w:val="none"/>
                      <w:lang w:val="en-US" w:eastAsia="zh-CN"/>
                    </w:rPr>
                    <w:t>、臭气浓度</w:t>
                  </w:r>
                </w:p>
              </w:tc>
              <w:tc>
                <w:tcPr>
                  <w:tcW w:w="1054" w:type="dxa"/>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1" w:type="dxa"/>
                  <w:vMerge w:val="continue"/>
                  <w:vAlign w:val="center"/>
                </w:tcPr>
                <w:p>
                  <w:pPr>
                    <w:jc w:val="center"/>
                    <w:rPr>
                      <w:color w:val="auto"/>
                    </w:rPr>
                  </w:pPr>
                </w:p>
              </w:tc>
              <w:tc>
                <w:tcPr>
                  <w:tcW w:w="1047" w:type="dxa"/>
                  <w:vMerge w:val="continue"/>
                  <w:vAlign w:val="center"/>
                </w:tcPr>
                <w:p>
                  <w:pPr>
                    <w:jc w:val="center"/>
                    <w:rPr>
                      <w:color w:val="auto"/>
                    </w:rPr>
                  </w:pPr>
                </w:p>
              </w:tc>
              <w:tc>
                <w:tcPr>
                  <w:tcW w:w="854" w:type="dxa"/>
                  <w:vMerge w:val="continue"/>
                  <w:vAlign w:val="center"/>
                </w:tcPr>
                <w:p>
                  <w:pPr>
                    <w:jc w:val="center"/>
                    <w:rPr>
                      <w:color w:val="auto"/>
                    </w:rPr>
                  </w:pPr>
                </w:p>
              </w:tc>
              <w:tc>
                <w:tcPr>
                  <w:tcW w:w="1879" w:type="dxa"/>
                  <w:vMerge w:val="continue"/>
                  <w:vAlign w:val="center"/>
                </w:tcPr>
                <w:p>
                  <w:pPr>
                    <w:jc w:val="center"/>
                    <w:rPr>
                      <w:color w:val="auto"/>
                    </w:rPr>
                  </w:pPr>
                </w:p>
              </w:tc>
              <w:tc>
                <w:tcPr>
                  <w:tcW w:w="3143"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非甲烷总烃</w:t>
                  </w:r>
                </w:p>
              </w:tc>
              <w:tc>
                <w:tcPr>
                  <w:tcW w:w="1054"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eastAsia" w:cs="Times New Roman"/>
                      <w:color w:val="auto"/>
                      <w:szCs w:val="21"/>
                      <w:highlight w:val="none"/>
                      <w:lang w:eastAsia="zh-CN" w:bidi="ar"/>
                    </w:rPr>
                    <w:t>半</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1" w:type="dxa"/>
                  <w:vMerge w:val="continue"/>
                  <w:vAlign w:val="center"/>
                </w:tcPr>
                <w:p>
                  <w:pPr>
                    <w:jc w:val="center"/>
                    <w:rPr>
                      <w:rFonts w:hint="default" w:ascii="Times New Roman" w:hAnsi="Times New Roman" w:eastAsia="宋体" w:cs="Times New Roman"/>
                      <w:bCs/>
                      <w:color w:val="auto"/>
                      <w:szCs w:val="21"/>
                      <w:highlight w:val="none"/>
                    </w:rPr>
                  </w:pPr>
                </w:p>
              </w:tc>
              <w:tc>
                <w:tcPr>
                  <w:tcW w:w="1047" w:type="dxa"/>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发泡、成型</w:t>
                  </w:r>
                </w:p>
              </w:tc>
              <w:tc>
                <w:tcPr>
                  <w:tcW w:w="854" w:type="dxa"/>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879" w:type="dxa"/>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w:t>
                  </w:r>
                  <w:r>
                    <w:rPr>
                      <w:rFonts w:hint="eastAsia" w:cs="Times New Roman"/>
                      <w:bCs/>
                      <w:snapToGrid w:val="0"/>
                      <w:color w:val="auto"/>
                      <w:kern w:val="0"/>
                      <w:szCs w:val="21"/>
                      <w:highlight w:val="none"/>
                      <w:lang w:val="en-US" w:eastAsia="zh-CN"/>
                    </w:rPr>
                    <w:t>3</w:t>
                  </w:r>
                  <w:r>
                    <w:rPr>
                      <w:rFonts w:hint="default" w:ascii="Times New Roman" w:hAnsi="Times New Roman" w:eastAsia="宋体" w:cs="Times New Roman"/>
                      <w:bCs/>
                      <w:snapToGrid w:val="0"/>
                      <w:color w:val="auto"/>
                      <w:kern w:val="0"/>
                      <w:szCs w:val="21"/>
                      <w:highlight w:val="none"/>
                    </w:rPr>
                    <w:t>个监控点</w:t>
                  </w:r>
                </w:p>
              </w:tc>
              <w:tc>
                <w:tcPr>
                  <w:tcW w:w="3143" w:type="dxa"/>
                  <w:vAlign w:val="center"/>
                </w:tcPr>
                <w:p>
                  <w:pPr>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颗粒物、</w:t>
                  </w:r>
                  <w:r>
                    <w:rPr>
                      <w:rFonts w:hint="default" w:ascii="Times New Roman" w:hAnsi="Times New Roman" w:eastAsia="宋体" w:cs="Times New Roman"/>
                      <w:color w:val="auto"/>
                      <w:sz w:val="21"/>
                      <w:szCs w:val="21"/>
                      <w:highlight w:val="none"/>
                      <w:lang w:val="en-US" w:eastAsia="zh-CN"/>
                    </w:rPr>
                    <w:t>甲苯、乙苯、苯乙烯、非甲烷总烃</w:t>
                  </w:r>
                  <w:r>
                    <w:rPr>
                      <w:rFonts w:hint="default" w:ascii="Times New Roman" w:hAnsi="Times New Roman" w:eastAsia="宋体" w:cs="Times New Roman"/>
                      <w:bCs/>
                      <w:color w:val="auto"/>
                      <w:szCs w:val="21"/>
                      <w:highlight w:val="none"/>
                      <w:lang w:val="en-US" w:eastAsia="zh-CN"/>
                    </w:rPr>
                    <w:t>、臭气浓度</w:t>
                  </w:r>
                </w:p>
              </w:tc>
              <w:tc>
                <w:tcPr>
                  <w:tcW w:w="1054" w:type="dxa"/>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Merge w:val="continue"/>
                  <w:vAlign w:val="center"/>
                </w:tcPr>
                <w:p>
                  <w:pPr>
                    <w:jc w:val="center"/>
                    <w:rPr>
                      <w:rFonts w:hint="default" w:ascii="Times New Roman" w:hAnsi="Times New Roman" w:eastAsia="宋体" w:cs="Times New Roman"/>
                      <w:bCs/>
                      <w:color w:val="auto"/>
                      <w:szCs w:val="21"/>
                      <w:highlight w:val="none"/>
                    </w:rPr>
                  </w:pPr>
                </w:p>
              </w:tc>
              <w:tc>
                <w:tcPr>
                  <w:tcW w:w="1901" w:type="dxa"/>
                  <w:gridSpan w:val="2"/>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厂内无组织</w:t>
                  </w:r>
                </w:p>
              </w:tc>
              <w:tc>
                <w:tcPr>
                  <w:tcW w:w="1879" w:type="dxa"/>
                  <w:vAlign w:val="center"/>
                </w:tcPr>
                <w:p>
                  <w:pPr>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生产车间</w:t>
                  </w:r>
                  <w:r>
                    <w:rPr>
                      <w:rFonts w:hint="eastAsia" w:cs="Times New Roman"/>
                      <w:bCs/>
                      <w:snapToGrid w:val="0"/>
                      <w:color w:val="auto"/>
                      <w:kern w:val="0"/>
                      <w:szCs w:val="21"/>
                      <w:highlight w:val="none"/>
                      <w:lang w:eastAsia="zh-CN"/>
                    </w:rPr>
                    <w:t>外厂区</w:t>
                  </w:r>
                  <w:r>
                    <w:rPr>
                      <w:rFonts w:hint="default" w:ascii="Times New Roman" w:hAnsi="Times New Roman" w:eastAsia="宋体" w:cs="Times New Roman"/>
                      <w:bCs/>
                      <w:snapToGrid w:val="0"/>
                      <w:color w:val="auto"/>
                      <w:kern w:val="0"/>
                      <w:szCs w:val="21"/>
                      <w:highlight w:val="none"/>
                    </w:rPr>
                    <w:t>内设置1个监测点</w:t>
                  </w:r>
                </w:p>
              </w:tc>
              <w:tc>
                <w:tcPr>
                  <w:tcW w:w="3143" w:type="dxa"/>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挥发性有机物（以</w:t>
                  </w:r>
                  <w:r>
                    <w:rPr>
                      <w:rFonts w:hint="default" w:ascii="Times New Roman" w:hAnsi="Times New Roman" w:eastAsia="宋体" w:cs="Times New Roman"/>
                      <w:bCs/>
                      <w:color w:val="auto"/>
                      <w:szCs w:val="21"/>
                      <w:highlight w:val="none"/>
                    </w:rPr>
                    <w:t>非甲烷总烃</w:t>
                  </w:r>
                  <w:r>
                    <w:rPr>
                      <w:rFonts w:hint="default" w:ascii="Times New Roman" w:hAnsi="Times New Roman" w:eastAsia="宋体" w:cs="Times New Roman"/>
                      <w:bCs/>
                      <w:color w:val="auto"/>
                      <w:szCs w:val="21"/>
                      <w:highlight w:val="none"/>
                      <w:lang w:val="en-US" w:eastAsia="zh-CN"/>
                    </w:rPr>
                    <w:t>计）</w:t>
                  </w:r>
                </w:p>
              </w:tc>
              <w:tc>
                <w:tcPr>
                  <w:tcW w:w="1054" w:type="dxa"/>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lang w:bidi="ar"/>
                    </w:rPr>
                    <w:t>1次/</w:t>
                  </w:r>
                  <w:r>
                    <w:rPr>
                      <w:rFonts w:hint="default" w:ascii="Times New Roman" w:hAnsi="Times New Roman" w:eastAsia="宋体" w:cs="Times New Roman"/>
                      <w:color w:val="auto"/>
                      <w:szCs w:val="21"/>
                      <w:highlight w:val="none"/>
                      <w:lang w:val="en-US" w:eastAsia="zh-CN" w:bidi="ar"/>
                    </w:rPr>
                    <w:t>年</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0"/>
                <w:highlight w:val="none"/>
                <w:lang w:val="zh-CN" w:bidi="ar"/>
              </w:rPr>
            </w:pPr>
            <w:r>
              <w:rPr>
                <w:rFonts w:hint="default" w:ascii="Times New Roman" w:hAnsi="Times New Roman" w:eastAsia="宋体" w:cs="Times New Roman"/>
                <w:b/>
                <w:color w:val="auto"/>
                <w:sz w:val="24"/>
                <w:szCs w:val="20"/>
                <w:highlight w:val="none"/>
                <w:lang w:val="en-US" w:eastAsia="zh-CN" w:bidi="ar"/>
              </w:rPr>
              <w:t>二</w:t>
            </w:r>
            <w:r>
              <w:rPr>
                <w:rFonts w:hint="default" w:ascii="Times New Roman" w:hAnsi="Times New Roman" w:eastAsia="宋体" w:cs="Times New Roman"/>
                <w:b/>
                <w:color w:val="auto"/>
                <w:sz w:val="24"/>
                <w:szCs w:val="20"/>
                <w:highlight w:val="none"/>
                <w:lang w:val="zh-CN" w:bidi="ar"/>
              </w:rPr>
              <w:t>、地表水环境影响分析</w:t>
            </w:r>
          </w:p>
          <w:p>
            <w:pPr>
              <w:adjustRightInd w:val="0"/>
              <w:snapToGrid w:val="0"/>
              <w:spacing w:line="360" w:lineRule="auto"/>
              <w:ind w:firstLine="482" w:firstLineChars="200"/>
              <w:rPr>
                <w:rFonts w:hint="default" w:ascii="Times New Roman" w:hAnsi="Times New Roman" w:eastAsia="宋体" w:cs="Times New Roman"/>
                <w:b/>
                <w:color w:val="auto"/>
                <w:sz w:val="24"/>
                <w:szCs w:val="20"/>
                <w:highlight w:val="none"/>
                <w:lang w:val="en-US" w:bidi="ar"/>
              </w:rPr>
            </w:pPr>
            <w:r>
              <w:rPr>
                <w:rFonts w:hint="default" w:ascii="Times New Roman" w:hAnsi="Times New Roman" w:eastAsia="宋体" w:cs="Times New Roman"/>
                <w:b/>
                <w:bCs/>
                <w:color w:val="auto"/>
                <w:sz w:val="24"/>
                <w:szCs w:val="24"/>
                <w:highlight w:val="none"/>
                <w:lang w:val="en-US" w:eastAsia="zh-CN"/>
              </w:rPr>
              <w:t>1、污染源分析</w:t>
            </w:r>
          </w:p>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val="0"/>
                <w:color w:val="auto"/>
                <w:spacing w:val="-10"/>
                <w:sz w:val="21"/>
                <w:szCs w:val="21"/>
                <w:highlight w:val="none"/>
                <w:lang w:val="en-US" w:eastAsia="zh-CN"/>
              </w:rPr>
              <w:t>表4-17  项目区废水产排情况统计表</w:t>
            </w:r>
          </w:p>
          <w:tbl>
            <w:tblPr>
              <w:tblStyle w:val="28"/>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526"/>
              <w:gridCol w:w="971"/>
              <w:gridCol w:w="758"/>
              <w:gridCol w:w="797"/>
              <w:gridCol w:w="811"/>
              <w:gridCol w:w="763"/>
              <w:gridCol w:w="774"/>
              <w:gridCol w:w="81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产污排污环节</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生活污水</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产生量（</w:t>
                  </w:r>
                  <w:r>
                    <w:rPr>
                      <w:rFonts w:hint="default" w:ascii="Times New Roman" w:hAnsi="Times New Roman" w:eastAsia="宋体" w:cs="Times New Roman"/>
                      <w:b/>
                      <w:bCs w:val="0"/>
                      <w:color w:val="auto"/>
                      <w:kern w:val="2"/>
                      <w:sz w:val="21"/>
                      <w:szCs w:val="21"/>
                      <w:highlight w:val="none"/>
                      <w:lang w:val="zh-CN" w:eastAsia="zh-CN" w:bidi="ar"/>
                    </w:rPr>
                    <w:t>m</w:t>
                  </w:r>
                  <w:r>
                    <w:rPr>
                      <w:rFonts w:hint="default" w:ascii="Times New Roman" w:hAnsi="Times New Roman" w:eastAsia="宋体" w:cs="Times New Roman"/>
                      <w:b/>
                      <w:bCs w:val="0"/>
                      <w:color w:val="auto"/>
                      <w:kern w:val="2"/>
                      <w:sz w:val="21"/>
                      <w:szCs w:val="21"/>
                      <w:highlight w:val="none"/>
                      <w:vertAlign w:val="superscript"/>
                      <w:lang w:val="zh-CN" w:eastAsia="zh-CN" w:bidi="ar"/>
                    </w:rPr>
                    <w:t>3</w:t>
                  </w:r>
                  <w:r>
                    <w:rPr>
                      <w:rFonts w:hint="default" w:ascii="Times New Roman" w:hAnsi="Times New Roman" w:eastAsia="宋体" w:cs="Times New Roman"/>
                      <w:b/>
                      <w:bCs w:val="0"/>
                      <w:color w:val="auto"/>
                      <w:kern w:val="2"/>
                      <w:sz w:val="21"/>
                      <w:szCs w:val="21"/>
                      <w:highlight w:val="none"/>
                      <w:lang w:val="zh-CN" w:eastAsia="zh-CN" w:bidi="ar"/>
                    </w:rPr>
                    <w:t>/a</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color w:val="auto"/>
                      <w:spacing w:val="11"/>
                      <w:sz w:val="21"/>
                      <w:szCs w:val="21"/>
                      <w:highlight w:val="none"/>
                      <w:lang w:val="en-US" w:eastAsia="zh-CN"/>
                    </w:rPr>
                    <w:t>1728</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pacing w:val="11"/>
                      <w:sz w:val="21"/>
                      <w:szCs w:val="21"/>
                      <w:highlight w:val="none"/>
                      <w:lang w:val="en-US" w:eastAsia="zh-CN"/>
                    </w:rPr>
                  </w:pPr>
                  <w:r>
                    <w:rPr>
                      <w:rFonts w:hint="eastAsia" w:cs="Times New Roman"/>
                      <w:i w:val="0"/>
                      <w:iCs w:val="0"/>
                      <w:color w:val="auto"/>
                      <w:kern w:val="0"/>
                      <w:sz w:val="21"/>
                      <w:szCs w:val="21"/>
                      <w:highlight w:val="none"/>
                      <w:u w:val="none"/>
                      <w:lang w:val="en-US" w:eastAsia="zh-CN" w:bidi="ar"/>
                    </w:rPr>
                    <w:t>2224.8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污染物种类</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w:t>
                  </w:r>
                </w:p>
              </w:tc>
              <w:tc>
                <w:tcPr>
                  <w:tcW w:w="797"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BOD</w:t>
                  </w:r>
                  <w:r>
                    <w:rPr>
                      <w:rFonts w:hint="default" w:ascii="Times New Roman" w:hAnsi="Times New Roman" w:eastAsia="宋体" w:cs="Times New Roman"/>
                      <w:b w:val="0"/>
                      <w:bCs/>
                      <w:color w:val="auto"/>
                      <w:spacing w:val="-10"/>
                      <w:sz w:val="21"/>
                      <w:szCs w:val="21"/>
                      <w:highlight w:val="none"/>
                      <w:vertAlign w:val="subscript"/>
                      <w:lang w:val="en-US" w:eastAsia="zh-CN"/>
                    </w:rPr>
                    <w:t>5</w:t>
                  </w:r>
                </w:p>
              </w:tc>
              <w:tc>
                <w:tcPr>
                  <w:tcW w:w="81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76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氨氮</w:t>
                  </w:r>
                </w:p>
              </w:tc>
              <w:tc>
                <w:tcPr>
                  <w:tcW w:w="774" w:type="dxa"/>
                  <w:noWrap w:val="0"/>
                  <w:vAlign w:val="center"/>
                </w:tcPr>
                <w:p>
                  <w:pPr>
                    <w:keepNext w:val="0"/>
                    <w:keepLines w:val="0"/>
                    <w:pageBreakBefore w:val="0"/>
                    <w:numPr>
                      <w:ilvl w:val="0"/>
                      <w:numId w:val="0"/>
                    </w:numPr>
                    <w:tabs>
                      <w:tab w:val="left" w:pos="342"/>
                    </w:tabs>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总磷</w:t>
                  </w:r>
                </w:p>
              </w:tc>
              <w:tc>
                <w:tcPr>
                  <w:tcW w:w="816"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动植物油</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
                    </w:rPr>
                  </w:pPr>
                  <w:r>
                    <w:rPr>
                      <w:rFonts w:hint="default" w:ascii="Times New Roman" w:hAnsi="Times New Roman" w:eastAsia="宋体" w:cs="Times New Roman"/>
                      <w:color w:val="auto"/>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kern w:val="2"/>
                      <w:sz w:val="21"/>
                      <w:szCs w:val="21"/>
                      <w:highlight w:val="none"/>
                      <w:vertAlign w:val="baseline"/>
                      <w:lang w:val="en-US" w:eastAsia="zh-CN" w:bidi="ar-SA"/>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污染物产生量（t/a）</w:t>
                  </w:r>
                </w:p>
              </w:tc>
              <w:tc>
                <w:tcPr>
                  <w:tcW w:w="7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8986</w:t>
                  </w:r>
                </w:p>
              </w:tc>
              <w:tc>
                <w:tcPr>
                  <w:tcW w:w="79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3456</w:t>
                  </w:r>
                </w:p>
              </w:tc>
              <w:tc>
                <w:tcPr>
                  <w:tcW w:w="8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w:t>
                  </w:r>
                  <w:r>
                    <w:rPr>
                      <w:rFonts w:hint="eastAsia" w:cs="Times New Roman"/>
                      <w:b w:val="0"/>
                      <w:bCs/>
                      <w:color w:val="auto"/>
                      <w:spacing w:val="-10"/>
                      <w:kern w:val="2"/>
                      <w:sz w:val="21"/>
                      <w:szCs w:val="21"/>
                      <w:highlight w:val="none"/>
                      <w:vertAlign w:val="baseline"/>
                      <w:lang w:val="en-US" w:eastAsia="zh-CN" w:bidi="ar-SA"/>
                    </w:rPr>
                    <w:t>3456</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691</w:t>
                  </w:r>
                </w:p>
              </w:tc>
              <w:tc>
                <w:tcPr>
                  <w:tcW w:w="7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kern w:val="2"/>
                      <w:sz w:val="21"/>
                      <w:szCs w:val="21"/>
                      <w:highlight w:val="none"/>
                      <w:vertAlign w:val="baseline"/>
                      <w:lang w:val="en-US" w:eastAsia="zh-CN" w:bidi="ar-SA"/>
                    </w:rPr>
                  </w:pPr>
                  <w:r>
                    <w:rPr>
                      <w:rFonts w:hint="default" w:ascii="Times New Roman" w:hAnsi="Times New Roman" w:eastAsia="宋体" w:cs="Times New Roman"/>
                      <w:b w:val="0"/>
                      <w:bCs/>
                      <w:color w:val="auto"/>
                      <w:spacing w:val="-10"/>
                      <w:kern w:val="2"/>
                      <w:sz w:val="21"/>
                      <w:szCs w:val="21"/>
                      <w:highlight w:val="none"/>
                      <w:vertAlign w:val="baseline"/>
                      <w:lang w:val="en-US" w:eastAsia="zh-CN" w:bidi="ar-SA"/>
                    </w:rPr>
                    <w:t>0.0</w:t>
                  </w:r>
                  <w:r>
                    <w:rPr>
                      <w:rFonts w:hint="eastAsia" w:cs="Times New Roman"/>
                      <w:b w:val="0"/>
                      <w:bCs/>
                      <w:color w:val="auto"/>
                      <w:spacing w:val="-10"/>
                      <w:kern w:val="2"/>
                      <w:sz w:val="21"/>
                      <w:szCs w:val="21"/>
                      <w:highlight w:val="none"/>
                      <w:vertAlign w:val="baseline"/>
                      <w:lang w:val="en-US" w:eastAsia="zh-CN" w:bidi="ar-SA"/>
                    </w:rPr>
                    <w:t>138</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0.0</w:t>
                  </w:r>
                  <w:r>
                    <w:rPr>
                      <w:rFonts w:hint="eastAsia" w:cs="Times New Roman"/>
                      <w:bCs/>
                      <w:color w:val="auto"/>
                      <w:kern w:val="0"/>
                      <w:sz w:val="21"/>
                      <w:szCs w:val="21"/>
                      <w:highlight w:val="none"/>
                      <w:lang w:val="en-US" w:eastAsia="zh-CN"/>
                    </w:rPr>
                    <w:t>605</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bCs/>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污染物产生浓度（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520</w:t>
                  </w:r>
                </w:p>
              </w:tc>
              <w:tc>
                <w:tcPr>
                  <w:tcW w:w="797"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811"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200</w:t>
                  </w:r>
                </w:p>
              </w:tc>
              <w:tc>
                <w:tcPr>
                  <w:tcW w:w="763" w:type="dxa"/>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40</w:t>
                  </w:r>
                </w:p>
              </w:tc>
              <w:tc>
                <w:tcPr>
                  <w:tcW w:w="774" w:type="dxa"/>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8</w:t>
                  </w:r>
                </w:p>
              </w:tc>
              <w:tc>
                <w:tcPr>
                  <w:tcW w:w="816" w:type="dxa"/>
                  <w:noWrap w:val="0"/>
                  <w:vAlign w:val="center"/>
                </w:tcPr>
                <w:p>
                  <w:pPr>
                    <w:keepNext w:val="0"/>
                    <w:keepLines w:val="0"/>
                    <w:pageBreakBefore w:val="0"/>
                    <w:numPr>
                      <w:ilvl w:val="0"/>
                      <w:numId w:val="0"/>
                    </w:numPr>
                    <w:suppressLineNumbers w:val="0"/>
                    <w:kinsoku/>
                    <w:wordWrap/>
                    <w:overflowPunct/>
                    <w:topLinePunct w:val="0"/>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vertAlign w:val="baseline"/>
                      <w:lang w:val="en-US" w:eastAsia="zh-CN"/>
                    </w:rPr>
                    <w:t>35</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排放形式</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治理设施</w:t>
                  </w: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处理能力</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收集效率（%）</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治理工艺</w:t>
                  </w:r>
                </w:p>
              </w:tc>
              <w:tc>
                <w:tcPr>
                  <w:tcW w:w="4719" w:type="dxa"/>
                  <w:gridSpan w:val="6"/>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食堂废水经容积为0.</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的隔油池处理后，与其他生活污水一并进入容积为</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的化粪池、处理规模为</w:t>
                  </w: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/d的</w:t>
                  </w:r>
                  <w:r>
                    <w:rPr>
                      <w:rFonts w:hint="default" w:ascii="Times New Roman" w:hAnsi="Times New Roman" w:eastAsia="宋体" w:cs="Times New Roman"/>
                      <w:color w:val="auto"/>
                      <w:sz w:val="21"/>
                      <w:szCs w:val="21"/>
                      <w:highlight w:val="none"/>
                      <w:lang w:eastAsia="zh-CN" w:bidi="ar"/>
                    </w:rPr>
                    <w:t>一体化</w:t>
                  </w:r>
                  <w:r>
                    <w:rPr>
                      <w:rFonts w:hint="default" w:ascii="Times New Roman" w:hAnsi="Times New Roman" w:eastAsia="宋体" w:cs="Times New Roman"/>
                      <w:color w:val="auto"/>
                      <w:sz w:val="21"/>
                      <w:szCs w:val="21"/>
                      <w:highlight w:val="none"/>
                      <w:lang w:val="en-US" w:eastAsia="zh-CN"/>
                    </w:rPr>
                    <w:t>污水处理站（处理工艺为MBR）处理达《城市污水再生利用 城市杂用水水质》（GB/T18920-2020）中的城市绿化、道路清扫、消防、建筑施工标准。</w:t>
                  </w:r>
                </w:p>
              </w:tc>
              <w:tc>
                <w:tcPr>
                  <w:tcW w:w="1383" w:type="dxa"/>
                  <w:noWrap w:val="0"/>
                  <w:vAlign w:val="center"/>
                </w:tcPr>
                <w:p>
                  <w:pPr>
                    <w:pStyle w:val="15"/>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rPr>
                    <w:t>冷却废水经循环水冷却池冷却后循环使用</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蒸汽</w:t>
                  </w:r>
                  <w:r>
                    <w:rPr>
                      <w:rFonts w:hint="default" w:ascii="Times New Roman" w:hAnsi="Times New Roman" w:eastAsia="宋体" w:cs="Times New Roman"/>
                      <w:color w:val="auto"/>
                      <w:sz w:val="21"/>
                      <w:szCs w:val="21"/>
                      <w:highlight w:val="none"/>
                    </w:rPr>
                    <w:t>冷凝水</w:t>
                  </w:r>
                  <w:r>
                    <w:rPr>
                      <w:rFonts w:hint="default" w:ascii="Times New Roman" w:hAnsi="Times New Roman" w:eastAsia="宋体" w:cs="Times New Roman"/>
                      <w:color w:val="auto"/>
                      <w:sz w:val="21"/>
                      <w:szCs w:val="21"/>
                      <w:highlight w:val="none"/>
                      <w:lang w:val="en-US" w:eastAsia="zh-CN"/>
                    </w:rPr>
                    <w:t>用于锅炉</w:t>
                  </w:r>
                  <w:r>
                    <w:rPr>
                      <w:rFonts w:hint="default" w:ascii="Times New Roman" w:hAnsi="Times New Roman" w:eastAsia="宋体" w:cs="Times New Roman"/>
                      <w:color w:val="auto"/>
                      <w:sz w:val="21"/>
                      <w:szCs w:val="21"/>
                      <w:highlight w:val="none"/>
                    </w:rPr>
                    <w:t>损耗补充水，生产废水不外排</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6"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治理效率</w:t>
                  </w:r>
                </w:p>
              </w:tc>
              <w:tc>
                <w:tcPr>
                  <w:tcW w:w="97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隔油池</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97"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81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6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774"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i w:val="0"/>
                      <w:iCs w:val="0"/>
                      <w:color w:val="auto"/>
                      <w:kern w:val="0"/>
                      <w:sz w:val="21"/>
                      <w:szCs w:val="21"/>
                      <w:highlight w:val="none"/>
                      <w:u w:val="none"/>
                      <w:lang w:val="en-US" w:eastAsia="zh-CN" w:bidi="ar"/>
                    </w:rPr>
                    <w:t>0</w:t>
                  </w:r>
                </w:p>
              </w:tc>
              <w:tc>
                <w:tcPr>
                  <w:tcW w:w="816"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80</w:t>
                  </w:r>
                </w:p>
              </w:tc>
              <w:tc>
                <w:tcPr>
                  <w:tcW w:w="1383"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pPr>
                    <w:keepNext w:val="0"/>
                    <w:keepLines w:val="0"/>
                    <w:pageBreakBefore w:val="0"/>
                    <w:kinsoku/>
                    <w:wordWrap/>
                    <w:overflowPunct/>
                    <w:topLinePunct w:val="0"/>
                    <w:bidi w:val="0"/>
                    <w:adjustRightInd w:val="0"/>
                    <w:snapToGrid w:val="0"/>
                    <w:jc w:val="center"/>
                    <w:rPr>
                      <w:color w:val="auto"/>
                    </w:rPr>
                  </w:pPr>
                </w:p>
              </w:tc>
              <w:tc>
                <w:tcPr>
                  <w:tcW w:w="526"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7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化粪池</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797"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15</w:t>
                  </w:r>
                </w:p>
              </w:tc>
              <w:tc>
                <w:tcPr>
                  <w:tcW w:w="81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30</w:t>
                  </w:r>
                </w:p>
              </w:tc>
              <w:tc>
                <w:tcPr>
                  <w:tcW w:w="76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774"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816"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1383"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97"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526"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971"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eastAsia" w:cs="Times New Roman"/>
                      <w:b/>
                      <w:bCs w:val="0"/>
                      <w:color w:val="auto"/>
                      <w:spacing w:val="-10"/>
                      <w:sz w:val="21"/>
                      <w:szCs w:val="21"/>
                      <w:highlight w:val="none"/>
                      <w:vertAlign w:val="baseline"/>
                      <w:lang w:val="en-US" w:eastAsia="zh-CN"/>
                    </w:rPr>
                    <w:t>污水处理站</w:t>
                  </w:r>
                </w:p>
              </w:tc>
              <w:tc>
                <w:tcPr>
                  <w:tcW w:w="758"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97"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95</w:t>
                  </w:r>
                </w:p>
              </w:tc>
              <w:tc>
                <w:tcPr>
                  <w:tcW w:w="811"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99</w:t>
                  </w:r>
                </w:p>
              </w:tc>
              <w:tc>
                <w:tcPr>
                  <w:tcW w:w="76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774"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val="0"/>
                      <w:color w:val="auto"/>
                      <w:spacing w:val="-10"/>
                      <w:sz w:val="21"/>
                      <w:szCs w:val="21"/>
                      <w:highlight w:val="none"/>
                      <w:vertAlign w:val="baseline"/>
                      <w:lang w:val="en-US" w:eastAsia="zh-CN"/>
                    </w:rPr>
                    <w:t>90</w:t>
                  </w:r>
                </w:p>
              </w:tc>
              <w:tc>
                <w:tcPr>
                  <w:tcW w:w="816"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eastAsia" w:cs="Times New Roman"/>
                      <w:b w:val="0"/>
                      <w:bCs/>
                      <w:color w:val="auto"/>
                      <w:spacing w:val="-10"/>
                      <w:sz w:val="21"/>
                      <w:szCs w:val="21"/>
                      <w:highlight w:val="none"/>
                      <w:vertAlign w:val="baseline"/>
                      <w:lang w:val="en-US" w:eastAsia="zh-CN"/>
                    </w:rPr>
                    <w:t>0</w:t>
                  </w:r>
                </w:p>
              </w:tc>
              <w:tc>
                <w:tcPr>
                  <w:tcW w:w="1383" w:type="dxa"/>
                  <w:vMerge w:val="continue"/>
                  <w:noWrap w:val="0"/>
                  <w:vAlign w:val="center"/>
                </w:tcPr>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是否为可行技术</w:t>
                  </w:r>
                </w:p>
              </w:tc>
              <w:tc>
                <w:tcPr>
                  <w:tcW w:w="6102" w:type="dxa"/>
                  <w:gridSpan w:val="7"/>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污染物处理后的量（t/a）</w:t>
                  </w:r>
                </w:p>
              </w:tc>
              <w:tc>
                <w:tcPr>
                  <w:tcW w:w="75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764</w:t>
                  </w:r>
                </w:p>
              </w:tc>
              <w:tc>
                <w:tcPr>
                  <w:tcW w:w="79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w:t>
                  </w:r>
                  <w:r>
                    <w:rPr>
                      <w:rFonts w:hint="eastAsia" w:cs="Times New Roman"/>
                      <w:b w:val="0"/>
                      <w:bCs/>
                      <w:color w:val="auto"/>
                      <w:spacing w:val="-10"/>
                      <w:sz w:val="21"/>
                      <w:szCs w:val="21"/>
                      <w:highlight w:val="none"/>
                      <w:vertAlign w:val="baseline"/>
                      <w:lang w:val="en-US" w:eastAsia="zh-CN"/>
                    </w:rPr>
                    <w:t>147</w:t>
                  </w:r>
                </w:p>
              </w:tc>
              <w:tc>
                <w:tcPr>
                  <w:tcW w:w="811"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24</w:t>
                  </w:r>
                </w:p>
              </w:tc>
              <w:tc>
                <w:tcPr>
                  <w:tcW w:w="763"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69</w:t>
                  </w:r>
                </w:p>
              </w:tc>
              <w:tc>
                <w:tcPr>
                  <w:tcW w:w="774"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0.00</w:t>
                  </w:r>
                  <w:r>
                    <w:rPr>
                      <w:rFonts w:hint="eastAsia" w:cs="Times New Roman"/>
                      <w:b w:val="0"/>
                      <w:bCs/>
                      <w:color w:val="auto"/>
                      <w:spacing w:val="-10"/>
                      <w:sz w:val="21"/>
                      <w:szCs w:val="21"/>
                      <w:highlight w:val="none"/>
                      <w:vertAlign w:val="baseline"/>
                      <w:lang w:val="en-US" w:eastAsia="zh-CN"/>
                    </w:rPr>
                    <w:t>14</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eastAsia" w:cs="Times New Roman"/>
                      <w:i w:val="0"/>
                      <w:iCs w:val="0"/>
                      <w:color w:val="auto"/>
                      <w:kern w:val="0"/>
                      <w:sz w:val="21"/>
                      <w:szCs w:val="21"/>
                      <w:highlight w:val="none"/>
                      <w:u w:val="none"/>
                      <w:lang w:val="en-US" w:eastAsia="zh-CN" w:bidi="ar"/>
                    </w:rPr>
                    <w:t>121</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污染物出水浓度（</w:t>
                  </w:r>
                  <w:r>
                    <w:rPr>
                      <w:rFonts w:hint="default" w:ascii="Times New Roman" w:hAnsi="Times New Roman" w:eastAsia="宋体" w:cs="Times New Roman"/>
                      <w:b/>
                      <w:bCs w:val="0"/>
                      <w:color w:val="auto"/>
                      <w:kern w:val="2"/>
                      <w:sz w:val="21"/>
                      <w:szCs w:val="21"/>
                      <w:highlight w:val="none"/>
                      <w:lang w:val="en-US" w:eastAsia="zh-CN" w:bidi="ar"/>
                    </w:rPr>
                    <w:t>mg/L</w:t>
                  </w:r>
                  <w:r>
                    <w:rPr>
                      <w:rFonts w:hint="default" w:ascii="Times New Roman" w:hAnsi="Times New Roman" w:eastAsia="宋体" w:cs="Times New Roman"/>
                      <w:b/>
                      <w:bCs w:val="0"/>
                      <w:color w:val="auto"/>
                      <w:spacing w:val="-10"/>
                      <w:sz w:val="21"/>
                      <w:szCs w:val="21"/>
                      <w:highlight w:val="none"/>
                      <w:vertAlign w:val="baseline"/>
                      <w:lang w:val="en-US" w:eastAsia="zh-CN"/>
                    </w:rPr>
                    <w:t>）</w:t>
                  </w:r>
                </w:p>
              </w:tc>
              <w:tc>
                <w:tcPr>
                  <w:tcW w:w="75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44.2</w:t>
                  </w:r>
                </w:p>
              </w:tc>
              <w:tc>
                <w:tcPr>
                  <w:tcW w:w="79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8.5</w:t>
                  </w:r>
                </w:p>
              </w:tc>
              <w:tc>
                <w:tcPr>
                  <w:tcW w:w="81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1.4</w:t>
                  </w: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4</w:t>
                  </w:r>
                </w:p>
              </w:tc>
              <w:tc>
                <w:tcPr>
                  <w:tcW w:w="774"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0.8</w:t>
                  </w:r>
                </w:p>
              </w:tc>
              <w:tc>
                <w:tcPr>
                  <w:tcW w:w="81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排放去向</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排放规律</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ind w:left="0" w:leftChars="0" w:firstLine="0" w:firstLineChars="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排放口基本情况</w:t>
                  </w: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编号及名称</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DW001</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类型</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生活污水</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生产废水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地理坐标</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294" w:type="dxa"/>
                  <w:gridSpan w:val="3"/>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执行标准</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restart"/>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监测要求</w:t>
                  </w: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监测点位</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一体化污水处理站出口</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监测因子</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、SS、氨氮、总磷、动植物油</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7" w:type="dxa"/>
                  <w:vMerge w:val="continue"/>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p>
              </w:tc>
              <w:tc>
                <w:tcPr>
                  <w:tcW w:w="1497" w:type="dxa"/>
                  <w:gridSpan w:val="2"/>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bCs w:val="0"/>
                      <w:color w:val="auto"/>
                      <w:spacing w:val="-10"/>
                      <w:sz w:val="21"/>
                      <w:szCs w:val="21"/>
                      <w:highlight w:val="none"/>
                      <w:vertAlign w:val="baseline"/>
                      <w:lang w:val="en-US" w:eastAsia="zh-CN"/>
                    </w:rPr>
                  </w:pPr>
                  <w:r>
                    <w:rPr>
                      <w:rFonts w:hint="default" w:ascii="Times New Roman" w:hAnsi="Times New Roman" w:eastAsia="宋体" w:cs="Times New Roman"/>
                      <w:b/>
                      <w:bCs w:val="0"/>
                      <w:color w:val="auto"/>
                      <w:spacing w:val="-10"/>
                      <w:sz w:val="21"/>
                      <w:szCs w:val="21"/>
                      <w:highlight w:val="none"/>
                      <w:vertAlign w:val="baseline"/>
                      <w:lang w:val="en-US" w:eastAsia="zh-CN"/>
                    </w:rPr>
                    <w:t>监测频次</w:t>
                  </w:r>
                </w:p>
              </w:tc>
              <w:tc>
                <w:tcPr>
                  <w:tcW w:w="4719" w:type="dxa"/>
                  <w:gridSpan w:val="6"/>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验收时监测一次，后根据国家相关技术规范进行</w:t>
                  </w:r>
                </w:p>
              </w:tc>
              <w:tc>
                <w:tcPr>
                  <w:tcW w:w="1383" w:type="dxa"/>
                  <w:noWrap w:val="0"/>
                  <w:vAlign w:val="center"/>
                </w:tcPr>
                <w:p>
                  <w:pPr>
                    <w:keepNext w:val="0"/>
                    <w:keepLines w:val="0"/>
                    <w:pageBreakBefore w:val="0"/>
                    <w:numPr>
                      <w:ilvl w:val="0"/>
                      <w:numId w:val="0"/>
                    </w:numPr>
                    <w:kinsoku/>
                    <w:wordWrap/>
                    <w:overflowPunct/>
                    <w:topLinePunct w:val="0"/>
                    <w:bidi w:val="0"/>
                    <w:adjustRightInd w:val="0"/>
                    <w:snapToGrid w:val="0"/>
                    <w:jc w:val="center"/>
                    <w:rPr>
                      <w:rFonts w:hint="default" w:ascii="Times New Roman" w:hAnsi="Times New Roman" w:eastAsia="宋体" w:cs="Times New Roman"/>
                      <w:b w:val="0"/>
                      <w:bCs/>
                      <w:color w:val="auto"/>
                      <w:spacing w:val="-10"/>
                      <w:sz w:val="21"/>
                      <w:szCs w:val="21"/>
                      <w:highlight w:val="none"/>
                      <w:vertAlign w:val="baseline"/>
                      <w:lang w:val="en-US" w:eastAsia="zh-CN"/>
                    </w:rPr>
                  </w:pPr>
                  <w:r>
                    <w:rPr>
                      <w:rFonts w:hint="default" w:ascii="Times New Roman" w:hAnsi="Times New Roman" w:eastAsia="宋体" w:cs="Times New Roman"/>
                      <w:b w:val="0"/>
                      <w:bCs/>
                      <w:color w:val="auto"/>
                      <w:spacing w:val="-10"/>
                      <w:sz w:val="21"/>
                      <w:szCs w:val="21"/>
                      <w:highlight w:val="none"/>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snapToGrid w:val="0"/>
                <w:color w:val="auto"/>
                <w:kern w:val="0"/>
                <w:sz w:val="24"/>
                <w:highlight w:val="none"/>
                <w:lang w:val="en-US" w:eastAsia="zh-CN"/>
              </w:rPr>
            </w:pPr>
            <w:r>
              <w:rPr>
                <w:rFonts w:hint="default" w:ascii="Times New Roman" w:hAnsi="Times New Roman" w:eastAsia="宋体" w:cs="Times New Roman"/>
                <w:color w:val="auto"/>
                <w:sz w:val="24"/>
              </w:rPr>
              <w:t>本项目实施雨污分流排水体制，</w:t>
            </w:r>
            <w:r>
              <w:rPr>
                <w:rFonts w:hint="default" w:ascii="Times New Roman" w:hAnsi="Times New Roman" w:eastAsia="宋体" w:cs="Times New Roman"/>
                <w:color w:val="auto"/>
                <w:sz w:val="24"/>
                <w:lang w:eastAsia="zh-CN"/>
              </w:rPr>
              <w:t>雨水经厂区雨水沟收集后排入</w:t>
            </w:r>
            <w:r>
              <w:rPr>
                <w:rFonts w:hint="eastAsia" w:ascii="Times New Roman" w:hAnsi="Times New Roman" w:eastAsia="宋体" w:cs="Times New Roman"/>
                <w:color w:val="auto"/>
                <w:sz w:val="24"/>
                <w:lang w:val="en-US" w:eastAsia="zh-CN"/>
              </w:rPr>
              <w:t>园区雨水管网</w:t>
            </w:r>
            <w:r>
              <w:rPr>
                <w:rFonts w:hint="default" w:ascii="Times New Roman" w:hAnsi="Times New Roman" w:eastAsia="宋体" w:cs="Times New Roman"/>
                <w:color w:val="auto"/>
                <w:sz w:val="24"/>
                <w:lang w:eastAsia="zh-CN"/>
              </w:rPr>
              <w:t>；</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 w:val="0"/>
                <w:bCs w:val="0"/>
                <w:color w:val="auto"/>
                <w:sz w:val="24"/>
                <w:szCs w:val="24"/>
                <w:highlight w:val="none"/>
                <w:lang w:val="en-US" w:eastAsia="zh-CN"/>
              </w:rPr>
              <w:t>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r>
              <w:rPr>
                <w:rFonts w:hint="default" w:ascii="Times New Roman" w:hAnsi="Times New Roman" w:eastAsia="宋体" w:cs="Times New Roman"/>
                <w:color w:val="auto"/>
                <w:spacing w:val="11"/>
                <w:sz w:val="24"/>
                <w:szCs w:val="24"/>
                <w:highlight w:val="none"/>
                <w:lang w:val="en-US" w:eastAsia="zh-CN"/>
              </w:rPr>
              <w:t>根据水</w:t>
            </w:r>
            <w:r>
              <w:rPr>
                <w:rFonts w:hint="default" w:ascii="Times New Roman" w:hAnsi="Times New Roman" w:eastAsia="宋体" w:cs="Times New Roman"/>
                <w:color w:val="auto"/>
                <w:spacing w:val="11"/>
                <w:sz w:val="24"/>
                <w:highlight w:val="none"/>
                <w:lang w:val="en-US" w:eastAsia="zh-CN"/>
              </w:rPr>
              <w:t>平衡可知，本项目运营期办公生活污水量为</w:t>
            </w:r>
            <w:r>
              <w:rPr>
                <w:rFonts w:hint="eastAsia" w:cs="Times New Roman"/>
                <w:color w:val="auto"/>
                <w:spacing w:val="11"/>
                <w:sz w:val="24"/>
                <w:highlight w:val="none"/>
                <w:lang w:val="en-US" w:eastAsia="zh-CN"/>
              </w:rPr>
              <w:t>5.76</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/d</w:t>
            </w:r>
            <w:r>
              <w:rPr>
                <w:rFonts w:hint="default" w:ascii="Times New Roman" w:hAnsi="Times New Roman" w:eastAsia="宋体" w:cs="Times New Roman"/>
                <w:color w:val="auto"/>
                <w:spacing w:val="11"/>
                <w:sz w:val="24"/>
                <w:highlight w:val="none"/>
                <w:lang w:eastAsia="zh-CN"/>
              </w:rPr>
              <w:t>、</w:t>
            </w:r>
            <w:r>
              <w:rPr>
                <w:rFonts w:hint="eastAsia" w:cs="Times New Roman"/>
                <w:color w:val="auto"/>
                <w:spacing w:val="11"/>
                <w:sz w:val="24"/>
                <w:highlight w:val="none"/>
                <w:lang w:val="en-US" w:eastAsia="zh-CN"/>
              </w:rPr>
              <w:t>1728</w:t>
            </w:r>
            <w:r>
              <w:rPr>
                <w:rFonts w:hint="default" w:ascii="Times New Roman" w:hAnsi="Times New Roman" w:eastAsia="宋体" w:cs="Times New Roman"/>
                <w:color w:val="auto"/>
                <w:spacing w:val="11"/>
                <w:sz w:val="24"/>
                <w:highlight w:val="none"/>
              </w:rPr>
              <w:t>m</w:t>
            </w:r>
            <w:r>
              <w:rPr>
                <w:rFonts w:hint="default" w:ascii="Times New Roman" w:hAnsi="Times New Roman" w:eastAsia="宋体" w:cs="Times New Roman"/>
                <w:color w:val="auto"/>
                <w:spacing w:val="11"/>
                <w:sz w:val="24"/>
                <w:highlight w:val="none"/>
                <w:vertAlign w:val="superscript"/>
              </w:rPr>
              <w:t>3</w:t>
            </w:r>
            <w:r>
              <w:rPr>
                <w:rFonts w:hint="default" w:ascii="Times New Roman" w:hAnsi="Times New Roman" w:eastAsia="宋体" w:cs="Times New Roman"/>
                <w:color w:val="auto"/>
                <w:spacing w:val="11"/>
                <w:sz w:val="24"/>
                <w:highlight w:val="none"/>
              </w:rPr>
              <w:t>/</w:t>
            </w:r>
            <w:r>
              <w:rPr>
                <w:rFonts w:hint="default" w:ascii="Times New Roman" w:hAnsi="Times New Roman" w:eastAsia="宋体" w:cs="Times New Roman"/>
                <w:color w:val="auto"/>
                <w:spacing w:val="11"/>
                <w:sz w:val="24"/>
                <w:highlight w:val="none"/>
                <w:lang w:val="en-US" w:eastAsia="zh-CN"/>
              </w:rPr>
              <w:t>a。</w:t>
            </w:r>
          </w:p>
          <w:p>
            <w:pPr>
              <w:keepNext w:val="0"/>
              <w:keepLines w:val="0"/>
              <w:pageBreakBefore w:val="0"/>
              <w:widowControl w:val="0"/>
              <w:kinsoku/>
              <w:wordWrap/>
              <w:overflowPunct/>
              <w:topLinePunct w:val="0"/>
              <w:autoSpaceDE/>
              <w:autoSpaceDN/>
              <w:bidi w:val="0"/>
              <w:adjustRightInd/>
              <w:spacing w:line="360" w:lineRule="auto"/>
              <w:ind w:firstLine="526" w:firstLineChars="200"/>
              <w:textAlignment w:val="auto"/>
              <w:rPr>
                <w:rFonts w:hint="default" w:ascii="Times New Roman" w:hAnsi="Times New Roman" w:eastAsia="宋体" w:cs="Times New Roman"/>
                <w:b/>
                <w:bCs/>
                <w:color w:val="auto"/>
                <w:spacing w:val="11"/>
                <w:sz w:val="24"/>
                <w:highlight w:val="none"/>
                <w:lang w:val="zh-CN"/>
              </w:rPr>
            </w:pPr>
            <w:r>
              <w:rPr>
                <w:rFonts w:hint="default" w:ascii="Times New Roman" w:hAnsi="Times New Roman" w:eastAsia="宋体" w:cs="Times New Roman"/>
                <w:b/>
                <w:bCs/>
                <w:color w:val="auto"/>
                <w:spacing w:val="11"/>
                <w:sz w:val="24"/>
                <w:highlight w:val="none"/>
                <w:lang w:val="en-US" w:eastAsia="zh-CN"/>
              </w:rPr>
              <w:t>2、</w:t>
            </w:r>
            <w:r>
              <w:rPr>
                <w:rFonts w:hint="default" w:ascii="Times New Roman" w:hAnsi="Times New Roman" w:eastAsia="宋体" w:cs="Times New Roman"/>
                <w:b/>
                <w:bCs/>
                <w:color w:val="auto"/>
                <w:spacing w:val="11"/>
                <w:sz w:val="24"/>
                <w:highlight w:val="none"/>
              </w:rPr>
              <w:t>提出措施后污染物分析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lang w:val="en-US" w:eastAsia="zh-CN"/>
              </w:rPr>
              <w:t>①综合生活污水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rPr>
            </w:pPr>
            <w:r>
              <w:rPr>
                <w:rFonts w:hint="default" w:ascii="Times New Roman" w:hAnsi="Times New Roman" w:eastAsia="宋体" w:cs="Times New Roman"/>
                <w:color w:val="auto"/>
                <w:sz w:val="24"/>
                <w:highlight w:val="none"/>
              </w:rPr>
              <w:t>生活污水水质数据参照</w:t>
            </w:r>
            <w:r>
              <w:rPr>
                <w:rFonts w:hint="default" w:ascii="Times New Roman" w:hAnsi="Times New Roman" w:eastAsia="宋体" w:cs="Times New Roman"/>
                <w:color w:val="auto"/>
                <w:kern w:val="0"/>
                <w:sz w:val="24"/>
                <w:szCs w:val="24"/>
                <w:highlight w:val="none"/>
                <w:lang w:val="zh-CN"/>
              </w:rPr>
              <w:t>《城市污水回用技术手册》（金兆丰、徐竟成等编著，化学工业出版社，2004年版），我国城市生活污水水质统计数据中，COD约为250~1000mg/L、BOD</w:t>
            </w:r>
            <w:r>
              <w:rPr>
                <w:rFonts w:hint="default" w:ascii="Times New Roman" w:hAnsi="Times New Roman" w:eastAsia="宋体" w:cs="Times New Roman"/>
                <w:color w:val="auto"/>
                <w:kern w:val="0"/>
                <w:sz w:val="24"/>
                <w:szCs w:val="24"/>
                <w:highlight w:val="none"/>
                <w:vertAlign w:val="subscript"/>
              </w:rPr>
              <w:t>5</w:t>
            </w:r>
            <w:r>
              <w:rPr>
                <w:rFonts w:hint="default" w:ascii="Times New Roman" w:hAnsi="Times New Roman" w:eastAsia="宋体" w:cs="Times New Roman"/>
                <w:color w:val="auto"/>
                <w:kern w:val="0"/>
                <w:sz w:val="24"/>
                <w:szCs w:val="24"/>
                <w:highlight w:val="none"/>
                <w:lang w:val="zh-CN"/>
              </w:rPr>
              <w:t>为</w:t>
            </w:r>
            <w:r>
              <w:rPr>
                <w:rFonts w:hint="default" w:ascii="Times New Roman" w:hAnsi="Times New Roman" w:eastAsia="宋体" w:cs="Times New Roman"/>
                <w:color w:val="auto"/>
                <w:kern w:val="0"/>
                <w:sz w:val="24"/>
                <w:szCs w:val="24"/>
                <w:highlight w:val="none"/>
                <w:lang w:val="en-US" w:eastAsia="zh-CN"/>
              </w:rPr>
              <w:t>10</w:t>
            </w:r>
            <w:r>
              <w:rPr>
                <w:rFonts w:hint="default" w:ascii="Times New Roman" w:hAnsi="Times New Roman" w:eastAsia="宋体" w:cs="Times New Roman"/>
                <w:color w:val="auto"/>
                <w:kern w:val="0"/>
                <w:sz w:val="24"/>
                <w:szCs w:val="24"/>
                <w:highlight w:val="none"/>
                <w:lang w:val="zh-CN"/>
              </w:rPr>
              <w:t>0-400mg/L、SS为200-350mg/L、氨氮为20-85mg/L、总磷为4～15mg/L</w:t>
            </w:r>
            <w:r>
              <w:rPr>
                <w:rFonts w:hint="default" w:ascii="Times New Roman" w:hAnsi="Times New Roman" w:eastAsia="宋体" w:cs="Times New Roman"/>
                <w:color w:val="auto"/>
                <w:kern w:val="0"/>
                <w:sz w:val="24"/>
                <w:szCs w:val="24"/>
                <w:highlight w:val="none"/>
                <w:lang w:val="zh-CN" w:eastAsia="zh-CN" w:bidi="ar-SA"/>
              </w:rPr>
              <w:t>、动植物油</w:t>
            </w:r>
            <w:r>
              <w:rPr>
                <w:rFonts w:hint="default" w:ascii="Times New Roman" w:hAnsi="Times New Roman" w:eastAsia="宋体" w:cs="Times New Roman"/>
                <w:color w:val="auto"/>
                <w:kern w:val="0"/>
                <w:sz w:val="24"/>
                <w:szCs w:val="24"/>
                <w:highlight w:val="none"/>
                <w:lang w:val="en-US" w:eastAsia="zh-CN" w:bidi="ar-SA"/>
              </w:rPr>
              <w:t>20</w:t>
            </w:r>
            <w:r>
              <w:rPr>
                <w:rFonts w:hint="default" w:ascii="Times New Roman" w:hAnsi="Times New Roman" w:eastAsia="宋体" w:cs="Times New Roman"/>
                <w:color w:val="auto"/>
                <w:kern w:val="0"/>
                <w:sz w:val="24"/>
                <w:szCs w:val="24"/>
                <w:highlight w:val="none"/>
                <w:lang w:val="zh-CN" w:eastAsia="zh-CN" w:bidi="ar-SA"/>
              </w:rPr>
              <w:t>～</w:t>
            </w:r>
            <w:r>
              <w:rPr>
                <w:rFonts w:hint="default" w:ascii="Times New Roman" w:hAnsi="Times New Roman" w:eastAsia="宋体" w:cs="Times New Roman"/>
                <w:color w:val="auto"/>
                <w:kern w:val="0"/>
                <w:sz w:val="24"/>
                <w:szCs w:val="24"/>
                <w:highlight w:val="none"/>
                <w:lang w:val="en-US" w:eastAsia="zh-CN" w:bidi="ar-SA"/>
              </w:rPr>
              <w:t>100</w:t>
            </w:r>
            <w:r>
              <w:rPr>
                <w:rFonts w:hint="default" w:ascii="Times New Roman" w:hAnsi="Times New Roman" w:eastAsia="宋体" w:cs="Times New Roman"/>
                <w:color w:val="auto"/>
                <w:kern w:val="0"/>
                <w:sz w:val="24"/>
                <w:szCs w:val="24"/>
                <w:highlight w:val="none"/>
                <w:lang w:val="zh-CN" w:eastAsia="zh-CN" w:bidi="ar-SA"/>
              </w:rPr>
              <w:t>mg/L</w:t>
            </w:r>
            <w:r>
              <w:rPr>
                <w:rFonts w:hint="default" w:ascii="Times New Roman" w:hAnsi="Times New Roman" w:eastAsia="宋体" w:cs="Times New Roman"/>
                <w:color w:val="auto"/>
                <w:kern w:val="0"/>
                <w:sz w:val="24"/>
                <w:szCs w:val="24"/>
                <w:highlight w:val="none"/>
                <w:lang w:val="zh-CN"/>
              </w:rPr>
              <w:t>；本环评采用水质统计数据中中等浓度值进行生活污水水质进行预测</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kern w:val="0"/>
                <w:sz w:val="24"/>
                <w:szCs w:val="20"/>
                <w:highlight w:val="none"/>
                <w:lang w:val="en-US" w:eastAsia="zh-CN"/>
              </w:rPr>
            </w:pPr>
            <w:r>
              <w:rPr>
                <w:rFonts w:hint="default" w:ascii="Times New Roman" w:hAnsi="Times New Roman" w:eastAsia="宋体" w:cs="Times New Roman"/>
                <w:color w:val="auto"/>
                <w:kern w:val="0"/>
                <w:sz w:val="24"/>
                <w:szCs w:val="20"/>
                <w:highlight w:val="none"/>
              </w:rPr>
              <w:t>项目生活废水水质产生情况如下：</w:t>
            </w:r>
            <w:r>
              <w:rPr>
                <w:rFonts w:hint="default" w:ascii="Times New Roman" w:hAnsi="Times New Roman" w:eastAsia="宋体" w:cs="Times New Roman"/>
                <w:color w:val="auto"/>
                <w:sz w:val="24"/>
                <w:highlight w:val="none"/>
              </w:rPr>
              <w:t>COD为520mg/L、BOD</w:t>
            </w:r>
            <w:r>
              <w:rPr>
                <w:rFonts w:hint="default" w:ascii="Times New Roman" w:hAnsi="Times New Roman" w:eastAsia="宋体" w:cs="Times New Roman"/>
                <w:color w:val="auto"/>
                <w:sz w:val="24"/>
                <w:highlight w:val="none"/>
                <w:vertAlign w:val="subscript"/>
              </w:rPr>
              <w:t>5</w:t>
            </w: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mg/L、SS为</w:t>
            </w:r>
            <w:r>
              <w:rPr>
                <w:rFonts w:hint="default" w:ascii="Times New Roman" w:hAnsi="Times New Roman" w:eastAsia="宋体" w:cs="Times New Roman"/>
                <w:color w:val="auto"/>
                <w:sz w:val="24"/>
                <w:highlight w:val="none"/>
                <w:lang w:val="en-US" w:eastAsia="zh-CN"/>
              </w:rPr>
              <w:t>200</w:t>
            </w:r>
            <w:r>
              <w:rPr>
                <w:rFonts w:hint="default" w:ascii="Times New Roman" w:hAnsi="Times New Roman" w:eastAsia="宋体" w:cs="Times New Roman"/>
                <w:color w:val="auto"/>
                <w:sz w:val="24"/>
                <w:highlight w:val="none"/>
              </w:rPr>
              <w:t>mg/L、氨氮为</w:t>
            </w:r>
            <w:r>
              <w:rPr>
                <w:rFonts w:hint="default" w:ascii="Times New Roman" w:hAnsi="Times New Roman" w:eastAsia="宋体" w:cs="Times New Roman"/>
                <w:color w:val="auto"/>
                <w:sz w:val="24"/>
                <w:highlight w:val="none"/>
                <w:lang w:val="en-US" w:eastAsia="zh-CN"/>
              </w:rPr>
              <w:t>40</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highlight w:val="none"/>
                <w:lang w:eastAsia="zh-CN"/>
              </w:rPr>
              <w:t>总</w:t>
            </w:r>
            <w:r>
              <w:rPr>
                <w:rFonts w:hint="default" w:ascii="Times New Roman" w:hAnsi="Times New Roman" w:eastAsia="宋体" w:cs="Times New Roman"/>
                <w:color w:val="auto"/>
                <w:sz w:val="24"/>
                <w:highlight w:val="none"/>
              </w:rPr>
              <w:t>磷为8mg/L、动植物油为</w:t>
            </w:r>
            <w:r>
              <w:rPr>
                <w:rFonts w:hint="default" w:ascii="Times New Roman" w:hAnsi="Times New Roman" w:eastAsia="宋体" w:cs="Times New Roman"/>
                <w:color w:val="auto"/>
                <w:sz w:val="24"/>
                <w:highlight w:val="none"/>
                <w:lang w:val="en-US" w:eastAsia="zh-CN"/>
              </w:rPr>
              <w:t>35</w:t>
            </w:r>
            <w:r>
              <w:rPr>
                <w:rFonts w:hint="default" w:ascii="Times New Roman" w:hAnsi="Times New Roman" w:eastAsia="宋体" w:cs="Times New Roman"/>
                <w:color w:val="auto"/>
                <w:sz w:val="24"/>
                <w:highlight w:val="none"/>
              </w:rPr>
              <w:t>mg/L</w:t>
            </w: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eastAsia="宋体" w:cs="Times New Roman"/>
                <w:b w:val="0"/>
                <w:bCs/>
                <w:color w:val="auto"/>
                <w:sz w:val="24"/>
                <w:szCs w:val="24"/>
                <w:highlight w:val="none"/>
                <w:lang w:val="en-US" w:eastAsia="zh-CN" w:bidi="ar"/>
              </w:rPr>
              <w:t>根据计算可知，本项目生活污水经隔油池及化粪池预处理后，各污染物</w:t>
            </w:r>
            <w:r>
              <w:rPr>
                <w:rFonts w:hint="default" w:ascii="Times New Roman" w:hAnsi="Times New Roman" w:eastAsia="宋体" w:cs="Times New Roman"/>
                <w:snapToGrid w:val="0"/>
                <w:color w:val="auto"/>
                <w:sz w:val="24"/>
                <w:highlight w:val="none"/>
                <w:lang w:val="en-US" w:eastAsia="zh-CN"/>
              </w:rPr>
              <w:t>处理浓度</w:t>
            </w:r>
            <w:r>
              <w:rPr>
                <w:rFonts w:hint="default" w:ascii="Times New Roman" w:hAnsi="Times New Roman" w:eastAsia="宋体" w:cs="Times New Roman"/>
                <w:snapToGrid w:val="0"/>
                <w:color w:val="auto"/>
                <w:sz w:val="24"/>
                <w:highlight w:val="none"/>
              </w:rPr>
              <w:t>分别为：COD</w:t>
            </w:r>
            <w:r>
              <w:rPr>
                <w:rFonts w:hint="default" w:ascii="Times New Roman" w:hAnsi="Times New Roman" w:eastAsia="宋体" w:cs="Times New Roman"/>
                <w:snapToGrid w:val="0"/>
                <w:color w:val="auto"/>
                <w:sz w:val="24"/>
                <w:highlight w:val="none"/>
                <w:lang w:val="en-US" w:eastAsia="zh-CN"/>
              </w:rPr>
              <w:t>-442mg/L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-170mg/L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-140mg/L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-40mg/L</w:t>
            </w:r>
            <w:r>
              <w:rPr>
                <w:rFonts w:hint="default" w:ascii="Times New Roman" w:hAnsi="Times New Roman" w:eastAsia="宋体" w:cs="Times New Roman"/>
                <w:snapToGrid w:val="0"/>
                <w:color w:val="auto"/>
                <w:sz w:val="24"/>
                <w:highlight w:val="none"/>
              </w:rPr>
              <w:t>、总磷</w:t>
            </w:r>
            <w:r>
              <w:rPr>
                <w:rFonts w:hint="default" w:ascii="Times New Roman" w:hAnsi="Times New Roman" w:eastAsia="宋体" w:cs="Times New Roman"/>
                <w:snapToGrid w:val="0"/>
                <w:color w:val="auto"/>
                <w:sz w:val="24"/>
                <w:highlight w:val="none"/>
                <w:lang w:val="en-US" w:eastAsia="zh-CN"/>
              </w:rPr>
              <w:t>-8mg/L、动植物油-7mg/L</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经过预处理后的生活废水浓度能够满足</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中4.2.3膜生物反应池进水宜符合限值要求，即</w:t>
            </w:r>
            <w:r>
              <w:rPr>
                <w:rFonts w:hint="default" w:ascii="Times New Roman" w:hAnsi="Times New Roman" w:eastAsia="宋体" w:cs="Times New Roman"/>
                <w:snapToGrid w:val="0"/>
                <w:color w:val="auto"/>
                <w:sz w:val="24"/>
                <w:highlight w:val="none"/>
              </w:rPr>
              <w:t>COD</w:t>
            </w:r>
            <w:r>
              <w:rPr>
                <w:rFonts w:hint="default" w:ascii="Times New Roman" w:hAnsi="Times New Roman" w:eastAsia="宋体" w:cs="Times New Roman"/>
                <w:snapToGrid w:val="0"/>
                <w:color w:val="auto"/>
                <w:sz w:val="24"/>
                <w:highlight w:val="none"/>
                <w:lang w:val="en-US" w:eastAsia="zh-CN"/>
              </w:rPr>
              <w:t>-500mg/L</w:t>
            </w:r>
            <w:r>
              <w:rPr>
                <w:rFonts w:hint="default" w:ascii="Times New Roman" w:hAnsi="Times New Roman" w:eastAsia="宋体" w:cs="Times New Roman"/>
                <w:snapToGrid w:val="0"/>
                <w:color w:val="auto"/>
                <w:sz w:val="24"/>
                <w:highlight w:val="none"/>
              </w:rPr>
              <w:t>、BOD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lang w:val="en-US" w:eastAsia="zh-CN"/>
              </w:rPr>
              <w:t>-300mg/L</w:t>
            </w:r>
            <w:r>
              <w:rPr>
                <w:rFonts w:hint="default" w:ascii="Times New Roman" w:hAnsi="Times New Roman" w:eastAsia="宋体" w:cs="Times New Roman"/>
                <w:snapToGrid w:val="0"/>
                <w:color w:val="auto"/>
                <w:sz w:val="24"/>
                <w:highlight w:val="none"/>
              </w:rPr>
              <w:t>、SS</w:t>
            </w:r>
            <w:r>
              <w:rPr>
                <w:rFonts w:hint="default" w:ascii="Times New Roman" w:hAnsi="Times New Roman" w:eastAsia="宋体" w:cs="Times New Roman"/>
                <w:snapToGrid w:val="0"/>
                <w:color w:val="auto"/>
                <w:sz w:val="24"/>
                <w:highlight w:val="none"/>
                <w:lang w:val="en-US" w:eastAsia="zh-CN"/>
              </w:rPr>
              <w:t>-150mg/L</w:t>
            </w:r>
            <w:r>
              <w:rPr>
                <w:rFonts w:hint="default" w:ascii="Times New Roman" w:hAnsi="Times New Roman" w:eastAsia="宋体" w:cs="Times New Roman"/>
                <w:snapToGrid w:val="0"/>
                <w:color w:val="auto"/>
                <w:sz w:val="24"/>
                <w:highlight w:val="none"/>
              </w:rPr>
              <w:t>、氨氮</w:t>
            </w:r>
            <w:r>
              <w:rPr>
                <w:rFonts w:hint="default" w:ascii="Times New Roman" w:hAnsi="Times New Roman" w:eastAsia="宋体" w:cs="Times New Roman"/>
                <w:snapToGrid w:val="0"/>
                <w:color w:val="auto"/>
                <w:sz w:val="24"/>
                <w:highlight w:val="none"/>
                <w:lang w:val="en-US" w:eastAsia="zh-CN"/>
              </w:rPr>
              <w:t>-50mg/L、动植物油-30mg/L。</w:t>
            </w:r>
            <w:r>
              <w:rPr>
                <w:rFonts w:hint="default" w:ascii="Times New Roman" w:hAnsi="Times New Roman" w:eastAsia="宋体" w:cs="Times New Roman"/>
                <w:color w:val="auto"/>
                <w:kern w:val="0"/>
                <w:sz w:val="24"/>
                <w:szCs w:val="20"/>
                <w:highlight w:val="none"/>
                <w:lang w:val="en-US" w:eastAsia="zh-CN"/>
              </w:rPr>
              <w:t>因此，本次环评提出食堂含油废水经隔油池预处理后与其他办公生活污水一并进入化粪池、一体化污水处理站处理达《城市污水再生利用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1"/>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根据《废水处理工程技术手册》（潘涛、田刚主编，</w:t>
            </w:r>
            <w:r>
              <w:rPr>
                <w:rFonts w:hint="default" w:ascii="Times New Roman" w:hAnsi="Times New Roman" w:eastAsia="宋体" w:cs="Times New Roman"/>
                <w:color w:val="auto"/>
                <w:kern w:val="0"/>
                <w:sz w:val="24"/>
                <w:szCs w:val="20"/>
                <w:highlight w:val="none"/>
                <w:lang w:val="zh-CN"/>
              </w:rPr>
              <w:t>化学工业出版社，</w:t>
            </w:r>
            <w:r>
              <w:rPr>
                <w:rFonts w:hint="default" w:ascii="Times New Roman" w:hAnsi="Times New Roman" w:eastAsia="宋体" w:cs="Times New Roman"/>
                <w:color w:val="auto"/>
                <w:kern w:val="0"/>
                <w:sz w:val="24"/>
                <w:szCs w:val="20"/>
                <w:highlight w:val="none"/>
                <w:lang w:val="en-US" w:eastAsia="zh-CN"/>
              </w:rPr>
              <w:t>2010年版</w:t>
            </w:r>
            <w:r>
              <w:rPr>
                <w:rFonts w:hint="default" w:ascii="Times New Roman" w:hAnsi="Times New Roman" w:eastAsia="宋体" w:cs="Times New Roman"/>
                <w:color w:val="auto"/>
                <w:sz w:val="24"/>
                <w:szCs w:val="24"/>
                <w:highlight w:val="none"/>
                <w:lang w:val="en-US" w:eastAsia="zh-CN"/>
              </w:rPr>
              <w:t>），隔油池对生活废水中动植物油去除效率为60%~80%，本项目取80%；</w:t>
            </w:r>
            <w:r>
              <w:rPr>
                <w:rFonts w:hint="default" w:ascii="Times New Roman" w:hAnsi="Times New Roman" w:eastAsia="宋体" w:cs="Times New Roman"/>
                <w:snapToGrid w:val="0"/>
                <w:color w:val="auto"/>
                <w:sz w:val="24"/>
                <w:highlight w:val="none"/>
              </w:rPr>
              <w:t>根据《常用污水处理设备及去除率》进行确定，</w:t>
            </w:r>
            <w:r>
              <w:rPr>
                <w:rFonts w:hint="default" w:ascii="Times New Roman" w:hAnsi="Times New Roman" w:eastAsia="宋体" w:cs="Times New Roman"/>
                <w:snapToGrid w:val="0"/>
                <w:color w:val="auto"/>
                <w:sz w:val="24"/>
                <w:highlight w:val="none"/>
                <w:lang w:val="en-US" w:eastAsia="zh-CN"/>
              </w:rPr>
              <w:t>化粪池处理效率</w:t>
            </w:r>
            <w:r>
              <w:rPr>
                <w:rFonts w:hint="default" w:ascii="Times New Roman" w:hAnsi="Times New Roman" w:eastAsia="宋体" w:cs="Times New Roman"/>
                <w:snapToGrid w:val="0"/>
                <w:color w:val="auto"/>
                <w:sz w:val="24"/>
                <w:highlight w:val="none"/>
              </w:rPr>
              <w:t>分别为：COD15%、BOD</w:t>
            </w:r>
            <w:r>
              <w:rPr>
                <w:rFonts w:hint="default" w:ascii="Times New Roman" w:hAnsi="Times New Roman" w:eastAsia="宋体" w:cs="Times New Roman"/>
                <w:snapToGrid w:val="0"/>
                <w:color w:val="auto"/>
                <w:sz w:val="24"/>
                <w:highlight w:val="none"/>
                <w:vertAlign w:val="subscript"/>
              </w:rPr>
              <w:t>5</w:t>
            </w:r>
            <w:r>
              <w:rPr>
                <w:rFonts w:hint="default" w:ascii="Times New Roman" w:hAnsi="Times New Roman" w:eastAsia="宋体" w:cs="Times New Roman"/>
                <w:snapToGrid w:val="0"/>
                <w:color w:val="auto"/>
                <w:sz w:val="24"/>
                <w:highlight w:val="none"/>
              </w:rPr>
              <w:t>15%、SS30%、氨氮0%、总磷0%</w:t>
            </w:r>
            <w:r>
              <w:rPr>
                <w:rFonts w:hint="default" w:ascii="Times New Roman" w:hAnsi="Times New Roman" w:eastAsia="宋体" w:cs="Times New Roman"/>
                <w:color w:val="auto"/>
                <w:sz w:val="24"/>
                <w:szCs w:val="24"/>
                <w:highlight w:val="none"/>
                <w:lang w:val="zh-CN"/>
              </w:rPr>
              <w:t>；根据</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szCs w:val="24"/>
                <w:highlight w:val="none"/>
              </w:rPr>
              <w:t>膜生物法污水处理工程技术规范</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H</w:t>
            </w:r>
            <w:r>
              <w:rPr>
                <w:rFonts w:hint="default" w:ascii="Times New Roman" w:hAnsi="Times New Roman" w:eastAsia="宋体" w:cs="Times New Roman"/>
                <w:color w:val="auto"/>
                <w:sz w:val="24"/>
                <w:lang w:val="en-US" w:eastAsia="zh-CN"/>
              </w:rPr>
              <w:t>J2010-2011</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highlight w:val="none"/>
                <w:lang w:val="en-US" w:eastAsia="zh-CN"/>
              </w:rPr>
              <w:t>中6.1.6</w:t>
            </w:r>
            <w:r>
              <w:rPr>
                <w:rFonts w:hint="default" w:ascii="Times New Roman" w:hAnsi="Times New Roman" w:eastAsia="宋体" w:cs="Times New Roman"/>
                <w:color w:val="auto"/>
                <w:sz w:val="24"/>
                <w:szCs w:val="24"/>
              </w:rPr>
              <w:t>膜生物法处理系统对COD、BOD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、SS、氨氮的去除效率应分别在90％、95％、99％、90％以上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总磷去除效率参照氨氮90%进行计算</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2"/>
              <w:textAlignment w:val="auto"/>
              <w:rPr>
                <w:rFonts w:hint="default" w:ascii="Times New Roman" w:hAnsi="Times New Roman" w:eastAsia="宋体" w:cs="Times New Roman"/>
                <w:caps w:val="0"/>
                <w:snapToGrid w:val="0"/>
                <w:color w:val="auto"/>
                <w:spacing w:val="0"/>
                <w:w w:val="100"/>
                <w:position w:val="0"/>
                <w:sz w:val="24"/>
                <w:szCs w:val="24"/>
                <w:highlight w:val="none"/>
                <w:lang w:val="zh-CN"/>
              </w:rPr>
            </w:pPr>
            <w:r>
              <w:rPr>
                <w:rFonts w:hint="default" w:ascii="Times New Roman" w:hAnsi="Times New Roman" w:eastAsia="宋体" w:cs="Times New Roman"/>
                <w:color w:val="auto"/>
                <w:sz w:val="24"/>
                <w:szCs w:val="24"/>
                <w:lang w:val="en-US" w:eastAsia="zh-CN"/>
              </w:rPr>
              <w:t>项目选取最低</w:t>
            </w:r>
            <w:r>
              <w:rPr>
                <w:rFonts w:hint="default" w:ascii="Times New Roman" w:hAnsi="Times New Roman" w:eastAsia="宋体" w:cs="Times New Roman"/>
                <w:color w:val="auto"/>
                <w:sz w:val="24"/>
                <w:szCs w:val="24"/>
              </w:rPr>
              <w:t>去除效率</w:t>
            </w:r>
            <w:r>
              <w:rPr>
                <w:rFonts w:hint="default" w:ascii="Times New Roman" w:hAnsi="Times New Roman" w:eastAsia="宋体" w:cs="Times New Roman"/>
                <w:color w:val="auto"/>
                <w:sz w:val="24"/>
                <w:szCs w:val="24"/>
                <w:lang w:val="en-US" w:eastAsia="zh-CN"/>
              </w:rPr>
              <w:t>进行核算，则</w:t>
            </w:r>
            <w:r>
              <w:rPr>
                <w:rFonts w:hint="default" w:ascii="Times New Roman" w:hAnsi="Times New Roman" w:eastAsia="宋体" w:cs="Times New Roman"/>
                <w:color w:val="auto"/>
                <w:sz w:val="24"/>
                <w:szCs w:val="24"/>
                <w:highlight w:val="none"/>
                <w:lang w:val="en-US" w:eastAsia="zh-CN"/>
              </w:rPr>
              <w:t>本项目综合污水各</w:t>
            </w:r>
            <w:r>
              <w:rPr>
                <w:rFonts w:hint="default" w:ascii="Times New Roman" w:hAnsi="Times New Roman" w:eastAsia="宋体" w:cs="Times New Roman"/>
                <w:color w:val="auto"/>
                <w:sz w:val="24"/>
                <w:szCs w:val="24"/>
                <w:highlight w:val="none"/>
              </w:rPr>
              <w:t>污染物</w:t>
            </w:r>
            <w:r>
              <w:rPr>
                <w:rFonts w:hint="default" w:ascii="Times New Roman" w:hAnsi="Times New Roman" w:eastAsia="宋体" w:cs="Times New Roman"/>
                <w:color w:val="auto"/>
                <w:sz w:val="24"/>
                <w:szCs w:val="24"/>
                <w:highlight w:val="none"/>
                <w:lang w:val="en-US" w:eastAsia="zh-CN"/>
              </w:rPr>
              <w:t>产排</w:t>
            </w:r>
            <w:r>
              <w:rPr>
                <w:rFonts w:hint="default" w:ascii="Times New Roman" w:hAnsi="Times New Roman" w:eastAsia="宋体" w:cs="Times New Roman"/>
                <w:color w:val="auto"/>
                <w:sz w:val="24"/>
                <w:szCs w:val="24"/>
                <w:highlight w:val="none"/>
              </w:rPr>
              <w:t>情况见表</w:t>
            </w:r>
            <w:r>
              <w:rPr>
                <w:rFonts w:hint="default" w:ascii="Times New Roman" w:hAnsi="Times New Roman" w:eastAsia="宋体" w:cs="Times New Roman"/>
                <w:color w:val="auto"/>
                <w:sz w:val="24"/>
                <w:szCs w:val="24"/>
                <w:highlight w:val="none"/>
                <w:lang w:val="en-US" w:eastAsia="zh-CN"/>
              </w:rPr>
              <w:t>4-18</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b/>
                <w:caps w:val="0"/>
                <w:snapToGrid w:val="0"/>
                <w:color w:val="auto"/>
                <w:spacing w:val="0"/>
                <w:w w:val="100"/>
                <w:position w:val="0"/>
                <w:sz w:val="21"/>
                <w:szCs w:val="21"/>
                <w:highlight w:val="none"/>
              </w:rPr>
            </w:pPr>
            <w:r>
              <w:rPr>
                <w:rFonts w:hint="default" w:ascii="Times New Roman" w:hAnsi="Times New Roman" w:eastAsia="宋体" w:cs="Times New Roman"/>
                <w:b/>
                <w:caps w:val="0"/>
                <w:snapToGrid w:val="0"/>
                <w:color w:val="auto"/>
                <w:spacing w:val="0"/>
                <w:w w:val="100"/>
                <w:position w:val="0"/>
                <w:sz w:val="21"/>
                <w:szCs w:val="21"/>
                <w:highlight w:val="none"/>
              </w:rPr>
              <w:t>表</w:t>
            </w:r>
            <w:r>
              <w:rPr>
                <w:rFonts w:hint="default" w:ascii="Times New Roman" w:hAnsi="Times New Roman" w:eastAsia="宋体" w:cs="Times New Roman"/>
                <w:b/>
                <w:caps w:val="0"/>
                <w:snapToGrid w:val="0"/>
                <w:color w:val="auto"/>
                <w:spacing w:val="0"/>
                <w:w w:val="100"/>
                <w:position w:val="0"/>
                <w:sz w:val="21"/>
                <w:szCs w:val="21"/>
                <w:highlight w:val="none"/>
                <w:lang w:val="en-US" w:eastAsia="zh-CN"/>
              </w:rPr>
              <w:t>4-18</w:t>
            </w:r>
            <w:r>
              <w:rPr>
                <w:rFonts w:hint="default" w:ascii="Times New Roman" w:hAnsi="Times New Roman" w:eastAsia="宋体" w:cs="Times New Roman"/>
                <w:b/>
                <w:caps w:val="0"/>
                <w:snapToGrid w:val="0"/>
                <w:color w:val="auto"/>
                <w:spacing w:val="0"/>
                <w:w w:val="100"/>
                <w:position w:val="0"/>
                <w:sz w:val="21"/>
                <w:szCs w:val="21"/>
                <w:highlight w:val="none"/>
              </w:rPr>
              <w:t xml:space="preserve">  项目污染物产排情况汇总表</w:t>
            </w:r>
          </w:p>
          <w:tbl>
            <w:tblPr>
              <w:tblStyle w:val="27"/>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19"/>
              <w:gridCol w:w="883"/>
              <w:gridCol w:w="918"/>
              <w:gridCol w:w="499"/>
              <w:gridCol w:w="502"/>
              <w:gridCol w:w="848"/>
              <w:gridCol w:w="971"/>
              <w:gridCol w:w="812"/>
              <w:gridCol w:w="60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5"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污染源编号</w:t>
                  </w:r>
                </w:p>
              </w:tc>
              <w:tc>
                <w:tcPr>
                  <w:tcW w:w="819"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污染物</w:t>
                  </w:r>
                </w:p>
              </w:tc>
              <w:tc>
                <w:tcPr>
                  <w:tcW w:w="883"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产生浓度mg/L</w:t>
                  </w:r>
                </w:p>
              </w:tc>
              <w:tc>
                <w:tcPr>
                  <w:tcW w:w="918"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产生量（t/a）</w:t>
                  </w:r>
                </w:p>
              </w:tc>
              <w:tc>
                <w:tcPr>
                  <w:tcW w:w="100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去除效率（%）</w:t>
                  </w:r>
                </w:p>
              </w:tc>
              <w:tc>
                <w:tcPr>
                  <w:tcW w:w="848"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削减量（t/a）</w:t>
                  </w:r>
                </w:p>
              </w:tc>
              <w:tc>
                <w:tcPr>
                  <w:tcW w:w="971"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处理后浓度mg/L</w:t>
                  </w:r>
                </w:p>
              </w:tc>
              <w:tc>
                <w:tcPr>
                  <w:tcW w:w="812"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处理后量（t/a）</w:t>
                  </w:r>
                </w:p>
              </w:tc>
              <w:tc>
                <w:tcPr>
                  <w:tcW w:w="602"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标准值</w:t>
                  </w:r>
                </w:p>
              </w:tc>
              <w:tc>
                <w:tcPr>
                  <w:tcW w:w="745"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i w:val="0"/>
                      <w:iCs w:val="0"/>
                      <w:color w:val="auto"/>
                      <w:kern w:val="0"/>
                      <w:sz w:val="21"/>
                      <w:szCs w:val="21"/>
                      <w:highlight w:val="none"/>
                      <w:u w:val="none"/>
                      <w:lang w:val="en-US" w:eastAsia="zh-CN"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95" w:type="dxa"/>
                  <w:vMerge w:val="continue"/>
                  <w:noWrap w:val="0"/>
                  <w:vAlign w:val="center"/>
                </w:tcPr>
                <w:p>
                  <w:pPr>
                    <w:keepNext w:val="0"/>
                    <w:keepLines w:val="0"/>
                    <w:widowControl/>
                    <w:suppressLineNumbers w:val="0"/>
                    <w:jc w:val="center"/>
                    <w:textAlignment w:val="center"/>
                    <w:rPr>
                      <w:color w:val="auto"/>
                    </w:rPr>
                  </w:pPr>
                </w:p>
              </w:tc>
              <w:tc>
                <w:tcPr>
                  <w:tcW w:w="819" w:type="dxa"/>
                  <w:vMerge w:val="continue"/>
                  <w:noWrap w:val="0"/>
                  <w:vAlign w:val="center"/>
                </w:tcPr>
                <w:p>
                  <w:pPr>
                    <w:keepNext w:val="0"/>
                    <w:keepLines w:val="0"/>
                    <w:widowControl/>
                    <w:suppressLineNumbers w:val="0"/>
                    <w:jc w:val="center"/>
                    <w:textAlignment w:val="center"/>
                    <w:rPr>
                      <w:color w:val="auto"/>
                    </w:rPr>
                  </w:pPr>
                </w:p>
              </w:tc>
              <w:tc>
                <w:tcPr>
                  <w:tcW w:w="883" w:type="dxa"/>
                  <w:vMerge w:val="continue"/>
                  <w:noWrap w:val="0"/>
                  <w:vAlign w:val="center"/>
                </w:tcPr>
                <w:p>
                  <w:pPr>
                    <w:keepNext w:val="0"/>
                    <w:keepLines w:val="0"/>
                    <w:widowControl/>
                    <w:suppressLineNumbers w:val="0"/>
                    <w:jc w:val="center"/>
                    <w:textAlignment w:val="center"/>
                    <w:rPr>
                      <w:color w:val="auto"/>
                    </w:rPr>
                  </w:pPr>
                </w:p>
              </w:tc>
              <w:tc>
                <w:tcPr>
                  <w:tcW w:w="918" w:type="dxa"/>
                  <w:vMerge w:val="continue"/>
                  <w:noWrap w:val="0"/>
                  <w:vAlign w:val="center"/>
                </w:tcPr>
                <w:p>
                  <w:pPr>
                    <w:keepNext w:val="0"/>
                    <w:keepLines w:val="0"/>
                    <w:widowControl/>
                    <w:suppressLineNumbers w:val="0"/>
                    <w:jc w:val="center"/>
                    <w:textAlignment w:val="center"/>
                    <w:rPr>
                      <w:color w:val="auto"/>
                    </w:rPr>
                  </w:pPr>
                </w:p>
              </w:tc>
              <w:tc>
                <w:tcPr>
                  <w:tcW w:w="499" w:type="dxa"/>
                  <w:noWrap w:val="0"/>
                  <w:vAlign w:val="center"/>
                </w:tcPr>
                <w:p>
                  <w:pPr>
                    <w:keepNext w:val="0"/>
                    <w:keepLines w:val="0"/>
                    <w:widowControl/>
                    <w:suppressLineNumbers w:val="0"/>
                    <w:jc w:val="center"/>
                    <w:textAlignment w:val="center"/>
                    <w:rPr>
                      <w:rFonts w:hint="eastAsia" w:eastAsia="宋体"/>
                      <w:b/>
                      <w:bCs/>
                      <w:color w:val="auto"/>
                      <w:lang w:eastAsia="zh-CN"/>
                    </w:rPr>
                  </w:pPr>
                  <w:r>
                    <w:rPr>
                      <w:rFonts w:hint="eastAsia"/>
                      <w:b/>
                      <w:bCs/>
                      <w:color w:val="auto"/>
                      <w:lang w:eastAsia="zh-CN"/>
                    </w:rPr>
                    <w:t>化粪池</w:t>
                  </w:r>
                </w:p>
              </w:tc>
              <w:tc>
                <w:tcPr>
                  <w:tcW w:w="502" w:type="dxa"/>
                  <w:noWrap w:val="0"/>
                  <w:vAlign w:val="center"/>
                </w:tcPr>
                <w:p>
                  <w:pPr>
                    <w:keepNext w:val="0"/>
                    <w:keepLines w:val="0"/>
                    <w:widowControl/>
                    <w:suppressLineNumbers w:val="0"/>
                    <w:jc w:val="center"/>
                    <w:textAlignment w:val="center"/>
                    <w:rPr>
                      <w:rFonts w:hint="eastAsia" w:eastAsia="宋体"/>
                      <w:b/>
                      <w:bCs/>
                      <w:color w:val="auto"/>
                      <w:lang w:eastAsia="zh-CN"/>
                    </w:rPr>
                  </w:pPr>
                  <w:r>
                    <w:rPr>
                      <w:rFonts w:hint="eastAsia"/>
                      <w:b/>
                      <w:bCs/>
                      <w:color w:val="auto"/>
                      <w:lang w:eastAsia="zh-CN"/>
                    </w:rPr>
                    <w:t>污水处理站</w:t>
                  </w:r>
                </w:p>
              </w:tc>
              <w:tc>
                <w:tcPr>
                  <w:tcW w:w="848" w:type="dxa"/>
                  <w:vMerge w:val="continue"/>
                  <w:noWrap w:val="0"/>
                  <w:vAlign w:val="center"/>
                </w:tcPr>
                <w:p>
                  <w:pPr>
                    <w:keepNext w:val="0"/>
                    <w:keepLines w:val="0"/>
                    <w:widowControl/>
                    <w:suppressLineNumbers w:val="0"/>
                    <w:jc w:val="center"/>
                    <w:textAlignment w:val="center"/>
                    <w:rPr>
                      <w:color w:val="auto"/>
                    </w:rPr>
                  </w:pPr>
                </w:p>
              </w:tc>
              <w:tc>
                <w:tcPr>
                  <w:tcW w:w="971" w:type="dxa"/>
                  <w:vMerge w:val="continue"/>
                  <w:noWrap w:val="0"/>
                  <w:vAlign w:val="center"/>
                </w:tcPr>
                <w:p>
                  <w:pPr>
                    <w:keepNext w:val="0"/>
                    <w:keepLines w:val="0"/>
                    <w:widowControl/>
                    <w:suppressLineNumbers w:val="0"/>
                    <w:jc w:val="center"/>
                    <w:textAlignment w:val="center"/>
                    <w:rPr>
                      <w:color w:val="auto"/>
                    </w:rPr>
                  </w:pPr>
                </w:p>
              </w:tc>
              <w:tc>
                <w:tcPr>
                  <w:tcW w:w="812" w:type="dxa"/>
                  <w:vMerge w:val="continue"/>
                  <w:noWrap w:val="0"/>
                  <w:vAlign w:val="center"/>
                </w:tcPr>
                <w:p>
                  <w:pPr>
                    <w:keepNext w:val="0"/>
                    <w:keepLines w:val="0"/>
                    <w:widowControl/>
                    <w:suppressLineNumbers w:val="0"/>
                    <w:jc w:val="center"/>
                    <w:textAlignment w:val="center"/>
                    <w:rPr>
                      <w:color w:val="auto"/>
                    </w:rPr>
                  </w:pPr>
                </w:p>
              </w:tc>
              <w:tc>
                <w:tcPr>
                  <w:tcW w:w="602" w:type="dxa"/>
                  <w:vMerge w:val="continue"/>
                  <w:noWrap w:val="0"/>
                  <w:vAlign w:val="center"/>
                </w:tcPr>
                <w:p>
                  <w:pPr>
                    <w:keepNext w:val="0"/>
                    <w:keepLines w:val="0"/>
                    <w:widowControl/>
                    <w:suppressLineNumbers w:val="0"/>
                    <w:jc w:val="center"/>
                    <w:textAlignment w:val="center"/>
                    <w:rPr>
                      <w:color w:val="auto"/>
                    </w:rPr>
                  </w:pPr>
                </w:p>
              </w:tc>
              <w:tc>
                <w:tcPr>
                  <w:tcW w:w="745" w:type="dxa"/>
                  <w:vMerge w:val="continue"/>
                  <w:noWrap w:val="0"/>
                  <w:vAlign w:val="center"/>
                </w:tcPr>
                <w:p>
                  <w:pPr>
                    <w:keepNext w:val="0"/>
                    <w:keepLines w:val="0"/>
                    <w:widowControl/>
                    <w:suppressLineNumbers w:val="0"/>
                    <w:jc w:val="center"/>
                    <w:textAlignment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综合污水（食堂、冲厕、盥洗、办公）</w:t>
                  </w: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废水</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1728</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1728</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COD</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5</w:t>
                  </w: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0</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8986</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w:t>
                  </w:r>
                  <w:r>
                    <w:rPr>
                      <w:rFonts w:hint="eastAsia" w:cs="Times New Roman"/>
                      <w:i w:val="0"/>
                      <w:iCs w:val="0"/>
                      <w:color w:val="auto"/>
                      <w:kern w:val="0"/>
                      <w:sz w:val="21"/>
                      <w:szCs w:val="21"/>
                      <w:u w:val="none"/>
                      <w:lang w:val="en-US" w:eastAsia="zh-CN" w:bidi="ar"/>
                    </w:rPr>
                    <w:t>0</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0.8222</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44.2</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eastAsia" w:cs="Times New Roman"/>
                      <w:i w:val="0"/>
                      <w:iCs w:val="0"/>
                      <w:color w:val="auto"/>
                      <w:kern w:val="0"/>
                      <w:sz w:val="21"/>
                      <w:szCs w:val="21"/>
                      <w:u w:val="none"/>
                      <w:lang w:val="en-US" w:eastAsia="zh-CN" w:bidi="ar"/>
                    </w:rPr>
                    <w:t>0.0764</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BOD</w:t>
                  </w:r>
                  <w:r>
                    <w:rPr>
                      <w:rFonts w:hint="default" w:ascii="Times New Roman" w:hAnsi="Times New Roman" w:eastAsia="宋体" w:cs="Times New Roman"/>
                      <w:i w:val="0"/>
                      <w:iCs w:val="0"/>
                      <w:color w:val="auto"/>
                      <w:kern w:val="0"/>
                      <w:sz w:val="21"/>
                      <w:szCs w:val="21"/>
                      <w:u w:val="none"/>
                      <w:vertAlign w:val="subscript"/>
                      <w:lang w:val="en-US" w:eastAsia="zh-CN" w:bidi="ar"/>
                    </w:rPr>
                    <w:t>5</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00</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3456</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95</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0.3309</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147</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SS</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20</w:t>
                  </w:r>
                  <w:r>
                    <w:rPr>
                      <w:rFonts w:hint="default" w:ascii="Times New Roman" w:hAnsi="Times New Roman" w:eastAsia="宋体" w:cs="Times New Roman"/>
                      <w:i w:val="0"/>
                      <w:iCs w:val="0"/>
                      <w:color w:val="auto"/>
                      <w:kern w:val="0"/>
                      <w:sz w:val="21"/>
                      <w:szCs w:val="21"/>
                      <w:u w:val="none"/>
                      <w:lang w:val="en-US" w:eastAsia="zh-CN" w:bidi="ar"/>
                    </w:rPr>
                    <w:t>0</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3456</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99</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0.3432</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024</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NH</w:t>
                  </w:r>
                  <w:r>
                    <w:rPr>
                      <w:rFonts w:hint="default" w:ascii="Times New Roman" w:hAnsi="Times New Roman" w:eastAsia="宋体" w:cs="Times New Roman"/>
                      <w:i w:val="0"/>
                      <w:iCs w:val="0"/>
                      <w:color w:val="auto"/>
                      <w:kern w:val="0"/>
                      <w:sz w:val="21"/>
                      <w:szCs w:val="21"/>
                      <w:u w:val="none"/>
                      <w:vertAlign w:val="subscript"/>
                      <w:lang w:val="en-US" w:eastAsia="zh-CN" w:bidi="ar"/>
                    </w:rPr>
                    <w:t>3</w:t>
                  </w:r>
                  <w:r>
                    <w:rPr>
                      <w:rFonts w:hint="default" w:ascii="Times New Roman" w:hAnsi="Times New Roman" w:eastAsia="宋体" w:cs="Times New Roman"/>
                      <w:i w:val="0"/>
                      <w:iCs w:val="0"/>
                      <w:color w:val="auto"/>
                      <w:kern w:val="0"/>
                      <w:sz w:val="21"/>
                      <w:szCs w:val="21"/>
                      <w:u w:val="none"/>
                      <w:lang w:val="en-US" w:eastAsia="zh-CN" w:bidi="ar"/>
                    </w:rPr>
                    <w:t>-N</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691</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90</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0.0622</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69</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TP</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8</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138</w:t>
                  </w:r>
                </w:p>
              </w:tc>
              <w:tc>
                <w:tcPr>
                  <w:tcW w:w="49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5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90</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0.0124</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0.8</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cs="Times New Roman"/>
                      <w:i w:val="0"/>
                      <w:iCs w:val="0"/>
                      <w:color w:val="auto"/>
                      <w:kern w:val="0"/>
                      <w:sz w:val="21"/>
                      <w:szCs w:val="21"/>
                      <w:u w:val="none"/>
                      <w:lang w:val="en-US" w:eastAsia="zh-CN" w:bidi="ar"/>
                    </w:rPr>
                    <w:t>14</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Merge w:val="continue"/>
                  <w:noWrap w:val="0"/>
                  <w:vAlign w:val="center"/>
                </w:tcPr>
                <w:p>
                  <w:pPr>
                    <w:jc w:val="center"/>
                    <w:rPr>
                      <w:rFonts w:hint="default" w:ascii="Times New Roman" w:hAnsi="Times New Roman" w:eastAsia="宋体" w:cs="Times New Roman"/>
                      <w:color w:val="auto"/>
                      <w:highlight w:val="none"/>
                    </w:rPr>
                  </w:pPr>
                </w:p>
              </w:tc>
              <w:tc>
                <w:tcPr>
                  <w:tcW w:w="819"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u w:val="none"/>
                      <w:lang w:val="en-US" w:eastAsia="zh-CN" w:bidi="ar"/>
                    </w:rPr>
                    <w:t>动植物油</w:t>
                  </w:r>
                </w:p>
              </w:tc>
              <w:tc>
                <w:tcPr>
                  <w:tcW w:w="88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i w:val="0"/>
                      <w:iCs w:val="0"/>
                      <w:color w:val="auto"/>
                      <w:kern w:val="0"/>
                      <w:sz w:val="21"/>
                      <w:szCs w:val="21"/>
                      <w:u w:val="none"/>
                      <w:lang w:val="en-US" w:eastAsia="zh-CN" w:bidi="ar"/>
                    </w:rPr>
                    <w:t>35</w:t>
                  </w:r>
                </w:p>
              </w:tc>
              <w:tc>
                <w:tcPr>
                  <w:tcW w:w="9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605</w:t>
                  </w:r>
                </w:p>
              </w:tc>
              <w:tc>
                <w:tcPr>
                  <w:tcW w:w="1001" w:type="dxa"/>
                  <w:gridSpan w:val="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80</w:t>
                  </w:r>
                  <w:r>
                    <w:rPr>
                      <w:rFonts w:hint="eastAsia" w:cs="Times New Roman"/>
                      <w:i w:val="0"/>
                      <w:iCs w:val="0"/>
                      <w:color w:val="auto"/>
                      <w:kern w:val="0"/>
                      <w:sz w:val="21"/>
                      <w:szCs w:val="21"/>
                      <w:u w:val="none"/>
                      <w:lang w:val="en-US" w:eastAsia="zh-CN" w:bidi="ar"/>
                    </w:rPr>
                    <w:t>（隔油池）</w:t>
                  </w:r>
                </w:p>
              </w:tc>
              <w:tc>
                <w:tcPr>
                  <w:tcW w:w="84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0.0484</w:t>
                  </w:r>
                </w:p>
              </w:tc>
              <w:tc>
                <w:tcPr>
                  <w:tcW w:w="9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812"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cs="Times New Roman"/>
                      <w:i w:val="0"/>
                      <w:iCs w:val="0"/>
                      <w:color w:val="auto"/>
                      <w:kern w:val="0"/>
                      <w:sz w:val="21"/>
                      <w:szCs w:val="21"/>
                      <w:u w:val="none"/>
                      <w:lang w:val="en-US" w:eastAsia="zh-CN" w:bidi="ar"/>
                    </w:rPr>
                    <w:t>121</w:t>
                  </w:r>
                </w:p>
              </w:tc>
              <w:tc>
                <w:tcPr>
                  <w:tcW w:w="602"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废水去向</w:t>
                  </w:r>
                </w:p>
              </w:tc>
              <w:tc>
                <w:tcPr>
                  <w:tcW w:w="7599" w:type="dxa"/>
                  <w:gridSpan w:val="10"/>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val="0"/>
                      <w:bCs w:val="0"/>
                      <w:color w:val="auto"/>
                      <w:sz w:val="21"/>
                      <w:szCs w:val="21"/>
                      <w:highlight w:val="none"/>
                      <w:lang w:val="en-US" w:eastAsia="zh-CN"/>
                    </w:rPr>
                    <w:t>本</w:t>
                  </w:r>
                  <w:r>
                    <w:rPr>
                      <w:rFonts w:hint="default" w:ascii="Times New Roman" w:hAnsi="Times New Roman" w:eastAsia="宋体" w:cs="Times New Roman"/>
                      <w:b w:val="0"/>
                      <w:bCs w:val="0"/>
                      <w:color w:val="auto"/>
                      <w:sz w:val="21"/>
                      <w:szCs w:val="21"/>
                      <w:highlight w:val="none"/>
                    </w:rPr>
                    <w:t>项目</w:t>
                  </w:r>
                  <w:r>
                    <w:rPr>
                      <w:rFonts w:hint="default" w:ascii="Times New Roman" w:hAnsi="Times New Roman" w:eastAsia="宋体" w:cs="Times New Roman"/>
                      <w:b w:val="0"/>
                      <w:bCs w:val="0"/>
                      <w:color w:val="auto"/>
                      <w:sz w:val="21"/>
                      <w:szCs w:val="21"/>
                      <w:highlight w:val="none"/>
                      <w:lang w:val="en-US" w:eastAsia="zh-CN"/>
                    </w:rPr>
                    <w:t>食堂含油废水经隔油池预处理后与其他办公生活污水一并进入化粪池、一体化污水处理站处理达《城市污水再生利用 城市杂用水水质》（GB/T18920-2020）中的城市绿化、道路清扫、消防、建筑施工标准后，用于项目区内绿化及道路场地洒水降尘，不外排。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bidi="ar"/>
              </w:rPr>
            </w:pPr>
            <w:r>
              <w:rPr>
                <w:rFonts w:hint="default" w:ascii="Times New Roman" w:hAnsi="Times New Roman" w:eastAsia="宋体" w:cs="Times New Roman"/>
                <w:b w:val="0"/>
                <w:bCs/>
                <w:color w:val="auto"/>
                <w:sz w:val="24"/>
                <w:szCs w:val="24"/>
                <w:highlight w:val="none"/>
                <w:lang w:val="en-US" w:eastAsia="zh-CN" w:bidi="ar"/>
              </w:rPr>
              <w:t>②生产废水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color w:val="auto"/>
                <w:sz w:val="24"/>
                <w:szCs w:val="24"/>
                <w:highlight w:val="none"/>
              </w:rPr>
              <w:t>项目</w:t>
            </w:r>
            <w:r>
              <w:rPr>
                <w:rFonts w:hint="default" w:ascii="Times New Roman" w:hAnsi="Times New Roman" w:eastAsia="宋体" w:cs="Times New Roman"/>
                <w:b w:val="0"/>
                <w:bCs/>
                <w:color w:val="auto"/>
                <w:sz w:val="24"/>
                <w:szCs w:val="24"/>
                <w:highlight w:val="none"/>
                <w:lang w:val="en-US" w:eastAsia="zh-CN"/>
              </w:rPr>
              <w:t>生产</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包括</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生产过程</w:t>
            </w:r>
            <w:r>
              <w:rPr>
                <w:rFonts w:hint="default" w:ascii="Times New Roman" w:hAnsi="Times New Roman" w:eastAsia="宋体" w:cs="Times New Roman"/>
                <w:color w:val="auto"/>
                <w:sz w:val="24"/>
              </w:rPr>
              <w:t>冷却废水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根据水平衡可知，</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rPr>
              <w:t>产生量为0.</w:t>
            </w:r>
            <w:r>
              <w:rPr>
                <w:rFonts w:hint="eastAsia" w:cs="Times New Roman"/>
                <w:color w:val="auto"/>
                <w:sz w:val="24"/>
                <w:lang w:val="en-US" w:eastAsia="zh-CN"/>
              </w:rPr>
              <w:t>1684</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eastAsia" w:cs="Times New Roman"/>
                <w:color w:val="auto"/>
                <w:sz w:val="24"/>
                <w:lang w:val="en-US" w:eastAsia="zh-CN"/>
              </w:rPr>
              <w:t>2.0208</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/d；锅炉排污水量为0.</w:t>
            </w:r>
            <w:r>
              <w:rPr>
                <w:rFonts w:hint="eastAsia" w:cs="Times New Roman"/>
                <w:color w:val="auto"/>
                <w:sz w:val="24"/>
                <w:lang w:val="en-US" w:eastAsia="zh-CN"/>
              </w:rPr>
              <w:t>4496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/h，</w:t>
            </w:r>
            <w:r>
              <w:rPr>
                <w:rFonts w:hint="eastAsia" w:cs="Times New Roman"/>
                <w:color w:val="auto"/>
                <w:sz w:val="24"/>
                <w:lang w:val="en-US" w:eastAsia="zh-CN"/>
              </w:rPr>
              <w:t>5.3952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lang w:eastAsia="zh-CN"/>
              </w:rPr>
              <w:t>锅炉排污水</w:t>
            </w:r>
            <w:r>
              <w:rPr>
                <w:rFonts w:hint="default" w:ascii="Times New Roman" w:hAnsi="Times New Roman" w:eastAsia="宋体" w:cs="Times New Roman"/>
                <w:color w:val="auto"/>
                <w:sz w:val="24"/>
                <w:lang w:val="en-US" w:eastAsia="zh-CN"/>
              </w:rPr>
              <w:t>中主要含有钙镁离子等，主要为浓盐水，项目区内拟设置1个容积约为</w:t>
            </w:r>
            <w:r>
              <w:rPr>
                <w:rFonts w:hint="eastAsia" w:cs="Times New Roman"/>
                <w:color w:val="auto"/>
                <w:sz w:val="24"/>
                <w:lang w:val="en-US" w:eastAsia="zh-CN"/>
              </w:rPr>
              <w:t>8</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的絮凝沉淀池处理后即可直接作为生产</w:t>
            </w:r>
            <w:r>
              <w:rPr>
                <w:rFonts w:hint="default" w:ascii="Times New Roman" w:hAnsi="Times New Roman" w:eastAsia="宋体" w:cs="Times New Roman"/>
                <w:color w:val="auto"/>
                <w:sz w:val="24"/>
                <w:szCs w:val="24"/>
                <w:highlight w:val="none"/>
                <w:lang w:val="en-US" w:eastAsia="zh-CN"/>
              </w:rPr>
              <w:t>冷却循环水补充使用</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中不含污染物，直接回用于锅炉</w:t>
            </w:r>
            <w:r>
              <w:rPr>
                <w:rFonts w:hint="default" w:ascii="Times New Roman" w:hAnsi="Times New Roman" w:eastAsia="宋体" w:cs="Times New Roman"/>
                <w:color w:val="auto"/>
                <w:sz w:val="24"/>
              </w:rPr>
              <w:t>损耗补充水</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生产过程</w:t>
            </w:r>
            <w:r>
              <w:rPr>
                <w:rFonts w:hint="default" w:ascii="Times New Roman" w:hAnsi="Times New Roman" w:eastAsia="宋体" w:cs="Times New Roman"/>
                <w:color w:val="auto"/>
                <w:sz w:val="24"/>
              </w:rPr>
              <w:t>冷却废水</w:t>
            </w:r>
            <w:r>
              <w:rPr>
                <w:rFonts w:hint="default" w:ascii="Times New Roman" w:hAnsi="Times New Roman" w:eastAsia="宋体" w:cs="Times New Roman"/>
                <w:color w:val="auto"/>
                <w:sz w:val="24"/>
                <w:lang w:val="en-US" w:eastAsia="zh-CN"/>
              </w:rPr>
              <w:t>循环使用不外排，定期补充蒸发损耗量即可</w:t>
            </w:r>
            <w:r>
              <w:rPr>
                <w:rFonts w:hint="default" w:ascii="Times New Roman" w:hAnsi="Times New Roman" w:eastAsia="宋体" w:cs="Times New Roman"/>
                <w:b w:val="0"/>
                <w:bCs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lang w:val="en-US" w:bidi="ar"/>
              </w:rPr>
            </w:pPr>
            <w:r>
              <w:rPr>
                <w:rFonts w:hint="default" w:ascii="Times New Roman" w:hAnsi="Times New Roman" w:eastAsia="宋体" w:cs="Times New Roman"/>
                <w:b/>
                <w:color w:val="auto"/>
                <w:sz w:val="24"/>
                <w:szCs w:val="24"/>
                <w:highlight w:val="none"/>
                <w:lang w:val="en-US" w:eastAsia="zh-CN" w:bidi="ar"/>
              </w:rPr>
              <w:t>3、</w:t>
            </w:r>
            <w:r>
              <w:rPr>
                <w:rFonts w:hint="default" w:ascii="Times New Roman" w:hAnsi="Times New Roman" w:eastAsia="宋体" w:cs="Times New Roman"/>
                <w:b/>
                <w:color w:val="auto"/>
                <w:spacing w:val="-10"/>
                <w:sz w:val="24"/>
                <w:highlight w:val="none"/>
              </w:rPr>
              <w:t>污水处理设施的可行性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zh-CN"/>
              </w:rPr>
              <w:t>隔油池</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项目食堂废水产生量为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/d。根据中华人民共和国国家环境保护标准《饮食业环境保护技术规范》（HJ554-2010），隔油池设计符合下列规定：</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a、含油污水的水力停留时间不宜小于0.5h；</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b、池内水流流速不宜大于0.005m/s；</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c、池内分格宜取两档三格；</w:t>
            </w:r>
          </w:p>
          <w:p>
            <w:pPr>
              <w:spacing w:line="348" w:lineRule="auto"/>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d、人工除油的隔油池内存油部分的容积不得小于该池有效容积的25%，隔油池出水管管底至池底的深度，不得小于0.6m。</w:t>
            </w:r>
          </w:p>
          <w:p>
            <w:pPr>
              <w:pStyle w:val="4"/>
              <w:adjustRightInd w:val="0"/>
              <w:snapToGrid w:val="0"/>
              <w:spacing w:after="0" w:line="360" w:lineRule="auto"/>
              <w:ind w:firstLine="464" w:firstLineChars="200"/>
              <w:rPr>
                <w:rFonts w:hint="default" w:ascii="Times New Roman" w:hAnsi="Times New Roman" w:eastAsia="宋体" w:cs="Times New Roman"/>
                <w:color w:val="auto"/>
                <w:spacing w:val="-4"/>
                <w:sz w:val="24"/>
                <w:szCs w:val="24"/>
                <w:highlight w:val="none"/>
              </w:rPr>
            </w:pPr>
            <w:r>
              <w:rPr>
                <w:rFonts w:hint="default" w:ascii="Times New Roman" w:hAnsi="Times New Roman" w:eastAsia="宋体" w:cs="Times New Roman"/>
                <w:color w:val="auto"/>
                <w:spacing w:val="-4"/>
                <w:sz w:val="24"/>
                <w:szCs w:val="24"/>
                <w:highlight w:val="none"/>
                <w:lang w:val="en-US" w:eastAsia="zh-CN"/>
              </w:rPr>
              <w:t>项目</w:t>
            </w:r>
            <w:r>
              <w:rPr>
                <w:rFonts w:hint="default" w:ascii="Times New Roman" w:hAnsi="Times New Roman" w:eastAsia="宋体" w:cs="Times New Roman"/>
                <w:color w:val="auto"/>
                <w:sz w:val="24"/>
                <w:szCs w:val="24"/>
                <w:highlight w:val="none"/>
              </w:rPr>
              <w:t>食堂</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rPr>
              <w:t>配套设置</w:t>
            </w:r>
            <w:r>
              <w:rPr>
                <w:rFonts w:hint="default" w:ascii="Times New Roman" w:hAnsi="Times New Roman" w:eastAsia="宋体" w:cs="Times New Roman"/>
                <w:color w:val="auto"/>
                <w:sz w:val="24"/>
                <w:szCs w:val="24"/>
                <w:highlight w:val="none"/>
                <w:lang w:val="en-US" w:eastAsia="zh-CN"/>
              </w:rPr>
              <w:t>1个</w:t>
            </w:r>
            <w:r>
              <w:rPr>
                <w:rFonts w:hint="default" w:ascii="Times New Roman" w:hAnsi="Times New Roman" w:eastAsia="宋体" w:cs="Times New Roman"/>
                <w:color w:val="auto"/>
                <w:sz w:val="24"/>
                <w:szCs w:val="24"/>
                <w:highlight w:val="none"/>
              </w:rPr>
              <w:t>容积</w:t>
            </w:r>
            <w:r>
              <w:rPr>
                <w:rFonts w:hint="default" w:ascii="Times New Roman" w:hAnsi="Times New Roman" w:eastAsia="宋体" w:cs="Times New Roman"/>
                <w:color w:val="auto"/>
                <w:sz w:val="24"/>
                <w:szCs w:val="24"/>
                <w:highlight w:val="none"/>
                <w:lang w:val="en-US" w:eastAsia="zh-CN"/>
              </w:rPr>
              <w:t>约为0.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的隔油池</w:t>
            </w:r>
            <w:r>
              <w:rPr>
                <w:rFonts w:hint="default" w:ascii="Times New Roman" w:hAnsi="Times New Roman" w:eastAsia="宋体" w:cs="Times New Roman"/>
                <w:color w:val="auto"/>
                <w:sz w:val="24"/>
                <w:szCs w:val="24"/>
                <w:highlight w:val="none"/>
                <w:lang w:val="en-US" w:eastAsia="zh-CN"/>
              </w:rPr>
              <w:t>进行使用</w:t>
            </w:r>
            <w:r>
              <w:rPr>
                <w:rFonts w:hint="default" w:ascii="Times New Roman" w:hAnsi="Times New Roman" w:eastAsia="宋体" w:cs="Times New Roman"/>
                <w:color w:val="auto"/>
                <w:sz w:val="24"/>
                <w:szCs w:val="24"/>
                <w:highlight w:val="none"/>
              </w:rPr>
              <w:t>，用于接纳厨房餐饮含油废水。根据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z w:val="24"/>
                <w:szCs w:val="24"/>
                <w:highlight w:val="none"/>
              </w:rPr>
              <w:t>分析，</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建成后整个</w:t>
            </w:r>
            <w:r>
              <w:rPr>
                <w:rFonts w:hint="default" w:ascii="Times New Roman" w:hAnsi="Times New Roman" w:eastAsia="宋体" w:cs="Times New Roman"/>
                <w:color w:val="auto"/>
                <w:sz w:val="24"/>
                <w:szCs w:val="24"/>
                <w:highlight w:val="none"/>
              </w:rPr>
              <w:t>食堂厨房含油废水产生量为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/d，按炊事时间4小时计算，隔油池容积大于</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即可满足水量停留时间要求，</w:t>
            </w:r>
            <w:r>
              <w:rPr>
                <w:rFonts w:hint="eastAsia"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隔油池</w:t>
            </w:r>
            <w:r>
              <w:rPr>
                <w:rFonts w:hint="default" w:ascii="Times New Roman" w:hAnsi="Times New Roman" w:eastAsia="宋体" w:cs="Times New Roman"/>
                <w:color w:val="auto"/>
                <w:sz w:val="24"/>
                <w:szCs w:val="24"/>
                <w:highlight w:val="none"/>
                <w:lang w:eastAsia="zh-CN"/>
              </w:rPr>
              <w:t>容积为</w:t>
            </w:r>
            <w:r>
              <w:rPr>
                <w:rFonts w:hint="default" w:ascii="Times New Roman" w:hAnsi="Times New Roman" w:eastAsia="宋体" w:cs="Times New Roman"/>
                <w:color w:val="auto"/>
                <w:sz w:val="24"/>
                <w:szCs w:val="24"/>
                <w:highlight w:val="none"/>
                <w:lang w:val="en-US" w:eastAsia="zh-CN"/>
              </w:rPr>
              <w:t>0.</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，隔油池容积能够满足</w:t>
            </w:r>
            <w:r>
              <w:rPr>
                <w:rFonts w:hint="default" w:ascii="Times New Roman" w:hAnsi="Times New Roman" w:eastAsia="宋体"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rPr>
              <w:t>含油污水的水量停留时间不小于0.5h的要求，能够确保隔油池的隔油效果</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2"/>
              <w:jc w:val="both"/>
              <w:textAlignment w:val="auto"/>
              <w:outlineLvl w:val="9"/>
              <w:rPr>
                <w:rFonts w:hint="default" w:ascii="Times New Roman" w:hAnsi="Times New Roman" w:eastAsia="宋体" w:cs="Times New Roman"/>
                <w:b w:val="0"/>
                <w:bCs w:val="0"/>
                <w:color w:val="auto"/>
                <w:sz w:val="24"/>
                <w:szCs w:val="24"/>
                <w:highlight w:val="none"/>
                <w:shd w:val="clear" w:color="auto" w:fill="auto"/>
                <w:lang w:val="zh-CN"/>
              </w:rPr>
            </w:pPr>
            <w:r>
              <w:rPr>
                <w:rFonts w:hint="default" w:ascii="Times New Roman" w:hAnsi="Times New Roman" w:eastAsia="宋体" w:cs="Times New Roman"/>
                <w:b w:val="0"/>
                <w:bCs w:val="0"/>
                <w:color w:val="auto"/>
                <w:sz w:val="24"/>
                <w:szCs w:val="24"/>
                <w:highlight w:val="none"/>
                <w:shd w:val="clear" w:color="auto" w:fill="auto"/>
                <w:lang w:val="zh-CN"/>
              </w:rPr>
              <w:t>②化粪池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根据工程分析可知，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pacing w:val="-4"/>
                <w:sz w:val="24"/>
                <w:szCs w:val="24"/>
                <w:highlight w:val="none"/>
              </w:rPr>
              <w:t>根据GB50015-2003《建筑给排水设计规范》（2009年版），</w:t>
            </w:r>
            <w:r>
              <w:rPr>
                <w:rFonts w:hint="default" w:ascii="Times New Roman" w:hAnsi="Times New Roman" w:eastAsia="宋体" w:cs="Times New Roman"/>
                <w:color w:val="auto"/>
                <w:sz w:val="24"/>
                <w:szCs w:val="24"/>
                <w:highlight w:val="none"/>
              </w:rPr>
              <w:t>化粪池总容积应满足废水停留时间12-24小时的要求，并做好防渗处理，化粪池宜建在便于机动车清掏的位置。</w:t>
            </w:r>
            <w:r>
              <w:rPr>
                <w:rFonts w:hint="default" w:ascii="Times New Roman" w:hAnsi="Times New Roman" w:eastAsia="宋体" w:cs="Times New Roman"/>
                <w:color w:val="auto"/>
                <w:sz w:val="24"/>
                <w:szCs w:val="24"/>
                <w:highlight w:val="none"/>
                <w:lang w:val="en-US" w:eastAsia="zh-CN"/>
              </w:rPr>
              <w:t>项目区设置</w:t>
            </w:r>
            <w:r>
              <w:rPr>
                <w:rFonts w:hint="eastAsia" w:cs="Times New Roman"/>
                <w:color w:val="auto"/>
                <w:sz w:val="24"/>
                <w:szCs w:val="24"/>
                <w:highlight w:val="none"/>
                <w:lang w:val="en-US" w:eastAsia="zh-CN"/>
              </w:rPr>
              <w:t>一个</w:t>
            </w:r>
            <w:r>
              <w:rPr>
                <w:rFonts w:hint="default" w:ascii="Times New Roman" w:hAnsi="Times New Roman" w:eastAsia="宋体" w:cs="Times New Roman"/>
                <w:color w:val="auto"/>
                <w:sz w:val="24"/>
                <w:szCs w:val="24"/>
                <w:highlight w:val="none"/>
              </w:rPr>
              <w:t>容积为</w:t>
            </w:r>
            <w:r>
              <w:rPr>
                <w:rFonts w:hint="default"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eastAsia" w:cs="Times New Roman"/>
                <w:color w:val="auto"/>
                <w:sz w:val="24"/>
                <w:szCs w:val="24"/>
                <w:highlight w:val="none"/>
                <w:vertAlign w:val="baseline"/>
                <w:lang w:val="en-US" w:eastAsia="zh-CN"/>
              </w:rPr>
              <w:t>的</w:t>
            </w:r>
            <w:r>
              <w:rPr>
                <w:rFonts w:hint="default" w:ascii="Times New Roman" w:hAnsi="Times New Roman" w:eastAsia="宋体" w:cs="Times New Roman"/>
                <w:color w:val="auto"/>
                <w:sz w:val="24"/>
                <w:szCs w:val="24"/>
                <w:highlight w:val="none"/>
              </w:rPr>
              <w:t>化粪池，用于预处理项目区所有生活污水。</w:t>
            </w:r>
            <w:r>
              <w:rPr>
                <w:rFonts w:hint="default" w:ascii="Times New Roman" w:hAnsi="Times New Roman" w:eastAsia="宋体" w:cs="Times New Roman"/>
                <w:color w:val="auto"/>
                <w:sz w:val="24"/>
                <w:szCs w:val="24"/>
                <w:highlight w:val="none"/>
                <w:lang w:eastAsia="zh-CN"/>
              </w:rPr>
              <w:t>化粪池容积</w:t>
            </w:r>
            <w:r>
              <w:rPr>
                <w:rFonts w:hint="default" w:ascii="Times New Roman" w:hAnsi="Times New Roman" w:eastAsia="宋体" w:cs="Times New Roman"/>
                <w:color w:val="auto"/>
                <w:sz w:val="24"/>
                <w:szCs w:val="24"/>
                <w:highlight w:val="none"/>
              </w:rPr>
              <w:t>能够保证污水停留</w:t>
            </w:r>
            <w:r>
              <w:rPr>
                <w:rFonts w:hint="default" w:ascii="Times New Roman" w:hAnsi="Times New Roman" w:eastAsia="宋体" w:cs="Times New Roman"/>
                <w:color w:val="auto"/>
                <w:sz w:val="24"/>
                <w:szCs w:val="24"/>
                <w:highlight w:val="none"/>
                <w:lang w:val="en-US" w:eastAsia="zh-CN"/>
              </w:rPr>
              <w:t>24小时以上，</w:t>
            </w:r>
            <w:r>
              <w:rPr>
                <w:rFonts w:hint="default" w:ascii="Times New Roman" w:hAnsi="Times New Roman" w:eastAsia="宋体" w:cs="Times New Roman"/>
                <w:color w:val="auto"/>
                <w:sz w:val="24"/>
                <w:szCs w:val="24"/>
                <w:highlight w:val="none"/>
              </w:rPr>
              <w:t>熟化效果较好</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项目生活污水经化粪池处理</w:t>
            </w:r>
            <w:r>
              <w:rPr>
                <w:rFonts w:hint="eastAsia" w:cs="Times New Roman"/>
                <w:color w:val="auto"/>
                <w:sz w:val="24"/>
                <w:szCs w:val="24"/>
                <w:highlight w:val="none"/>
                <w:lang w:eastAsia="zh-CN"/>
              </w:rPr>
              <w:t>后</w:t>
            </w:r>
            <w:r>
              <w:rPr>
                <w:rFonts w:hint="default" w:ascii="Times New Roman" w:hAnsi="Times New Roman" w:eastAsia="宋体" w:cs="Times New Roman"/>
                <w:color w:val="auto"/>
                <w:sz w:val="24"/>
                <w:szCs w:val="24"/>
                <w:highlight w:val="none"/>
              </w:rPr>
              <w:t>可大大降低后端</w:t>
            </w:r>
            <w:r>
              <w:rPr>
                <w:rFonts w:hint="default" w:ascii="Times New Roman" w:hAnsi="Times New Roman" w:eastAsia="宋体" w:cs="Times New Roman"/>
                <w:color w:val="auto"/>
                <w:sz w:val="24"/>
                <w:szCs w:val="24"/>
                <w:highlight w:val="none"/>
                <w:lang w:val="en-US" w:eastAsia="zh-CN"/>
              </w:rPr>
              <w:t>一体化</w:t>
            </w:r>
            <w:r>
              <w:rPr>
                <w:rFonts w:hint="default" w:ascii="Times New Roman" w:hAnsi="Times New Roman" w:eastAsia="宋体" w:cs="Times New Roman"/>
                <w:color w:val="auto"/>
                <w:sz w:val="24"/>
                <w:szCs w:val="24"/>
                <w:highlight w:val="none"/>
              </w:rPr>
              <w:t>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szCs w:val="24"/>
                <w:highlight w:val="none"/>
              </w:rPr>
              <w:t>的运行负荷。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因此，本项目</w:t>
            </w:r>
            <w:r>
              <w:rPr>
                <w:rFonts w:hint="default" w:ascii="Times New Roman" w:hAnsi="Times New Roman" w:eastAsia="宋体" w:cs="Times New Roman"/>
                <w:color w:val="auto"/>
                <w:sz w:val="24"/>
                <w:szCs w:val="24"/>
                <w:highlight w:val="none"/>
                <w:lang w:val="en-US" w:eastAsia="zh-CN"/>
              </w:rPr>
              <w:t>沿用原项目已设置的化粪池</w:t>
            </w:r>
            <w:r>
              <w:rPr>
                <w:rFonts w:hint="default" w:ascii="Times New Roman" w:hAnsi="Times New Roman" w:eastAsia="宋体" w:cs="Times New Roman"/>
                <w:color w:val="auto"/>
                <w:sz w:val="24"/>
                <w:szCs w:val="24"/>
                <w:highlight w:val="none"/>
                <w:lang w:eastAsia="zh-CN"/>
              </w:rPr>
              <w:t>可行</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348"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eastAsia="zh-CN" w:bidi="ar"/>
              </w:rPr>
              <w:t>一体化</w:t>
            </w:r>
            <w:r>
              <w:rPr>
                <w:rFonts w:hint="default" w:ascii="Times New Roman" w:hAnsi="Times New Roman" w:eastAsia="宋体" w:cs="Times New Roman"/>
                <w:color w:val="auto"/>
                <w:sz w:val="24"/>
                <w:szCs w:val="24"/>
                <w:highlight w:val="none"/>
                <w:lang w:val="en-US" w:eastAsia="zh-CN"/>
              </w:rPr>
              <w:t>污水处理站</w:t>
            </w:r>
          </w:p>
          <w:p>
            <w:pPr>
              <w:spacing w:line="348" w:lineRule="auto"/>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根据调查，本项目一体化污水处理站采用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Cs/>
                <w:color w:val="auto"/>
                <w:sz w:val="24"/>
                <w:szCs w:val="24"/>
                <w:highlight w:val="none"/>
                <w:vertAlign w:val="baseline"/>
                <w:lang w:val="en-US" w:eastAsia="zh-CN"/>
              </w:rPr>
              <w:t>MBR膜生物反应</w:t>
            </w:r>
            <w:r>
              <w:rPr>
                <w:rFonts w:hint="default" w:ascii="Times New Roman" w:hAnsi="Times New Roman" w:eastAsia="宋体" w:cs="Times New Roman"/>
                <w:color w:val="auto"/>
                <w:sz w:val="24"/>
                <w:szCs w:val="24"/>
                <w:highlight w:val="none"/>
              </w:rPr>
              <w:t>”工艺处理项目运营过程中产生的废水。</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rPr>
              <w:t>指把生物反应与膜分离相结合，以膜为分离介质替代常规重力沉淀固液分离获得出水,并能改变反应进程和提高反应效率的污水处理方法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highlight w:val="none"/>
                <w:vertAlign w:val="baseline"/>
                <w:lang w:val="en-US" w:eastAsia="zh-CN"/>
              </w:rPr>
              <w:t>MBR</w:t>
            </w:r>
            <w:r>
              <w:rPr>
                <w:rFonts w:hint="default" w:ascii="Times New Roman" w:hAnsi="Times New Roman" w:eastAsia="宋体" w:cs="Times New Roman"/>
                <w:color w:val="auto"/>
                <w:sz w:val="24"/>
                <w:szCs w:val="24"/>
                <w:highlight w:val="none"/>
              </w:rPr>
              <w:t>一体化污水处理设备运行操作简单，运行成本低，能高效去除污水中的有机污染物。根据</w:t>
            </w:r>
            <w:r>
              <w:rPr>
                <w:rFonts w:hint="default" w:ascii="Times New Roman" w:hAnsi="Times New Roman" w:eastAsia="宋体" w:cs="Times New Roman"/>
                <w:color w:val="auto"/>
                <w:sz w:val="24"/>
                <w:szCs w:val="24"/>
                <w:highlight w:val="none"/>
                <w:lang w:val="en-US" w:eastAsia="zh-CN"/>
              </w:rPr>
              <w:t>水平衡</w:t>
            </w:r>
            <w:r>
              <w:rPr>
                <w:rFonts w:hint="default" w:ascii="Times New Roman" w:hAnsi="Times New Roman" w:eastAsia="宋体" w:cs="Times New Roman"/>
                <w:color w:val="auto"/>
                <w:sz w:val="24"/>
                <w:szCs w:val="24"/>
                <w:highlight w:val="none"/>
              </w:rPr>
              <w:t>可知，</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lang w:val="en-US" w:eastAsia="zh-CN"/>
              </w:rPr>
              <w:t>拟设置的</w:t>
            </w:r>
            <w:r>
              <w:rPr>
                <w:rFonts w:hint="default" w:ascii="Times New Roman" w:hAnsi="Times New Roman" w:eastAsia="宋体" w:cs="Times New Roman"/>
                <w:color w:val="auto"/>
                <w:sz w:val="24"/>
                <w:szCs w:val="24"/>
                <w:highlight w:val="none"/>
              </w:rPr>
              <w:t>一体化污水处理设</w:t>
            </w:r>
            <w:r>
              <w:rPr>
                <w:rFonts w:hint="default" w:ascii="Times New Roman" w:hAnsi="Times New Roman" w:eastAsia="宋体" w:cs="Times New Roman"/>
                <w:color w:val="auto"/>
                <w:sz w:val="24"/>
                <w:szCs w:val="24"/>
                <w:highlight w:val="none"/>
                <w:lang w:eastAsia="zh-CN"/>
              </w:rPr>
              <w:t>备</w:t>
            </w:r>
            <w:r>
              <w:rPr>
                <w:rFonts w:hint="default" w:ascii="Times New Roman" w:hAnsi="Times New Roman" w:eastAsia="宋体" w:cs="Times New Roman"/>
                <w:color w:val="auto"/>
                <w:sz w:val="24"/>
                <w:szCs w:val="24"/>
                <w:highlight w:val="none"/>
              </w:rPr>
              <w:t>处理规模</w:t>
            </w:r>
            <w:r>
              <w:rPr>
                <w:rFonts w:hint="default" w:ascii="Times New Roman" w:hAnsi="Times New Roman" w:eastAsia="宋体" w:cs="Times New Roman"/>
                <w:color w:val="auto"/>
                <w:sz w:val="24"/>
                <w:szCs w:val="24"/>
                <w:highlight w:val="none"/>
                <w:lang w:eastAsia="zh-CN"/>
              </w:rPr>
              <w:t>为</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完全</w:t>
            </w:r>
            <w:r>
              <w:rPr>
                <w:rFonts w:hint="default" w:ascii="Times New Roman" w:hAnsi="Times New Roman" w:eastAsia="宋体" w:cs="Times New Roman"/>
                <w:color w:val="auto"/>
                <w:sz w:val="24"/>
                <w:szCs w:val="24"/>
                <w:highlight w:val="none"/>
                <w:lang w:eastAsia="zh-CN"/>
              </w:rPr>
              <w:t>容纳</w:t>
            </w:r>
            <w:r>
              <w:rPr>
                <w:rFonts w:hint="default" w:ascii="Times New Roman" w:hAnsi="Times New Roman" w:eastAsia="宋体" w:cs="Times New Roman"/>
                <w:color w:val="auto"/>
                <w:sz w:val="24"/>
                <w:szCs w:val="24"/>
                <w:highlight w:val="none"/>
                <w:lang w:val="en-US" w:eastAsia="zh-CN"/>
              </w:rPr>
              <w:t>处理</w:t>
            </w:r>
            <w:r>
              <w:rPr>
                <w:rFonts w:hint="default" w:ascii="Times New Roman" w:hAnsi="Times New Roman" w:eastAsia="宋体" w:cs="Times New Roman"/>
                <w:color w:val="auto"/>
                <w:sz w:val="24"/>
                <w:szCs w:val="24"/>
                <w:highlight w:val="none"/>
                <w:lang w:eastAsia="zh-CN"/>
              </w:rPr>
              <w:t>项目产生</w:t>
            </w:r>
            <w:r>
              <w:rPr>
                <w:rFonts w:hint="default" w:ascii="Times New Roman" w:hAnsi="Times New Roman" w:eastAsia="宋体" w:cs="Times New Roman"/>
                <w:color w:val="auto"/>
                <w:sz w:val="24"/>
                <w:szCs w:val="24"/>
                <w:highlight w:val="none"/>
                <w:lang w:val="en-US" w:eastAsia="zh-CN"/>
              </w:rPr>
              <w:t>的生活污水。</w:t>
            </w:r>
          </w:p>
          <w:p>
            <w:pPr>
              <w:keepNext w:val="0"/>
              <w:keepLines w:val="0"/>
              <w:pageBreakBefore w:val="0"/>
              <w:widowControl w:val="0"/>
              <w:kinsoku/>
              <w:wordWrap/>
              <w:overflowPunct/>
              <w:topLinePunct w:val="0"/>
              <w:autoSpaceDE/>
              <w:autoSpaceDN/>
              <w:bidi w:val="0"/>
              <w:adjustRightInd/>
              <w:spacing w:line="360" w:lineRule="auto"/>
              <w:ind w:firstLine="460" w:firstLineChars="192"/>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化粪池及</w:t>
            </w:r>
            <w:r>
              <w:rPr>
                <w:rFonts w:hint="default" w:ascii="Times New Roman" w:hAnsi="Times New Roman" w:eastAsia="宋体" w:cs="Times New Roman"/>
                <w:color w:val="auto"/>
                <w:sz w:val="24"/>
                <w:szCs w:val="24"/>
                <w:highlight w:val="none"/>
              </w:rPr>
              <w:t>一体化污水处理</w:t>
            </w:r>
            <w:r>
              <w:rPr>
                <w:rFonts w:hint="default" w:ascii="Times New Roman" w:hAnsi="Times New Roman" w:eastAsia="宋体" w:cs="Times New Roman"/>
                <w:color w:val="auto"/>
                <w:sz w:val="24"/>
                <w:szCs w:val="24"/>
                <w:highlight w:val="none"/>
                <w:lang w:val="en-US" w:eastAsia="zh-CN"/>
              </w:rPr>
              <w:t>站</w:t>
            </w:r>
            <w:r>
              <w:rPr>
                <w:rFonts w:hint="default" w:ascii="Times New Roman" w:hAnsi="Times New Roman" w:eastAsia="宋体" w:cs="Times New Roman"/>
                <w:color w:val="auto"/>
                <w:sz w:val="24"/>
                <w:highlight w:val="none"/>
              </w:rPr>
              <w:t>处理前后水质情况如下表所示。</w:t>
            </w:r>
          </w:p>
          <w:p>
            <w:pPr>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表4-1</w:t>
            </w:r>
            <w:r>
              <w:rPr>
                <w:rFonts w:hint="default" w:ascii="Times New Roman" w:hAnsi="Times New Roman" w:eastAsia="宋体"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 xml:space="preserve">  化粪池进出水水质一览表   单位：</w:t>
            </w:r>
            <w:r>
              <w:rPr>
                <w:rFonts w:hint="default" w:ascii="Times New Roman" w:hAnsi="Times New Roman" w:eastAsia="宋体" w:cs="Times New Roman"/>
                <w:b/>
                <w:bCs/>
                <w:color w:val="auto"/>
                <w:kern w:val="0"/>
                <w:szCs w:val="21"/>
                <w:highlight w:val="none"/>
                <w:lang w:val="zh-CN"/>
              </w:rPr>
              <w:t>mg/L</w:t>
            </w:r>
          </w:p>
          <w:tbl>
            <w:tblPr>
              <w:tblStyle w:val="27"/>
              <w:tblW w:w="8371"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62"/>
              <w:gridCol w:w="755"/>
              <w:gridCol w:w="942"/>
              <w:gridCol w:w="819"/>
              <w:gridCol w:w="3650"/>
              <w:gridCol w:w="686"/>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污染源</w:t>
                  </w:r>
                </w:p>
              </w:tc>
              <w:tc>
                <w:tcPr>
                  <w:tcW w:w="1062"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污染物</w:t>
                  </w:r>
                </w:p>
              </w:tc>
              <w:tc>
                <w:tcPr>
                  <w:tcW w:w="755"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产生浓度</w:t>
                  </w:r>
                </w:p>
              </w:tc>
              <w:tc>
                <w:tcPr>
                  <w:tcW w:w="942"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处理方式</w:t>
                  </w:r>
                </w:p>
              </w:tc>
              <w:tc>
                <w:tcPr>
                  <w:tcW w:w="819"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处理后</w:t>
                  </w:r>
                  <w:r>
                    <w:rPr>
                      <w:rFonts w:hint="default" w:ascii="Times New Roman" w:hAnsi="Times New Roman" w:eastAsia="宋体" w:cs="Times New Roman"/>
                      <w:b/>
                      <w:bCs/>
                      <w:color w:val="auto"/>
                      <w:szCs w:val="21"/>
                      <w:highlight w:val="none"/>
                    </w:rPr>
                    <w:t>浓度</w:t>
                  </w:r>
                </w:p>
              </w:tc>
              <w:tc>
                <w:tcPr>
                  <w:tcW w:w="3650"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《城市污水再生利用 城市杂用水水质》（GB/T18920-2020）中的城市绿化、道路清扫、消防、建筑施工标准</w:t>
                  </w:r>
                </w:p>
              </w:tc>
              <w:tc>
                <w:tcPr>
                  <w:tcW w:w="686" w:type="dxa"/>
                  <w:tcBorders>
                    <w:tl2br w:val="nil"/>
                    <w:tr2bl w:val="nil"/>
                  </w:tcBorders>
                  <w:vAlign w:val="center"/>
                </w:tcPr>
                <w:p>
                  <w:pPr>
                    <w:snapToGrid w:val="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达标情况</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7" w:type="dxa"/>
                  <w:vMerge w:val="restart"/>
                  <w:tcBorders>
                    <w:tl2br w:val="nil"/>
                    <w:tr2bl w:val="nil"/>
                  </w:tcBorders>
                  <w:vAlign w:val="center"/>
                </w:tcPr>
                <w:p>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综合废水</w:t>
                  </w: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COD</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520</w:t>
                  </w:r>
                </w:p>
              </w:tc>
              <w:tc>
                <w:tcPr>
                  <w:tcW w:w="942" w:type="dxa"/>
                  <w:vMerge w:val="restart"/>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化粪池</w:t>
                  </w:r>
                  <w:r>
                    <w:rPr>
                      <w:rFonts w:hint="default" w:ascii="Times New Roman" w:hAnsi="Times New Roman" w:eastAsia="宋体" w:cs="Times New Roman"/>
                      <w:color w:val="auto"/>
                      <w:kern w:val="0"/>
                      <w:sz w:val="21"/>
                      <w:szCs w:val="21"/>
                      <w:highlight w:val="none"/>
                      <w:lang w:val="en-US" w:eastAsia="zh-CN" w:bidi="ar"/>
                    </w:rPr>
                    <w:t>+</w:t>
                  </w:r>
                  <w:r>
                    <w:rPr>
                      <w:rFonts w:hint="default" w:ascii="Times New Roman" w:hAnsi="Times New Roman" w:eastAsia="宋体" w:cs="Times New Roman"/>
                      <w:color w:val="auto"/>
                      <w:sz w:val="21"/>
                      <w:szCs w:val="21"/>
                      <w:highlight w:val="none"/>
                    </w:rPr>
                    <w:t>一体化污水处理</w:t>
                  </w:r>
                  <w:r>
                    <w:rPr>
                      <w:rFonts w:hint="default" w:ascii="Times New Roman" w:hAnsi="Times New Roman" w:eastAsia="宋体" w:cs="Times New Roman"/>
                      <w:color w:val="auto"/>
                      <w:sz w:val="21"/>
                      <w:szCs w:val="21"/>
                      <w:highlight w:val="none"/>
                      <w:lang w:val="en-US" w:eastAsia="zh-CN"/>
                    </w:rPr>
                    <w:t>站</w:t>
                  </w: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44.2</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57" w:type="dxa"/>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BOD</w:t>
                  </w:r>
                  <w:r>
                    <w:rPr>
                      <w:rFonts w:hint="default" w:ascii="Times New Roman" w:hAnsi="Times New Roman" w:eastAsia="宋体" w:cs="Times New Roman"/>
                      <w:color w:val="auto"/>
                      <w:kern w:val="0"/>
                      <w:szCs w:val="21"/>
                      <w:highlight w:val="none"/>
                      <w:vertAlign w:val="subscript"/>
                      <w:lang w:bidi="ar"/>
                    </w:rPr>
                    <w:t>5</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200</w:t>
                  </w:r>
                </w:p>
              </w:tc>
              <w:tc>
                <w:tcPr>
                  <w:tcW w:w="942" w:type="dxa"/>
                  <w:vMerge w:val="continue"/>
                  <w:tcBorders>
                    <w:tl2br w:val="nil"/>
                    <w:tr2bl w:val="nil"/>
                  </w:tcBorders>
                  <w:vAlign w:val="center"/>
                </w:tcPr>
                <w:p>
                  <w:pPr>
                    <w:jc w:val="center"/>
                    <w:rPr>
                      <w:rFonts w:hint="default" w:ascii="Times New Roman" w:hAnsi="Times New Roman" w:eastAsia="宋体" w:cs="Times New Roman"/>
                      <w:color w:val="auto"/>
                      <w:kern w:val="0"/>
                      <w:sz w:val="21"/>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8.5</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10</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7" w:type="dxa"/>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SS</w:t>
                  </w:r>
                </w:p>
              </w:tc>
              <w:tc>
                <w:tcPr>
                  <w:tcW w:w="755"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val="en-US" w:eastAsia="zh-CN" w:bidi="ar"/>
                    </w:rPr>
                    <w:t>200</w:t>
                  </w:r>
                </w:p>
              </w:tc>
              <w:tc>
                <w:tcPr>
                  <w:tcW w:w="942" w:type="dxa"/>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7" w:type="dxa"/>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NH</w:t>
                  </w:r>
                  <w:r>
                    <w:rPr>
                      <w:rFonts w:hint="default" w:ascii="Times New Roman" w:hAnsi="Times New Roman" w:eastAsia="宋体" w:cs="Times New Roman"/>
                      <w:color w:val="auto"/>
                      <w:kern w:val="0"/>
                      <w:szCs w:val="21"/>
                      <w:highlight w:val="none"/>
                      <w:vertAlign w:val="subscript"/>
                      <w:lang w:bidi="ar"/>
                    </w:rPr>
                    <w:t>3</w:t>
                  </w:r>
                  <w:r>
                    <w:rPr>
                      <w:rFonts w:hint="default" w:ascii="Times New Roman" w:hAnsi="Times New Roman" w:eastAsia="宋体" w:cs="Times New Roman"/>
                      <w:color w:val="auto"/>
                      <w:kern w:val="0"/>
                      <w:szCs w:val="21"/>
                      <w:highlight w:val="none"/>
                      <w:lang w:bidi="ar"/>
                    </w:rPr>
                    <w:t>-N</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942" w:type="dxa"/>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8</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7" w:type="dxa"/>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lang w:bidi="ar"/>
                    </w:rPr>
                    <w:t>TP</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942" w:type="dxa"/>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0.8</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color w:val="auto"/>
                      <w:kern w:val="0"/>
                      <w:szCs w:val="21"/>
                      <w:highlight w:val="none"/>
                      <w:lang w:bidi="ar"/>
                    </w:rPr>
                    <w:t>达标</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57" w:type="dxa"/>
                  <w:vMerge w:val="continue"/>
                  <w:tcBorders>
                    <w:tl2br w:val="nil"/>
                    <w:tr2bl w:val="nil"/>
                  </w:tcBorders>
                  <w:vAlign w:val="center"/>
                </w:tcPr>
                <w:p>
                  <w:pPr>
                    <w:jc w:val="center"/>
                    <w:rPr>
                      <w:rFonts w:hint="default" w:ascii="Times New Roman" w:hAnsi="Times New Roman" w:eastAsia="宋体" w:cs="Times New Roman"/>
                      <w:color w:val="auto"/>
                      <w:szCs w:val="21"/>
                      <w:highlight w:val="none"/>
                    </w:rPr>
                  </w:pPr>
                </w:p>
              </w:tc>
              <w:tc>
                <w:tcPr>
                  <w:tcW w:w="1062"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动植物油</w:t>
                  </w:r>
                </w:p>
              </w:tc>
              <w:tc>
                <w:tcPr>
                  <w:tcW w:w="75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w:t>
                  </w:r>
                </w:p>
              </w:tc>
              <w:tc>
                <w:tcPr>
                  <w:tcW w:w="942" w:type="dxa"/>
                  <w:vMerge w:val="continue"/>
                  <w:tcBorders>
                    <w:tl2br w:val="nil"/>
                    <w:tr2bl w:val="nil"/>
                  </w:tcBorders>
                  <w:vAlign w:val="center"/>
                </w:tcPr>
                <w:p>
                  <w:pPr>
                    <w:jc w:val="center"/>
                    <w:rPr>
                      <w:rFonts w:hint="default" w:ascii="Times New Roman" w:hAnsi="Times New Roman" w:eastAsia="宋体" w:cs="Times New Roman"/>
                      <w:color w:val="auto"/>
                      <w:kern w:val="0"/>
                      <w:szCs w:val="21"/>
                      <w:highlight w:val="none"/>
                      <w:lang w:bidi="ar"/>
                    </w:rPr>
                  </w:pPr>
                </w:p>
              </w:tc>
              <w:tc>
                <w:tcPr>
                  <w:tcW w:w="819"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highlight w:val="none"/>
                      <w:lang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3650"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w:t>
                  </w:r>
                </w:p>
              </w:tc>
              <w:tc>
                <w:tcPr>
                  <w:tcW w:w="686" w:type="dxa"/>
                  <w:tcBorders>
                    <w:tl2br w:val="nil"/>
                    <w:tr2bl w:val="nil"/>
                  </w:tcBorders>
                  <w:vAlign w:val="center"/>
                </w:tcPr>
                <w:p>
                  <w:pPr>
                    <w:widowControl/>
                    <w:jc w:val="center"/>
                    <w:textAlignment w:val="center"/>
                    <w:rPr>
                      <w:rFonts w:hint="default" w:ascii="Times New Roman" w:hAnsi="Times New Roman" w:eastAsia="宋体" w:cs="Times New Roman"/>
                      <w:color w:val="auto"/>
                      <w:kern w:val="0"/>
                      <w:szCs w:val="21"/>
                      <w:highlight w:val="none"/>
                      <w:lang w:val="en-US" w:eastAsia="zh-CN" w:bidi="ar"/>
                    </w:rPr>
                  </w:pPr>
                  <w:r>
                    <w:rPr>
                      <w:rFonts w:hint="default" w:ascii="Times New Roman" w:hAnsi="Times New Roman" w:eastAsia="宋体" w:cs="Times New Roman"/>
                      <w:color w:val="auto"/>
                      <w:kern w:val="0"/>
                      <w:szCs w:val="21"/>
                      <w:highlight w:val="none"/>
                      <w:lang w:val="en-US" w:eastAsia="zh-CN" w:bidi="ar"/>
                    </w:rPr>
                    <w:t>达标</w:t>
                  </w:r>
                </w:p>
              </w:tc>
            </w:tr>
          </w:tbl>
          <w:p>
            <w:pPr>
              <w:keepNext w:val="0"/>
              <w:keepLines w:val="0"/>
              <w:pageBreakBefore w:val="0"/>
              <w:widowControl w:val="0"/>
              <w:kinsoku/>
              <w:wordWrap/>
              <w:overflowPunct/>
              <w:topLinePunct w:val="0"/>
              <w:autoSpaceDE/>
              <w:autoSpaceDN/>
              <w:bidi w:val="0"/>
              <w:spacing w:line="351" w:lineRule="auto"/>
              <w:ind w:firstLine="48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由</w:t>
            </w:r>
            <w:r>
              <w:rPr>
                <w:rFonts w:hint="default" w:ascii="Times New Roman" w:hAnsi="Times New Roman" w:eastAsia="宋体" w:cs="Times New Roman"/>
                <w:b w:val="0"/>
                <w:bCs w:val="0"/>
                <w:color w:val="auto"/>
                <w:sz w:val="24"/>
                <w:szCs w:val="24"/>
                <w:highlight w:val="none"/>
                <w:lang w:val="zh-CN"/>
              </w:rPr>
              <w:t>上表可以看出，项目生活废水</w:t>
            </w:r>
            <w:r>
              <w:rPr>
                <w:rFonts w:hint="default" w:ascii="Times New Roman" w:hAnsi="Times New Roman" w:eastAsia="宋体" w:cs="Times New Roman"/>
                <w:b w:val="0"/>
                <w:bCs w:val="0"/>
                <w:color w:val="auto"/>
                <w:sz w:val="24"/>
                <w:szCs w:val="24"/>
                <w:highlight w:val="none"/>
              </w:rPr>
              <w:t>经</w:t>
            </w:r>
            <w:r>
              <w:rPr>
                <w:rFonts w:hint="default" w:ascii="Times New Roman" w:hAnsi="Times New Roman" w:eastAsia="宋体" w:cs="Times New Roman"/>
                <w:b w:val="0"/>
                <w:bCs w:val="0"/>
                <w:color w:val="auto"/>
                <w:sz w:val="24"/>
                <w:szCs w:val="24"/>
                <w:highlight w:val="none"/>
                <w:lang w:val="en-US" w:eastAsia="zh-CN"/>
              </w:rPr>
              <w:t>化粪池及</w:t>
            </w:r>
            <w:r>
              <w:rPr>
                <w:rFonts w:hint="default" w:ascii="Times New Roman" w:hAnsi="Times New Roman" w:eastAsia="宋体" w:cs="Times New Roman"/>
                <w:b w:val="0"/>
                <w:bCs w:val="0"/>
                <w:color w:val="auto"/>
                <w:sz w:val="24"/>
                <w:szCs w:val="24"/>
                <w:highlight w:val="none"/>
              </w:rPr>
              <w:t>一体化污水处理</w:t>
            </w:r>
            <w:r>
              <w:rPr>
                <w:rFonts w:hint="default" w:ascii="Times New Roman" w:hAnsi="Times New Roman" w:eastAsia="宋体" w:cs="Times New Roman"/>
                <w:b w:val="0"/>
                <w:bCs w:val="0"/>
                <w:color w:val="auto"/>
                <w:sz w:val="24"/>
                <w:szCs w:val="24"/>
                <w:highlight w:val="none"/>
                <w:lang w:val="en-US" w:eastAsia="zh-CN"/>
              </w:rPr>
              <w:t>站</w:t>
            </w:r>
            <w:r>
              <w:rPr>
                <w:rFonts w:hint="default" w:ascii="Times New Roman" w:hAnsi="Times New Roman" w:eastAsia="宋体" w:cs="Times New Roman"/>
                <w:b w:val="0"/>
                <w:bCs w:val="0"/>
                <w:color w:val="auto"/>
                <w:sz w:val="24"/>
                <w:szCs w:val="24"/>
                <w:highlight w:val="none"/>
                <w:lang w:val="zh-CN"/>
              </w:rPr>
              <w:t>处理后，</w:t>
            </w:r>
            <w:r>
              <w:rPr>
                <w:rFonts w:hint="default" w:ascii="Times New Roman" w:hAnsi="Times New Roman" w:eastAsia="宋体" w:cs="Times New Roman"/>
                <w:b w:val="0"/>
                <w:bCs w:val="0"/>
                <w:color w:val="auto"/>
                <w:sz w:val="24"/>
                <w:szCs w:val="24"/>
                <w:highlight w:val="none"/>
              </w:rPr>
              <w:t>出水水质能够</w:t>
            </w:r>
            <w:r>
              <w:rPr>
                <w:rFonts w:hint="default" w:ascii="Times New Roman" w:hAnsi="Times New Roman" w:eastAsia="宋体" w:cs="Times New Roman"/>
                <w:b w:val="0"/>
                <w:bCs w:val="0"/>
                <w:color w:val="auto"/>
                <w:sz w:val="24"/>
                <w:szCs w:val="24"/>
                <w:highlight w:val="none"/>
                <w:lang w:val="en-US" w:eastAsia="zh-CN"/>
              </w:rPr>
              <w:t>满足《城市污水再生利用 城市杂用水水质》（GB/T18920-2020）中的城市绿化、道路清扫、消防、建筑施工标准要求</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zh-CN"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4、</w:t>
            </w:r>
            <w:r>
              <w:rPr>
                <w:rFonts w:hint="default" w:ascii="Times New Roman" w:hAnsi="Times New Roman" w:eastAsia="宋体" w:cs="Times New Roman"/>
                <w:b/>
                <w:bCs w:val="0"/>
                <w:color w:val="auto"/>
                <w:spacing w:val="-10"/>
                <w:kern w:val="2"/>
                <w:sz w:val="24"/>
                <w:szCs w:val="24"/>
                <w:highlight w:val="none"/>
                <w:lang w:val="zh-CN" w:eastAsia="zh-CN" w:bidi="ar-SA"/>
              </w:rPr>
              <w:t>生产废水</w:t>
            </w:r>
            <w:r>
              <w:rPr>
                <w:rFonts w:hint="default" w:ascii="Times New Roman" w:hAnsi="Times New Roman" w:eastAsia="宋体" w:cs="Times New Roman"/>
                <w:b/>
                <w:bCs w:val="0"/>
                <w:color w:val="auto"/>
                <w:spacing w:val="-10"/>
                <w:kern w:val="2"/>
                <w:sz w:val="24"/>
                <w:szCs w:val="24"/>
                <w:highlight w:val="none"/>
                <w:lang w:val="en-US" w:eastAsia="zh-CN" w:bidi="ar-SA"/>
              </w:rPr>
              <w:t>循环使用的</w:t>
            </w:r>
            <w:r>
              <w:rPr>
                <w:rFonts w:hint="default" w:ascii="Times New Roman" w:hAnsi="Times New Roman" w:eastAsia="宋体" w:cs="Times New Roman"/>
                <w:b/>
                <w:bCs w:val="0"/>
                <w:color w:val="auto"/>
                <w:spacing w:val="-10"/>
                <w:kern w:val="2"/>
                <w:sz w:val="24"/>
                <w:szCs w:val="24"/>
                <w:highlight w:val="none"/>
                <w:lang w:val="zh-CN" w:eastAsia="zh-CN" w:bidi="ar-SA"/>
              </w:rPr>
              <w:t>可行性分析</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rPr>
                <w:rFonts w:hint="default" w:ascii="Times New Roman" w:hAnsi="Times New Roman" w:eastAsia="宋体" w:cs="Times New Roman"/>
                <w:color w:val="auto"/>
                <w:sz w:val="24"/>
                <w:lang w:val="en-US" w:eastAsia="en-US"/>
              </w:rPr>
            </w:pPr>
            <w:r>
              <w:rPr>
                <w:rFonts w:hint="default" w:ascii="Times New Roman" w:hAnsi="Times New Roman" w:eastAsia="宋体" w:cs="Times New Roman"/>
                <w:color w:val="auto"/>
                <w:sz w:val="24"/>
                <w:lang w:val="en-US" w:eastAsia="zh-CN"/>
              </w:rPr>
              <w:t>根据工程分析，项目泡沫箱生产车间</w:t>
            </w:r>
            <w:r>
              <w:rPr>
                <w:rFonts w:hint="default" w:ascii="Times New Roman" w:hAnsi="Times New Roman" w:eastAsia="宋体" w:cs="Times New Roman"/>
                <w:color w:val="auto"/>
                <w:sz w:val="24"/>
                <w:lang w:val="en-US" w:eastAsia="en-US"/>
              </w:rPr>
              <w:t>废水</w:t>
            </w:r>
            <w:r>
              <w:rPr>
                <w:rFonts w:hint="default" w:ascii="Times New Roman" w:hAnsi="Times New Roman" w:eastAsia="宋体" w:cs="Times New Roman"/>
                <w:color w:val="auto"/>
                <w:sz w:val="24"/>
                <w:lang w:val="en-US" w:eastAsia="zh-CN"/>
              </w:rPr>
              <w:t>为</w:t>
            </w:r>
            <w:r>
              <w:rPr>
                <w:rFonts w:hint="default" w:ascii="Times New Roman" w:hAnsi="Times New Roman" w:eastAsia="宋体" w:cs="Times New Roman"/>
                <w:color w:val="auto"/>
                <w:sz w:val="24"/>
                <w:lang w:val="en-US" w:eastAsia="en-US"/>
              </w:rPr>
              <w:t>冷却废水。冷却水</w:t>
            </w:r>
            <w:r>
              <w:rPr>
                <w:rFonts w:hint="default" w:ascii="Times New Roman" w:hAnsi="Times New Roman" w:eastAsia="宋体" w:cs="Times New Roman"/>
                <w:color w:val="auto"/>
                <w:sz w:val="24"/>
                <w:lang w:eastAsia="zh-CN"/>
              </w:rPr>
              <w:t>用于</w:t>
            </w:r>
            <w:r>
              <w:rPr>
                <w:rFonts w:hint="default" w:ascii="Times New Roman" w:hAnsi="Times New Roman" w:eastAsia="宋体" w:cs="Times New Roman"/>
                <w:color w:val="auto"/>
                <w:sz w:val="24"/>
                <w:lang w:val="en-US" w:eastAsia="zh-CN"/>
              </w:rPr>
              <w:t>泡沫箱</w:t>
            </w:r>
            <w:r>
              <w:rPr>
                <w:rFonts w:hint="default" w:ascii="Times New Roman" w:hAnsi="Times New Roman" w:eastAsia="宋体" w:cs="Times New Roman"/>
                <w:color w:val="auto"/>
                <w:sz w:val="24"/>
                <w:lang w:eastAsia="zh-CN"/>
              </w:rPr>
              <w:t>脱模时冷却，冷却水为高温清净水，水温约为</w:t>
            </w:r>
            <w:r>
              <w:rPr>
                <w:rFonts w:hint="eastAsia" w:cs="Times New Roman"/>
                <w:color w:val="auto"/>
                <w:sz w:val="24"/>
                <w:lang w:val="en-US" w:eastAsia="zh-CN"/>
              </w:rPr>
              <w:t>70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，项目拟配套冷却系统，</w:t>
            </w:r>
            <w:r>
              <w:rPr>
                <w:rFonts w:hint="default" w:ascii="Times New Roman" w:hAnsi="Times New Roman" w:eastAsia="宋体" w:cs="Times New Roman"/>
                <w:color w:val="auto"/>
                <w:sz w:val="24"/>
                <w:lang w:val="en-US" w:eastAsia="zh-CN"/>
              </w:rPr>
              <w:t>包括容积为</w:t>
            </w:r>
            <w:r>
              <w:rPr>
                <w:rFonts w:hint="eastAsia" w:cs="Times New Roman"/>
                <w:color w:val="auto"/>
                <w:sz w:val="24"/>
                <w:lang w:val="en-US" w:eastAsia="zh-CN"/>
              </w:rPr>
              <w:t>400</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lang w:eastAsia="zh-CN"/>
              </w:rPr>
              <w:t>冷却水池</w:t>
            </w:r>
            <w:r>
              <w:rPr>
                <w:rFonts w:hint="default" w:ascii="Times New Roman" w:hAnsi="Times New Roman" w:eastAsia="宋体" w:cs="Times New Roman"/>
                <w:color w:val="auto"/>
                <w:sz w:val="24"/>
                <w:lang w:val="en-US" w:eastAsia="zh-CN"/>
              </w:rPr>
              <w:t>及1个冷却水塔</w:t>
            </w:r>
            <w:r>
              <w:rPr>
                <w:rFonts w:hint="default" w:ascii="Times New Roman" w:hAnsi="Times New Roman" w:eastAsia="宋体" w:cs="Times New Roman"/>
                <w:color w:val="auto"/>
                <w:sz w:val="24"/>
                <w:lang w:eastAsia="zh-CN"/>
              </w:rPr>
              <w:t>，冷却水经冷却</w:t>
            </w:r>
            <w:r>
              <w:rPr>
                <w:rFonts w:hint="default" w:ascii="Times New Roman" w:hAnsi="Times New Roman" w:eastAsia="宋体" w:cs="Times New Roman"/>
                <w:color w:val="auto"/>
                <w:sz w:val="24"/>
                <w:lang w:val="en-US" w:eastAsia="zh-CN"/>
              </w:rPr>
              <w:t>循环</w:t>
            </w:r>
            <w:r>
              <w:rPr>
                <w:rFonts w:hint="default" w:ascii="Times New Roman" w:hAnsi="Times New Roman" w:eastAsia="宋体" w:cs="Times New Roman"/>
                <w:color w:val="auto"/>
                <w:sz w:val="24"/>
                <w:lang w:eastAsia="zh-CN"/>
              </w:rPr>
              <w:t>系统冷却后温度可降低至</w:t>
            </w:r>
            <w:r>
              <w:rPr>
                <w:rFonts w:hint="default" w:ascii="Times New Roman" w:hAnsi="Times New Roman" w:eastAsia="宋体" w:cs="Times New Roman"/>
                <w:color w:val="auto"/>
                <w:sz w:val="24"/>
                <w:lang w:val="en-US" w:eastAsia="zh-CN"/>
              </w:rPr>
              <w:t>30</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，满足冷却用水温度</w:t>
            </w:r>
            <w:r>
              <w:rPr>
                <w:rFonts w:hint="default" w:ascii="Times New Roman" w:hAnsi="Times New Roman" w:eastAsia="宋体" w:cs="Times New Roman"/>
                <w:color w:val="auto"/>
                <w:sz w:val="24"/>
                <w:lang w:val="en-US" w:eastAsia="zh-CN"/>
              </w:rPr>
              <w:t>32</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要求，故项目冷却水经冷却系统冷却后循环使用可行</w:t>
            </w:r>
            <w:r>
              <w:rPr>
                <w:rFonts w:hint="default" w:ascii="Times New Roman" w:hAnsi="Times New Roman" w:eastAsia="宋体" w:cs="Times New Roman"/>
                <w:color w:val="auto"/>
                <w:sz w:val="24"/>
                <w:lang w:val="en-US" w:eastAsia="en-US"/>
              </w:rPr>
              <w:t>。</w:t>
            </w:r>
          </w:p>
          <w:p>
            <w:pPr>
              <w:keepNext w:val="0"/>
              <w:keepLines w:val="0"/>
              <w:pageBreakBefore w:val="0"/>
              <w:widowControl w:val="0"/>
              <w:kinsoku/>
              <w:wordWrap/>
              <w:overflowPunct/>
              <w:topLinePunct w:val="0"/>
              <w:autoSpaceDE/>
              <w:autoSpaceDN/>
              <w:bidi w:val="0"/>
              <w:adjustRightInd/>
              <w:spacing w:line="351"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lang w:val="en-US" w:eastAsia="zh-CN"/>
              </w:rPr>
              <w:t>因此，泡沫箱生产车间产生的冷却水经收集处理后可全部回用，不外排，对周边地表水环境的影响较小。</w:t>
            </w:r>
          </w:p>
          <w:p>
            <w:pPr>
              <w:keepNext w:val="0"/>
              <w:keepLines w:val="0"/>
              <w:pageBreakBefore w:val="0"/>
              <w:widowControl w:val="0"/>
              <w:numPr>
                <w:ilvl w:val="0"/>
                <w:numId w:val="0"/>
              </w:numPr>
              <w:kinsoku/>
              <w:wordWrap/>
              <w:overflowPunct/>
              <w:topLinePunct w:val="0"/>
              <w:autoSpaceDE/>
              <w:autoSpaceDN/>
              <w:bidi w:val="0"/>
              <w:adjustRightInd/>
              <w:snapToGrid/>
              <w:spacing w:line="351" w:lineRule="auto"/>
              <w:ind w:left="0" w:leftChars="0" w:firstLine="442" w:firstLineChars="200"/>
              <w:textAlignment w:val="auto"/>
              <w:rPr>
                <w:rFonts w:hint="default" w:ascii="Times New Roman" w:hAnsi="Times New Roman" w:eastAsia="宋体" w:cs="Times New Roman"/>
                <w:b/>
                <w:bCs w:val="0"/>
                <w:color w:val="auto"/>
                <w:spacing w:val="-10"/>
                <w:kern w:val="2"/>
                <w:sz w:val="24"/>
                <w:szCs w:val="24"/>
                <w:highlight w:val="none"/>
                <w:lang w:val="en-US" w:eastAsia="zh-CN" w:bidi="ar-SA"/>
              </w:rPr>
            </w:pPr>
            <w:r>
              <w:rPr>
                <w:rFonts w:hint="default" w:ascii="Times New Roman" w:hAnsi="Times New Roman" w:eastAsia="宋体" w:cs="Times New Roman"/>
                <w:b/>
                <w:bCs w:val="0"/>
                <w:color w:val="auto"/>
                <w:spacing w:val="-10"/>
                <w:kern w:val="2"/>
                <w:sz w:val="24"/>
                <w:szCs w:val="24"/>
                <w:highlight w:val="none"/>
                <w:lang w:val="en-US" w:eastAsia="zh-CN" w:bidi="ar-SA"/>
              </w:rPr>
              <w:t>5、生活废水回用可行性分析</w:t>
            </w:r>
          </w:p>
          <w:p>
            <w:pPr>
              <w:keepNext w:val="0"/>
              <w:keepLines w:val="0"/>
              <w:pageBreakBefore w:val="0"/>
              <w:widowControl w:val="0"/>
              <w:kinsoku/>
              <w:wordWrap/>
              <w:overflowPunct/>
              <w:topLinePunct w:val="0"/>
              <w:autoSpaceDE/>
              <w:autoSpaceDN/>
              <w:bidi w:val="0"/>
              <w:adjustRightInd/>
              <w:snapToGrid/>
              <w:spacing w:line="351"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rPr>
              <w:t>项目运营过程中</w:t>
            </w:r>
            <w:r>
              <w:rPr>
                <w:rFonts w:hint="default" w:ascii="Times New Roman" w:hAnsi="Times New Roman" w:eastAsia="宋体" w:cs="Times New Roman"/>
                <w:color w:val="auto"/>
                <w:sz w:val="24"/>
                <w:szCs w:val="24"/>
                <w:highlight w:val="none"/>
                <w:lang w:eastAsia="zh-CN"/>
              </w:rPr>
              <w:t>生活</w:t>
            </w:r>
            <w:r>
              <w:rPr>
                <w:rFonts w:hint="default" w:ascii="Times New Roman" w:hAnsi="Times New Roman" w:eastAsia="宋体" w:cs="Times New Roman"/>
                <w:color w:val="auto"/>
                <w:sz w:val="24"/>
                <w:szCs w:val="24"/>
                <w:highlight w:val="none"/>
              </w:rPr>
              <w:t>废水产生量为</w:t>
            </w:r>
            <w:r>
              <w:rPr>
                <w:rFonts w:hint="eastAsia" w:cs="Times New Roman"/>
                <w:b w:val="0"/>
                <w:bCs w:val="0"/>
                <w:color w:val="auto"/>
                <w:sz w:val="24"/>
                <w:szCs w:val="24"/>
                <w:highlight w:val="none"/>
                <w:lang w:val="en-US" w:eastAsia="zh-CN"/>
              </w:rPr>
              <w:t>5.76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none"/>
                <w:lang w:val="en-US" w:eastAsia="zh-CN"/>
              </w:rPr>
              <w:t>1728</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水平衡分析</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本项目</w:t>
            </w:r>
            <w:r>
              <w:rPr>
                <w:rFonts w:hint="default" w:ascii="Times New Roman" w:hAnsi="Times New Roman" w:eastAsia="宋体" w:cs="Times New Roman"/>
                <w:color w:val="auto"/>
                <w:sz w:val="24"/>
                <w:szCs w:val="24"/>
                <w:highlight w:val="none"/>
              </w:rPr>
              <w:t>非雨天</w:t>
            </w:r>
            <w:r>
              <w:rPr>
                <w:rFonts w:hint="default" w:ascii="Times New Roman" w:hAnsi="Times New Roman" w:eastAsia="宋体" w:cs="Times New Roman"/>
                <w:snapToGrid w:val="0"/>
                <w:color w:val="auto"/>
                <w:kern w:val="0"/>
                <w:sz w:val="24"/>
                <w:highlight w:val="none"/>
                <w:lang w:val="en-US" w:eastAsia="zh-CN"/>
              </w:rPr>
              <w:t>绿化及</w:t>
            </w:r>
            <w:r>
              <w:rPr>
                <w:rFonts w:hint="default" w:ascii="Times New Roman" w:hAnsi="Times New Roman" w:eastAsia="宋体" w:cs="Times New Roman"/>
                <w:color w:val="auto"/>
                <w:sz w:val="24"/>
                <w:szCs w:val="24"/>
                <w:highlight w:val="none"/>
                <w:lang w:val="en-US" w:eastAsia="zh-CN"/>
              </w:rPr>
              <w:t>道路场地洒水所需</w:t>
            </w:r>
            <w:r>
              <w:rPr>
                <w:rFonts w:hint="default" w:ascii="Times New Roman" w:hAnsi="Times New Roman" w:eastAsia="宋体" w:cs="Times New Roman"/>
                <w:b w:val="0"/>
                <w:bCs w:val="0"/>
                <w:color w:val="auto"/>
                <w:sz w:val="24"/>
                <w:szCs w:val="24"/>
                <w:highlight w:val="none"/>
                <w:lang w:val="en-US" w:eastAsia="zh-CN"/>
              </w:rPr>
              <w:t>量为</w:t>
            </w:r>
            <w:r>
              <w:rPr>
                <w:rFonts w:hint="eastAsia" w:eastAsia="宋体" w:cs="Times New Roman"/>
                <w:b w:val="0"/>
                <w:bCs w:val="0"/>
                <w:color w:val="auto"/>
                <w:sz w:val="24"/>
                <w:szCs w:val="24"/>
                <w:highlight w:val="none"/>
                <w:lang w:val="en-US" w:eastAsia="zh-CN"/>
              </w:rPr>
              <w:t>31.3024</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val="zh-CN"/>
              </w:rPr>
              <w:t>、</w:t>
            </w:r>
            <w:r>
              <w:rPr>
                <w:rFonts w:hint="eastAsia" w:eastAsia="宋体" w:cs="Times New Roman"/>
                <w:color w:val="auto"/>
                <w:sz w:val="24"/>
                <w:szCs w:val="24"/>
                <w:highlight w:val="none"/>
                <w:lang w:val="en-US" w:eastAsia="zh-CN"/>
              </w:rPr>
              <w:t>6542.2016</w:t>
            </w:r>
            <w:r>
              <w:rPr>
                <w:rFonts w:hint="default" w:ascii="Times New Roman" w:hAnsi="Times New Roman" w:eastAsia="宋体" w:cs="Times New Roman"/>
                <w:color w:val="auto"/>
                <w:sz w:val="24"/>
                <w:szCs w:val="24"/>
                <w:highlight w:val="none"/>
                <w:lang w:val="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zh-CN"/>
              </w:rPr>
              <w:t>/a</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项目道路及绿化所需洒水量大于生活污水总量，</w:t>
            </w:r>
            <w:r>
              <w:rPr>
                <w:rFonts w:hint="default" w:ascii="Times New Roman" w:hAnsi="Times New Roman" w:eastAsia="宋体" w:cs="Times New Roman"/>
                <w:color w:val="auto"/>
                <w:sz w:val="24"/>
                <w:szCs w:val="24"/>
                <w:highlight w:val="none"/>
                <w:lang w:val="en-US" w:eastAsia="zh-CN"/>
              </w:rPr>
              <w:t>因此一体化生活污水处理站处理后废水可全部</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p>
          <w:p>
            <w:pPr>
              <w:pStyle w:val="43"/>
              <w:keepNext w:val="0"/>
              <w:keepLines w:val="0"/>
              <w:pageBreakBefore w:val="0"/>
              <w:widowControl w:val="0"/>
              <w:numPr>
                <w:ilvl w:val="0"/>
                <w:numId w:val="0"/>
              </w:numPr>
              <w:kinsoku/>
              <w:wordWrap/>
              <w:overflowPunct/>
              <w:topLinePunct w:val="0"/>
              <w:autoSpaceDE/>
              <w:autoSpaceDN/>
              <w:bidi w:val="0"/>
              <w:adjustRightInd w:val="0"/>
              <w:snapToGrid w:val="0"/>
              <w:spacing w:line="351" w:lineRule="auto"/>
              <w:ind w:leftChars="0" w:right="0" w:rightChars="0" w:firstLine="480" w:firstLineChars="200"/>
              <w:jc w:val="both"/>
              <w:textAlignment w:val="baseline"/>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根据</w:t>
            </w:r>
            <w:r>
              <w:rPr>
                <w:rFonts w:hint="default" w:ascii="Times New Roman" w:hAnsi="Times New Roman" w:eastAsia="宋体" w:cs="Times New Roman"/>
                <w:color w:val="auto"/>
                <w:sz w:val="24"/>
                <w:szCs w:val="24"/>
                <w:highlight w:val="none"/>
                <w:lang w:val="en-US" w:eastAsia="zh-CN"/>
              </w:rPr>
              <w:t>上文</w:t>
            </w:r>
            <w:r>
              <w:rPr>
                <w:rFonts w:hint="default" w:ascii="Times New Roman" w:hAnsi="Times New Roman" w:eastAsia="宋体" w:cs="Times New Roman"/>
                <w:color w:val="auto"/>
                <w:spacing w:val="-4"/>
                <w:sz w:val="24"/>
                <w:szCs w:val="24"/>
                <w:highlight w:val="none"/>
                <w:lang w:eastAsia="zh-CN"/>
              </w:rPr>
              <w:t>分析，本项目</w:t>
            </w:r>
            <w:r>
              <w:rPr>
                <w:rFonts w:hint="default" w:ascii="Times New Roman" w:hAnsi="Times New Roman" w:eastAsia="宋体" w:cs="Times New Roman"/>
                <w:color w:val="auto"/>
                <w:spacing w:val="-4"/>
                <w:sz w:val="24"/>
                <w:szCs w:val="24"/>
                <w:highlight w:val="none"/>
                <w:lang w:val="en-US" w:eastAsia="zh-CN"/>
              </w:rPr>
              <w:t>的</w:t>
            </w:r>
            <w:r>
              <w:rPr>
                <w:rFonts w:hint="default" w:ascii="Times New Roman" w:hAnsi="Times New Roman" w:eastAsia="宋体" w:cs="Times New Roman"/>
                <w:color w:val="auto"/>
                <w:spacing w:val="-4"/>
                <w:sz w:val="24"/>
                <w:szCs w:val="24"/>
                <w:highlight w:val="none"/>
                <w:lang w:eastAsia="zh-CN"/>
              </w:rPr>
              <w:t>污水处理</w:t>
            </w:r>
            <w:r>
              <w:rPr>
                <w:rFonts w:hint="default" w:ascii="Times New Roman" w:hAnsi="Times New Roman" w:eastAsia="宋体" w:cs="Times New Roman"/>
                <w:color w:val="auto"/>
                <w:spacing w:val="-4"/>
                <w:sz w:val="24"/>
                <w:szCs w:val="24"/>
                <w:highlight w:val="none"/>
                <w:lang w:val="en-US" w:eastAsia="zh-CN"/>
              </w:rPr>
              <w:t>站</w:t>
            </w:r>
            <w:r>
              <w:rPr>
                <w:rFonts w:hint="default" w:ascii="Times New Roman" w:hAnsi="Times New Roman" w:eastAsia="宋体" w:cs="Times New Roman"/>
                <w:color w:val="auto"/>
                <w:spacing w:val="-4"/>
                <w:sz w:val="24"/>
                <w:szCs w:val="24"/>
                <w:highlight w:val="none"/>
                <w:lang w:eastAsia="zh-CN"/>
              </w:rPr>
              <w:t>处理后能够达</w:t>
            </w:r>
            <w:r>
              <w:rPr>
                <w:rFonts w:hint="default" w:ascii="Times New Roman" w:hAnsi="Times New Roman" w:eastAsia="宋体" w:cs="Times New Roman"/>
                <w:color w:val="auto"/>
                <w:sz w:val="24"/>
                <w:szCs w:val="24"/>
                <w:highlight w:val="none"/>
              </w:rPr>
              <w:t>《城市污水再生利用城市杂用水水质》（GB/T18920-20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）中绿化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道路清扫标准中的最严值。</w:t>
            </w:r>
          </w:p>
          <w:p>
            <w:pPr>
              <w:keepNext w:val="0"/>
              <w:keepLines w:val="0"/>
              <w:pageBreakBefore w:val="0"/>
              <w:widowControl w:val="0"/>
              <w:kinsoku/>
              <w:wordWrap/>
              <w:overflowPunct/>
              <w:topLinePunct w:val="0"/>
              <w:autoSpaceDE/>
              <w:autoSpaceDN/>
              <w:bidi w:val="0"/>
              <w:adjustRightInd/>
              <w:snapToGrid/>
              <w:spacing w:line="336" w:lineRule="auto"/>
              <w:ind w:left="0" w:firstLine="464" w:firstLineChars="200"/>
              <w:textAlignment w:val="auto"/>
              <w:rPr>
                <w:rFonts w:hint="default"/>
                <w:color w:val="auto"/>
                <w:lang w:val="en-US" w:eastAsia="zh-CN"/>
              </w:rPr>
            </w:pPr>
            <w:r>
              <w:rPr>
                <w:rFonts w:hint="default" w:ascii="Times New Roman" w:hAnsi="Times New Roman" w:eastAsia="宋体" w:cs="Times New Roman"/>
                <w:b w:val="0"/>
                <w:bCs w:val="0"/>
                <w:color w:val="auto"/>
                <w:spacing w:val="-4"/>
                <w:w w:val="100"/>
                <w:position w:val="0"/>
                <w:sz w:val="24"/>
                <w:szCs w:val="24"/>
                <w:highlight w:val="none"/>
                <w:lang w:val="en-US" w:eastAsia="zh-CN"/>
              </w:rPr>
              <w:t>同时，</w:t>
            </w:r>
            <w:r>
              <w:rPr>
                <w:rFonts w:hint="default" w:ascii="Times New Roman" w:hAnsi="Times New Roman" w:eastAsia="宋体" w:cs="Times New Roman"/>
                <w:color w:val="auto"/>
                <w:spacing w:val="-4"/>
                <w:sz w:val="24"/>
                <w:szCs w:val="24"/>
                <w:highlight w:val="none"/>
              </w:rPr>
              <w:t>一体化生活污水处理设备</w:t>
            </w:r>
            <w:r>
              <w:rPr>
                <w:rFonts w:hint="default" w:ascii="Times New Roman" w:hAnsi="Times New Roman" w:eastAsia="宋体" w:cs="Times New Roman"/>
                <w:color w:val="auto"/>
                <w:spacing w:val="-4"/>
                <w:sz w:val="24"/>
                <w:szCs w:val="24"/>
                <w:highlight w:val="none"/>
                <w:lang w:val="en-US" w:eastAsia="zh-CN"/>
              </w:rPr>
              <w:t>旁设置1个事故应急池，用于暂存</w:t>
            </w:r>
            <w:r>
              <w:rPr>
                <w:rFonts w:hint="default" w:ascii="Times New Roman" w:hAnsi="Times New Roman" w:eastAsia="宋体" w:cs="Times New Roman"/>
                <w:color w:val="auto"/>
                <w:spacing w:val="-4"/>
                <w:sz w:val="24"/>
                <w:szCs w:val="24"/>
                <w:highlight w:val="none"/>
              </w:rPr>
              <w:t>一体化生活污水处理</w:t>
            </w:r>
            <w:r>
              <w:rPr>
                <w:rFonts w:hint="default" w:ascii="Times New Roman" w:hAnsi="Times New Roman" w:eastAsia="宋体" w:cs="Times New Roman"/>
                <w:color w:val="auto"/>
                <w:spacing w:val="-4"/>
                <w:sz w:val="24"/>
                <w:szCs w:val="24"/>
                <w:highlight w:val="none"/>
                <w:lang w:val="en-US" w:eastAsia="zh-CN"/>
              </w:rPr>
              <w:t>站故障时的废水，待生活污水处理站恢复正常运营时再将暂存于事故应急池内的废水进行处理达标后</w:t>
            </w:r>
            <w:r>
              <w:rPr>
                <w:rFonts w:hint="default" w:ascii="Times New Roman" w:hAnsi="Times New Roman" w:eastAsia="宋体" w:cs="Times New Roman"/>
                <w:color w:val="auto"/>
                <w:kern w:val="2"/>
                <w:sz w:val="24"/>
                <w:szCs w:val="24"/>
                <w:highlight w:val="none"/>
                <w:lang w:val="en-US" w:eastAsia="zh-CN" w:bidi="ar"/>
              </w:rPr>
              <w:t>回用于项目区内绿化、道路场地洒水，不外排。</w:t>
            </w:r>
            <w:r>
              <w:rPr>
                <w:rFonts w:hint="default" w:ascii="Times New Roman" w:hAnsi="Times New Roman" w:eastAsia="宋体" w:cs="Times New Roman"/>
                <w:color w:val="auto"/>
                <w:spacing w:val="-4"/>
                <w:sz w:val="24"/>
                <w:szCs w:val="24"/>
                <w:highlight w:val="none"/>
                <w:lang w:val="en-US" w:eastAsia="zh-CN"/>
              </w:rPr>
              <w:t>本项目生活</w:t>
            </w:r>
            <w:r>
              <w:rPr>
                <w:rFonts w:hint="default" w:ascii="Times New Roman" w:hAnsi="Times New Roman" w:eastAsia="宋体" w:cs="Times New Roman"/>
                <w:snapToGrid w:val="0"/>
                <w:color w:val="auto"/>
                <w:sz w:val="24"/>
              </w:rPr>
              <w:t>废水量为</w:t>
            </w:r>
            <w:r>
              <w:rPr>
                <w:rFonts w:hint="eastAsia" w:cs="Times New Roman"/>
                <w:snapToGrid w:val="0"/>
                <w:color w:val="auto"/>
                <w:sz w:val="24"/>
                <w:lang w:val="en-US" w:eastAsia="zh-CN"/>
              </w:rPr>
              <w:t>5.76</w:t>
            </w:r>
            <w:r>
              <w:rPr>
                <w:rFonts w:hint="default" w:ascii="Times New Roman" w:hAnsi="Times New Roman" w:eastAsia="宋体" w:cs="Times New Roman"/>
                <w:snapToGrid w:val="0"/>
                <w:color w:val="auto"/>
                <w:sz w:val="24"/>
              </w:rPr>
              <w:t>m</w:t>
            </w:r>
            <w:r>
              <w:rPr>
                <w:rFonts w:hint="default" w:ascii="Times New Roman" w:hAnsi="Times New Roman" w:eastAsia="宋体" w:cs="Times New Roman"/>
                <w:snapToGrid w:val="0"/>
                <w:color w:val="auto"/>
                <w:sz w:val="24"/>
                <w:vertAlign w:val="superscript"/>
              </w:rPr>
              <w:t>3</w:t>
            </w:r>
            <w:r>
              <w:rPr>
                <w:rFonts w:hint="default" w:ascii="Times New Roman" w:hAnsi="Times New Roman" w:eastAsia="宋体" w:cs="Times New Roman"/>
                <w:snapToGrid w:val="0"/>
                <w:color w:val="auto"/>
                <w:sz w:val="24"/>
              </w:rPr>
              <w:t>/d</w:t>
            </w:r>
            <w:r>
              <w:rPr>
                <w:rFonts w:hint="default" w:ascii="Times New Roman" w:hAnsi="Times New Roman" w:eastAsia="宋体" w:cs="Times New Roman"/>
                <w:snapToGrid w:val="0"/>
                <w:color w:val="auto"/>
                <w:sz w:val="24"/>
                <w:lang w:eastAsia="zh-CN"/>
              </w:rPr>
              <w:t>，</w:t>
            </w:r>
            <w:r>
              <w:rPr>
                <w:rFonts w:hint="default" w:ascii="Times New Roman" w:hAnsi="Times New Roman" w:eastAsia="宋体" w:cs="Times New Roman"/>
                <w:snapToGrid w:val="0"/>
                <w:color w:val="auto"/>
                <w:sz w:val="24"/>
                <w:lang w:val="en-US" w:eastAsia="zh-CN"/>
              </w:rPr>
              <w:t>按照最大废水量并考虑1.2</w:t>
            </w:r>
            <w:r>
              <w:rPr>
                <w:rFonts w:hint="eastAsia" w:cs="Times New Roman"/>
                <w:snapToGrid w:val="0"/>
                <w:color w:val="auto"/>
                <w:sz w:val="24"/>
                <w:lang w:val="en-US" w:eastAsia="zh-CN"/>
              </w:rPr>
              <w:t>倍</w:t>
            </w:r>
            <w:r>
              <w:rPr>
                <w:rFonts w:hint="default" w:ascii="Times New Roman" w:hAnsi="Times New Roman" w:eastAsia="宋体" w:cs="Times New Roman"/>
                <w:snapToGrid w:val="0"/>
                <w:color w:val="auto"/>
                <w:sz w:val="24"/>
                <w:lang w:val="en-US" w:eastAsia="zh-CN"/>
              </w:rPr>
              <w:t>的余量设置，则本项目</w:t>
            </w:r>
            <w:r>
              <w:rPr>
                <w:rFonts w:hint="default" w:ascii="Times New Roman" w:hAnsi="Times New Roman" w:eastAsia="宋体" w:cs="Times New Roman"/>
                <w:color w:val="auto"/>
                <w:spacing w:val="-4"/>
                <w:sz w:val="24"/>
                <w:szCs w:val="24"/>
                <w:highlight w:val="none"/>
                <w:lang w:val="en-US" w:eastAsia="zh-CN"/>
              </w:rPr>
              <w:t>事故应急池容积约为</w:t>
            </w:r>
            <w:r>
              <w:rPr>
                <w:rFonts w:hint="eastAsia" w:cs="Times New Roman"/>
                <w:color w:val="auto"/>
                <w:spacing w:val="-4"/>
                <w:sz w:val="24"/>
                <w:szCs w:val="24"/>
                <w:highlight w:val="none"/>
                <w:lang w:val="en-US" w:eastAsia="zh-CN"/>
              </w:rPr>
              <w:t>7</w:t>
            </w:r>
            <w:r>
              <w:rPr>
                <w:rFonts w:hint="default" w:ascii="Times New Roman" w:hAnsi="Times New Roman" w:eastAsia="宋体" w:cs="Times New Roman"/>
                <w:color w:val="auto"/>
                <w:spacing w:val="-4"/>
                <w:sz w:val="24"/>
                <w:szCs w:val="24"/>
                <w:highlight w:val="none"/>
                <w:lang w:val="en-US" w:eastAsia="zh-CN"/>
              </w:rPr>
              <w:t>m</w:t>
            </w:r>
            <w:r>
              <w:rPr>
                <w:rFonts w:hint="default" w:ascii="Times New Roman" w:hAnsi="Times New Roman" w:eastAsia="宋体" w:cs="Times New Roman"/>
                <w:color w:val="auto"/>
                <w:spacing w:val="-4"/>
                <w:sz w:val="24"/>
                <w:szCs w:val="24"/>
                <w:highlight w:val="none"/>
                <w:vertAlign w:val="superscript"/>
                <w:lang w:val="en-US" w:eastAsia="zh-CN"/>
              </w:rPr>
              <w:t>3</w:t>
            </w:r>
            <w:r>
              <w:rPr>
                <w:rFonts w:hint="default" w:ascii="Times New Roman" w:hAnsi="Times New Roman" w:eastAsia="宋体" w:cs="Times New Roman"/>
                <w:snapToGrid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51" w:lineRule="auto"/>
              <w:ind w:lef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color w:val="auto"/>
                <w:spacing w:val="0"/>
                <w:w w:val="100"/>
                <w:position w:val="0"/>
                <w:sz w:val="24"/>
                <w:szCs w:val="24"/>
                <w:highlight w:val="none"/>
                <w:lang w:val="en-US" w:eastAsia="zh-CN"/>
              </w:rPr>
              <w:t>综上，项目生活废水回用可行，不外排，对周边地表水环境的影响较小。</w:t>
            </w:r>
          </w:p>
          <w:p>
            <w:pPr>
              <w:keepNext w:val="0"/>
              <w:keepLines w:val="0"/>
              <w:pageBreakBefore w:val="0"/>
              <w:widowControl w:val="0"/>
              <w:kinsoku/>
              <w:wordWrap/>
              <w:overflowPunct/>
              <w:topLinePunct w:val="0"/>
              <w:autoSpaceDE/>
              <w:autoSpaceDN/>
              <w:bidi w:val="0"/>
              <w:spacing w:line="351" w:lineRule="auto"/>
              <w:ind w:left="0" w:firstLine="482" w:firstLineChars="2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、雨天废水不外排可行性分析</w:t>
            </w:r>
          </w:p>
          <w:p>
            <w:pPr>
              <w:keepNext w:val="0"/>
              <w:keepLines w:val="0"/>
              <w:pageBreakBefore w:val="0"/>
              <w:widowControl w:val="0"/>
              <w:kinsoku/>
              <w:wordWrap/>
              <w:overflowPunct/>
              <w:topLinePunct w:val="0"/>
              <w:autoSpaceDE/>
              <w:autoSpaceDN/>
              <w:bidi w:val="0"/>
              <w:spacing w:line="351"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项目雨季产生的</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rPr>
              <w:t>废水经一体化污水处理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处理后，暂存于蓄水池中，本项目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蓄水池储存</w:t>
            </w:r>
            <w:r>
              <w:rPr>
                <w:rFonts w:hint="default" w:ascii="Times New Roman" w:hAnsi="Times New Roman" w:eastAsia="宋体" w:cs="Times New Roman"/>
                <w:color w:val="auto"/>
                <w:sz w:val="24"/>
                <w:szCs w:val="24"/>
                <w:highlight w:val="none"/>
              </w:rPr>
              <w:t>经一体化污水处理</w:t>
            </w:r>
            <w:r>
              <w:rPr>
                <w:rFonts w:hint="eastAsia" w:cs="Times New Roman"/>
                <w:color w:val="auto"/>
                <w:sz w:val="24"/>
                <w:szCs w:val="24"/>
                <w:highlight w:val="none"/>
                <w:lang w:eastAsia="zh-CN"/>
              </w:rPr>
              <w:t>站</w:t>
            </w:r>
            <w:r>
              <w:rPr>
                <w:rFonts w:hint="default" w:ascii="Times New Roman" w:hAnsi="Times New Roman" w:eastAsia="宋体" w:cs="Times New Roman"/>
                <w:color w:val="auto"/>
                <w:sz w:val="24"/>
                <w:szCs w:val="24"/>
                <w:highlight w:val="none"/>
              </w:rPr>
              <w:t>处理后</w:t>
            </w:r>
            <w:r>
              <w:rPr>
                <w:rFonts w:hint="default" w:ascii="Times New Roman" w:hAnsi="Times New Roman" w:eastAsia="宋体" w:cs="Times New Roman"/>
                <w:color w:val="auto"/>
                <w:sz w:val="24"/>
                <w:szCs w:val="24"/>
                <w:highlight w:val="none"/>
                <w:lang w:eastAsia="zh-CN"/>
              </w:rPr>
              <w:t>的废水，本</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废水总量为</w:t>
            </w:r>
            <w:r>
              <w:rPr>
                <w:rFonts w:hint="eastAsia" w:cs="Times New Roman"/>
                <w:color w:val="auto"/>
                <w:sz w:val="24"/>
                <w:szCs w:val="24"/>
                <w:highlight w:val="none"/>
                <w:lang w:val="en-US" w:eastAsia="zh-CN"/>
              </w:rPr>
              <w:t>5.76</w:t>
            </w:r>
            <w:r>
              <w:rPr>
                <w:rFonts w:hint="default" w:ascii="Times New Roman" w:hAnsi="Times New Roman" w:eastAsia="宋体" w:cs="Times New Roman"/>
                <w:color w:val="auto"/>
                <w:sz w:val="24"/>
                <w:szCs w:val="24"/>
                <w:highlight w:val="none"/>
                <w:lang w:bidi="ar"/>
              </w:rPr>
              <w:t>m</w:t>
            </w:r>
            <w:r>
              <w:rPr>
                <w:rFonts w:hint="default" w:ascii="Times New Roman" w:hAnsi="Times New Roman" w:eastAsia="宋体" w:cs="Times New Roman"/>
                <w:color w:val="auto"/>
                <w:sz w:val="24"/>
                <w:szCs w:val="24"/>
                <w:highlight w:val="none"/>
                <w:vertAlign w:val="superscript"/>
                <w:lang w:bidi="ar"/>
              </w:rPr>
              <w:t>3</w:t>
            </w:r>
            <w:r>
              <w:rPr>
                <w:rFonts w:hint="default" w:ascii="Times New Roman" w:hAnsi="Times New Roman" w:eastAsia="宋体" w:cs="Times New Roman"/>
                <w:color w:val="auto"/>
                <w:sz w:val="24"/>
                <w:szCs w:val="24"/>
                <w:highlight w:val="none"/>
                <w:lang w:bidi="ar"/>
              </w:rPr>
              <w:t>/d</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eastAsia="zh-CN"/>
              </w:rPr>
              <w:t>雨天</w:t>
            </w:r>
            <w:r>
              <w:rPr>
                <w:rFonts w:hint="default" w:ascii="Times New Roman" w:hAnsi="Times New Roman" w:eastAsia="宋体" w:cs="Times New Roman"/>
                <w:color w:val="auto"/>
                <w:sz w:val="24"/>
                <w:szCs w:val="24"/>
                <w:highlight w:val="none"/>
              </w:rPr>
              <w:t>容积按连续5天降雨时废水排放量计算</w:t>
            </w:r>
            <w:r>
              <w:rPr>
                <w:rFonts w:hint="default" w:ascii="Times New Roman" w:hAnsi="Times New Roman" w:eastAsia="宋体" w:cs="Times New Roman"/>
                <w:color w:val="auto"/>
                <w:sz w:val="24"/>
                <w:szCs w:val="24"/>
                <w:highlight w:val="none"/>
                <w:lang w:val="en-US" w:eastAsia="zh-CN"/>
              </w:rPr>
              <w:t>为</w:t>
            </w:r>
            <w:r>
              <w:rPr>
                <w:rFonts w:hint="eastAsia" w:cs="Times New Roman"/>
                <w:color w:val="auto"/>
                <w:sz w:val="24"/>
                <w:szCs w:val="24"/>
                <w:highlight w:val="none"/>
                <w:lang w:val="en-US" w:eastAsia="zh-CN"/>
              </w:rPr>
              <w:t>28.8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vertAlign w:val="baseline"/>
                <w:lang w:eastAsia="zh-CN"/>
              </w:rPr>
              <w:t>项目</w:t>
            </w:r>
            <w:r>
              <w:rPr>
                <w:rFonts w:hint="default" w:ascii="Times New Roman" w:hAnsi="Times New Roman" w:eastAsia="宋体" w:cs="Times New Roman"/>
                <w:color w:val="auto"/>
                <w:sz w:val="24"/>
                <w:szCs w:val="24"/>
                <w:highlight w:val="none"/>
                <w:vertAlign w:val="baseline"/>
                <w:lang w:val="en-US" w:eastAsia="zh-CN"/>
              </w:rPr>
              <w:t>拟建</w:t>
            </w:r>
            <w:r>
              <w:rPr>
                <w:rFonts w:hint="default" w:ascii="Times New Roman" w:hAnsi="Times New Roman" w:eastAsia="宋体" w:cs="Times New Roman"/>
                <w:color w:val="auto"/>
                <w:sz w:val="24"/>
                <w:szCs w:val="24"/>
                <w:highlight w:val="none"/>
              </w:rPr>
              <w:t>蓄水池容积为</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vertAlign w:val="baseline"/>
                <w:lang w:val="en-US" w:eastAsia="zh-CN"/>
              </w:rPr>
              <w:t>，可</w:t>
            </w:r>
            <w:r>
              <w:rPr>
                <w:rFonts w:hint="default" w:ascii="Times New Roman" w:hAnsi="Times New Roman" w:eastAsia="宋体" w:cs="Times New Roman"/>
                <w:color w:val="auto"/>
                <w:sz w:val="24"/>
                <w:szCs w:val="24"/>
                <w:highlight w:val="none"/>
                <w:vertAlign w:val="baseline"/>
                <w:lang w:eastAsia="zh-CN"/>
              </w:rPr>
              <w:t>足够存下雨天所产生的全部废水，</w:t>
            </w:r>
            <w:r>
              <w:rPr>
                <w:rFonts w:hint="default" w:ascii="Times New Roman" w:hAnsi="Times New Roman" w:eastAsia="宋体" w:cs="Times New Roman"/>
                <w:color w:val="auto"/>
                <w:sz w:val="24"/>
                <w:szCs w:val="24"/>
                <w:highlight w:val="none"/>
              </w:rPr>
              <w:t>待晴天回用于绿化。因此项目</w:t>
            </w:r>
            <w:r>
              <w:rPr>
                <w:rFonts w:hint="default" w:ascii="Times New Roman" w:hAnsi="Times New Roman" w:eastAsia="宋体" w:cs="Times New Roman"/>
                <w:color w:val="auto"/>
                <w:sz w:val="24"/>
                <w:szCs w:val="24"/>
                <w:highlight w:val="none"/>
                <w:lang w:val="en-US" w:eastAsia="zh-CN"/>
              </w:rPr>
              <w:t>拟</w:t>
            </w:r>
            <w:r>
              <w:rPr>
                <w:rFonts w:hint="default" w:ascii="Times New Roman" w:hAnsi="Times New Roman" w:eastAsia="宋体" w:cs="Times New Roman"/>
                <w:color w:val="auto"/>
                <w:sz w:val="24"/>
                <w:szCs w:val="24"/>
                <w:highlight w:val="none"/>
                <w:lang w:eastAsia="zh-CN"/>
              </w:rPr>
              <w:t>建蓄水池暂存</w:t>
            </w:r>
            <w:r>
              <w:rPr>
                <w:rFonts w:hint="default" w:ascii="Times New Roman" w:hAnsi="Times New Roman" w:eastAsia="宋体" w:cs="Times New Roman"/>
                <w:color w:val="auto"/>
                <w:sz w:val="24"/>
                <w:szCs w:val="24"/>
                <w:highlight w:val="none"/>
              </w:rPr>
              <w:t>废水回用于绿化</w:t>
            </w:r>
            <w:r>
              <w:rPr>
                <w:rFonts w:hint="default" w:ascii="Times New Roman" w:hAnsi="Times New Roman" w:eastAsia="宋体" w:cs="Times New Roman"/>
                <w:color w:val="auto"/>
                <w:sz w:val="24"/>
                <w:szCs w:val="24"/>
                <w:highlight w:val="none"/>
                <w:lang w:val="en-US" w:eastAsia="zh-CN"/>
              </w:rPr>
              <w:t>及道路洒水降尘</w:t>
            </w:r>
            <w:r>
              <w:rPr>
                <w:rFonts w:hint="default" w:ascii="Times New Roman" w:hAnsi="Times New Roman" w:eastAsia="宋体" w:cs="Times New Roman"/>
                <w:color w:val="auto"/>
                <w:sz w:val="24"/>
                <w:szCs w:val="24"/>
                <w:highlight w:val="none"/>
              </w:rPr>
              <w:t>是可行的。</w:t>
            </w:r>
          </w:p>
          <w:p>
            <w:pPr>
              <w:keepNext w:val="0"/>
              <w:keepLines w:val="0"/>
              <w:pageBreakBefore w:val="0"/>
              <w:widowControl w:val="0"/>
              <w:kinsoku/>
              <w:wordWrap/>
              <w:overflowPunct/>
              <w:topLinePunct w:val="0"/>
              <w:autoSpaceDE/>
              <w:autoSpaceDN/>
              <w:bidi w:val="0"/>
              <w:spacing w:line="351" w:lineRule="auto"/>
              <w:ind w:lef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rPr>
              <w:t>项目运营期产生的废水不外排，对周边地表水环境影响较小。</w:t>
            </w:r>
          </w:p>
          <w:p>
            <w:pPr>
              <w:keepNext w:val="0"/>
              <w:keepLines w:val="0"/>
              <w:pageBreakBefore w:val="0"/>
              <w:widowControl w:val="0"/>
              <w:kinsoku/>
              <w:wordWrap/>
              <w:overflowPunct/>
              <w:topLinePunct w:val="0"/>
              <w:autoSpaceDE/>
              <w:autoSpaceDN/>
              <w:bidi w:val="0"/>
              <w:spacing w:line="351" w:lineRule="auto"/>
              <w:ind w:left="0" w:firstLine="482" w:firstLineChars="200"/>
              <w:textAlignment w:val="auto"/>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lang w:val="en-US" w:eastAsia="zh-CN" w:bidi="ar"/>
              </w:rPr>
              <w:t>7</w:t>
            </w:r>
            <w:r>
              <w:rPr>
                <w:rFonts w:hint="default" w:ascii="Times New Roman" w:hAnsi="Times New Roman" w:eastAsia="宋体" w:cs="Times New Roman"/>
                <w:b/>
                <w:bCs w:val="0"/>
                <w:color w:val="auto"/>
                <w:sz w:val="24"/>
                <w:szCs w:val="24"/>
                <w:highlight w:val="none"/>
                <w:lang w:bidi="ar"/>
              </w:rPr>
              <w:t>、</w:t>
            </w:r>
            <w:r>
              <w:rPr>
                <w:rFonts w:hint="default" w:ascii="Times New Roman" w:hAnsi="Times New Roman" w:eastAsia="宋体" w:cs="Times New Roman"/>
                <w:b/>
                <w:bCs w:val="0"/>
                <w:color w:val="auto"/>
                <w:sz w:val="24"/>
                <w:szCs w:val="24"/>
                <w:highlight w:val="none"/>
              </w:rPr>
              <w:t>监测要求</w:t>
            </w:r>
          </w:p>
          <w:p>
            <w:pPr>
              <w:keepNext w:val="0"/>
              <w:keepLines w:val="0"/>
              <w:pageBreakBefore w:val="0"/>
              <w:widowControl w:val="0"/>
              <w:kinsoku/>
              <w:wordWrap/>
              <w:overflowPunct/>
              <w:topLinePunct w:val="0"/>
              <w:autoSpaceDE/>
              <w:autoSpaceDN/>
              <w:bidi w:val="0"/>
              <w:adjustRightInd w:val="0"/>
              <w:snapToGrid w:val="0"/>
              <w:spacing w:line="351" w:lineRule="auto"/>
              <w:ind w:left="0" w:firstLine="480" w:firstLineChars="200"/>
              <w:textAlignment w:val="auto"/>
              <w:rPr>
                <w:rFonts w:hint="default" w:ascii="Times New Roman" w:hAnsi="Times New Roman" w:eastAsia="宋体" w:cs="Times New Roman"/>
                <w:bCs/>
                <w:color w:val="auto"/>
                <w:highlight w:val="none"/>
              </w:rPr>
            </w:pPr>
            <w:r>
              <w:rPr>
                <w:rFonts w:hint="default" w:ascii="Times New Roman" w:hAnsi="Times New Roman" w:eastAsia="宋体" w:cs="Times New Roman"/>
                <w:bCs/>
                <w:color w:val="auto"/>
                <w:sz w:val="24"/>
                <w:szCs w:val="24"/>
                <w:highlight w:val="none"/>
              </w:rPr>
              <w:t>根据排污许可技术</w:t>
            </w:r>
            <w:r>
              <w:rPr>
                <w:rFonts w:hint="default" w:ascii="Times New Roman" w:hAnsi="Times New Roman" w:eastAsia="宋体" w:cs="Times New Roman"/>
                <w:bCs/>
                <w:color w:val="auto"/>
                <w:sz w:val="24"/>
                <w:highlight w:val="none"/>
              </w:rPr>
              <w:t>规范可知，项目的废水监测计划如表</w:t>
            </w:r>
            <w:r>
              <w:rPr>
                <w:rFonts w:hint="default" w:ascii="Times New Roman" w:hAnsi="Times New Roman" w:eastAsia="宋体" w:cs="Times New Roman"/>
                <w:bCs/>
                <w:color w:val="auto"/>
                <w:sz w:val="24"/>
                <w:highlight w:val="none"/>
                <w:lang w:val="en-US" w:eastAsia="zh-CN"/>
              </w:rPr>
              <w:t>4-20</w:t>
            </w:r>
            <w:r>
              <w:rPr>
                <w:rFonts w:hint="default" w:ascii="Times New Roman" w:hAnsi="Times New Roman" w:eastAsia="宋体" w:cs="Times New Roman"/>
                <w:bCs/>
                <w:color w:val="auto"/>
                <w:highlight w:val="none"/>
              </w:rPr>
              <w:t>。</w:t>
            </w:r>
          </w:p>
          <w:p>
            <w:pPr>
              <w:ind w:firstLine="2471" w:firstLineChars="1172"/>
              <w:rPr>
                <w:rFonts w:hint="default" w:ascii="Times New Roman" w:hAnsi="Times New Roman" w:eastAsia="宋体" w:cs="Times New Roman"/>
                <w:b/>
                <w:bCs w:val="0"/>
                <w:color w:val="auto"/>
                <w:highlight w:val="none"/>
              </w:rPr>
            </w:pPr>
            <w:r>
              <w:rPr>
                <w:rFonts w:hint="default" w:ascii="Times New Roman" w:hAnsi="Times New Roman" w:eastAsia="宋体" w:cs="Times New Roman"/>
                <w:b/>
                <w:bCs w:val="0"/>
                <w:color w:val="auto"/>
                <w:highlight w:val="none"/>
              </w:rPr>
              <w:t>表4-</w:t>
            </w:r>
            <w:r>
              <w:rPr>
                <w:rFonts w:hint="default" w:ascii="Times New Roman" w:hAnsi="Times New Roman" w:eastAsia="宋体" w:cs="Times New Roman"/>
                <w:b/>
                <w:bCs w:val="0"/>
                <w:color w:val="auto"/>
                <w:highlight w:val="none"/>
                <w:lang w:val="en-US" w:eastAsia="zh-CN"/>
              </w:rPr>
              <w:t xml:space="preserve">20 </w:t>
            </w:r>
            <w:r>
              <w:rPr>
                <w:rFonts w:hint="default" w:ascii="Times New Roman" w:hAnsi="Times New Roman" w:eastAsia="宋体" w:cs="Times New Roman"/>
                <w:b/>
                <w:bCs w:val="0"/>
                <w:color w:val="auto"/>
                <w:highlight w:val="none"/>
              </w:rPr>
              <w:t xml:space="preserve"> 环境监测计划一览表</w:t>
            </w:r>
          </w:p>
          <w:tbl>
            <w:tblPr>
              <w:tblStyle w:val="27"/>
              <w:tblW w:w="82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066"/>
              <w:gridCol w:w="1792"/>
              <w:gridCol w:w="3359"/>
              <w:gridCol w:w="1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67"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类别</w:t>
                  </w:r>
                </w:p>
              </w:tc>
              <w:tc>
                <w:tcPr>
                  <w:tcW w:w="1066"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监测点位</w:t>
                  </w:r>
                </w:p>
              </w:tc>
              <w:tc>
                <w:tcPr>
                  <w:tcW w:w="1792"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监测项目</w:t>
                  </w:r>
                </w:p>
              </w:tc>
              <w:tc>
                <w:tcPr>
                  <w:tcW w:w="3359"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w:t>
                  </w:r>
                </w:p>
              </w:tc>
              <w:tc>
                <w:tcPr>
                  <w:tcW w:w="1508" w:type="dxa"/>
                  <w:vAlign w:val="center"/>
                </w:tcPr>
                <w:p>
                  <w:pPr>
                    <w:pStyle w:val="107"/>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监测时间及频率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7" w:type="dxa"/>
                  <w:vAlign w:val="center"/>
                </w:tcPr>
                <w:p>
                  <w:pPr>
                    <w:pStyle w:val="10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w:t>
                  </w:r>
                </w:p>
              </w:tc>
              <w:tc>
                <w:tcPr>
                  <w:tcW w:w="1066" w:type="dxa"/>
                  <w:vAlign w:val="center"/>
                </w:tcPr>
                <w:p>
                  <w:pPr>
                    <w:pStyle w:val="107"/>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一体化污水处理站</w:t>
                  </w:r>
                  <w:r>
                    <w:rPr>
                      <w:rFonts w:hint="default" w:ascii="Times New Roman" w:hAnsi="Times New Roman" w:eastAsia="宋体" w:cs="Times New Roman"/>
                      <w:color w:val="auto"/>
                      <w:sz w:val="21"/>
                      <w:szCs w:val="21"/>
                      <w:highlight w:val="none"/>
                    </w:rPr>
                    <w:t>出口</w:t>
                  </w:r>
                </w:p>
              </w:tc>
              <w:tc>
                <w:tcPr>
                  <w:tcW w:w="1792" w:type="dxa"/>
                  <w:vAlign w:val="center"/>
                </w:tcPr>
                <w:p>
                  <w:pPr>
                    <w:pStyle w:val="107"/>
                    <w:spacing w:line="24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pH、COD、BOD、SS、NH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-N、TP</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动植物油</w:t>
                  </w:r>
                </w:p>
              </w:tc>
              <w:tc>
                <w:tcPr>
                  <w:tcW w:w="3359" w:type="dxa"/>
                  <w:vAlign w:val="center"/>
                </w:tcPr>
                <w:p>
                  <w:pPr>
                    <w:pStyle w:val="84"/>
                    <w:spacing w:before="5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《城市污水再生利用 城市杂用水水质》（GB/T18920-2020）中的城市绿化、道路清扫、消防、建筑施工标准</w:t>
                  </w:r>
                </w:p>
              </w:tc>
              <w:tc>
                <w:tcPr>
                  <w:tcW w:w="1508" w:type="dxa"/>
                  <w:vAlign w:val="center"/>
                </w:tcPr>
                <w:p>
                  <w:pPr>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pacing w:val="-10"/>
                      <w:szCs w:val="21"/>
                      <w:highlight w:val="none"/>
                    </w:rPr>
                    <w:t>验收时监测一次，后根据国家相关技术规范进行</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、噪声影响分析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color w:val="auto"/>
                <w:sz w:val="24"/>
                <w:szCs w:val="24"/>
                <w:highlight w:val="none"/>
                <w:lang w:eastAsia="zh-CN"/>
              </w:rPr>
              <w:t>交通噪声</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项目运营期，车辆产生的噪声值在</w:t>
            </w:r>
            <w:r>
              <w:rPr>
                <w:rFonts w:hint="default" w:ascii="Times New Roman" w:hAnsi="Times New Roman" w:eastAsia="宋体" w:cs="Times New Roman"/>
                <w:color w:val="auto"/>
                <w:sz w:val="24"/>
                <w:szCs w:val="24"/>
                <w:highlight w:val="none"/>
                <w:lang w:val="en-US" w:eastAsia="zh-CN"/>
              </w:rPr>
              <w:t>75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90</w:t>
            </w:r>
            <w:r>
              <w:rPr>
                <w:rFonts w:hint="default" w:ascii="Times New Roman" w:hAnsi="Times New Roman" w:eastAsia="宋体" w:cs="Times New Roman"/>
                <w:color w:val="auto"/>
                <w:sz w:val="24"/>
                <w:szCs w:val="24"/>
                <w:highlight w:val="none"/>
                <w:lang w:eastAsia="zh-CN"/>
              </w:rPr>
              <w:t>dB(A)之间，属于间歇性噪声，</w:t>
            </w:r>
            <w:r>
              <w:rPr>
                <w:rFonts w:hint="default" w:ascii="Times New Roman" w:hAnsi="Times New Roman" w:eastAsia="宋体" w:cs="Times New Roman"/>
                <w:color w:val="auto"/>
                <w:sz w:val="24"/>
                <w:highlight w:val="none"/>
                <w:lang w:val="zh-CN"/>
              </w:rPr>
              <w:t>会对周围环境造成一定影响。因车辆在项目区内为低速行驶状态，通过加强管理、禁止鸣笛等措施后，交通噪声对周围环境的影响是可以接受的。</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szCs w:val="24"/>
                <w:highlight w:val="none"/>
                <w:lang w:val="en-US" w:eastAsia="zh-CN"/>
              </w:rPr>
              <w:t>2、固定噪声源</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r>
              <w:rPr>
                <w:rFonts w:hint="default" w:ascii="Times New Roman" w:hAnsi="Times New Roman" w:eastAsia="宋体" w:cs="Times New Roman"/>
                <w:color w:val="auto"/>
                <w:sz w:val="24"/>
                <w:highlight w:val="none"/>
                <w:lang w:val="zh-CN" w:bidi="ar"/>
              </w:rPr>
              <w:t>项目主要噪声源</w:t>
            </w:r>
            <w:r>
              <w:rPr>
                <w:rFonts w:hint="default" w:ascii="Times New Roman" w:hAnsi="Times New Roman" w:eastAsia="宋体" w:cs="Times New Roman"/>
                <w:color w:val="auto"/>
                <w:sz w:val="24"/>
                <w:highlight w:val="none"/>
                <w:lang w:bidi="ar"/>
              </w:rPr>
              <w:t>为</w:t>
            </w:r>
            <w:r>
              <w:rPr>
                <w:rFonts w:hint="default" w:ascii="Times New Roman" w:hAnsi="Times New Roman" w:eastAsia="宋体" w:cs="Times New Roman"/>
                <w:color w:val="auto"/>
                <w:sz w:val="24"/>
                <w:highlight w:val="none"/>
                <w:lang w:val="zh-CN" w:bidi="ar"/>
              </w:rPr>
              <w:t>机械设备</w:t>
            </w:r>
            <w:r>
              <w:rPr>
                <w:rFonts w:hint="default" w:ascii="Times New Roman" w:hAnsi="Times New Roman" w:eastAsia="宋体" w:cs="Times New Roman"/>
                <w:color w:val="auto"/>
                <w:sz w:val="24"/>
                <w:highlight w:val="none"/>
                <w:lang w:bidi="ar"/>
              </w:rPr>
              <w:t>噪声</w:t>
            </w:r>
            <w:r>
              <w:rPr>
                <w:rFonts w:hint="default" w:ascii="Times New Roman" w:hAnsi="Times New Roman" w:eastAsia="宋体" w:cs="Times New Roman"/>
                <w:color w:val="auto"/>
                <w:sz w:val="24"/>
                <w:highlight w:val="none"/>
                <w:lang w:val="zh-CN" w:bidi="ar"/>
              </w:rPr>
              <w:t>。各类机械噪声值在</w:t>
            </w:r>
            <w:r>
              <w:rPr>
                <w:rFonts w:hint="eastAsia" w:cs="Times New Roman"/>
                <w:color w:val="auto"/>
                <w:sz w:val="24"/>
                <w:highlight w:val="none"/>
                <w:lang w:val="en-US" w:eastAsia="zh-CN" w:bidi="ar"/>
              </w:rPr>
              <w:t>75</w:t>
            </w:r>
            <w:r>
              <w:rPr>
                <w:rFonts w:hint="default" w:ascii="Times New Roman" w:hAnsi="Times New Roman" w:eastAsia="宋体" w:cs="Times New Roman"/>
                <w:color w:val="auto"/>
                <w:sz w:val="24"/>
                <w:highlight w:val="none"/>
                <w:lang w:val="zh-CN" w:bidi="ar"/>
              </w:rPr>
              <w:t>～</w:t>
            </w:r>
            <w:r>
              <w:rPr>
                <w:rFonts w:hint="eastAsia" w:cs="Times New Roman"/>
                <w:color w:val="auto"/>
                <w:sz w:val="24"/>
                <w:highlight w:val="none"/>
                <w:lang w:val="en-US" w:eastAsia="zh-CN" w:bidi="ar"/>
              </w:rPr>
              <w:t>85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4-21</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ind w:firstLine="480" w:firstLineChars="200"/>
              <w:rPr>
                <w:rFonts w:hint="eastAsia" w:cs="Times New Roman"/>
                <w:color w:val="auto"/>
                <w:sz w:val="24"/>
                <w:highlight w:val="none"/>
                <w:lang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cs="Times New Roman"/>
                <w:bCs/>
                <w:color w:val="auto"/>
                <w:spacing w:val="-1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48" w:lineRule="auto"/>
              <w:rPr>
                <w:rFonts w:hint="eastAsia" w:ascii="Times New Roman" w:hAnsi="Times New Roman" w:eastAsia="宋体" w:cs="Times New Roman"/>
                <w:bCs/>
                <w:color w:val="auto"/>
                <w:spacing w:val="-10"/>
                <w:sz w:val="24"/>
                <w:szCs w:val="24"/>
                <w:highlight w:val="none"/>
                <w:lang w:val="en-US" w:eastAsia="zh-CN"/>
              </w:rPr>
            </w:pPr>
          </w:p>
        </w:tc>
      </w:tr>
    </w:tbl>
    <w:p>
      <w:pPr>
        <w:adjustRightInd w:val="0"/>
        <w:snapToGrid w:val="0"/>
        <w:spacing w:line="360" w:lineRule="auto"/>
        <w:rPr>
          <w:rFonts w:hint="default" w:ascii="Times New Roman" w:hAnsi="Times New Roman" w:eastAsia="宋体" w:cs="Times New Roman"/>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43"/>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 xml:space="preserve">21 </w:t>
      </w:r>
      <w:r>
        <w:rPr>
          <w:rFonts w:hint="default" w:ascii="Times New Roman" w:hAnsi="Times New Roman" w:eastAsia="宋体" w:cs="Times New Roman"/>
          <w:b/>
          <w:bCs/>
          <w:color w:val="auto"/>
          <w:sz w:val="21"/>
          <w:szCs w:val="21"/>
          <w:highlight w:val="none"/>
        </w:rPr>
        <w:t xml:space="preserve"> 工业企业噪声源强调查清单（室内声源）</w:t>
      </w:r>
    </w:p>
    <w:tbl>
      <w:tblPr>
        <w:tblStyle w:val="27"/>
        <w:tblpPr w:leftFromText="180" w:rightFromText="180" w:vertAnchor="text" w:horzAnchor="page" w:tblpXSpec="center" w:tblpY="323"/>
        <w:tblOverlap w:val="never"/>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7"/>
        <w:gridCol w:w="434"/>
        <w:gridCol w:w="1663"/>
        <w:gridCol w:w="650"/>
        <w:gridCol w:w="651"/>
        <w:gridCol w:w="477"/>
        <w:gridCol w:w="477"/>
        <w:gridCol w:w="477"/>
        <w:gridCol w:w="477"/>
        <w:gridCol w:w="477"/>
        <w:gridCol w:w="477"/>
        <w:gridCol w:w="477"/>
        <w:gridCol w:w="477"/>
        <w:gridCol w:w="477"/>
        <w:gridCol w:w="477"/>
        <w:gridCol w:w="477"/>
        <w:gridCol w:w="477"/>
        <w:gridCol w:w="477"/>
        <w:gridCol w:w="1"/>
        <w:gridCol w:w="476"/>
        <w:gridCol w:w="2"/>
        <w:gridCol w:w="475"/>
        <w:gridCol w:w="3"/>
        <w:gridCol w:w="512"/>
        <w:gridCol w:w="439"/>
        <w:gridCol w:w="5"/>
        <w:gridCol w:w="484"/>
        <w:gridCol w:w="465"/>
        <w:gridCol w:w="4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17" w:type="dxa"/>
            <w:vMerge w:val="restart"/>
            <w:shd w:val="clear" w:color="auto" w:fill="auto"/>
            <w:vAlign w:val="center"/>
          </w:tcPr>
          <w:p>
            <w:pPr>
              <w:jc w:val="center"/>
              <w:rPr>
                <w:rFonts w:hint="default" w:ascii="Times New Roman" w:hAnsi="Times New Roman" w:eastAsia="宋体" w:cs="Times New Roman"/>
                <w:color w:val="auto"/>
                <w:sz w:val="21"/>
                <w:szCs w:val="21"/>
              </w:rPr>
            </w:pPr>
            <w:bookmarkStart w:id="22" w:name="PT_6"/>
            <w:r>
              <w:rPr>
                <w:rFonts w:hint="default" w:ascii="Times New Roman" w:hAnsi="Times New Roman" w:eastAsia="宋体" w:cs="Times New Roman"/>
                <w:b/>
                <w:color w:val="auto"/>
                <w:sz w:val="21"/>
                <w:szCs w:val="21"/>
              </w:rPr>
              <w:t>序号</w:t>
            </w:r>
          </w:p>
        </w:tc>
        <w:tc>
          <w:tcPr>
            <w:tcW w:w="434" w:type="dxa"/>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建筑物名称</w:t>
            </w:r>
          </w:p>
        </w:tc>
        <w:tc>
          <w:tcPr>
            <w:tcW w:w="1663" w:type="dxa"/>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声源名称</w:t>
            </w:r>
          </w:p>
        </w:tc>
        <w:tc>
          <w:tcPr>
            <w:tcW w:w="650" w:type="dxa"/>
            <w:shd w:val="clear" w:color="auto" w:fill="auto"/>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1"/>
                <w:lang w:eastAsia="zh-CN"/>
              </w:rPr>
              <w:t>声源源强</w:t>
            </w:r>
          </w:p>
        </w:tc>
        <w:tc>
          <w:tcPr>
            <w:tcW w:w="651" w:type="dxa"/>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声源控制措施</w:t>
            </w:r>
          </w:p>
        </w:tc>
        <w:tc>
          <w:tcPr>
            <w:tcW w:w="1431" w:type="dxa"/>
            <w:gridSpan w:val="3"/>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空间相对位置/m</w:t>
            </w:r>
          </w:p>
        </w:tc>
        <w:tc>
          <w:tcPr>
            <w:tcW w:w="1908" w:type="dxa"/>
            <w:gridSpan w:val="4"/>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距室内边界距离/m</w:t>
            </w:r>
          </w:p>
        </w:tc>
        <w:tc>
          <w:tcPr>
            <w:tcW w:w="1908" w:type="dxa"/>
            <w:gridSpan w:val="4"/>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室内边界声级/dB(A)</w:t>
            </w:r>
          </w:p>
        </w:tc>
        <w:tc>
          <w:tcPr>
            <w:tcW w:w="477" w:type="dxa"/>
            <w:vMerge w:val="restart"/>
            <w:shd w:val="clear" w:color="auto" w:fill="auto"/>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运行时段</w:t>
            </w:r>
          </w:p>
        </w:tc>
        <w:tc>
          <w:tcPr>
            <w:tcW w:w="1946" w:type="dxa"/>
            <w:gridSpan w:val="7"/>
            <w:shd w:val="clear" w:color="auto" w:fill="auto"/>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建筑物插入损失/dB(A)</w:t>
            </w:r>
            <w:bookmarkStart w:id="23" w:name="PT_10"/>
            <w:bookmarkEnd w:id="23"/>
          </w:p>
        </w:tc>
        <w:tc>
          <w:tcPr>
            <w:tcW w:w="2576" w:type="dxa"/>
            <w:gridSpan w:val="6"/>
            <w:shd w:val="clear" w:color="auto" w:fill="auto"/>
            <w:vAlign w:val="center"/>
          </w:tcPr>
          <w:p>
            <w:pPr>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声功率级/dB(A)</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Y</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Z</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47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477"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8" w:type="dxa"/>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78" w:type="dxa"/>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78" w:type="dxa"/>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512"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444" w:type="dxa"/>
            <w:gridSpan w:val="2"/>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东</w:t>
            </w:r>
          </w:p>
        </w:tc>
        <w:tc>
          <w:tcPr>
            <w:tcW w:w="484"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南</w:t>
            </w:r>
          </w:p>
        </w:tc>
        <w:tc>
          <w:tcPr>
            <w:tcW w:w="465"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西</w:t>
            </w:r>
          </w:p>
        </w:tc>
        <w:tc>
          <w:tcPr>
            <w:tcW w:w="48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北</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34" w:type="dxa"/>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（生产车间）</w:t>
            </w:r>
            <w:r>
              <w:rPr>
                <w:rFonts w:hint="default" w:ascii="Times New Roman" w:hAnsi="Times New Roman" w:eastAsia="宋体" w:cs="Times New Roman"/>
                <w:color w:val="auto"/>
                <w:sz w:val="21"/>
                <w:szCs w:val="21"/>
              </w:rPr>
              <w:t>-声屏障</w:t>
            </w:r>
          </w:p>
        </w:tc>
        <w:tc>
          <w:tcPr>
            <w:tcW w:w="1663"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eastAsia="zh-CN"/>
              </w:rPr>
              <w:t>消声</w:t>
            </w:r>
            <w:r>
              <w:rPr>
                <w:rFonts w:hint="default" w:ascii="Times New Roman" w:hAnsi="Times New Roman" w:eastAsia="宋体" w:cs="Times New Roman"/>
                <w:bCs/>
                <w:color w:val="auto"/>
                <w:sz w:val="21"/>
                <w:szCs w:val="21"/>
                <w:highlight w:val="none"/>
              </w:rPr>
              <w:t>减振</w:t>
            </w:r>
            <w:r>
              <w:rPr>
                <w:rFonts w:hint="default" w:ascii="Times New Roman" w:hAnsi="Times New Roman" w:eastAsia="宋体" w:cs="Times New Roman"/>
                <w:bCs/>
                <w:color w:val="auto"/>
                <w:sz w:val="21"/>
                <w:szCs w:val="21"/>
                <w:highlight w:val="none"/>
                <w:lang w:eastAsia="zh-CN"/>
              </w:rPr>
              <w:t>装置</w:t>
            </w:r>
            <w:r>
              <w:rPr>
                <w:rFonts w:hint="default" w:ascii="Times New Roman" w:hAnsi="Times New Roman" w:eastAsia="宋体" w:cs="Times New Roman"/>
                <w:bCs/>
                <w:color w:val="auto"/>
                <w:sz w:val="21"/>
                <w:szCs w:val="21"/>
                <w:highlight w:val="none"/>
              </w:rPr>
              <w:t>、厂房隔声、距离衰减</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33.8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63.4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477" w:type="dxa"/>
            <w:vMerge w:val="restart"/>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63.0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62.5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4</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5</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6</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7</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8</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68.6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9</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68.1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10</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14.2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13</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14</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59.9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34.7</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15</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61.6</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35.1</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16</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-41.4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17</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18.7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18</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19</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71.3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20</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-36.9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70.8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34.6</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70.3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54.7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20.8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34.7</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22</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27.4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22.9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61.5</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35.0</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23</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23</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25.7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24</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24</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23.6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78.2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25</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-44.7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16.0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13.1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26</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-43.9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19.5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15.2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27</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27</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77.1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11.3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28</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76.5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48.5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34.7</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29</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-53.6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25.1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22.8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61.5</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35.0</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30</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-52.5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23.5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31</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31</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-51.5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84.0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32</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-50.4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19.3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16.3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33</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33</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-49.2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13.7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15.4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34</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-47.8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14.6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82.8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34.6</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35</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EPS全自动</w:t>
            </w:r>
            <w:r>
              <w:rPr>
                <w:rFonts w:hint="default" w:ascii="Times New Roman" w:hAnsi="Times New Roman" w:eastAsia="宋体" w:cs="Times New Roman"/>
                <w:color w:val="auto"/>
                <w:sz w:val="21"/>
                <w:szCs w:val="21"/>
                <w:highlight w:val="none"/>
                <w:lang w:val="en-US" w:eastAsia="zh-CN"/>
              </w:rPr>
              <w:t>高效节能</w:t>
            </w:r>
            <w:r>
              <w:rPr>
                <w:rFonts w:hint="default" w:ascii="Times New Roman" w:hAnsi="Times New Roman" w:eastAsia="宋体" w:cs="Times New Roman"/>
                <w:color w:val="auto"/>
                <w:sz w:val="21"/>
                <w:szCs w:val="21"/>
                <w:highlight w:val="none"/>
              </w:rPr>
              <w:t>成型机</w:t>
            </w:r>
            <w:r>
              <w:rPr>
                <w:rFonts w:hint="eastAsia" w:cs="Times New Roman"/>
                <w:color w:val="auto"/>
                <w:sz w:val="21"/>
                <w:szCs w:val="21"/>
                <w:highlight w:val="none"/>
                <w:lang w:val="en-US" w:eastAsia="zh-CN"/>
              </w:rPr>
              <w:t>35</w:t>
            </w:r>
          </w:p>
        </w:tc>
        <w:tc>
          <w:tcPr>
            <w:tcW w:w="650"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-46.6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82.4</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20.8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61.3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60.9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34.8</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34.4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36</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56.3</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29.8</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37</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13.4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全自动间歇式预发泡机</w:t>
            </w:r>
            <w:r>
              <w:rPr>
                <w:rFonts w:hint="eastAsia" w:cs="Times New Roman"/>
                <w:color w:val="auto"/>
                <w:sz w:val="21"/>
                <w:szCs w:val="21"/>
                <w:highlight w:val="none"/>
                <w:lang w:val="en-US" w:eastAsia="zh-CN"/>
              </w:rPr>
              <w:t>3</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9.3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37.9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21.1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104.0</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56.1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29.6</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39</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硫化床</w:t>
            </w:r>
            <w:r>
              <w:rPr>
                <w:rFonts w:hint="eastAsia" w:cs="Times New Roman"/>
                <w:color w:val="auto"/>
                <w:sz w:val="21"/>
                <w:szCs w:val="21"/>
                <w:lang w:val="en-US" w:eastAsia="zh-CN"/>
              </w:rPr>
              <w:t>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42.9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22.7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89.1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56.5</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30.0</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硫化床</w:t>
            </w:r>
            <w:r>
              <w:rPr>
                <w:rFonts w:hint="eastAsia" w:cs="Times New Roman"/>
                <w:color w:val="auto"/>
                <w:sz w:val="21"/>
                <w:szCs w:val="21"/>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37.2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89.1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41</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硫化床</w:t>
            </w:r>
            <w:r>
              <w:rPr>
                <w:rFonts w:hint="eastAsia" w:cs="Times New Roman"/>
                <w:color w:val="auto"/>
                <w:sz w:val="21"/>
                <w:szCs w:val="21"/>
                <w:lang w:val="en-US" w:eastAsia="zh-CN"/>
              </w:rPr>
              <w:t>3</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-4.2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32.3</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35.7</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10.6</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89.5</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18.8</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56.1</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55.9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29.6</w:t>
            </w:r>
          </w:p>
        </w:tc>
        <w:tc>
          <w:tcPr>
            <w:tcW w:w="465"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29.4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Arial"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42</w:t>
            </w:r>
          </w:p>
        </w:tc>
        <w:tc>
          <w:tcPr>
            <w:tcW w:w="434" w:type="dxa"/>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w:t>
            </w:r>
            <w:r>
              <w:rPr>
                <w:rFonts w:hint="eastAsia" w:ascii="Arial" w:hAnsi="Arial" w:cs="Arial"/>
                <w:color w:val="auto"/>
                <w:sz w:val="20"/>
                <w:lang w:eastAsia="zh-CN"/>
              </w:rPr>
              <w:t>锅炉房</w:t>
            </w:r>
            <w:r>
              <w:rPr>
                <w:rFonts w:hint="eastAsia" w:ascii="Arial" w:hAnsi="Arial" w:eastAsia="宋体" w:cs="Arial"/>
                <w:color w:val="auto"/>
                <w:sz w:val="20"/>
                <w:lang w:eastAsia="zh-CN"/>
              </w:rPr>
              <w:t>）</w:t>
            </w:r>
            <w:r>
              <w:rPr>
                <w:rFonts w:hint="default" w:ascii="Times New Roman" w:hAnsi="Times New Roman" w:eastAsia="宋体" w:cs="Times New Roman"/>
                <w:color w:val="auto"/>
                <w:sz w:val="21"/>
                <w:szCs w:val="21"/>
              </w:rPr>
              <w:t>-声屏障</w:t>
            </w:r>
          </w:p>
        </w:tc>
        <w:tc>
          <w:tcPr>
            <w:tcW w:w="1663"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生物质锅炉</w:t>
            </w:r>
            <w:r>
              <w:rPr>
                <w:rFonts w:hint="eastAsia" w:cs="Times New Roman"/>
                <w:color w:val="auto"/>
                <w:sz w:val="21"/>
                <w:szCs w:val="21"/>
                <w:lang w:val="en-US" w:eastAsia="zh-CN"/>
              </w:rPr>
              <w:t>1</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cs="Times New Roman"/>
                <w:color w:val="auto"/>
                <w:sz w:val="21"/>
                <w:szCs w:val="21"/>
                <w:lang w:val="en-US" w:eastAsia="zh-CN"/>
              </w:rPr>
              <w:t>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44.2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40.6</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43</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生物质锅炉</w:t>
            </w:r>
            <w:r>
              <w:rPr>
                <w:rFonts w:hint="eastAsia" w:cs="Times New Roman"/>
                <w:color w:val="auto"/>
                <w:sz w:val="21"/>
                <w:szCs w:val="21"/>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8</w:t>
            </w:r>
            <w:r>
              <w:rPr>
                <w:rFonts w:hint="eastAsia" w:cs="Times New Roman"/>
                <w:color w:val="auto"/>
                <w:sz w:val="21"/>
                <w:szCs w:val="21"/>
                <w:lang w:val="en-US" w:eastAsia="zh-CN"/>
              </w:rPr>
              <w:t>0</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9.6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15.6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67.0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40.5</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40.4</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w:t>
            </w:r>
          </w:p>
        </w:tc>
        <w:tc>
          <w:tcPr>
            <w:tcW w:w="434" w:type="dxa"/>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（生产车间）</w:t>
            </w:r>
            <w:r>
              <w:rPr>
                <w:rFonts w:hint="default" w:ascii="Times New Roman" w:hAnsi="Times New Roman" w:eastAsia="宋体" w:cs="Times New Roman"/>
                <w:color w:val="auto"/>
                <w:sz w:val="21"/>
                <w:szCs w:val="21"/>
              </w:rPr>
              <w:t>-声屏障</w:t>
            </w:r>
          </w:p>
        </w:tc>
        <w:tc>
          <w:tcPr>
            <w:tcW w:w="1663"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中央真空系统</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32.5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50.3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16.7</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56.0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29.5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1</w:t>
            </w:r>
          </w:p>
        </w:tc>
        <w:tc>
          <w:tcPr>
            <w:tcW w:w="650"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85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47.8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16.6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115.8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39.6</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46</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-69.4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102.3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21.8</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66.4</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39.9</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47</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低压空压机</w:t>
            </w:r>
            <w:r>
              <w:rPr>
                <w:rFonts w:hint="eastAsia" w:cs="Times New Roman"/>
                <w:color w:val="auto"/>
                <w:sz w:val="21"/>
                <w:szCs w:val="21"/>
                <w:lang w:val="en-US" w:eastAsia="zh-CN"/>
              </w:rPr>
              <w:t>3</w:t>
            </w:r>
          </w:p>
        </w:tc>
        <w:tc>
          <w:tcPr>
            <w:tcW w:w="650"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-64.4</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100.5</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11.6</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25.2</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17.3</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66.1</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66.0</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39.6</w:t>
            </w:r>
          </w:p>
        </w:tc>
        <w:tc>
          <w:tcPr>
            <w:tcW w:w="465"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39.5</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48</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4</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-22.8</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66.5</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696" w:type="dxa"/>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49</w:t>
            </w:r>
          </w:p>
        </w:tc>
        <w:tc>
          <w:tcPr>
            <w:tcW w:w="434"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1663" w:type="dxa"/>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低压空压机</w:t>
            </w:r>
            <w:r>
              <w:rPr>
                <w:rFonts w:hint="eastAsia" w:cs="Times New Roman"/>
                <w:color w:val="auto"/>
                <w:sz w:val="21"/>
                <w:szCs w:val="21"/>
                <w:lang w:val="en-US" w:eastAsia="zh-CN"/>
              </w:rPr>
              <w:t>5</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85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9.1</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76.4</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39.7</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39.4</w:t>
            </w:r>
          </w:p>
        </w:tc>
        <w:tc>
          <w:tcPr>
            <w:tcW w:w="696"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50</w:t>
            </w:r>
          </w:p>
        </w:tc>
        <w:tc>
          <w:tcPr>
            <w:tcW w:w="434" w:type="dxa"/>
            <w:vMerge w:val="restar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r>
              <w:rPr>
                <w:rFonts w:ascii="Arial" w:hAnsi="Arial" w:eastAsia="Arial" w:cs="Arial"/>
                <w:color w:val="auto"/>
                <w:sz w:val="20"/>
              </w:rPr>
              <w:t>广兴塑料泡沫</w:t>
            </w:r>
            <w:r>
              <w:rPr>
                <w:rFonts w:hint="eastAsia" w:ascii="Arial" w:hAnsi="Arial" w:eastAsia="宋体" w:cs="Arial"/>
                <w:color w:val="auto"/>
                <w:sz w:val="20"/>
                <w:lang w:eastAsia="zh-CN"/>
              </w:rPr>
              <w:t>（</w:t>
            </w:r>
            <w:r>
              <w:rPr>
                <w:rFonts w:hint="eastAsia" w:ascii="Arial" w:hAnsi="Arial" w:cs="Arial"/>
                <w:color w:val="auto"/>
                <w:sz w:val="20"/>
                <w:lang w:eastAsia="zh-CN"/>
              </w:rPr>
              <w:t>锅炉房</w:t>
            </w:r>
            <w:r>
              <w:rPr>
                <w:rFonts w:hint="eastAsia" w:ascii="Arial" w:hAnsi="Arial" w:eastAsia="宋体" w:cs="Arial"/>
                <w:color w:val="auto"/>
                <w:sz w:val="20"/>
                <w:lang w:eastAsia="zh-CN"/>
              </w:rPr>
              <w:t>）</w:t>
            </w:r>
            <w:r>
              <w:rPr>
                <w:rFonts w:hint="default" w:ascii="Times New Roman" w:hAnsi="Times New Roman" w:eastAsia="宋体" w:cs="Times New Roman"/>
                <w:color w:val="auto"/>
                <w:sz w:val="21"/>
                <w:szCs w:val="21"/>
              </w:rPr>
              <w:t>-声屏障</w:t>
            </w:r>
          </w:p>
        </w:tc>
        <w:tc>
          <w:tcPr>
            <w:tcW w:w="1663"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eastAsia="zh-CN"/>
              </w:rPr>
              <w:t>反渗透水处理设备</w:t>
            </w:r>
            <w:r>
              <w:rPr>
                <w:rFonts w:hint="eastAsia" w:cs="Times New Roman"/>
                <w:color w:val="auto"/>
                <w:sz w:val="21"/>
                <w:szCs w:val="21"/>
                <w:lang w:val="en-US" w:eastAsia="zh-CN"/>
              </w:rPr>
              <w:t>1</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17.1</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62.4</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62.1</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35.9</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35.6</w:t>
            </w:r>
          </w:p>
        </w:tc>
        <w:tc>
          <w:tcPr>
            <w:tcW w:w="696"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Arial"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7"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51</w:t>
            </w:r>
          </w:p>
        </w:tc>
        <w:tc>
          <w:tcPr>
            <w:tcW w:w="434" w:type="dxa"/>
            <w:vMerge w:val="continue"/>
            <w:shd w:val="clear" w:color="auto" w:fill="auto"/>
            <w:tcMar>
              <w:top w:w="0" w:type="dxa"/>
              <w:left w:w="0" w:type="dxa"/>
              <w:bottom w:w="0" w:type="dxa"/>
              <w:right w:w="0" w:type="dxa"/>
            </w:tcMar>
            <w:vAlign w:val="center"/>
          </w:tcPr>
          <w:p>
            <w:pPr>
              <w:jc w:val="center"/>
              <w:rPr>
                <w:rFonts w:ascii="Arial" w:hAnsi="Arial" w:eastAsia="Arial" w:cs="Arial"/>
                <w:color w:val="auto"/>
                <w:sz w:val="20"/>
              </w:rPr>
            </w:pPr>
          </w:p>
        </w:tc>
        <w:tc>
          <w:tcPr>
            <w:tcW w:w="1663" w:type="dxa"/>
            <w:shd w:val="clear" w:color="auto" w:fill="auto"/>
            <w:tcMar>
              <w:top w:w="0" w:type="dxa"/>
              <w:left w:w="0" w:type="dxa"/>
              <w:bottom w:w="0" w:type="dxa"/>
              <w:right w:w="0"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反渗透水处理设备</w:t>
            </w:r>
            <w:r>
              <w:rPr>
                <w:rFonts w:hint="eastAsia" w:cs="Times New Roman"/>
                <w:color w:val="auto"/>
                <w:sz w:val="21"/>
                <w:szCs w:val="21"/>
                <w:lang w:val="en-US" w:eastAsia="zh-CN"/>
              </w:rPr>
              <w:t>2</w:t>
            </w:r>
          </w:p>
        </w:tc>
        <w:tc>
          <w:tcPr>
            <w:tcW w:w="650" w:type="dxa"/>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75</w:t>
            </w:r>
          </w:p>
        </w:tc>
        <w:tc>
          <w:tcPr>
            <w:tcW w:w="651" w:type="dxa"/>
            <w:vMerge w:val="continue"/>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color w:val="auto"/>
                <w:sz w:val="21"/>
                <w:szCs w:val="21"/>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25.6</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11.5</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24.4</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62.0</w:t>
            </w: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61.9</w:t>
            </w:r>
          </w:p>
        </w:tc>
        <w:tc>
          <w:tcPr>
            <w:tcW w:w="477" w:type="dxa"/>
            <w:vMerge w:val="continue"/>
            <w:shd w:val="clear" w:color="auto" w:fill="auto"/>
            <w:tcMar>
              <w:top w:w="0" w:type="dxa"/>
              <w:left w:w="0" w:type="dxa"/>
              <w:bottom w:w="0" w:type="dxa"/>
              <w:right w:w="0" w:type="dxa"/>
            </w:tcMar>
            <w:vAlign w:val="center"/>
          </w:tcPr>
          <w:p>
            <w:pPr>
              <w:jc w:val="center"/>
              <w:rPr>
                <w:rFonts w:hint="default" w:cs="Times New Roman"/>
                <w:color w:val="auto"/>
                <w:sz w:val="21"/>
                <w:szCs w:val="21"/>
                <w:lang w:val="en-US" w:eastAsia="zh-CN"/>
              </w:rPr>
            </w:pPr>
          </w:p>
        </w:tc>
        <w:tc>
          <w:tcPr>
            <w:tcW w:w="47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77"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515"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26.5</w:t>
            </w:r>
          </w:p>
        </w:tc>
        <w:tc>
          <w:tcPr>
            <w:tcW w:w="439"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89" w:type="dxa"/>
            <w:gridSpan w:val="2"/>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65"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35.5</w:t>
            </w:r>
          </w:p>
        </w:tc>
        <w:tc>
          <w:tcPr>
            <w:tcW w:w="487"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35.4</w:t>
            </w:r>
          </w:p>
        </w:tc>
        <w:tc>
          <w:tcPr>
            <w:tcW w:w="696" w:type="dxa"/>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eastAsia="宋体" w:cs="Times New Roman"/>
                <w:color w:val="auto"/>
                <w:sz w:val="21"/>
                <w:szCs w:val="21"/>
                <w:lang w:val="en-US" w:eastAsia="zh-CN"/>
              </w:rPr>
              <w:t>1</w:t>
            </w:r>
          </w:p>
        </w:tc>
      </w:tr>
      <w:bookmarkEnd w:id="22"/>
    </w:tbl>
    <w:p>
      <w:pPr>
        <w:pStyle w:val="45"/>
        <w:ind w:left="0" w:leftChars="0" w:firstLine="0" w:firstLineChars="0"/>
        <w:rPr>
          <w:rFonts w:hint="default" w:ascii="Times New Roman" w:hAnsi="Times New Roman" w:eastAsia="宋体" w:cs="Times New Roman"/>
          <w:color w:val="auto"/>
          <w:highlight w:val="none"/>
        </w:rPr>
        <w:sectPr>
          <w:pgSz w:w="16840" w:h="11907" w:orient="landscape"/>
          <w:pgMar w:top="1531" w:right="1701" w:bottom="1531" w:left="2127" w:header="851" w:footer="851" w:gutter="0"/>
          <w:pgBorders>
            <w:top w:val="none" w:sz="0" w:space="0"/>
            <w:left w:val="none" w:sz="0" w:space="0"/>
            <w:bottom w:val="none" w:sz="0" w:space="0"/>
            <w:right w:val="none" w:sz="0" w:space="0"/>
          </w:pgBorders>
          <w:pgNumType w:fmt="decimal"/>
          <w:cols w:space="720" w:num="1"/>
          <w:docGrid w:linePitch="312" w:charSpace="0"/>
        </w:sectPr>
      </w:pPr>
    </w:p>
    <w:tbl>
      <w:tblPr>
        <w:tblStyle w:val="2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
        <w:gridCol w:w="8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358"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highlight w:val="none"/>
              </w:rPr>
            </w:pPr>
            <w:bookmarkStart w:id="24" w:name="_Toc4859"/>
            <w:r>
              <w:rPr>
                <w:rFonts w:hint="default" w:ascii="Times New Roman" w:hAnsi="Times New Roman" w:eastAsia="宋体" w:cs="Times New Roman"/>
                <w:bCs/>
                <w:color w:val="auto"/>
                <w:sz w:val="24"/>
                <w:szCs w:val="24"/>
                <w:highlight w:val="none"/>
              </w:rPr>
              <w:t>运营</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期环</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境影</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响和</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保护</w:t>
            </w:r>
          </w:p>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措施</w:t>
            </w:r>
          </w:p>
        </w:tc>
        <w:tc>
          <w:tcPr>
            <w:tcW w:w="8623" w:type="dxa"/>
            <w:vAlign w:val="top"/>
          </w:tcPr>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表中坐标以厂界中心（103度</w:t>
            </w:r>
            <w:r>
              <w:rPr>
                <w:rFonts w:hint="eastAsia"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分</w:t>
            </w:r>
            <w:r>
              <w:rPr>
                <w:rFonts w:hint="eastAsia"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2.773</w:t>
            </w:r>
            <w:r>
              <w:rPr>
                <w:rFonts w:hint="default" w:ascii="Times New Roman" w:hAnsi="Times New Roman" w:eastAsia="宋体" w:cs="Times New Roman"/>
                <w:color w:val="auto"/>
                <w:sz w:val="24"/>
                <w:highlight w:val="none"/>
                <w:lang w:val="en-US" w:eastAsia="zh-CN"/>
              </w:rPr>
              <w:t>秒，25度</w:t>
            </w:r>
            <w:r>
              <w:rPr>
                <w:rFonts w:hint="eastAsia" w:ascii="Times New Roman" w:hAnsi="Times New Roman" w:eastAsia="宋体" w:cs="Times New Roman"/>
                <w:color w:val="auto"/>
                <w:sz w:val="24"/>
                <w:highlight w:val="none"/>
                <w:lang w:val="en-US" w:eastAsia="zh-CN"/>
              </w:rPr>
              <w:t>27</w:t>
            </w:r>
            <w:r>
              <w:rPr>
                <w:rFonts w:hint="default" w:ascii="Times New Roman" w:hAnsi="Times New Roman" w:eastAsia="宋体" w:cs="Times New Roman"/>
                <w:color w:val="auto"/>
                <w:sz w:val="24"/>
                <w:highlight w:val="none"/>
                <w:lang w:val="en-US" w:eastAsia="zh-CN"/>
              </w:rPr>
              <w:t>分</w:t>
            </w:r>
            <w:r>
              <w:rPr>
                <w:rFonts w:hint="eastAsia" w:ascii="Times New Roman" w:hAnsi="Times New Roman" w:eastAsia="宋体" w:cs="Times New Roman"/>
                <w:color w:val="auto"/>
                <w:sz w:val="24"/>
                <w:highlight w:val="none"/>
                <w:lang w:val="en-US" w:eastAsia="zh-CN"/>
              </w:rPr>
              <w:t>58.</w:t>
            </w:r>
            <w:r>
              <w:rPr>
                <w:rFonts w:hint="eastAsia" w:cs="Times New Roman"/>
                <w:color w:val="auto"/>
                <w:sz w:val="24"/>
                <w:highlight w:val="none"/>
                <w:lang w:val="en-US" w:eastAsia="zh-CN"/>
              </w:rPr>
              <w:t>255</w:t>
            </w:r>
            <w:r>
              <w:rPr>
                <w:rFonts w:hint="default" w:ascii="Times New Roman" w:hAnsi="Times New Roman" w:eastAsia="宋体" w:cs="Times New Roman"/>
                <w:color w:val="auto"/>
                <w:sz w:val="24"/>
                <w:highlight w:val="none"/>
                <w:lang w:val="en-US" w:eastAsia="zh-CN"/>
              </w:rPr>
              <w:t>秒）为坐标原点，正东向为X轴正方向，正北向为Y轴正方向。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（2）预测范围、点位与评价因子</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default" w:ascii="Times New Roman" w:hAnsi="Times New Roman" w:eastAsia="宋体" w:cs="Times New Roman"/>
                <w:color w:val="auto"/>
                <w:sz w:val="24"/>
                <w:highlight w:val="none"/>
                <w:lang w:val="en-US" w:eastAsia="zh-CN"/>
              </w:rPr>
              <w:t>22</w:t>
            </w:r>
            <w:r>
              <w:rPr>
                <w:rFonts w:hint="default" w:ascii="Times New Roman" w:hAnsi="Times New Roman" w:eastAsia="宋体" w:cs="Times New Roman"/>
                <w:color w:val="auto"/>
                <w:sz w:val="24"/>
                <w:highlight w:val="none"/>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22</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7"/>
              <w:tblW w:w="83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0"/>
              <w:gridCol w:w="2755"/>
              <w:gridCol w:w="2102"/>
              <w:gridCol w:w="21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
                      <w:bCs w:val="0"/>
                      <w:color w:val="auto"/>
                      <w:szCs w:val="21"/>
                      <w:highlight w:val="none"/>
                    </w:rPr>
                  </w:pPr>
                  <w:bookmarkStart w:id="25" w:name="PT_4"/>
                  <w:r>
                    <w:rPr>
                      <w:rFonts w:hint="default" w:ascii="Times New Roman" w:hAnsi="Times New Roman" w:eastAsia="宋体" w:cs="Times New Roman"/>
                      <w:b/>
                      <w:bCs w:val="0"/>
                      <w:color w:val="auto"/>
                      <w:szCs w:val="21"/>
                      <w:highlight w:val="none"/>
                    </w:rPr>
                    <w:t>序号</w:t>
                  </w:r>
                </w:p>
              </w:tc>
              <w:tc>
                <w:tcPr>
                  <w:tcW w:w="2755" w:type="dxa"/>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2102" w:type="dxa"/>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2102" w:type="dxa"/>
                  <w:noWrap w:val="0"/>
                  <w:vAlign w:val="center"/>
                </w:tcPr>
                <w:p>
                  <w:pPr>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25"/>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55"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年平均风速</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m/s</w:t>
                  </w:r>
                </w:p>
              </w:tc>
              <w:tc>
                <w:tcPr>
                  <w:tcW w:w="2102" w:type="dxa"/>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55"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主导风向</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西南风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55"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年平均气温</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14.4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55"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年平均相对湿度</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w:t>
                  </w:r>
                </w:p>
              </w:tc>
              <w:tc>
                <w:tcPr>
                  <w:tcW w:w="2102" w:type="dxa"/>
                  <w:noWrap w:val="0"/>
                  <w:vAlign w:val="center"/>
                </w:tcPr>
                <w:p>
                  <w:pPr>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40"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55"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大气压强</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atm</w:t>
                  </w:r>
                </w:p>
              </w:tc>
              <w:tc>
                <w:tcPr>
                  <w:tcW w:w="2102" w:type="dxa"/>
                  <w:noWrap w:val="0"/>
                  <w:vAlign w:val="center"/>
                </w:tcPr>
                <w:p>
                  <w:pPr>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r>
          </w:tbl>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（3）声环境影响预测</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建筑物插入损失</w:t>
            </w:r>
            <w:r>
              <w:rPr>
                <w:rFonts w:hint="default" w:ascii="Times New Roman" w:hAnsi="Times New Roman" w:eastAsia="宋体" w:cs="Times New Roman"/>
                <w:color w:val="auto"/>
                <w:sz w:val="24"/>
                <w:highlight w:val="none"/>
                <w:lang w:val="en-US" w:eastAsia="zh-CN"/>
              </w:rPr>
              <w:t>计算</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sz w:val="24"/>
                <w:highlight w:val="none"/>
              </w:rPr>
              <w:t>《环境影响评</w:t>
            </w:r>
            <w:r>
              <w:rPr>
                <w:rFonts w:hint="default" w:ascii="Times New Roman" w:hAnsi="Times New Roman" w:eastAsia="宋体" w:cs="Times New Roman"/>
                <w:color w:val="auto"/>
                <w:kern w:val="0"/>
                <w:sz w:val="24"/>
                <w:highlight w:val="none"/>
                <w:lang w:bidi="ar"/>
              </w:rPr>
              <w:t>价技术导则 声环境》(HJ2.4-2021)</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snapToGrid w:val="0"/>
              <w:spacing w:line="360" w:lineRule="auto"/>
              <w:ind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+6。本项目高噪声设备安装消声减振装置，根据《不同厚度墙壁和常用板材的隔声量汇表》可知，单层板平均隔声量为20.5dB（A），本项目生产厂房为单层铁皮活动板房，因此本项目建筑物隔音量选取20.5dB（A），则建筑物插入损失即为26.5dB（A）</w:t>
            </w:r>
            <w:r>
              <w:rPr>
                <w:rFonts w:hint="default" w:ascii="Times New Roman" w:hAnsi="Times New Roman" w:eastAsia="宋体" w:cs="Times New Roman"/>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widowControl/>
              <w:spacing w:line="360" w:lineRule="auto"/>
              <w:ind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声环境》(HJ2.4-2021)中的噪声预测模式预测本项目的主要噪声设备对周围声环境的影响。预测模式如下：</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A、</w:t>
            </w:r>
            <w:r>
              <w:rPr>
                <w:rFonts w:hint="default" w:ascii="Times New Roman" w:hAnsi="Times New Roman" w:eastAsia="宋体" w:cs="Times New Roman"/>
                <w:color w:val="auto"/>
                <w:highlight w:val="none"/>
              </w:rPr>
              <w:t>本项目只考虑几何发散衰减，公式按照：</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0" w:firstLineChars="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(r)=L</w:t>
            </w:r>
            <w:r>
              <w:rPr>
                <w:rFonts w:hint="default" w:ascii="Times New Roman" w:hAnsi="Times New Roman" w:eastAsia="宋体" w:cs="Times New Roman"/>
                <w:color w:val="auto"/>
                <w:highlight w:val="none"/>
                <w:vertAlign w:val="subscript"/>
              </w:rPr>
              <w:t>A</w:t>
            </w:r>
            <w:r>
              <w:rPr>
                <w:rFonts w:hint="default" w:ascii="Times New Roman" w:hAnsi="Times New Roman" w:eastAsia="宋体" w:cs="Times New Roman"/>
                <w:color w:val="auto"/>
                <w:highlight w:val="none"/>
              </w:rPr>
              <w:t>（r</w:t>
            </w:r>
            <w:r>
              <w:rPr>
                <w:rFonts w:hint="default" w:ascii="Times New Roman" w:hAnsi="Times New Roman" w:eastAsia="宋体" w:cs="Times New Roman"/>
                <w:color w:val="auto"/>
                <w:highlight w:val="none"/>
                <w:vertAlign w:val="subscript"/>
              </w:rPr>
              <w:t>0</w:t>
            </w: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(r)——距声源r处的A声级，dB（A）；</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A</w:t>
            </w: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处的A声级，dB（A）；</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A</w:t>
            </w:r>
            <w:r>
              <w:rPr>
                <w:rFonts w:hint="default" w:ascii="Times New Roman" w:hAnsi="Times New Roman" w:eastAsia="宋体" w:cs="Times New Roman"/>
                <w:color w:val="auto"/>
                <w:highlight w:val="none"/>
                <w:vertAlign w:val="subscript"/>
              </w:rPr>
              <w:t>div</w:t>
            </w:r>
            <w:r>
              <w:rPr>
                <w:rFonts w:hint="default" w:ascii="Times New Roman" w:hAnsi="Times New Roman" w:eastAsia="宋体" w:cs="Times New Roman"/>
                <w:color w:val="auto"/>
                <w:highlight w:val="none"/>
              </w:rPr>
              <w:t>——几何发散引起的衰减，dB；</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B、</w:t>
            </w:r>
            <w:r>
              <w:rPr>
                <w:rFonts w:hint="default" w:ascii="Times New Roman" w:hAnsi="Times New Roman" w:eastAsia="宋体" w:cs="Times New Roman"/>
                <w:color w:val="auto"/>
                <w:highlight w:val="none"/>
              </w:rPr>
              <w:t>声源的几何发散衰减公式：</w:t>
            </w:r>
          </w:p>
          <w:p>
            <w:pPr>
              <w:pStyle w:val="18"/>
              <w:keepNext w:val="0"/>
              <w:keepLines w:val="0"/>
              <w:pageBreakBefore w:val="0"/>
              <w:kinsoku/>
              <w:wordWrap/>
              <w:overflowPunct/>
              <w:topLinePunct w:val="0"/>
              <w:bidi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=20lg（r/r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式中：A</w:t>
            </w:r>
            <w:r>
              <w:rPr>
                <w:rFonts w:hint="default" w:ascii="Times New Roman" w:hAnsi="Times New Roman" w:eastAsia="宋体" w:cs="Times New Roman"/>
                <w:color w:val="auto"/>
                <w:sz w:val="24"/>
                <w:highlight w:val="none"/>
                <w:vertAlign w:val="subscript"/>
              </w:rPr>
              <w:t>div</w:t>
            </w:r>
            <w:r>
              <w:rPr>
                <w:rFonts w:hint="default" w:ascii="Times New Roman" w:hAnsi="Times New Roman" w:eastAsia="宋体" w:cs="Times New Roman"/>
                <w:color w:val="auto"/>
                <w:sz w:val="24"/>
                <w:highlight w:val="none"/>
              </w:rPr>
              <w:t>——几何发散引起的衰减，dB；</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r——预测点距声源的距离；</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r</w:t>
            </w:r>
            <w:r>
              <w:rPr>
                <w:rFonts w:hint="default" w:ascii="Times New Roman" w:hAnsi="Times New Roman" w:eastAsia="宋体" w:cs="Times New Roman"/>
                <w:color w:val="auto"/>
                <w:sz w:val="24"/>
                <w:highlight w:val="none"/>
                <w:vertAlign w:val="subscript"/>
              </w:rPr>
              <w:t>0</w:t>
            </w:r>
            <w:r>
              <w:rPr>
                <w:rFonts w:hint="default" w:ascii="Times New Roman" w:hAnsi="Times New Roman" w:eastAsia="宋体" w:cs="Times New Roman"/>
                <w:color w:val="auto"/>
                <w:sz w:val="24"/>
                <w:highlight w:val="none"/>
              </w:rPr>
              <w:t>——参考位置距声源的距离；</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0"/>
                <w:sz w:val="24"/>
                <w:highlight w:val="none"/>
                <w:lang w:val="en-US" w:eastAsia="zh-CN" w:bidi="ar"/>
              </w:rPr>
              <w:t>C、</w:t>
            </w:r>
            <w:r>
              <w:rPr>
                <w:rFonts w:hint="default" w:ascii="Times New Roman" w:hAnsi="Times New Roman" w:eastAsia="宋体" w:cs="Times New Roman"/>
                <w:color w:val="auto"/>
                <w:highlight w:val="none"/>
              </w:rPr>
              <w:t>工业企业噪声计算公式：</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position w:val="-34"/>
                <w:sz w:val="24"/>
                <w:highlight w:val="none"/>
              </w:rPr>
              <w:object>
                <v:shape id="_x0000_i1032" o:spt="75" type="#_x0000_t75" style="height:40pt;width:203pt;" o:ole="t" filled="f" o:preferrelative="t" stroked="f" coordsize="21600,21600">
                  <v:path/>
                  <v:fill on="f" focussize="0,0"/>
                  <v:stroke on="f"/>
                  <v:imagedata r:id="rId31" o:title=""/>
                  <o:lock v:ext="edit" aspectratio="t"/>
                  <w10:wrap type="none"/>
                  <w10:anchorlock/>
                </v:shape>
                <o:OLEObject Type="Embed" ProgID="Equation.KSEE3" ShapeID="_x0000_i1032" DrawAspect="Content" ObjectID="_1468075735" r:id="rId30">
                  <o:LockedField>false</o:LockedField>
                </o:OLEObject>
              </w:objec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式中：L</w:t>
            </w:r>
            <w:r>
              <w:rPr>
                <w:rFonts w:hint="default" w:ascii="Times New Roman" w:hAnsi="Times New Roman" w:eastAsia="宋体" w:cs="Times New Roman"/>
                <w:color w:val="auto"/>
                <w:sz w:val="24"/>
                <w:highlight w:val="none"/>
                <w:vertAlign w:val="subscript"/>
              </w:rPr>
              <w:t>eqg</w:t>
            </w:r>
            <w:r>
              <w:rPr>
                <w:rFonts w:hint="default" w:ascii="Times New Roman" w:hAnsi="Times New Roman" w:eastAsia="宋体" w:cs="Times New Roman"/>
                <w:color w:val="auto"/>
                <w:sz w:val="24"/>
                <w:highlight w:val="none"/>
              </w:rPr>
              <w:t>——建设项目声源在预测点产生的噪声贡献值，dB；</w:t>
            </w:r>
          </w:p>
          <w:p>
            <w:pPr>
              <w:pStyle w:val="18"/>
              <w:keepNext w:val="0"/>
              <w:keepLines w:val="0"/>
              <w:pageBreakBefore w:val="0"/>
              <w:kinsoku/>
              <w:wordWrap/>
              <w:overflowPunct/>
              <w:topLinePunct w:val="0"/>
              <w:bidi w:val="0"/>
              <w:adjustRightInd w:val="0"/>
              <w:snapToGrid w:val="0"/>
              <w:spacing w:after="0" w:line="360" w:lineRule="auto"/>
              <w:ind w:left="0" w:leftChars="0" w:right="0" w:rightChars="0" w:firstLine="1200" w:firstLineChars="5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T——用于计算等效声级的时间，s；</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N——室外声源个数；</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t</w:t>
            </w:r>
            <w:r>
              <w:rPr>
                <w:rFonts w:hint="default" w:ascii="Times New Roman" w:hAnsi="Times New Roman" w:eastAsia="宋体" w:cs="Times New Roman"/>
                <w:color w:val="auto"/>
                <w:highlight w:val="none"/>
                <w:vertAlign w:val="subscript"/>
              </w:rPr>
              <w:t>i</w:t>
            </w:r>
            <w:r>
              <w:rPr>
                <w:rFonts w:hint="default" w:ascii="Times New Roman" w:hAnsi="Times New Roman" w:eastAsia="宋体" w:cs="Times New Roman"/>
                <w:color w:val="auto"/>
                <w:highlight w:val="none"/>
              </w:rPr>
              <w:t>——在T时间内i声源工作时间，s；</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M——等效室外声源个数；</w:t>
            </w:r>
          </w:p>
          <w:p>
            <w:pPr>
              <w:pStyle w:val="58"/>
              <w:keepNext w:val="0"/>
              <w:keepLines w:val="0"/>
              <w:pageBreakBefore w:val="0"/>
              <w:tabs>
                <w:tab w:val="bar" w:pos="9540"/>
              </w:tabs>
              <w:kinsoku/>
              <w:wordWrap/>
              <w:overflowPunct/>
              <w:topLinePunct w:val="0"/>
              <w:bidi w:val="0"/>
              <w:snapToGrid w:val="0"/>
              <w:spacing w:after="0" w:line="360" w:lineRule="auto"/>
              <w:ind w:right="0" w:rightChars="0" w:firstLine="1200" w:firstLineChars="500"/>
              <w:rPr>
                <w:rFonts w:hint="default" w:ascii="Times New Roman" w:hAnsi="Times New Roman" w:eastAsia="宋体" w:cs="Times New Roman"/>
                <w:color w:val="auto"/>
                <w:kern w:val="0"/>
                <w:sz w:val="24"/>
                <w:highlight w:val="none"/>
                <w:lang w:val="en-US" w:eastAsia="zh-CN" w:bidi="ar"/>
              </w:rPr>
            </w:pPr>
            <w:r>
              <w:rPr>
                <w:rFonts w:hint="default" w:ascii="Times New Roman" w:hAnsi="Times New Roman" w:eastAsia="宋体" w:cs="Times New Roman"/>
                <w:color w:val="auto"/>
                <w:highlight w:val="none"/>
              </w:rPr>
              <w:t>tj——在T时间内j声</w:t>
            </w:r>
            <w:r>
              <w:rPr>
                <w:rFonts w:hint="default" w:ascii="Times New Roman" w:hAnsi="Times New Roman" w:eastAsia="宋体" w:cs="Times New Roman"/>
                <w:color w:val="auto"/>
                <w:sz w:val="24"/>
                <w:highlight w:val="none"/>
              </w:rPr>
              <w:t>源工作时间，s。</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val="0"/>
              <w:snapToGrid w:val="0"/>
              <w:spacing w:line="348" w:lineRule="auto"/>
              <w:ind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bidi="ar"/>
              </w:rPr>
              <w:t>本次环评厂界噪声预测采用环保小智噪声助手预测软件预测，通过预测模型计算，项目厂界噪声预测结果与达标分析见表4-</w:t>
            </w:r>
            <w:r>
              <w:rPr>
                <w:rFonts w:hint="default" w:ascii="Times New Roman" w:hAnsi="Times New Roman" w:eastAsia="宋体" w:cs="Times New Roman"/>
                <w:color w:val="auto"/>
                <w:kern w:val="0"/>
                <w:sz w:val="24"/>
                <w:highlight w:val="none"/>
                <w:lang w:val="en-US" w:eastAsia="zh-CN" w:bidi="ar"/>
              </w:rPr>
              <w:t>23</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default" w:ascii="Times New Roman" w:hAnsi="Times New Roman" w:eastAsia="宋体" w:cs="Times New Roman"/>
                <w:b/>
                <w:bCs/>
                <w:color w:val="auto"/>
                <w:sz w:val="21"/>
                <w:szCs w:val="21"/>
                <w:highlight w:val="none"/>
                <w:lang w:val="en-US" w:eastAsia="zh-CN"/>
              </w:rPr>
              <w:t>23</w:t>
            </w:r>
            <w:r>
              <w:rPr>
                <w:rFonts w:hint="default" w:ascii="Times New Roman" w:hAnsi="Times New Roman" w:eastAsia="宋体" w:cs="Times New Roman"/>
                <w:b/>
                <w:bCs/>
                <w:color w:val="auto"/>
                <w:sz w:val="21"/>
                <w:szCs w:val="21"/>
                <w:highlight w:val="none"/>
              </w:rPr>
              <w:t xml:space="preserve">  厂界噪声预测结果与达标分析表</w:t>
            </w:r>
            <w:bookmarkStart w:id="26" w:name="PT_7"/>
          </w:p>
          <w:tbl>
            <w:tblPr>
              <w:tblStyle w:val="27"/>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1"/>
              <w:gridCol w:w="803"/>
              <w:gridCol w:w="803"/>
              <w:gridCol w:w="1011"/>
              <w:gridCol w:w="785"/>
              <w:gridCol w:w="1417"/>
              <w:gridCol w:w="14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101"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预测方位</w:t>
                  </w:r>
                </w:p>
              </w:tc>
              <w:tc>
                <w:tcPr>
                  <w:tcW w:w="2617" w:type="dxa"/>
                  <w:gridSpan w:val="3"/>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lang w:val="en-US" w:eastAsia="zh-CN"/>
                    </w:rPr>
                    <w:t>最大值点</w:t>
                  </w:r>
                  <w:r>
                    <w:rPr>
                      <w:rFonts w:hint="default" w:ascii="Times New Roman" w:hAnsi="Times New Roman" w:eastAsia="宋体" w:cs="Times New Roman"/>
                      <w:b/>
                      <w:color w:val="auto"/>
                      <w:sz w:val="21"/>
                      <w:szCs w:val="21"/>
                      <w:highlight w:val="none"/>
                    </w:rPr>
                    <w:t>空间相对位置/m</w:t>
                  </w:r>
                </w:p>
              </w:tc>
              <w:tc>
                <w:tcPr>
                  <w:tcW w:w="785"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时段</w:t>
                  </w:r>
                </w:p>
              </w:tc>
              <w:tc>
                <w:tcPr>
                  <w:tcW w:w="1417"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贡献值（dB(A)）</w:t>
                  </w:r>
                </w:p>
              </w:tc>
              <w:tc>
                <w:tcPr>
                  <w:tcW w:w="141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标准限值（dB(A)）</w:t>
                  </w:r>
                </w:p>
              </w:tc>
              <w:tc>
                <w:tcPr>
                  <w:tcW w:w="1188" w:type="dxa"/>
                  <w:vMerge w:val="restart"/>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01"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X</w:t>
                  </w:r>
                </w:p>
              </w:tc>
              <w:tc>
                <w:tcPr>
                  <w:tcW w:w="803"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Y</w:t>
                  </w:r>
                </w:p>
              </w:tc>
              <w:tc>
                <w:tcPr>
                  <w:tcW w:w="101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Z</w:t>
                  </w:r>
                </w:p>
              </w:tc>
              <w:tc>
                <w:tcPr>
                  <w:tcW w:w="785"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7"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41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c>
                <w:tcPr>
                  <w:tcW w:w="1188" w:type="dxa"/>
                  <w:vMerge w:val="continue"/>
                  <w:shd w:val="clear" w:color="auto" w:fill="auto"/>
                  <w:vAlign w:val="center"/>
                </w:tcPr>
                <w:p>
                  <w:pPr>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东侧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38.8</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南侧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92.7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46.0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西侧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-60.1</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 w:hRule="atLeast"/>
                <w:jc w:val="center"/>
              </w:trPr>
              <w:tc>
                <w:tcPr>
                  <w:tcW w:w="1101"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北侧</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-51.7</w:t>
                  </w:r>
                </w:p>
              </w:tc>
              <w:tc>
                <w:tcPr>
                  <w:tcW w:w="803"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-60.1</w:t>
                  </w:r>
                </w:p>
              </w:tc>
              <w:tc>
                <w:tcPr>
                  <w:tcW w:w="1011"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785"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昼间</w:t>
                  </w:r>
                </w:p>
              </w:tc>
              <w:tc>
                <w:tcPr>
                  <w:tcW w:w="1417"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60.0</w:t>
                  </w:r>
                </w:p>
              </w:tc>
              <w:tc>
                <w:tcPr>
                  <w:tcW w:w="1418" w:type="dxa"/>
                  <w:shd w:val="clear" w:color="auto" w:fill="auto"/>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w:t>
                  </w:r>
                </w:p>
              </w:tc>
              <w:tc>
                <w:tcPr>
                  <w:tcW w:w="1188" w:type="dxa"/>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Arial" w:cs="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6" w:type="dxa"/>
                  <w:gridSpan w:val="8"/>
                  <w:shd w:val="clear" w:color="auto" w:fill="auto"/>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 w:val="21"/>
                      <w:szCs w:val="21"/>
                      <w:highlight w:val="none"/>
                    </w:rPr>
                    <w:t>表中坐标以</w:t>
                  </w:r>
                  <w:r>
                    <w:rPr>
                      <w:rFonts w:hint="default" w:ascii="Times New Roman" w:hAnsi="Times New Roman" w:eastAsia="宋体" w:cs="Times New Roman"/>
                      <w:bCs/>
                      <w:color w:val="auto"/>
                      <w:sz w:val="21"/>
                      <w:szCs w:val="21"/>
                      <w:highlight w:val="none"/>
                      <w:lang w:val="en-US" w:eastAsia="zh-CN"/>
                    </w:rPr>
                    <w:t>厂界中心（</w:t>
                  </w:r>
                  <w:r>
                    <w:rPr>
                      <w:rFonts w:hint="default" w:ascii="Times New Roman" w:hAnsi="Times New Roman" w:eastAsia="宋体" w:cs="Times New Roman"/>
                      <w:color w:val="auto"/>
                      <w:sz w:val="21"/>
                      <w:szCs w:val="21"/>
                      <w:highlight w:val="none"/>
                      <w:lang w:val="en-US" w:eastAsia="zh-CN"/>
                    </w:rPr>
                    <w:t>103度</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2.773</w:t>
                  </w:r>
                  <w:r>
                    <w:rPr>
                      <w:rFonts w:hint="default" w:ascii="Times New Roman" w:hAnsi="Times New Roman" w:eastAsia="宋体" w:cs="Times New Roman"/>
                      <w:color w:val="auto"/>
                      <w:sz w:val="21"/>
                      <w:szCs w:val="21"/>
                      <w:highlight w:val="none"/>
                      <w:lang w:val="en-US" w:eastAsia="zh-CN"/>
                    </w:rPr>
                    <w:t>秒，25度</w:t>
                  </w:r>
                  <w:r>
                    <w:rPr>
                      <w:rFonts w:hint="eastAsia" w:ascii="Times New Roman" w:hAnsi="Times New Roman" w:eastAsia="宋体" w:cs="Times New Roman"/>
                      <w:color w:val="auto"/>
                      <w:sz w:val="21"/>
                      <w:szCs w:val="21"/>
                      <w:highlight w:val="none"/>
                      <w:lang w:val="en-US" w:eastAsia="zh-CN"/>
                    </w:rPr>
                    <w:t>27</w:t>
                  </w:r>
                  <w:r>
                    <w:rPr>
                      <w:rFonts w:hint="default" w:ascii="Times New Roman" w:hAnsi="Times New Roman" w:eastAsia="宋体" w:cs="Times New Roman"/>
                      <w:color w:val="auto"/>
                      <w:sz w:val="21"/>
                      <w:szCs w:val="21"/>
                      <w:highlight w:val="none"/>
                      <w:lang w:val="en-US" w:eastAsia="zh-CN"/>
                    </w:rPr>
                    <w:t>分</w:t>
                  </w:r>
                  <w:r>
                    <w:rPr>
                      <w:rFonts w:hint="eastAsia" w:ascii="Times New Roman" w:hAnsi="Times New Roman" w:eastAsia="宋体" w:cs="Times New Roman"/>
                      <w:color w:val="auto"/>
                      <w:sz w:val="21"/>
                      <w:szCs w:val="21"/>
                      <w:highlight w:val="none"/>
                      <w:lang w:val="en-US" w:eastAsia="zh-CN"/>
                    </w:rPr>
                    <w:t>58.</w:t>
                  </w:r>
                  <w:r>
                    <w:rPr>
                      <w:rFonts w:hint="eastAsia" w:cs="Times New Roman"/>
                      <w:color w:val="auto"/>
                      <w:sz w:val="21"/>
                      <w:szCs w:val="21"/>
                      <w:highlight w:val="none"/>
                      <w:lang w:val="en-US" w:eastAsia="zh-CN"/>
                    </w:rPr>
                    <w:t>255</w:t>
                  </w:r>
                  <w:r>
                    <w:rPr>
                      <w:rFonts w:hint="default" w:ascii="Times New Roman" w:hAnsi="Times New Roman" w:eastAsia="宋体" w:cs="Times New Roman"/>
                      <w:color w:val="auto"/>
                      <w:sz w:val="21"/>
                      <w:szCs w:val="21"/>
                      <w:highlight w:val="none"/>
                      <w:lang w:val="en-US" w:eastAsia="zh-CN"/>
                    </w:rPr>
                    <w:t>秒</w:t>
                  </w:r>
                  <w:r>
                    <w:rPr>
                      <w:rFonts w:hint="default" w:ascii="Times New Roman" w:hAnsi="Times New Roman" w:eastAsia="宋体" w:cs="Times New Roman"/>
                      <w:bCs/>
                      <w:color w:val="auto"/>
                      <w:sz w:val="21"/>
                      <w:szCs w:val="21"/>
                      <w:highlight w:val="none"/>
                      <w:lang w:val="en-US" w:eastAsia="zh-CN"/>
                    </w:rPr>
                    <w:t>）为坐标原点</w:t>
                  </w:r>
                  <w:r>
                    <w:rPr>
                      <w:rFonts w:hint="default" w:ascii="Times New Roman" w:hAnsi="Times New Roman" w:eastAsia="宋体" w:cs="Times New Roman"/>
                      <w:bCs/>
                      <w:color w:val="auto"/>
                      <w:sz w:val="21"/>
                      <w:szCs w:val="21"/>
                      <w:highlight w:val="none"/>
                    </w:rPr>
                    <w:t>，正东向为X轴正方向，正北向为Y轴正方向。</w:t>
                  </w:r>
                </w:p>
              </w:tc>
            </w:tr>
            <w:bookmarkEnd w:id="26"/>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eastAsia"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9"/>
              <w:adjustRightInd w:val="0"/>
              <w:snapToGrid w:val="0"/>
              <w:spacing w:line="360" w:lineRule="auto"/>
              <w:ind w:firstLine="482" w:firstLineChars="200"/>
              <w:rPr>
                <w:rFonts w:hint="default" w:ascii="Times New Roman" w:hAnsi="Times New Roman" w:eastAsia="宋体" w:cs="Times New Roman"/>
                <w:b/>
                <w:color w:val="auto"/>
                <w:sz w:val="24"/>
                <w:szCs w:val="28"/>
                <w:highlight w:val="none"/>
                <w:lang w:val="en-US"/>
              </w:rPr>
            </w:pPr>
            <w:r>
              <w:rPr>
                <w:rFonts w:hint="default" w:ascii="Times New Roman" w:hAnsi="Times New Roman" w:eastAsia="宋体" w:cs="Times New Roman"/>
                <w:b/>
                <w:bCs/>
                <w:color w:val="auto"/>
                <w:sz w:val="24"/>
                <w:szCs w:val="24"/>
                <w:highlight w:val="none"/>
                <w:lang w:val="en-US" w:eastAsia="zh-CN"/>
              </w:rPr>
              <w:t>3、控制措施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③高噪声设备安装减震垫进行基础减振，风管设软连接，对设备进行有效地减震、隔声处理。</w:t>
            </w:r>
          </w:p>
          <w:p>
            <w:pPr>
              <w:adjustRightInd w:val="0"/>
              <w:snapToGrid w:val="0"/>
              <w:spacing w:line="360" w:lineRule="auto"/>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④对操作员工影响加强个人防护意识，工作人员应佩戴防噪用品，如防声耳塞或耳罩等。</w:t>
            </w:r>
          </w:p>
          <w:p>
            <w:pPr>
              <w:adjustRightInd w:val="0"/>
              <w:snapToGrid w:val="0"/>
              <w:spacing w:line="360" w:lineRule="auto"/>
              <w:ind w:firstLine="480" w:firstLineChars="200"/>
              <w:textAlignment w:val="baseline"/>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kern w:val="0"/>
                <w:sz w:val="24"/>
                <w:highlight w:val="none"/>
                <w:lang w:val="en-US" w:eastAsia="zh-CN"/>
              </w:rPr>
              <w:t>⑤加强管理培训，确保工人文明操作，装卸货物时轻拿轻放，避免因野蛮操作产生的突发性</w:t>
            </w:r>
            <w:r>
              <w:rPr>
                <w:rFonts w:hint="default" w:ascii="Times New Roman" w:hAnsi="Times New Roman" w:eastAsia="宋体" w:cs="Times New Roman"/>
                <w:color w:val="auto"/>
                <w:sz w:val="24"/>
                <w:highlight w:val="none"/>
              </w:rPr>
              <w:t>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56"/>
              <w:adjustRightInd w:val="0"/>
              <w:snapToGrid w:val="0"/>
              <w:spacing w:line="360" w:lineRule="auto"/>
              <w:ind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4</w:t>
            </w:r>
            <w:r>
              <w:rPr>
                <w:rFonts w:hint="default" w:ascii="Times New Roman" w:hAnsi="Times New Roman" w:eastAsia="宋体" w:cs="Times New Roman"/>
                <w:b/>
                <w:bCs/>
                <w:color w:val="auto"/>
                <w:sz w:val="24"/>
                <w:highlight w:val="none"/>
              </w:rPr>
              <w:t>、监测要求</w:t>
            </w:r>
          </w:p>
          <w:p>
            <w:pPr>
              <w:pStyle w:val="56"/>
              <w:adjustRightInd w:val="0"/>
              <w:snapToGrid w:val="0"/>
              <w:spacing w:line="360" w:lineRule="auto"/>
              <w:ind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lang w:bidi="ar"/>
              </w:rPr>
              <w:t>《排污单位自行监测技术指南</w:t>
            </w:r>
            <w:r>
              <w:rPr>
                <w:rFonts w:hint="default" w:ascii="Times New Roman" w:hAnsi="Times New Roman" w:eastAsia="宋体" w:cs="Times New Roman"/>
                <w:color w:val="auto"/>
                <w:sz w:val="24"/>
                <w:szCs w:val="24"/>
                <w:lang w:val="en-US" w:eastAsia="zh-CN" w:bidi="ar"/>
              </w:rPr>
              <w:t xml:space="preserve"> 橡胶和塑料制品</w:t>
            </w:r>
            <w:r>
              <w:rPr>
                <w:rFonts w:hint="default" w:ascii="Times New Roman" w:hAnsi="Times New Roman" w:eastAsia="宋体" w:cs="Times New Roman"/>
                <w:color w:val="auto"/>
                <w:sz w:val="24"/>
                <w:szCs w:val="24"/>
                <w:lang w:bidi="ar"/>
              </w:rPr>
              <w:t>》（HJ</w:t>
            </w:r>
            <w:r>
              <w:rPr>
                <w:rFonts w:hint="default" w:ascii="Times New Roman" w:hAnsi="Times New Roman" w:eastAsia="宋体" w:cs="Times New Roman"/>
                <w:color w:val="auto"/>
                <w:sz w:val="24"/>
                <w:szCs w:val="24"/>
                <w:lang w:val="en-US" w:eastAsia="zh-CN" w:bidi="ar"/>
              </w:rPr>
              <w:t>1207-2021</w:t>
            </w:r>
            <w:r>
              <w:rPr>
                <w:rFonts w:hint="default" w:ascii="Times New Roman" w:hAnsi="Times New Roman" w:eastAsia="宋体" w:cs="Times New Roman"/>
                <w:color w:val="auto"/>
                <w:sz w:val="24"/>
                <w:szCs w:val="24"/>
                <w:lang w:bidi="ar"/>
              </w:rPr>
              <w:t>）</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szCs w:val="24"/>
                <w:highlight w:val="none"/>
              </w:rPr>
              <w:t>监测要求详见下表</w:t>
            </w:r>
            <w:r>
              <w:rPr>
                <w:rFonts w:hint="default" w:ascii="Times New Roman" w:hAnsi="Times New Roman" w:eastAsia="宋体" w:cs="Times New Roman"/>
                <w:color w:val="auto"/>
                <w:sz w:val="24"/>
                <w:highlight w:val="none"/>
              </w:rPr>
              <w:t>。</w:t>
            </w:r>
          </w:p>
          <w:p>
            <w:pPr>
              <w:pStyle w:val="56"/>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default" w:ascii="Times New Roman" w:hAnsi="Times New Roman" w:eastAsia="宋体" w:cs="Times New Roman"/>
                <w:b/>
                <w:bCs/>
                <w:color w:val="auto"/>
                <w:szCs w:val="21"/>
                <w:highlight w:val="none"/>
                <w:lang w:val="en-US" w:eastAsia="zh-CN"/>
              </w:rPr>
              <w:t>24</w:t>
            </w:r>
            <w:r>
              <w:rPr>
                <w:rFonts w:hint="default" w:ascii="Times New Roman" w:hAnsi="Times New Roman" w:eastAsia="宋体" w:cs="Times New Roman"/>
                <w:b/>
                <w:bCs/>
                <w:color w:val="auto"/>
                <w:szCs w:val="21"/>
                <w:highlight w:val="none"/>
              </w:rPr>
              <w:t xml:space="preserve">  噪声监测计划一览表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2798"/>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798" w:type="dxa"/>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2799" w:type="dxa"/>
                  <w:vAlign w:val="center"/>
                </w:tcPr>
                <w:p>
                  <w:pPr>
                    <w:pStyle w:val="56"/>
                    <w:adjustRightInd w:val="0"/>
                    <w:snapToGrid w:val="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Align w:val="center"/>
                </w:tcPr>
                <w:p>
                  <w:pPr>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w:t>
                  </w:r>
                </w:p>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北界外1m 处布点监测</w:t>
                  </w:r>
                </w:p>
              </w:tc>
              <w:tc>
                <w:tcPr>
                  <w:tcW w:w="2798" w:type="dxa"/>
                  <w:vAlign w:val="center"/>
                </w:tcPr>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等效声级Leq(dB (A))</w:t>
                  </w:r>
                </w:p>
              </w:tc>
              <w:tc>
                <w:tcPr>
                  <w:tcW w:w="2799" w:type="dxa"/>
                  <w:vAlign w:val="center"/>
                </w:tcPr>
                <w:p>
                  <w:pPr>
                    <w:pStyle w:val="56"/>
                    <w:adjustRightInd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、固体废弃物</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项目运营期产生的固体废物主要为一般工业固废、生活固废和</w:t>
            </w:r>
            <w:r>
              <w:rPr>
                <w:rFonts w:hint="default" w:ascii="Times New Roman" w:hAnsi="Times New Roman" w:eastAsia="宋体" w:cs="Times New Roman"/>
                <w:color w:val="auto"/>
                <w:sz w:val="24"/>
                <w:szCs w:val="24"/>
                <w:highlight w:val="none"/>
                <w:lang w:eastAsia="zh-CN"/>
              </w:rPr>
              <w:t>危险废物</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1、一般工业固体废物</w:t>
            </w:r>
          </w:p>
          <w:p>
            <w:pPr>
              <w:keepNext w:val="0"/>
              <w:keepLines w:val="0"/>
              <w:pageBreakBefore w:val="0"/>
              <w:widowControl w:val="0"/>
              <w:kinsoku/>
              <w:wordWrap/>
              <w:overflowPunct/>
              <w:topLinePunct w:val="0"/>
              <w:autoSpaceDE/>
              <w:autoSpaceDN/>
              <w:bidi w:val="0"/>
              <w:adjustRightInd/>
              <w:spacing w:line="360" w:lineRule="auto"/>
              <w:ind w:leftChars="0" w:firstLine="480" w:firstLineChars="200"/>
              <w:textAlignment w:val="auto"/>
              <w:outlineLvl w:val="9"/>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废包装材料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lang w:val="en-US" w:eastAsia="zh-CN" w:bidi="ar"/>
              </w:rPr>
              <w:t>原料总用量为</w:t>
            </w:r>
            <w:r>
              <w:rPr>
                <w:rFonts w:hint="eastAsia" w:cs="Times New Roman"/>
                <w:i w:val="0"/>
                <w:color w:val="auto"/>
                <w:kern w:val="0"/>
                <w:sz w:val="24"/>
                <w:szCs w:val="24"/>
                <w:highlight w:val="none"/>
                <w:u w:val="none"/>
                <w:lang w:val="en-US" w:eastAsia="zh-CN" w:bidi="ar"/>
              </w:rPr>
              <w:t>8044.28818</w:t>
            </w:r>
            <w:r>
              <w:rPr>
                <w:rFonts w:hint="default" w:ascii="Times New Roman" w:hAnsi="Times New Roman" w:eastAsia="宋体" w:cs="Times New Roman"/>
                <w:b w:val="0"/>
                <w:bCs w:val="0"/>
                <w:color w:val="auto"/>
                <w:kern w:val="2"/>
                <w:sz w:val="24"/>
                <w:szCs w:val="24"/>
                <w:highlight w:val="none"/>
                <w:lang w:val="en-US" w:eastAsia="zh-CN" w:bidi="ar"/>
              </w:rPr>
              <w:t>t/a，规格为25kg/袋，则原料废包装袋约</w:t>
            </w:r>
            <w:r>
              <w:rPr>
                <w:rFonts w:hint="eastAsia" w:cs="Times New Roman"/>
                <w:b w:val="0"/>
                <w:bCs w:val="0"/>
                <w:color w:val="auto"/>
                <w:kern w:val="2"/>
                <w:sz w:val="24"/>
                <w:szCs w:val="24"/>
                <w:highlight w:val="none"/>
                <w:lang w:val="en-US" w:eastAsia="zh-CN" w:bidi="ar"/>
              </w:rPr>
              <w:t>321771.527</w:t>
            </w:r>
            <w:r>
              <w:rPr>
                <w:rFonts w:hint="default" w:ascii="Times New Roman" w:hAnsi="Times New Roman" w:eastAsia="宋体" w:cs="Times New Roman"/>
                <w:b w:val="0"/>
                <w:bCs w:val="0"/>
                <w:color w:val="auto"/>
                <w:kern w:val="2"/>
                <w:sz w:val="24"/>
                <w:szCs w:val="24"/>
                <w:highlight w:val="none"/>
                <w:lang w:val="en-US" w:eastAsia="zh-CN" w:bidi="ar"/>
              </w:rPr>
              <w:t>个，其重量约150g/个，则废包装材料产生量为</w:t>
            </w:r>
            <w:r>
              <w:rPr>
                <w:rFonts w:hint="eastAsia" w:cs="Times New Roman"/>
                <w:b w:val="0"/>
                <w:bCs w:val="0"/>
                <w:color w:val="auto"/>
                <w:sz w:val="24"/>
                <w:szCs w:val="24"/>
                <w:highlight w:val="none"/>
                <w:lang w:val="en-US" w:eastAsia="zh-CN"/>
              </w:rPr>
              <w:t>48.2657</w:t>
            </w:r>
            <w:r>
              <w:rPr>
                <w:rFonts w:hint="default" w:ascii="Times New Roman" w:hAnsi="Times New Roman" w:eastAsia="宋体" w:cs="Times New Roman"/>
                <w:b w:val="0"/>
                <w:bCs w:val="0"/>
                <w:color w:val="auto"/>
                <w:kern w:val="2"/>
                <w:sz w:val="24"/>
                <w:szCs w:val="24"/>
                <w:highlight w:val="none"/>
                <w:lang w:val="en-US" w:eastAsia="zh-CN" w:bidi="ar"/>
              </w:rPr>
              <w:t>t/a。</w:t>
            </w:r>
            <w:r>
              <w:rPr>
                <w:rFonts w:hint="default" w:ascii="Times New Roman" w:hAnsi="Times New Roman" w:eastAsia="宋体" w:cs="Times New Roman"/>
                <w:b w:val="0"/>
                <w:bCs w:val="0"/>
                <w:color w:val="auto"/>
                <w:kern w:val="2"/>
                <w:sz w:val="24"/>
                <w:szCs w:val="24"/>
                <w:lang w:val="en-US" w:eastAsia="zh-CN" w:bidi="ar"/>
              </w:rPr>
              <w:t>统一收集后暂存于一般固体废物暂存处，定期外</w:t>
            </w:r>
            <w:r>
              <w:rPr>
                <w:rFonts w:hint="default" w:ascii="Times New Roman" w:hAnsi="Times New Roman" w:eastAsia="宋体" w:cs="Times New Roman"/>
                <w:b w:val="0"/>
                <w:bCs w:val="0"/>
                <w:color w:val="auto"/>
                <w:sz w:val="24"/>
                <w:szCs w:val="24"/>
                <w:highlight w:val="none"/>
                <w:lang w:val="en-US" w:eastAsia="zh-CN"/>
              </w:rPr>
              <w:t>售给废品收购站。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（2）预发泡过程不合格颗粒</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生产过程</w:t>
            </w:r>
            <w:r>
              <w:rPr>
                <w:rFonts w:hint="default" w:ascii="Times New Roman" w:hAnsi="Times New Roman" w:eastAsia="宋体" w:cs="Times New Roman"/>
                <w:b w:val="0"/>
                <w:bCs w:val="0"/>
                <w:color w:val="auto"/>
                <w:sz w:val="24"/>
                <w:szCs w:val="24"/>
                <w:highlight w:val="none"/>
                <w:lang w:eastAsia="zh-CN"/>
              </w:rPr>
              <w:t>可发性</w:t>
            </w:r>
            <w:r>
              <w:rPr>
                <w:rFonts w:hint="default" w:ascii="Times New Roman" w:hAnsi="Times New Roman" w:eastAsia="宋体" w:cs="Times New Roman"/>
                <w:b w:val="0"/>
                <w:bCs w:val="0"/>
                <w:color w:val="auto"/>
                <w:sz w:val="24"/>
                <w:szCs w:val="24"/>
                <w:lang w:eastAsia="zh-CN"/>
              </w:rPr>
              <w:t>聚苯乙烯塑料颗粒需先进行预发泡处理，预发泡过程会有极少量的不合格颗粒</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泡沫箱生产过程一般固废</w:t>
            </w:r>
            <w:r>
              <w:rPr>
                <w:rFonts w:hint="default" w:ascii="Times New Roman" w:hAnsi="Times New Roman" w:eastAsia="宋体" w:cs="Times New Roman"/>
                <w:b w:val="0"/>
                <w:bCs w:val="0"/>
                <w:color w:val="auto"/>
                <w:sz w:val="24"/>
                <w:szCs w:val="24"/>
                <w:highlight w:val="none"/>
              </w:rPr>
              <w:t>参照</w:t>
            </w:r>
            <w:r>
              <w:rPr>
                <w:rFonts w:hint="default" w:ascii="Times New Roman" w:hAnsi="Times New Roman" w:eastAsia="宋体" w:cs="Times New Roman"/>
                <w:b w:val="0"/>
                <w:bCs w:val="0"/>
                <w:color w:val="auto"/>
                <w:sz w:val="24"/>
                <w:szCs w:val="24"/>
                <w:highlight w:val="none"/>
                <w:lang w:val="en-US" w:eastAsia="zh-CN"/>
              </w:rPr>
              <w:t>中华人民共和国生态环境部2021年6月11日发布的</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排放源统计调查产排污核算方法和系数手册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的公告（公告2021年第24号）</w:t>
            </w:r>
            <w:r>
              <w:rPr>
                <w:rFonts w:hint="default" w:ascii="Times New Roman" w:hAnsi="Times New Roman" w:eastAsia="宋体" w:cs="Times New Roman"/>
                <w:b w:val="0"/>
                <w:bCs w:val="0"/>
                <w:color w:val="auto"/>
                <w:sz w:val="24"/>
                <w:szCs w:val="24"/>
                <w:highlight w:val="none"/>
              </w:rPr>
              <w:t>中《</w:t>
            </w:r>
            <w:r>
              <w:rPr>
                <w:rFonts w:hint="default" w:ascii="Times New Roman" w:hAnsi="Times New Roman" w:eastAsia="宋体" w:cs="Times New Roman"/>
                <w:b w:val="0"/>
                <w:bCs w:val="0"/>
                <w:color w:val="auto"/>
                <w:sz w:val="24"/>
                <w:szCs w:val="24"/>
                <w:highlight w:val="none"/>
                <w:lang w:val="en-US" w:eastAsia="zh-CN"/>
              </w:rPr>
              <w:t>292塑料制品行业系数手册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2924泡沫塑料制造行业系数表中</w:t>
            </w:r>
            <w:r>
              <w:rPr>
                <w:rFonts w:hint="default" w:ascii="Times New Roman" w:hAnsi="Times New Roman" w:eastAsia="宋体" w:cs="Times New Roman"/>
                <w:b w:val="0"/>
                <w:bCs w:val="0"/>
                <w:color w:val="auto"/>
                <w:sz w:val="24"/>
                <w:szCs w:val="24"/>
                <w:highlight w:val="none"/>
              </w:rPr>
              <w:t>的产排污系数进行计算</w:t>
            </w:r>
            <w:r>
              <w:rPr>
                <w:rFonts w:hint="default" w:ascii="Times New Roman" w:hAnsi="Times New Roman" w:eastAsia="宋体" w:cs="Times New Roman"/>
                <w:b w:val="0"/>
                <w:bCs w:val="0"/>
                <w:color w:val="auto"/>
                <w:spacing w:val="6"/>
                <w:sz w:val="24"/>
                <w:highlight w:val="none"/>
              </w:rPr>
              <w:t>，</w:t>
            </w:r>
            <w:r>
              <w:rPr>
                <w:rFonts w:hint="default" w:ascii="Times New Roman" w:hAnsi="Times New Roman" w:eastAsia="宋体" w:cs="Times New Roman"/>
                <w:b w:val="0"/>
                <w:bCs w:val="0"/>
                <w:color w:val="auto"/>
                <w:spacing w:val="6"/>
                <w:sz w:val="24"/>
                <w:highlight w:val="none"/>
                <w:lang w:val="en-US" w:eastAsia="zh-CN"/>
              </w:rPr>
              <w:t>一般固废产生量为4千克/吨-产品。本项目泡沫箱产品总量为</w:t>
            </w:r>
            <w:r>
              <w:rPr>
                <w:rFonts w:hint="eastAsia" w:cs="Times New Roman"/>
                <w:b w:val="0"/>
                <w:bCs w:val="0"/>
                <w:color w:val="auto"/>
                <w:spacing w:val="6"/>
                <w:sz w:val="24"/>
                <w:highlight w:val="none"/>
                <w:lang w:val="en-US" w:eastAsia="zh-CN"/>
              </w:rPr>
              <w:t>8</w:t>
            </w:r>
            <w:r>
              <w:rPr>
                <w:rFonts w:hint="default" w:ascii="Times New Roman" w:hAnsi="Times New Roman" w:eastAsia="宋体" w:cs="Times New Roman"/>
                <w:b w:val="0"/>
                <w:bCs w:val="0"/>
                <w:color w:val="auto"/>
                <w:spacing w:val="6"/>
                <w:sz w:val="24"/>
                <w:highlight w:val="none"/>
                <w:lang w:val="en-US" w:eastAsia="zh-CN"/>
              </w:rPr>
              <w:t>00</w:t>
            </w:r>
            <w:r>
              <w:rPr>
                <w:rFonts w:hint="eastAsia" w:cs="Times New Roman"/>
                <w:b w:val="0"/>
                <w:bCs w:val="0"/>
                <w:color w:val="auto"/>
                <w:spacing w:val="6"/>
                <w:sz w:val="24"/>
                <w:highlight w:val="none"/>
                <w:lang w:val="en-US" w:eastAsia="zh-CN"/>
              </w:rPr>
              <w:t>0</w:t>
            </w:r>
            <w:r>
              <w:rPr>
                <w:rFonts w:hint="default" w:ascii="Times New Roman" w:hAnsi="Times New Roman" w:eastAsia="宋体" w:cs="Times New Roman"/>
                <w:b w:val="0"/>
                <w:bCs w:val="0"/>
                <w:color w:val="auto"/>
                <w:spacing w:val="6"/>
                <w:sz w:val="24"/>
                <w:highlight w:val="none"/>
                <w:lang w:val="en-US" w:eastAsia="zh-CN"/>
              </w:rPr>
              <w:t>t，则生产过程一般固废产生总量为</w:t>
            </w:r>
            <w:r>
              <w:rPr>
                <w:rFonts w:hint="eastAsia" w:cs="Times New Roman"/>
                <w:b w:val="0"/>
                <w:bCs w:val="0"/>
                <w:color w:val="auto"/>
                <w:spacing w:val="6"/>
                <w:sz w:val="24"/>
                <w:highlight w:val="none"/>
                <w:lang w:val="en-US" w:eastAsia="zh-CN"/>
              </w:rPr>
              <w:t>32</w:t>
            </w:r>
            <w:r>
              <w:rPr>
                <w:rFonts w:hint="default" w:ascii="Times New Roman" w:hAnsi="Times New Roman" w:eastAsia="宋体" w:cs="Times New Roman"/>
                <w:b w:val="0"/>
                <w:bCs w:val="0"/>
                <w:color w:val="auto"/>
                <w:spacing w:val="6"/>
                <w:sz w:val="24"/>
                <w:highlight w:val="none"/>
                <w:lang w:val="en-US" w:eastAsia="zh-CN"/>
              </w:rPr>
              <w:t>t/a。根据同类型生产厂家经验可知，</w:t>
            </w:r>
            <w:r>
              <w:rPr>
                <w:rFonts w:hint="default" w:ascii="Times New Roman" w:hAnsi="Times New Roman" w:eastAsia="宋体" w:cs="Times New Roman"/>
                <w:b w:val="0"/>
                <w:bCs w:val="0"/>
                <w:color w:val="auto"/>
                <w:spacing w:val="6"/>
                <w:sz w:val="24"/>
                <w:szCs w:val="24"/>
                <w:highlight w:val="none"/>
                <w:lang w:val="en-US" w:eastAsia="zh-CN"/>
              </w:rPr>
              <w:t>预发泡过程不合格颗粒、</w:t>
            </w:r>
            <w:r>
              <w:rPr>
                <w:rFonts w:hint="default" w:ascii="Times New Roman" w:hAnsi="Times New Roman" w:eastAsia="宋体" w:cs="Times New Roman"/>
                <w:b w:val="0"/>
                <w:bCs w:val="0"/>
                <w:color w:val="auto"/>
                <w:spacing w:val="6"/>
                <w:kern w:val="2"/>
                <w:sz w:val="24"/>
                <w:szCs w:val="24"/>
                <w:highlight w:val="none"/>
                <w:lang w:val="en-US" w:eastAsia="zh-CN"/>
              </w:rPr>
              <w:t>未成型产品、</w:t>
            </w:r>
            <w:r>
              <w:rPr>
                <w:rFonts w:hint="default" w:ascii="Times New Roman" w:hAnsi="Times New Roman" w:eastAsia="宋体" w:cs="Times New Roman"/>
                <w:b w:val="0"/>
                <w:bCs w:val="0"/>
                <w:color w:val="auto"/>
                <w:spacing w:val="6"/>
                <w:sz w:val="24"/>
                <w:szCs w:val="24"/>
                <w:highlight w:val="none"/>
                <w:lang w:eastAsia="zh-CN"/>
              </w:rPr>
              <w:t>边角料、不合格产品</w:t>
            </w:r>
            <w:r>
              <w:rPr>
                <w:rFonts w:hint="default" w:ascii="Times New Roman" w:hAnsi="Times New Roman" w:eastAsia="宋体" w:cs="Times New Roman"/>
                <w:b w:val="0"/>
                <w:bCs w:val="0"/>
                <w:color w:val="auto"/>
                <w:spacing w:val="6"/>
                <w:sz w:val="24"/>
                <w:szCs w:val="24"/>
                <w:highlight w:val="none"/>
                <w:lang w:val="en-US" w:eastAsia="zh-CN"/>
              </w:rPr>
              <w:t>占比相同，因此各为</w:t>
            </w:r>
            <w:r>
              <w:rPr>
                <w:rFonts w:hint="eastAsia" w:cs="Times New Roman"/>
                <w:b w:val="0"/>
                <w:bCs w:val="0"/>
                <w:color w:val="auto"/>
                <w:spacing w:val="6"/>
                <w:sz w:val="24"/>
                <w:szCs w:val="24"/>
                <w:highlight w:val="none"/>
                <w:lang w:val="en-US" w:eastAsia="zh-CN"/>
              </w:rPr>
              <w:t>8.0</w:t>
            </w:r>
            <w:r>
              <w:rPr>
                <w:rFonts w:hint="default" w:ascii="Times New Roman" w:hAnsi="Times New Roman" w:eastAsia="宋体" w:cs="Times New Roman"/>
                <w:b w:val="0"/>
                <w:bCs w:val="0"/>
                <w:color w:val="auto"/>
                <w:spacing w:val="6"/>
                <w:sz w:val="24"/>
                <w:szCs w:val="24"/>
                <w:highlight w:val="none"/>
                <w:lang w:val="en-US" w:eastAsia="zh-CN"/>
              </w:rPr>
              <w:t>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一般固体废物暂存区定期外售给废品收购站</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未成型产品</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生产</w:t>
            </w:r>
            <w:r>
              <w:rPr>
                <w:rFonts w:hint="default" w:ascii="Times New Roman" w:hAnsi="Times New Roman" w:eastAsia="宋体" w:cs="Times New Roman"/>
                <w:b w:val="0"/>
                <w:bCs w:val="0"/>
                <w:color w:val="auto"/>
                <w:sz w:val="24"/>
                <w:szCs w:val="24"/>
                <w:lang w:eastAsia="zh-CN"/>
              </w:rPr>
              <w:t>成型</w:t>
            </w:r>
            <w:r>
              <w:rPr>
                <w:rFonts w:hint="default" w:ascii="Times New Roman" w:hAnsi="Times New Roman" w:eastAsia="宋体" w:cs="Times New Roman"/>
                <w:b w:val="0"/>
                <w:bCs w:val="0"/>
                <w:color w:val="auto"/>
                <w:sz w:val="24"/>
                <w:szCs w:val="24"/>
              </w:rPr>
              <w:t>过程会产生少量的</w:t>
            </w:r>
            <w:r>
              <w:rPr>
                <w:rFonts w:hint="default" w:ascii="Times New Roman" w:hAnsi="Times New Roman" w:eastAsia="宋体" w:cs="Times New Roman"/>
                <w:b w:val="0"/>
                <w:bCs w:val="0"/>
                <w:color w:val="auto"/>
                <w:sz w:val="24"/>
                <w:szCs w:val="24"/>
                <w:lang w:eastAsia="zh-CN"/>
              </w:rPr>
              <w:t>未成型产品</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未成型产品</w:t>
            </w:r>
            <w:r>
              <w:rPr>
                <w:rFonts w:hint="default" w:ascii="Times New Roman" w:hAnsi="Times New Roman" w:eastAsia="宋体" w:cs="Times New Roman"/>
                <w:b w:val="0"/>
                <w:bCs w:val="0"/>
                <w:color w:val="auto"/>
                <w:sz w:val="24"/>
                <w:szCs w:val="24"/>
              </w:rPr>
              <w:t>产生量</w:t>
            </w:r>
            <w:r>
              <w:rPr>
                <w:rFonts w:hint="default" w:ascii="Times New Roman" w:hAnsi="Times New Roman" w:eastAsia="宋体" w:cs="Times New Roman"/>
                <w:b w:val="0"/>
                <w:bCs w:val="0"/>
                <w:color w:val="auto"/>
                <w:sz w:val="24"/>
                <w:szCs w:val="24"/>
                <w:highlight w:val="none"/>
              </w:rPr>
              <w:t>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一般固体废物暂存区定期外售给废品收购站</w:t>
            </w:r>
            <w:r>
              <w:rPr>
                <w:rFonts w:hint="default" w:ascii="Times New Roman" w:hAnsi="Times New Roman" w:eastAsia="宋体"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w:t>
            </w:r>
            <w:r>
              <w:rPr>
                <w:rFonts w:hint="default" w:ascii="Times New Roman" w:hAnsi="Times New Roman" w:eastAsia="宋体" w:cs="Times New Roman"/>
                <w:b w:val="0"/>
                <w:bCs w:val="0"/>
                <w:color w:val="auto"/>
                <w:sz w:val="24"/>
                <w:szCs w:val="24"/>
                <w:lang w:val="en-US" w:eastAsia="zh-CN"/>
              </w:rPr>
              <w:t>边角料</w:t>
            </w:r>
          </w:p>
          <w:p>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eastAsia="zh-CN"/>
              </w:rPr>
              <w:t>项目</w:t>
            </w:r>
            <w:r>
              <w:rPr>
                <w:rFonts w:hint="default" w:ascii="Times New Roman" w:hAnsi="Times New Roman" w:eastAsia="宋体" w:cs="Times New Roman"/>
                <w:b w:val="0"/>
                <w:bCs w:val="0"/>
                <w:color w:val="auto"/>
                <w:sz w:val="24"/>
                <w:szCs w:val="24"/>
              </w:rPr>
              <w:t>生产过程中成品脱模过程会产生少</w:t>
            </w:r>
            <w:r>
              <w:rPr>
                <w:rFonts w:hint="default" w:ascii="Times New Roman" w:hAnsi="Times New Roman" w:eastAsia="宋体" w:cs="Times New Roman"/>
                <w:b w:val="0"/>
                <w:bCs w:val="0"/>
                <w:color w:val="auto"/>
                <w:sz w:val="24"/>
                <w:szCs w:val="24"/>
                <w:highlight w:val="none"/>
              </w:rPr>
              <w:t>量的</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eastAsia="zh-CN"/>
              </w:rPr>
              <w:t>边角料</w:t>
            </w:r>
            <w:r>
              <w:rPr>
                <w:rFonts w:hint="default" w:ascii="Times New Roman" w:hAnsi="Times New Roman" w:eastAsia="宋体" w:cs="Times New Roman"/>
                <w:b w:val="0"/>
                <w:bCs w:val="0"/>
                <w:color w:val="auto"/>
                <w:sz w:val="24"/>
                <w:szCs w:val="24"/>
                <w:highlight w:val="none"/>
              </w:rPr>
              <w:t>的产生量为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一般固体废物暂存区定期外售给废品收购站</w:t>
            </w:r>
            <w:r>
              <w:rPr>
                <w:rFonts w:hint="default" w:ascii="Times New Roman" w:hAnsi="Times New Roman" w:eastAsia="宋体" w:cs="Times New Roman"/>
                <w:b w:val="0"/>
                <w:bCs w:val="0"/>
                <w:color w:val="auto"/>
                <w:sz w:val="24"/>
                <w:szCs w:val="24"/>
              </w:rPr>
              <w:t>。</w:t>
            </w:r>
          </w:p>
          <w:p>
            <w:pPr>
              <w:pStyle w:val="16"/>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（5）不合格产品</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rPr>
              <w:t>产品成型加工过程中</w:t>
            </w:r>
            <w:r>
              <w:rPr>
                <w:rFonts w:hint="default" w:ascii="Times New Roman" w:hAnsi="Times New Roman" w:eastAsia="宋体" w:cs="Times New Roman"/>
                <w:b w:val="0"/>
                <w:bCs w:val="0"/>
                <w:color w:val="auto"/>
                <w:sz w:val="24"/>
                <w:szCs w:val="24"/>
                <w:highlight w:val="none"/>
              </w:rPr>
              <w:t>，可能由于受热不均匀、脱模损坏等原因会产生少量不合格产品。</w:t>
            </w:r>
            <w:r>
              <w:rPr>
                <w:rFonts w:hint="default" w:ascii="Times New Roman" w:hAnsi="Times New Roman" w:eastAsia="宋体" w:cs="Times New Roman"/>
                <w:b w:val="0"/>
                <w:bCs w:val="0"/>
                <w:color w:val="auto"/>
                <w:sz w:val="24"/>
                <w:szCs w:val="24"/>
                <w:lang w:val="en-US" w:eastAsia="zh-CN"/>
              </w:rPr>
              <w:t>根据以上计算可知</w:t>
            </w:r>
            <w:r>
              <w:rPr>
                <w:rFonts w:hint="default" w:ascii="Times New Roman" w:hAnsi="Times New Roman" w:eastAsia="宋体" w:cs="Times New Roman"/>
                <w:b w:val="0"/>
                <w:bCs w:val="0"/>
                <w:color w:val="auto"/>
                <w:sz w:val="24"/>
                <w:szCs w:val="24"/>
                <w:highlight w:val="none"/>
              </w:rPr>
              <w:t>，不合格产品产生量为</w:t>
            </w:r>
            <w:r>
              <w:rPr>
                <w:rFonts w:hint="eastAsia"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rPr>
              <w:t>统一收集后暂存于</w:t>
            </w:r>
            <w:r>
              <w:rPr>
                <w:rFonts w:hint="default" w:ascii="Times New Roman" w:hAnsi="Times New Roman" w:eastAsia="宋体" w:cs="Times New Roman"/>
                <w:b w:val="0"/>
                <w:bCs w:val="0"/>
                <w:color w:val="auto"/>
                <w:kern w:val="2"/>
                <w:sz w:val="24"/>
                <w:szCs w:val="24"/>
                <w:lang w:val="en-US" w:eastAsia="zh-CN" w:bidi="ar"/>
              </w:rPr>
              <w:t>一般固体废物</w:t>
            </w:r>
            <w:r>
              <w:rPr>
                <w:rFonts w:hint="default" w:ascii="Times New Roman" w:hAnsi="Times New Roman" w:eastAsia="宋体" w:cs="Times New Roman"/>
                <w:b w:val="0"/>
                <w:bCs w:val="0"/>
                <w:color w:val="auto"/>
                <w:sz w:val="24"/>
                <w:szCs w:val="24"/>
                <w:lang w:val="en-US" w:eastAsia="zh-CN"/>
              </w:rPr>
              <w:t>暂存区定期外售给废品收购站。</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（6）锅炉炉渣</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锅炉炉渣</w:t>
            </w:r>
            <w:r>
              <w:rPr>
                <w:rFonts w:hint="default" w:ascii="Times New Roman" w:hAnsi="Times New Roman" w:eastAsia="宋体" w:cs="Times New Roman"/>
                <w:b w:val="0"/>
                <w:bCs w:val="0"/>
                <w:color w:val="auto"/>
                <w:sz w:val="24"/>
                <w:szCs w:val="24"/>
              </w:rPr>
              <w:t>的产生量参照</w:t>
            </w:r>
            <w:r>
              <w:rPr>
                <w:rFonts w:hint="default" w:ascii="Times New Roman" w:hAnsi="Times New Roman" w:eastAsia="宋体" w:cs="Times New Roman"/>
                <w:b w:val="0"/>
                <w:bCs w:val="0"/>
                <w:color w:val="auto"/>
                <w:sz w:val="24"/>
                <w:szCs w:val="24"/>
                <w:highlight w:val="none"/>
                <w:lang w:val="en-US" w:eastAsia="zh-CN"/>
              </w:rPr>
              <w:t>中华人民共和国生态环境部2021年6月11日发布的</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排放源统计调查产排污核算方法和系数手册</w:t>
            </w:r>
            <w:r>
              <w:rPr>
                <w:rFonts w:hint="default" w:ascii="Times New Roman" w:hAnsi="Times New Roman" w:eastAsia="宋体" w:cs="Times New Roman"/>
                <w:b w:val="0"/>
                <w:bCs w:val="0"/>
                <w:color w:val="auto"/>
                <w:sz w:val="24"/>
                <w:szCs w:val="24"/>
                <w:highlight w:val="none"/>
              </w:rPr>
              <w:t>》</w:t>
            </w:r>
            <w:r>
              <w:rPr>
                <w:rFonts w:hint="default" w:ascii="Times New Roman" w:hAnsi="Times New Roman" w:eastAsia="宋体" w:cs="Times New Roman"/>
                <w:b w:val="0"/>
                <w:bCs w:val="0"/>
                <w:color w:val="auto"/>
                <w:sz w:val="24"/>
                <w:szCs w:val="24"/>
                <w:highlight w:val="none"/>
                <w:lang w:val="en-US" w:eastAsia="zh-CN"/>
              </w:rPr>
              <w:t>的公告（公告2021年第24号）</w:t>
            </w:r>
            <w:r>
              <w:rPr>
                <w:rFonts w:hint="default" w:ascii="Times New Roman" w:hAnsi="Times New Roman" w:eastAsia="宋体" w:cs="Times New Roman"/>
                <w:b w:val="0"/>
                <w:bCs w:val="0"/>
                <w:color w:val="auto"/>
                <w:sz w:val="24"/>
                <w:szCs w:val="24"/>
                <w:highlight w:val="none"/>
              </w:rPr>
              <w:t>中《</w:t>
            </w:r>
            <w:r>
              <w:rPr>
                <w:rFonts w:hint="default" w:ascii="Times New Roman" w:hAnsi="Times New Roman" w:eastAsia="宋体" w:cs="Times New Roman"/>
                <w:b w:val="0"/>
                <w:bCs w:val="0"/>
                <w:color w:val="auto"/>
                <w:sz w:val="24"/>
                <w:szCs w:val="24"/>
                <w:highlight w:val="none"/>
                <w:lang w:val="en-US" w:eastAsia="zh-CN"/>
              </w:rPr>
              <w:t>锅炉产排污量核算系数手册</w:t>
            </w:r>
            <w:r>
              <w:rPr>
                <w:rFonts w:hint="default" w:ascii="Times New Roman" w:hAnsi="Times New Roman" w:eastAsia="宋体" w:cs="Times New Roman"/>
                <w:b w:val="0"/>
                <w:bCs w:val="0"/>
                <w:color w:val="auto"/>
                <w:sz w:val="24"/>
                <w:szCs w:val="24"/>
                <w:highlight w:val="none"/>
              </w:rPr>
              <w:t>》4430工业锅炉（热力生产和供应行业）产排污系数表-</w:t>
            </w:r>
            <w:r>
              <w:rPr>
                <w:rFonts w:hint="default" w:ascii="Times New Roman" w:hAnsi="Times New Roman" w:eastAsia="宋体" w:cs="Times New Roman"/>
                <w:b w:val="0"/>
                <w:bCs w:val="0"/>
                <w:color w:val="auto"/>
                <w:sz w:val="24"/>
                <w:szCs w:val="24"/>
                <w:highlight w:val="none"/>
                <w:lang w:val="en-US" w:eastAsia="zh-CN"/>
              </w:rPr>
              <w:t>工业固体废物中燃煤锅炉</w:t>
            </w:r>
            <w:r>
              <w:rPr>
                <w:rFonts w:hint="default" w:ascii="Times New Roman" w:hAnsi="Times New Roman" w:eastAsia="宋体" w:cs="Times New Roman"/>
                <w:b w:val="0"/>
                <w:bCs w:val="0"/>
                <w:color w:val="auto"/>
                <w:sz w:val="24"/>
                <w:szCs w:val="24"/>
                <w:highlight w:val="none"/>
              </w:rPr>
              <w:t>的产排污系数进行计算</w:t>
            </w:r>
            <w:r>
              <w:rPr>
                <w:rFonts w:hint="default" w:ascii="Times New Roman" w:hAnsi="Times New Roman" w:eastAsia="宋体" w:cs="Times New Roman"/>
                <w:b w:val="0"/>
                <w:bCs w:val="0"/>
                <w:color w:val="auto"/>
                <w:spacing w:val="6"/>
                <w:sz w:val="24"/>
                <w:szCs w:val="24"/>
                <w:highlight w:val="none"/>
              </w:rPr>
              <w:t>，</w:t>
            </w:r>
            <w:r>
              <w:rPr>
                <w:rFonts w:hint="default" w:ascii="Times New Roman" w:hAnsi="Times New Roman" w:eastAsia="宋体" w:cs="Times New Roman"/>
                <w:b w:val="0"/>
                <w:bCs w:val="0"/>
                <w:color w:val="auto"/>
                <w:sz w:val="24"/>
                <w:szCs w:val="24"/>
              </w:rPr>
              <w:t>炉渣产生量为1.0</w:t>
            </w:r>
            <w:r>
              <w:rPr>
                <w:rFonts w:hint="default" w:ascii="Times New Roman" w:hAnsi="Times New Roman"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rPr>
              <w:t>Akg/t燃料（A为灰分含量，项目使用的生物质燃料灰分为</w:t>
            </w:r>
            <w:r>
              <w:rPr>
                <w:rFonts w:hint="eastAsia" w:cs="Times New Roman"/>
                <w:b w:val="0"/>
                <w:bCs w:val="0"/>
                <w:color w:val="auto"/>
                <w:sz w:val="24"/>
                <w:szCs w:val="24"/>
                <w:lang w:val="en-US" w:eastAsia="zh-CN"/>
              </w:rPr>
              <w:t>2.94</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本</w:t>
            </w:r>
            <w:r>
              <w:rPr>
                <w:rFonts w:hint="default" w:ascii="Times New Roman" w:hAnsi="Times New Roman" w:eastAsia="宋体" w:cs="Times New Roman"/>
                <w:b w:val="0"/>
                <w:bCs w:val="0"/>
                <w:color w:val="auto"/>
                <w:sz w:val="24"/>
                <w:szCs w:val="24"/>
              </w:rPr>
              <w:t>项目</w:t>
            </w:r>
            <w:r>
              <w:rPr>
                <w:rFonts w:hint="default" w:ascii="Times New Roman" w:hAnsi="Times New Roman" w:eastAsia="宋体" w:cs="Times New Roman"/>
                <w:b w:val="0"/>
                <w:bCs w:val="0"/>
                <w:color w:val="auto"/>
                <w:sz w:val="24"/>
                <w:szCs w:val="24"/>
                <w:lang w:eastAsia="zh-CN"/>
              </w:rPr>
              <w:t>生产泡沫箱时使用生物质作为燃料提供热量，</w:t>
            </w:r>
            <w:r>
              <w:rPr>
                <w:rFonts w:hint="default" w:ascii="Times New Roman" w:hAnsi="Times New Roman" w:eastAsia="宋体" w:cs="Times New Roman"/>
                <w:b w:val="0"/>
                <w:bCs w:val="0"/>
                <w:color w:val="auto"/>
                <w:sz w:val="24"/>
                <w:szCs w:val="24"/>
              </w:rPr>
              <w:t>生物质燃料用量</w:t>
            </w:r>
            <w:r>
              <w:rPr>
                <w:rFonts w:hint="default" w:ascii="Times New Roman" w:hAnsi="Times New Roman" w:eastAsia="宋体" w:cs="Times New Roman"/>
                <w:b w:val="0"/>
                <w:bCs w:val="0"/>
                <w:color w:val="auto"/>
                <w:sz w:val="24"/>
                <w:szCs w:val="24"/>
                <w:lang w:eastAsia="zh-CN"/>
              </w:rPr>
              <w:t>为</w:t>
            </w:r>
            <w:r>
              <w:rPr>
                <w:rFonts w:hint="eastAsia"/>
                <w:color w:val="auto"/>
                <w:sz w:val="24"/>
                <w:lang w:val="en-US" w:eastAsia="zh-CN"/>
              </w:rPr>
              <w:t>6248.794</w:t>
            </w:r>
            <w:r>
              <w:rPr>
                <w:color w:val="auto"/>
                <w:sz w:val="24"/>
              </w:rPr>
              <w:t>t/a</w:t>
            </w:r>
            <w:r>
              <w:rPr>
                <w:rFonts w:hint="default" w:ascii="Times New Roman" w:hAnsi="Times New Roman" w:eastAsia="宋体" w:cs="Times New Roman"/>
                <w:b w:val="0"/>
                <w:bCs w:val="0"/>
                <w:color w:val="auto"/>
                <w:sz w:val="24"/>
                <w:szCs w:val="24"/>
              </w:rPr>
              <w:t>，则项目炉渣产生量为</w:t>
            </w:r>
            <w:r>
              <w:rPr>
                <w:rFonts w:hint="eastAsia" w:cs="Times New Roman"/>
                <w:b w:val="0"/>
                <w:bCs w:val="0"/>
                <w:color w:val="auto"/>
                <w:sz w:val="24"/>
                <w:szCs w:val="24"/>
                <w:lang w:val="en-US" w:eastAsia="zh-CN"/>
              </w:rPr>
              <w:t>19.29</w:t>
            </w:r>
            <w:r>
              <w:rPr>
                <w:rFonts w:hint="default" w:ascii="Times New Roman" w:hAnsi="Times New Roman" w:eastAsia="宋体" w:cs="Times New Roman"/>
                <w:b w:val="0"/>
                <w:bCs w:val="0"/>
                <w:color w:val="auto"/>
                <w:sz w:val="24"/>
                <w:szCs w:val="24"/>
              </w:rPr>
              <w:t>t/a，产生的锅炉炉渣</w:t>
            </w:r>
            <w:r>
              <w:rPr>
                <w:rFonts w:hint="default" w:ascii="Times New Roman" w:hAnsi="Times New Roman" w:eastAsia="宋体" w:cs="Times New Roman"/>
                <w:b w:val="0"/>
                <w:bCs w:val="0"/>
                <w:color w:val="auto"/>
                <w:sz w:val="24"/>
                <w:szCs w:val="24"/>
                <w:lang w:eastAsia="zh-CN"/>
              </w:rPr>
              <w:t>统一收集</w:t>
            </w:r>
            <w:r>
              <w:rPr>
                <w:rFonts w:hint="default" w:ascii="Times New Roman" w:hAnsi="Times New Roman" w:eastAsia="宋体" w:cs="Times New Roman"/>
                <w:b w:val="0"/>
                <w:bCs w:val="0"/>
                <w:color w:val="auto"/>
                <w:sz w:val="24"/>
                <w:szCs w:val="24"/>
                <w:lang w:val="en-US" w:eastAsia="zh-CN"/>
              </w:rPr>
              <w:t>袋装后暂存于锅炉房内，再</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eastAsia="zh-CN"/>
              </w:rPr>
              <w:t>（</w:t>
            </w:r>
            <w:r>
              <w:rPr>
                <w:rFonts w:hint="eastAsia" w:cs="Times New Roman"/>
                <w:b w:val="0"/>
                <w:bCs w:val="0"/>
                <w:color w:val="auto"/>
                <w:sz w:val="24"/>
                <w:szCs w:val="24"/>
                <w:lang w:val="en-US" w:eastAsia="zh-CN"/>
              </w:rPr>
              <w:t>7</w:t>
            </w:r>
            <w:r>
              <w:rPr>
                <w:rFonts w:hint="eastAsia"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除尘器</w:t>
            </w:r>
            <w:r>
              <w:rPr>
                <w:rFonts w:hint="eastAsia" w:ascii="Times New Roman" w:hAnsi="Times New Roman" w:eastAsia="宋体" w:cs="Times New Roman"/>
                <w:b w:val="0"/>
                <w:bCs w:val="0"/>
                <w:color w:val="auto"/>
                <w:sz w:val="24"/>
                <w:szCs w:val="24"/>
                <w:lang w:val="en-US" w:eastAsia="zh-CN"/>
              </w:rPr>
              <w:t>收集的粉尘</w:t>
            </w:r>
          </w:p>
          <w:p>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lang w:bidi="ar"/>
              </w:rPr>
            </w:pPr>
            <w:r>
              <w:rPr>
                <w:rFonts w:hint="default" w:ascii="Times New Roman" w:hAnsi="Times New Roman" w:eastAsia="宋体" w:cs="Times New Roman"/>
                <w:color w:val="auto"/>
                <w:sz w:val="24"/>
                <w:szCs w:val="22"/>
                <w:lang w:bidi="ar"/>
              </w:rPr>
              <w:t>根据废气</w:t>
            </w:r>
            <w:r>
              <w:rPr>
                <w:rFonts w:hint="default" w:ascii="Times New Roman" w:hAnsi="Times New Roman" w:eastAsia="宋体" w:cs="Times New Roman"/>
                <w:color w:val="auto"/>
                <w:sz w:val="24"/>
                <w:szCs w:val="22"/>
                <w:lang w:val="en-US" w:eastAsia="zh-CN" w:bidi="ar"/>
              </w:rPr>
              <w:t>部分</w:t>
            </w:r>
            <w:r>
              <w:rPr>
                <w:rFonts w:hint="default" w:ascii="Times New Roman" w:hAnsi="Times New Roman" w:eastAsia="宋体" w:cs="Times New Roman"/>
                <w:color w:val="auto"/>
                <w:sz w:val="24"/>
                <w:szCs w:val="22"/>
                <w:lang w:bidi="ar"/>
              </w:rPr>
              <w:t>工程分析可知，项目</w:t>
            </w:r>
            <w:r>
              <w:rPr>
                <w:rFonts w:hint="eastAsia" w:cs="Times New Roman"/>
                <w:color w:val="auto"/>
                <w:sz w:val="24"/>
                <w:szCs w:val="22"/>
                <w:lang w:val="en-US" w:eastAsia="zh-CN" w:bidi="ar"/>
              </w:rPr>
              <w:t>高温</w:t>
            </w:r>
            <w:r>
              <w:rPr>
                <w:rFonts w:hint="eastAsia" w:cs="Times New Roman"/>
                <w:color w:val="auto"/>
                <w:sz w:val="24"/>
                <w:szCs w:val="22"/>
                <w:lang w:eastAsia="zh-CN" w:bidi="ar"/>
              </w:rPr>
              <w:t>布袋</w:t>
            </w:r>
            <w:r>
              <w:rPr>
                <w:rFonts w:hint="default" w:ascii="Times New Roman" w:hAnsi="Times New Roman" w:eastAsia="宋体" w:cs="Times New Roman"/>
                <w:color w:val="auto"/>
                <w:sz w:val="24"/>
                <w:szCs w:val="22"/>
                <w:lang w:bidi="ar"/>
              </w:rPr>
              <w:t>除尘系统对锅炉烟气中的烟尘净化效率约为</w:t>
            </w:r>
            <w:r>
              <w:rPr>
                <w:rFonts w:hint="eastAsia" w:cs="Times New Roman"/>
                <w:color w:val="auto"/>
                <w:sz w:val="24"/>
                <w:szCs w:val="22"/>
                <w:lang w:val="en-US" w:eastAsia="zh-CN" w:bidi="ar"/>
              </w:rPr>
              <w:t>95</w:t>
            </w:r>
            <w:r>
              <w:rPr>
                <w:rFonts w:hint="default" w:ascii="Times New Roman" w:hAnsi="Times New Roman" w:eastAsia="宋体" w:cs="Times New Roman"/>
                <w:color w:val="auto"/>
                <w:sz w:val="24"/>
                <w:szCs w:val="22"/>
                <w:lang w:bidi="ar"/>
              </w:rPr>
              <w:t>%</w:t>
            </w:r>
            <w:r>
              <w:rPr>
                <w:rFonts w:hint="default" w:ascii="Times New Roman" w:hAnsi="Times New Roman" w:eastAsia="宋体" w:cs="Times New Roman"/>
                <w:color w:val="auto"/>
                <w:sz w:val="24"/>
                <w:lang w:bidi="ar"/>
              </w:rPr>
              <w:t>，</w:t>
            </w:r>
            <w:r>
              <w:rPr>
                <w:rFonts w:hint="eastAsia" w:cs="Times New Roman"/>
                <w:bCs/>
                <w:color w:val="auto"/>
                <w:sz w:val="24"/>
                <w:lang w:eastAsia="zh-CN"/>
              </w:rPr>
              <w:t>除尘器收集的粉尘</w:t>
            </w:r>
            <w:r>
              <w:rPr>
                <w:rFonts w:hint="default" w:ascii="Times New Roman" w:hAnsi="Times New Roman" w:eastAsia="宋体" w:cs="Times New Roman"/>
                <w:color w:val="auto"/>
                <w:sz w:val="24"/>
                <w:lang w:bidi="ar"/>
              </w:rPr>
              <w:t>约为</w:t>
            </w:r>
            <w:r>
              <w:rPr>
                <w:rFonts w:hint="eastAsia" w:cs="Times New Roman"/>
                <w:color w:val="auto"/>
                <w:sz w:val="24"/>
                <w:lang w:val="en-US" w:eastAsia="zh-CN" w:bidi="ar"/>
              </w:rPr>
              <w:t>2.9682</w:t>
            </w:r>
            <w:r>
              <w:rPr>
                <w:rFonts w:hint="default" w:ascii="Times New Roman" w:hAnsi="Times New Roman" w:eastAsia="宋体" w:cs="Times New Roman"/>
                <w:color w:val="auto"/>
                <w:sz w:val="24"/>
                <w:lang w:bidi="ar"/>
              </w:rPr>
              <w:t>t/a。</w:t>
            </w:r>
            <w:r>
              <w:rPr>
                <w:rFonts w:hint="default" w:ascii="Times New Roman" w:hAnsi="Times New Roman" w:eastAsia="宋体" w:cs="Times New Roman"/>
                <w:color w:val="auto"/>
                <w:sz w:val="24"/>
                <w:szCs w:val="24"/>
                <w:highlight w:val="none"/>
                <w:lang w:val="en-US" w:eastAsia="zh-CN"/>
              </w:rPr>
              <w:t>除尘器除尘灰定期清理袋装后</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olor w:val="auto"/>
                <w:lang w:val="en-US" w:eastAsia="zh-CN"/>
              </w:rPr>
            </w:pPr>
            <w:r>
              <w:rPr>
                <w:rFonts w:hint="eastAsia" w:ascii="Times New Roman" w:hAnsi="Times New Roman" w:cs="Times New Roman"/>
                <w:color w:val="auto"/>
                <w:sz w:val="24"/>
                <w:lang w:val="en-US" w:eastAsia="zh-CN" w:bidi="ar"/>
              </w:rPr>
              <w:t xml:space="preserve">   </w:t>
            </w:r>
            <w:r>
              <w:rPr>
                <w:rFonts w:hint="eastAsia" w:ascii="Times New Roman" w:hAnsi="Times New Roman" w:eastAsia="宋体" w:cs="Times New Roman"/>
                <w:b w:val="0"/>
                <w:bCs w:val="0"/>
                <w:color w:val="auto"/>
                <w:kern w:val="2"/>
                <w:sz w:val="24"/>
                <w:szCs w:val="24"/>
                <w:lang w:val="en-US" w:eastAsia="zh-CN" w:bidi="ar-SA"/>
              </w:rPr>
              <w:t xml:space="preserve"> （8）</w:t>
            </w:r>
            <w:r>
              <w:rPr>
                <w:rFonts w:hint="eastAsia" w:ascii="Times New Roman" w:hAnsi="Times New Roman" w:cs="Times New Roman"/>
                <w:b w:val="0"/>
                <w:bCs w:val="0"/>
                <w:color w:val="auto"/>
                <w:kern w:val="2"/>
                <w:sz w:val="24"/>
                <w:szCs w:val="24"/>
                <w:lang w:val="en-US" w:eastAsia="zh-CN" w:bidi="ar-SA"/>
              </w:rPr>
              <w:t>絮凝沉淀池沉渣</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lang w:eastAsia="zh-CN"/>
              </w:rPr>
              <w:t>锅炉排污</w:t>
            </w:r>
            <w:r>
              <w:rPr>
                <w:rFonts w:hint="eastAsia" w:cs="Times New Roman"/>
                <w:color w:val="auto"/>
                <w:sz w:val="24"/>
                <w:lang w:eastAsia="zh-CN"/>
              </w:rPr>
              <w:t>水经</w:t>
            </w:r>
            <w:r>
              <w:rPr>
                <w:rFonts w:hint="default" w:ascii="Times New Roman" w:hAnsi="Times New Roman" w:eastAsia="宋体" w:cs="Times New Roman"/>
                <w:color w:val="auto"/>
                <w:sz w:val="24"/>
                <w:lang w:val="en-US" w:eastAsia="zh-CN"/>
              </w:rPr>
              <w:t>絮凝沉淀池处理后作为生产</w:t>
            </w:r>
            <w:r>
              <w:rPr>
                <w:rFonts w:hint="default" w:ascii="Times New Roman" w:hAnsi="Times New Roman" w:eastAsia="宋体" w:cs="Times New Roman"/>
                <w:color w:val="auto"/>
                <w:sz w:val="24"/>
                <w:szCs w:val="24"/>
                <w:highlight w:val="none"/>
                <w:lang w:val="en-US" w:eastAsia="zh-CN"/>
              </w:rPr>
              <w:t>冷却循环水补充使用</w:t>
            </w:r>
            <w:r>
              <w:rPr>
                <w:rFonts w:hint="default" w:ascii="Times New Roman" w:hAnsi="Times New Roman" w:eastAsia="宋体" w:cs="Times New Roman"/>
                <w:color w:val="auto"/>
                <w:sz w:val="24"/>
              </w:rPr>
              <w:t>；</w:t>
            </w:r>
            <w:r>
              <w:rPr>
                <w:rFonts w:hint="eastAsia" w:cs="Times New Roman"/>
                <w:color w:val="auto"/>
                <w:sz w:val="24"/>
                <w:lang w:eastAsia="zh-CN"/>
              </w:rPr>
              <w:t>絮凝沉淀池沉渣产生量为</w:t>
            </w:r>
            <w:r>
              <w:rPr>
                <w:rFonts w:hint="eastAsia" w:cs="Times New Roman"/>
                <w:color w:val="auto"/>
                <w:sz w:val="24"/>
                <w:lang w:val="en-US" w:eastAsia="zh-CN"/>
              </w:rPr>
              <w:t>0.1t/a，打捞后</w:t>
            </w:r>
            <w:r>
              <w:rPr>
                <w:rFonts w:hint="eastAsia" w:ascii="Times New Roman" w:hAnsi="Times New Roman" w:eastAsia="宋体" w:cs="Times New Roman"/>
                <w:b w:val="0"/>
                <w:bCs w:val="0"/>
                <w:color w:val="auto"/>
                <w:sz w:val="24"/>
                <w:szCs w:val="24"/>
                <w:lang w:val="en-US" w:eastAsia="zh-CN"/>
              </w:rPr>
              <w:t>外售建材生产企业</w:t>
            </w:r>
            <w:r>
              <w:rPr>
                <w:rFonts w:hint="default"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（9）冷却池沉渣、浮渣</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cs="Times New Roman"/>
                <w:b w:val="0"/>
                <w:bCs w:val="0"/>
                <w:color w:val="auto"/>
                <w:sz w:val="24"/>
                <w:szCs w:val="24"/>
                <w:lang w:val="en-US" w:eastAsia="zh-CN"/>
              </w:rPr>
            </w:pPr>
            <w:r>
              <w:rPr>
                <w:rFonts w:hint="default" w:cs="Times New Roman"/>
                <w:b w:val="0"/>
                <w:bCs w:val="0"/>
                <w:color w:val="auto"/>
                <w:sz w:val="24"/>
                <w:szCs w:val="24"/>
                <w:lang w:val="en-US" w:eastAsia="zh-CN"/>
              </w:rPr>
              <w:t>循环水冷却</w:t>
            </w:r>
            <w:r>
              <w:rPr>
                <w:rFonts w:hint="default" w:cs="Times New Roman"/>
                <w:b w:val="0"/>
                <w:bCs w:val="0"/>
                <w:color w:val="auto"/>
                <w:sz w:val="24"/>
                <w:szCs w:val="24"/>
                <w:lang w:eastAsia="zh-CN"/>
              </w:rPr>
              <w:t>池</w:t>
            </w:r>
            <w:r>
              <w:rPr>
                <w:rFonts w:hint="eastAsia" w:cs="Times New Roman"/>
                <w:b w:val="0"/>
                <w:bCs w:val="0"/>
                <w:color w:val="auto"/>
                <w:sz w:val="24"/>
                <w:szCs w:val="24"/>
                <w:lang w:eastAsia="zh-CN"/>
              </w:rPr>
              <w:t>运行一段时间后会有沉渣及塑料泡沫浮渣产生，沉渣及塑料泡沫浮渣产生量为</w:t>
            </w:r>
            <w:r>
              <w:rPr>
                <w:rFonts w:hint="eastAsia" w:cs="Times New Roman"/>
                <w:b w:val="0"/>
                <w:bCs w:val="0"/>
                <w:color w:val="auto"/>
                <w:sz w:val="24"/>
                <w:szCs w:val="24"/>
                <w:lang w:val="en-US" w:eastAsia="zh-CN"/>
              </w:rPr>
              <w:t>0.1t/a，打捞后</w:t>
            </w:r>
            <w:r>
              <w:rPr>
                <w:rFonts w:hint="default" w:cs="Times New Roman"/>
                <w:b w:val="0"/>
                <w:bCs w:val="0"/>
                <w:color w:val="auto"/>
                <w:sz w:val="24"/>
                <w:szCs w:val="24"/>
                <w:lang w:eastAsia="zh-CN"/>
              </w:rPr>
              <w:t>统一收集由当地环卫部门定期清运、处置</w:t>
            </w:r>
            <w:r>
              <w:rPr>
                <w:rFonts w:hint="default"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2、生活固废</w:t>
            </w:r>
          </w:p>
          <w:p>
            <w:pPr>
              <w:pStyle w:val="84"/>
              <w:keepNext w:val="0"/>
              <w:keepLines w:val="0"/>
              <w:pageBreakBefore w:val="0"/>
              <w:widowControl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1</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生活垃圾</w:t>
            </w:r>
          </w:p>
          <w:p>
            <w:pPr>
              <w:pStyle w:val="84"/>
              <w:keepNext w:val="0"/>
              <w:keepLines w:val="0"/>
              <w:pageBreakBefore w:val="0"/>
              <w:widowControl w:val="0"/>
              <w:kinsoku/>
              <w:wordWrap/>
              <w:overflowPunct/>
              <w:topLinePunct w:val="0"/>
              <w:autoSpaceDE w:val="0"/>
              <w:autoSpaceDN w:val="0"/>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本</w:t>
            </w:r>
            <w:r>
              <w:rPr>
                <w:rFonts w:hint="default" w:ascii="Times New Roman" w:hAnsi="Times New Roman" w:eastAsia="宋体" w:cs="Times New Roman"/>
                <w:b w:val="0"/>
                <w:bCs w:val="0"/>
                <w:color w:val="auto"/>
                <w:sz w:val="24"/>
                <w:szCs w:val="24"/>
                <w:highlight w:val="none"/>
              </w:rPr>
              <w:t>项目工作人员数量为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0人</w:t>
            </w:r>
            <w:r>
              <w:rPr>
                <w:rFonts w:hint="default" w:ascii="Times New Roman" w:hAnsi="Times New Roman" w:eastAsia="宋体" w:cs="Times New Roman"/>
                <w:b w:val="0"/>
                <w:bCs w:val="0"/>
                <w:color w:val="auto"/>
                <w:sz w:val="24"/>
                <w:szCs w:val="24"/>
                <w:highlight w:val="none"/>
              </w:rPr>
              <w:t>，根据城镇生活源产排污系数手册，</w:t>
            </w:r>
            <w:r>
              <w:rPr>
                <w:rFonts w:hint="default" w:ascii="Times New Roman" w:hAnsi="Times New Roman" w:eastAsia="宋体" w:cs="Times New Roman"/>
                <w:b w:val="0"/>
                <w:bCs w:val="0"/>
                <w:color w:val="auto"/>
                <w:sz w:val="24"/>
                <w:szCs w:val="24"/>
                <w:highlight w:val="none"/>
                <w:lang w:eastAsia="zh-CN"/>
              </w:rPr>
              <w:t>食宿</w:t>
            </w:r>
            <w:r>
              <w:rPr>
                <w:rFonts w:hint="default" w:ascii="Times New Roman" w:hAnsi="Times New Roman" w:eastAsia="宋体" w:cs="Times New Roman"/>
                <w:b w:val="0"/>
                <w:bCs w:val="0"/>
                <w:color w:val="auto"/>
                <w:sz w:val="24"/>
                <w:szCs w:val="24"/>
                <w:highlight w:val="none"/>
              </w:rPr>
              <w:t>工作人员生活垃圾产生量按1kg/d·人计算，则员工生活垃圾的产生量为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kg/d，</w:t>
            </w:r>
            <w:r>
              <w:rPr>
                <w:rFonts w:hint="eastAsia"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rPr>
              <w:t>t/a。</w:t>
            </w:r>
            <w:r>
              <w:rPr>
                <w:rFonts w:hint="default" w:ascii="Times New Roman" w:hAnsi="Times New Roman" w:eastAsia="宋体" w:cs="Times New Roman"/>
                <w:b w:val="0"/>
                <w:bCs w:val="0"/>
                <w:color w:val="auto"/>
                <w:kern w:val="0"/>
                <w:sz w:val="24"/>
                <w:szCs w:val="24"/>
                <w:highlight w:val="none"/>
              </w:rPr>
              <w:t>生活垃圾</w:t>
            </w:r>
            <w:r>
              <w:rPr>
                <w:rFonts w:hint="default" w:ascii="Times New Roman" w:hAnsi="Times New Roman" w:eastAsia="宋体" w:cs="Times New Roman"/>
                <w:b w:val="0"/>
                <w:bCs w:val="0"/>
                <w:color w:val="auto"/>
                <w:kern w:val="0"/>
                <w:sz w:val="24"/>
                <w:szCs w:val="24"/>
                <w:highlight w:val="none"/>
                <w:lang w:eastAsia="zh-CN"/>
              </w:rPr>
              <w:t>由项目区工作人员</w:t>
            </w:r>
            <w:r>
              <w:rPr>
                <w:rFonts w:hint="default" w:ascii="Times New Roman" w:hAnsi="Times New Roman" w:eastAsia="宋体" w:cs="Times New Roman"/>
                <w:b w:val="0"/>
                <w:bCs w:val="0"/>
                <w:color w:val="auto"/>
                <w:sz w:val="24"/>
                <w:szCs w:val="24"/>
                <w:highlight w:val="none"/>
              </w:rPr>
              <w:t>使用</w:t>
            </w:r>
            <w:r>
              <w:rPr>
                <w:rFonts w:hint="default" w:ascii="Times New Roman" w:hAnsi="Times New Roman" w:eastAsia="宋体" w:cs="Times New Roman"/>
                <w:b w:val="0"/>
                <w:bCs w:val="0"/>
                <w:color w:val="auto"/>
                <w:sz w:val="24"/>
                <w:szCs w:val="24"/>
                <w:highlight w:val="none"/>
                <w:lang w:eastAsia="zh-CN"/>
              </w:rPr>
              <w:t>带盖</w:t>
            </w:r>
            <w:r>
              <w:rPr>
                <w:rFonts w:hint="default" w:ascii="Times New Roman" w:hAnsi="Times New Roman" w:eastAsia="宋体" w:cs="Times New Roman"/>
                <w:b w:val="0"/>
                <w:bCs w:val="0"/>
                <w:color w:val="auto"/>
                <w:sz w:val="24"/>
                <w:szCs w:val="24"/>
                <w:highlight w:val="none"/>
              </w:rPr>
              <w:t>式生活垃圾收</w:t>
            </w:r>
            <w:r>
              <w:rPr>
                <w:rFonts w:hint="default" w:ascii="Times New Roman" w:hAnsi="Times New Roman" w:eastAsia="宋体" w:cs="Times New Roman"/>
                <w:b w:val="0"/>
                <w:bCs w:val="0"/>
                <w:color w:val="auto"/>
                <w:kern w:val="2"/>
                <w:sz w:val="24"/>
                <w:szCs w:val="24"/>
                <w:highlight w:val="none"/>
              </w:rPr>
              <w:t>集桶</w:t>
            </w:r>
            <w:r>
              <w:rPr>
                <w:rFonts w:hint="default" w:ascii="Times New Roman" w:hAnsi="Times New Roman" w:eastAsia="宋体" w:cs="Times New Roman"/>
                <w:b w:val="0"/>
                <w:bCs w:val="0"/>
                <w:color w:val="auto"/>
                <w:kern w:val="0"/>
                <w:sz w:val="24"/>
                <w:szCs w:val="24"/>
                <w:highlight w:val="none"/>
                <w:lang w:eastAsia="zh-CN"/>
              </w:rPr>
              <w:t>统一</w:t>
            </w:r>
            <w:r>
              <w:rPr>
                <w:rFonts w:hint="default" w:ascii="Times New Roman" w:hAnsi="Times New Roman" w:eastAsia="宋体" w:cs="Times New Roman"/>
                <w:b w:val="0"/>
                <w:bCs w:val="0"/>
                <w:color w:val="auto"/>
                <w:kern w:val="0"/>
                <w:sz w:val="24"/>
                <w:szCs w:val="24"/>
                <w:highlight w:val="none"/>
              </w:rPr>
              <w:t>收集后</w:t>
            </w:r>
            <w:r>
              <w:rPr>
                <w:rFonts w:hint="default" w:ascii="Times New Roman" w:hAnsi="Times New Roman" w:eastAsia="宋体" w:cs="Times New Roman"/>
                <w:b w:val="0"/>
                <w:bCs w:val="0"/>
                <w:color w:val="auto"/>
                <w:kern w:val="0"/>
                <w:sz w:val="24"/>
                <w:szCs w:val="24"/>
                <w:highlight w:val="none"/>
                <w:lang w:eastAsia="zh-CN"/>
              </w:rPr>
              <w:t>由当地</w:t>
            </w:r>
            <w:r>
              <w:rPr>
                <w:rFonts w:hint="default" w:ascii="Times New Roman" w:hAnsi="Times New Roman" w:eastAsia="宋体" w:cs="Times New Roman"/>
                <w:b w:val="0"/>
                <w:bCs w:val="0"/>
                <w:color w:val="auto"/>
                <w:kern w:val="0"/>
                <w:sz w:val="24"/>
                <w:szCs w:val="24"/>
                <w:highlight w:val="none"/>
              </w:rPr>
              <w:t>环卫部门</w:t>
            </w:r>
            <w:r>
              <w:rPr>
                <w:rFonts w:hint="default" w:ascii="Times New Roman" w:hAnsi="Times New Roman" w:eastAsia="宋体" w:cs="Times New Roman"/>
                <w:b w:val="0"/>
                <w:bCs w:val="0"/>
                <w:color w:val="auto"/>
                <w:kern w:val="0"/>
                <w:sz w:val="24"/>
                <w:szCs w:val="24"/>
                <w:highlight w:val="none"/>
                <w:lang w:eastAsia="zh-CN"/>
              </w:rPr>
              <w:t>定期</w:t>
            </w:r>
            <w:r>
              <w:rPr>
                <w:rFonts w:hint="default" w:ascii="Times New Roman" w:hAnsi="Times New Roman" w:eastAsia="宋体" w:cs="Times New Roman"/>
                <w:b w:val="0"/>
                <w:bCs w:val="0"/>
                <w:color w:val="auto"/>
                <w:sz w:val="24"/>
                <w:szCs w:val="24"/>
                <w:highlight w:val="none"/>
              </w:rPr>
              <w:t>清运</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处置</w:t>
            </w:r>
            <w:r>
              <w:rPr>
                <w:rFonts w:hint="default" w:ascii="Times New Roman" w:hAnsi="Times New Roman" w:eastAsia="宋体" w:cs="Times New Roman"/>
                <w:b w:val="0"/>
                <w:bCs w:val="0"/>
                <w:color w:val="auto"/>
                <w:kern w:val="0"/>
                <w:sz w:val="24"/>
                <w:szCs w:val="24"/>
                <w:highlight w:val="none"/>
              </w:rPr>
              <w:t>。</w:t>
            </w:r>
          </w:p>
          <w:p>
            <w:pPr>
              <w:pStyle w:val="84"/>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餐厨垃圾</w:t>
            </w:r>
          </w:p>
          <w:p>
            <w:pPr>
              <w:pStyle w:val="63"/>
              <w:keepNext w:val="0"/>
              <w:keepLines w:val="0"/>
              <w:pageBreakBefore w:val="0"/>
              <w:kinsoku/>
              <w:wordWrap/>
              <w:overflowPunct/>
              <w:topLinePunct w:val="0"/>
              <w:autoSpaceDE/>
              <w:autoSpaceDN/>
              <w:bidi w:val="0"/>
              <w:snapToGrid w:val="0"/>
              <w:spacing w:line="360" w:lineRule="auto"/>
              <w:ind w:leftChars="0" w:firstLine="480" w:firstLineChars="200"/>
              <w:textAlignment w:val="auto"/>
              <w:outlineLvl w:val="9"/>
              <w:rPr>
                <w:rFonts w:hint="default" w:ascii="Times New Roman" w:hAnsi="Times New Roman" w:eastAsia="宋体" w:cs="Times New Roman"/>
                <w:b w:val="0"/>
                <w:bCs w:val="0"/>
                <w:color w:val="auto"/>
                <w:kern w:val="2"/>
                <w:sz w:val="24"/>
                <w:szCs w:val="24"/>
                <w:highlight w:val="none"/>
                <w:lang w:eastAsia="zh-CN"/>
              </w:rPr>
            </w:pPr>
            <w:r>
              <w:rPr>
                <w:rFonts w:hint="default" w:ascii="Times New Roman" w:hAnsi="Times New Roman" w:eastAsia="宋体" w:cs="Times New Roman"/>
                <w:b w:val="0"/>
                <w:bCs w:val="0"/>
                <w:color w:val="auto"/>
                <w:sz w:val="24"/>
                <w:szCs w:val="24"/>
                <w:highlight w:val="none"/>
              </w:rPr>
              <w:t>食堂餐厨垃圾主要为食品加工过程中产生的剩饭剩菜及</w:t>
            </w:r>
            <w:r>
              <w:rPr>
                <w:rFonts w:hint="default" w:ascii="Times New Roman" w:hAnsi="Times New Roman" w:eastAsia="宋体" w:cs="Times New Roman"/>
                <w:b w:val="0"/>
                <w:bCs w:val="0"/>
                <w:color w:val="auto"/>
                <w:sz w:val="24"/>
                <w:szCs w:val="24"/>
                <w:highlight w:val="none"/>
                <w:lang w:eastAsia="zh-CN"/>
              </w:rPr>
              <w:t>隔油池废油</w:t>
            </w:r>
            <w:r>
              <w:rPr>
                <w:rFonts w:hint="default" w:ascii="Times New Roman" w:hAnsi="Times New Roman" w:eastAsia="宋体" w:cs="Times New Roman"/>
                <w:b w:val="0"/>
                <w:bCs w:val="0"/>
                <w:color w:val="auto"/>
                <w:sz w:val="24"/>
                <w:szCs w:val="24"/>
                <w:highlight w:val="none"/>
              </w:rPr>
              <w:t>，根据相关经验数据，餐厨垃圾以平均0.3kg/人次•d计，食堂就餐人数</w:t>
            </w:r>
            <w:r>
              <w:rPr>
                <w:rFonts w:hint="eastAsia" w:eastAsia="宋体"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人/d，则产生餐厨垃圾为</w:t>
            </w:r>
            <w:r>
              <w:rPr>
                <w:rFonts w:hint="eastAsia" w:eastAsia="宋体" w:cs="Times New Roman"/>
                <w:b w:val="0"/>
                <w:bCs w:val="0"/>
                <w:color w:val="auto"/>
                <w:sz w:val="24"/>
                <w:szCs w:val="24"/>
                <w:highlight w:val="none"/>
                <w:lang w:val="en-US" w:eastAsia="zh-CN"/>
              </w:rPr>
              <w:t>18</w:t>
            </w:r>
            <w:r>
              <w:rPr>
                <w:rFonts w:hint="default" w:ascii="Times New Roman" w:hAnsi="Times New Roman" w:eastAsia="宋体" w:cs="Times New Roman"/>
                <w:b w:val="0"/>
                <w:bCs w:val="0"/>
                <w:color w:val="auto"/>
                <w:sz w:val="24"/>
                <w:szCs w:val="24"/>
                <w:highlight w:val="none"/>
              </w:rPr>
              <w:t>kg/d，</w:t>
            </w:r>
            <w:r>
              <w:rPr>
                <w:rFonts w:hint="eastAsia" w:eastAsia="宋体" w:cs="Times New Roman"/>
                <w:b w:val="0"/>
                <w:bCs w:val="0"/>
                <w:color w:val="auto"/>
                <w:sz w:val="24"/>
                <w:szCs w:val="24"/>
                <w:highlight w:val="none"/>
                <w:lang w:val="en-US" w:eastAsia="zh-CN"/>
              </w:rPr>
              <w:t>5.4</w:t>
            </w:r>
            <w:r>
              <w:rPr>
                <w:rFonts w:hint="default" w:ascii="Times New Roman" w:hAnsi="Times New Roman" w:eastAsia="宋体" w:cs="Times New Roman"/>
                <w:b w:val="0"/>
                <w:bCs w:val="0"/>
                <w:color w:val="auto"/>
                <w:sz w:val="24"/>
                <w:szCs w:val="24"/>
                <w:highlight w:val="none"/>
              </w:rPr>
              <w:t>t/a。食堂餐厨垃圾通过加盖塑料桶收集后</w:t>
            </w:r>
            <w:r>
              <w:rPr>
                <w:rFonts w:hint="default" w:ascii="Times New Roman" w:hAnsi="Times New Roman" w:eastAsia="宋体" w:cs="Times New Roman"/>
                <w:b w:val="0"/>
                <w:bCs w:val="0"/>
                <w:color w:val="auto"/>
                <w:sz w:val="24"/>
                <w:szCs w:val="24"/>
                <w:highlight w:val="none"/>
                <w:lang w:eastAsia="zh-CN"/>
              </w:rPr>
              <w:t>由有资质的单位定期清运、处置</w:t>
            </w:r>
            <w:r>
              <w:rPr>
                <w:rFonts w:hint="default" w:ascii="Times New Roman" w:hAnsi="Times New Roman" w:eastAsia="宋体" w:cs="Times New Roman"/>
                <w:b w:val="0"/>
                <w:bCs w:val="0"/>
                <w:color w:val="auto"/>
                <w:sz w:val="24"/>
                <w:szCs w:val="24"/>
                <w:highlight w:val="none"/>
              </w:rPr>
              <w:t>。</w:t>
            </w:r>
          </w:p>
          <w:p>
            <w:pPr>
              <w:pStyle w:val="84"/>
              <w:keepNext w:val="0"/>
              <w:keepLines w:val="0"/>
              <w:pageBreakBefore w:val="0"/>
              <w:numPr>
                <w:ilvl w:val="0"/>
                <w:numId w:val="0"/>
              </w:numPr>
              <w:tabs>
                <w:tab w:val="left" w:pos="1189"/>
              </w:tabs>
              <w:kinsoku/>
              <w:wordWrap/>
              <w:overflowPunct/>
              <w:topLinePunct w:val="0"/>
              <w:autoSpaceDE w:val="0"/>
              <w:autoSpaceDN w:val="0"/>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3</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化粪池</w:t>
            </w:r>
            <w:r>
              <w:rPr>
                <w:rFonts w:hint="default" w:ascii="Times New Roman" w:hAnsi="Times New Roman" w:eastAsia="宋体" w:cs="Times New Roman"/>
                <w:b w:val="0"/>
                <w:bCs w:val="0"/>
                <w:color w:val="auto"/>
                <w:sz w:val="24"/>
                <w:szCs w:val="24"/>
                <w:highlight w:val="none"/>
                <w:lang w:eastAsia="zh-CN"/>
              </w:rPr>
              <w:t>、一体化污水处理站</w:t>
            </w:r>
            <w:r>
              <w:rPr>
                <w:rFonts w:hint="default" w:ascii="Times New Roman" w:hAnsi="Times New Roman" w:eastAsia="宋体" w:cs="Times New Roman"/>
                <w:b w:val="0"/>
                <w:bCs w:val="0"/>
                <w:color w:val="auto"/>
                <w:sz w:val="24"/>
                <w:szCs w:val="24"/>
                <w:highlight w:val="none"/>
              </w:rPr>
              <w:t>污泥</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60" w:firstLineChars="200"/>
              <w:jc w:val="both"/>
              <w:textAlignment w:val="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pacing w:val="-5"/>
                <w:sz w:val="24"/>
                <w:szCs w:val="24"/>
                <w:highlight w:val="none"/>
              </w:rPr>
              <w:t>化粪池</w:t>
            </w:r>
            <w:r>
              <w:rPr>
                <w:rFonts w:hint="default" w:ascii="Times New Roman" w:hAnsi="Times New Roman" w:eastAsia="宋体" w:cs="Times New Roman"/>
                <w:b w:val="0"/>
                <w:bCs w:val="0"/>
                <w:color w:val="auto"/>
                <w:spacing w:val="-5"/>
                <w:sz w:val="24"/>
                <w:szCs w:val="24"/>
                <w:highlight w:val="none"/>
                <w:lang w:eastAsia="zh-CN"/>
              </w:rPr>
              <w:t>及一体化污水处理站</w:t>
            </w:r>
            <w:r>
              <w:rPr>
                <w:rFonts w:hint="default" w:ascii="Times New Roman" w:hAnsi="Times New Roman" w:eastAsia="宋体" w:cs="Times New Roman"/>
                <w:b w:val="0"/>
                <w:bCs w:val="0"/>
                <w:color w:val="auto"/>
                <w:spacing w:val="-5"/>
                <w:sz w:val="24"/>
                <w:szCs w:val="24"/>
                <w:highlight w:val="none"/>
              </w:rPr>
              <w:t>污泥产生量根据《室外排水设计规范》提供的数据，按每人每日</w:t>
            </w:r>
            <w:r>
              <w:rPr>
                <w:rFonts w:hint="default" w:ascii="Times New Roman" w:hAnsi="Times New Roman" w:eastAsia="宋体" w:cs="Times New Roman"/>
                <w:b w:val="0"/>
                <w:bCs w:val="0"/>
                <w:color w:val="auto"/>
                <w:sz w:val="24"/>
                <w:szCs w:val="24"/>
                <w:highlight w:val="none"/>
              </w:rPr>
              <w:t>初级沉淀池污泥（干）产生量14~27g，本次计算取20g，污泥含水率</w:t>
            </w:r>
            <w:r>
              <w:rPr>
                <w:rFonts w:hint="default" w:ascii="Times New Roman" w:hAnsi="Times New Roman" w:eastAsia="宋体" w:cs="Times New Roman"/>
                <w:b w:val="0"/>
                <w:bCs w:val="0"/>
                <w:color w:val="auto"/>
                <w:spacing w:val="-1"/>
                <w:sz w:val="24"/>
                <w:szCs w:val="24"/>
                <w:highlight w:val="none"/>
              </w:rPr>
              <w:t>大概在</w:t>
            </w:r>
            <w:r>
              <w:rPr>
                <w:rFonts w:hint="default" w:ascii="Times New Roman" w:hAnsi="Times New Roman" w:eastAsia="宋体" w:cs="Times New Roman"/>
                <w:b w:val="0"/>
                <w:bCs w:val="0"/>
                <w:color w:val="auto"/>
                <w:sz w:val="24"/>
                <w:szCs w:val="24"/>
                <w:highlight w:val="none"/>
              </w:rPr>
              <w:t>90％左右，项目工作人员为</w:t>
            </w:r>
            <w:r>
              <w:rPr>
                <w:rFonts w:hint="eastAsia"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0</w:t>
            </w:r>
            <w:r>
              <w:rPr>
                <w:rFonts w:hint="default" w:ascii="Times New Roman" w:hAnsi="Times New Roman" w:eastAsia="宋体" w:cs="Times New Roman"/>
                <w:b w:val="0"/>
                <w:bCs w:val="0"/>
                <w:color w:val="auto"/>
                <w:sz w:val="24"/>
                <w:szCs w:val="24"/>
                <w:highlight w:val="none"/>
              </w:rPr>
              <w:t>人，则化粪池</w:t>
            </w:r>
            <w:r>
              <w:rPr>
                <w:rFonts w:hint="default" w:ascii="Times New Roman" w:hAnsi="Times New Roman" w:eastAsia="宋体" w:cs="Times New Roman"/>
                <w:b w:val="0"/>
                <w:bCs w:val="0"/>
                <w:color w:val="auto"/>
                <w:spacing w:val="-5"/>
                <w:sz w:val="24"/>
                <w:szCs w:val="24"/>
                <w:highlight w:val="none"/>
                <w:lang w:eastAsia="zh-CN"/>
              </w:rPr>
              <w:t>及一体化污水处理站污泥</w:t>
            </w:r>
            <w:r>
              <w:rPr>
                <w:rFonts w:hint="default" w:ascii="Times New Roman" w:hAnsi="Times New Roman" w:eastAsia="宋体" w:cs="Times New Roman"/>
                <w:b w:val="0"/>
                <w:bCs w:val="0"/>
                <w:color w:val="auto"/>
                <w:sz w:val="24"/>
                <w:szCs w:val="24"/>
                <w:highlight w:val="none"/>
              </w:rPr>
              <w:t>的产生量约</w:t>
            </w:r>
            <w:r>
              <w:rPr>
                <w:rFonts w:hint="eastAsia" w:cs="Times New Roman"/>
                <w:b w:val="0"/>
                <w:bCs w:val="0"/>
                <w:color w:val="auto"/>
                <w:sz w:val="24"/>
                <w:szCs w:val="24"/>
                <w:highlight w:val="none"/>
                <w:lang w:val="en-US" w:eastAsia="zh-CN"/>
              </w:rPr>
              <w:t>1.2</w:t>
            </w:r>
            <w:r>
              <w:rPr>
                <w:rFonts w:hint="default" w:ascii="Times New Roman" w:hAnsi="Times New Roman" w:eastAsia="宋体" w:cs="Times New Roman"/>
                <w:b w:val="0"/>
                <w:bCs w:val="0"/>
                <w:color w:val="auto"/>
                <w:spacing w:val="-3"/>
                <w:sz w:val="24"/>
                <w:szCs w:val="24"/>
                <w:highlight w:val="none"/>
              </w:rPr>
              <w:t>kg/d，</w:t>
            </w:r>
            <w:r>
              <w:rPr>
                <w:rFonts w:hint="default" w:ascii="Times New Roman" w:hAnsi="Times New Roman" w:eastAsia="宋体" w:cs="Times New Roman"/>
                <w:b w:val="0"/>
                <w:bCs w:val="0"/>
                <w:color w:val="auto"/>
                <w:spacing w:val="-3"/>
                <w:sz w:val="24"/>
                <w:szCs w:val="24"/>
                <w:highlight w:val="none"/>
                <w:lang w:val="en-US" w:eastAsia="zh-CN"/>
              </w:rPr>
              <w:t>0.</w:t>
            </w:r>
            <w:r>
              <w:rPr>
                <w:rFonts w:hint="eastAsia" w:cs="Times New Roman"/>
                <w:b w:val="0"/>
                <w:bCs w:val="0"/>
                <w:color w:val="auto"/>
                <w:spacing w:val="-3"/>
                <w:sz w:val="24"/>
                <w:szCs w:val="24"/>
                <w:highlight w:val="none"/>
                <w:lang w:val="en-US" w:eastAsia="zh-CN"/>
              </w:rPr>
              <w:t>36</w:t>
            </w:r>
            <w:r>
              <w:rPr>
                <w:rFonts w:hint="default" w:ascii="Times New Roman" w:hAnsi="Times New Roman" w:eastAsia="宋体" w:cs="Times New Roman"/>
                <w:b w:val="0"/>
                <w:bCs w:val="0"/>
                <w:color w:val="auto"/>
                <w:sz w:val="24"/>
                <w:szCs w:val="24"/>
                <w:highlight w:val="none"/>
              </w:rPr>
              <w:t>t/a，委托环卫部门定期清掏清运处置。</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3、危险废物</w:t>
            </w:r>
          </w:p>
          <w:p>
            <w:pPr>
              <w:pStyle w:val="84"/>
              <w:keepNext w:val="0"/>
              <w:keepLines w:val="0"/>
              <w:pageBreakBefore w:val="0"/>
              <w:kinsoku/>
              <w:wordWrap/>
              <w:overflowPunct/>
              <w:topLinePunct w:val="0"/>
              <w:autoSpaceDE w:val="0"/>
              <w:autoSpaceDN w:val="0"/>
              <w:bidi w:val="0"/>
              <w:adjustRightInd/>
              <w:spacing w:beforeLines="0" w:afterLines="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color w:val="auto"/>
                <w:sz w:val="24"/>
                <w:szCs w:val="24"/>
                <w:highlight w:val="none"/>
                <w:lang w:val="en-US" w:eastAsia="zh-CN"/>
              </w:rPr>
              <w:t>（1）废气处</w:t>
            </w:r>
            <w:r>
              <w:rPr>
                <w:rFonts w:hint="default" w:ascii="Times New Roman" w:hAnsi="Times New Roman" w:eastAsia="宋体" w:cs="Times New Roman"/>
                <w:color w:val="auto"/>
                <w:kern w:val="2"/>
                <w:sz w:val="24"/>
                <w:szCs w:val="24"/>
                <w:highlight w:val="none"/>
                <w:lang w:val="en-US" w:eastAsia="zh-CN" w:bidi="ar-SA"/>
              </w:rPr>
              <w:t>理过程产生的废活性炭</w:t>
            </w:r>
          </w:p>
          <w:p>
            <w:pPr>
              <w:pStyle w:val="106"/>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kern w:val="0"/>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项目生产废气采用</w:t>
            </w:r>
            <w:r>
              <w:rPr>
                <w:rFonts w:hint="eastAsia"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lang w:eastAsia="zh-CN"/>
              </w:rPr>
              <w:t>级活性炭吸附装置”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运营</w:t>
            </w:r>
            <w:r>
              <w:rPr>
                <w:rFonts w:hint="default" w:ascii="Times New Roman" w:hAnsi="Times New Roman" w:eastAsia="宋体" w:cs="Times New Roman"/>
                <w:color w:val="auto"/>
                <w:sz w:val="24"/>
                <w:szCs w:val="24"/>
                <w:highlight w:val="none"/>
              </w:rPr>
              <w:t>过程中会产生</w:t>
            </w:r>
            <w:r>
              <w:rPr>
                <w:rFonts w:hint="default" w:ascii="Times New Roman" w:hAnsi="Times New Roman" w:eastAsia="宋体" w:cs="Times New Roman"/>
                <w:b w:val="0"/>
                <w:bCs w:val="0"/>
                <w:color w:val="auto"/>
                <w:sz w:val="24"/>
                <w:szCs w:val="24"/>
                <w:highlight w:val="none"/>
                <w:lang w:val="en-US" w:eastAsia="zh-CN"/>
              </w:rPr>
              <w:t>废活性炭。</w:t>
            </w:r>
            <w:r>
              <w:rPr>
                <w:rFonts w:hint="default" w:ascii="Times New Roman" w:hAnsi="Times New Roman" w:eastAsia="宋体" w:cs="Times New Roman"/>
                <w:color w:val="auto"/>
                <w:sz w:val="24"/>
                <w:szCs w:val="24"/>
                <w:highlight w:val="none"/>
                <w:lang w:bidi="en-US"/>
              </w:rPr>
              <w:t>本项目使用</w:t>
            </w:r>
            <w:r>
              <w:rPr>
                <w:rFonts w:hint="default" w:ascii="Times New Roman" w:hAnsi="Times New Roman" w:eastAsia="宋体" w:cs="Times New Roman"/>
                <w:color w:val="auto"/>
                <w:sz w:val="24"/>
                <w:szCs w:val="24"/>
                <w:highlight w:val="none"/>
              </w:rPr>
              <w:t>活性炭处理设施对</w:t>
            </w:r>
            <w:r>
              <w:rPr>
                <w:rFonts w:hint="default" w:ascii="Times New Roman" w:hAnsi="Times New Roman" w:eastAsia="宋体" w:cs="Times New Roman"/>
                <w:bCs/>
                <w:color w:val="auto"/>
                <w:sz w:val="24"/>
                <w:szCs w:val="24"/>
                <w:highlight w:val="none"/>
              </w:rPr>
              <w:t>有组织</w:t>
            </w:r>
            <w:r>
              <w:rPr>
                <w:rFonts w:hint="default" w:ascii="Times New Roman" w:hAnsi="Times New Roman" w:eastAsia="宋体" w:cs="Times New Roman"/>
                <w:bCs/>
                <w:color w:val="auto"/>
                <w:sz w:val="24"/>
                <w:szCs w:val="24"/>
                <w:highlight w:val="none"/>
                <w:lang w:val="en-US" w:eastAsia="zh-CN"/>
              </w:rPr>
              <w:t>废气</w:t>
            </w:r>
            <w:r>
              <w:rPr>
                <w:rFonts w:hint="default" w:ascii="Times New Roman" w:hAnsi="Times New Roman" w:eastAsia="宋体" w:cs="Times New Roman"/>
                <w:bCs/>
                <w:color w:val="auto"/>
                <w:sz w:val="24"/>
                <w:szCs w:val="24"/>
                <w:highlight w:val="none"/>
              </w:rPr>
              <w:t>进行吸附</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default" w:ascii="Times New Roman" w:hAnsi="Times New Roman" w:eastAsia="宋体" w:cs="Times New Roman"/>
                <w:color w:val="auto"/>
                <w:sz w:val="24"/>
                <w:szCs w:val="24"/>
                <w:highlight w:val="none"/>
              </w:rPr>
              <w:t>参考陆良杰、王京刚在《化工环保》2007年05期发表的《挥发性有机物的物化性质与活性炭饱和吸附量的相关性研究》，活性炭对</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的饱和吸附量为280mg/g，项目共设置</w:t>
            </w:r>
            <w:r>
              <w:rPr>
                <w:rFonts w:hint="eastAsia"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套</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”装置，吸附</w:t>
            </w:r>
            <w:r>
              <w:rPr>
                <w:rFonts w:hint="default" w:ascii="Times New Roman" w:hAnsi="Times New Roman" w:eastAsia="宋体" w:cs="Times New Roman"/>
                <w:color w:val="auto"/>
                <w:sz w:val="24"/>
                <w:szCs w:val="24"/>
                <w:highlight w:val="none"/>
                <w:lang w:eastAsia="zh-CN"/>
              </w:rPr>
              <w:t>挥发性有机废气</w:t>
            </w:r>
            <w:r>
              <w:rPr>
                <w:rFonts w:hint="default" w:ascii="Times New Roman" w:hAnsi="Times New Roman" w:eastAsia="宋体" w:cs="Times New Roman"/>
                <w:color w:val="auto"/>
                <w:sz w:val="24"/>
                <w:szCs w:val="24"/>
                <w:highlight w:val="none"/>
              </w:rPr>
              <w:t>量为</w:t>
            </w:r>
            <w:r>
              <w:rPr>
                <w:rFonts w:hint="eastAsia" w:eastAsia="宋体" w:cs="Times New Roman"/>
                <w:color w:val="auto"/>
                <w:sz w:val="24"/>
                <w:szCs w:val="24"/>
                <w:highlight w:val="none"/>
                <w:lang w:val="en-US" w:eastAsia="zh-CN"/>
              </w:rPr>
              <w:t>5.8982</w:t>
            </w:r>
            <w:r>
              <w:rPr>
                <w:rFonts w:hint="default" w:ascii="Times New Roman" w:hAnsi="Times New Roman" w:eastAsia="宋体" w:cs="Times New Roman"/>
                <w:color w:val="auto"/>
                <w:sz w:val="24"/>
                <w:szCs w:val="24"/>
                <w:highlight w:val="none"/>
              </w:rPr>
              <w:t>t，则活性炭用量为</w:t>
            </w:r>
            <w:r>
              <w:rPr>
                <w:rFonts w:hint="eastAsia" w:eastAsia="宋体" w:cs="Times New Roman"/>
                <w:color w:val="auto"/>
                <w:sz w:val="24"/>
                <w:szCs w:val="24"/>
                <w:highlight w:val="none"/>
                <w:lang w:val="en-US" w:eastAsia="zh-CN"/>
              </w:rPr>
              <w:t>21.065</w:t>
            </w:r>
            <w:r>
              <w:rPr>
                <w:rFonts w:hint="default" w:ascii="Times New Roman" w:hAnsi="Times New Roman" w:eastAsia="宋体" w:cs="Times New Roman"/>
                <w:color w:val="auto"/>
                <w:sz w:val="24"/>
                <w:szCs w:val="24"/>
                <w:highlight w:val="none"/>
              </w:rPr>
              <w:t>t/a，废活性炭产生量为</w:t>
            </w:r>
            <w:r>
              <w:rPr>
                <w:rFonts w:hint="eastAsia" w:eastAsia="宋体" w:cs="Times New Roman"/>
                <w:color w:val="auto"/>
                <w:sz w:val="24"/>
                <w:szCs w:val="24"/>
                <w:highlight w:val="none"/>
                <w:lang w:val="en-US" w:eastAsia="zh-CN"/>
              </w:rPr>
              <w:t>26.9632</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bidi="ar"/>
              </w:rPr>
              <w:t>根据《国家危险废物名录》</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2021年版</w:t>
            </w:r>
            <w:r>
              <w:rPr>
                <w:rFonts w:hint="default" w:ascii="Times New Roman" w:hAnsi="Times New Roman" w:eastAsia="宋体" w:cs="Times New Roman"/>
                <w:color w:val="auto"/>
                <w:sz w:val="24"/>
                <w:szCs w:val="24"/>
                <w:highlight w:val="none"/>
                <w:lang w:eastAsia="zh-CN" w:bidi="ar"/>
              </w:rPr>
              <w:t>）</w:t>
            </w:r>
            <w:r>
              <w:rPr>
                <w:rFonts w:hint="default" w:ascii="Times New Roman" w:hAnsi="Times New Roman" w:eastAsia="宋体" w:cs="Times New Roman"/>
                <w:color w:val="auto"/>
                <w:sz w:val="24"/>
                <w:szCs w:val="24"/>
                <w:highlight w:val="none"/>
                <w:lang w:bidi="ar"/>
              </w:rPr>
              <w:t>，废活性炭属于</w:t>
            </w:r>
            <w:r>
              <w:rPr>
                <w:rFonts w:hint="default" w:ascii="Times New Roman" w:hAnsi="Times New Roman" w:eastAsia="宋体" w:cs="Times New Roman"/>
                <w:color w:val="auto"/>
                <w:sz w:val="24"/>
                <w:szCs w:val="24"/>
                <w:highlight w:val="none"/>
                <w:lang w:eastAsia="zh-CN"/>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900-0</w:t>
            </w:r>
            <w:r>
              <w:rPr>
                <w:rFonts w:hint="default" w:ascii="Times New Roman" w:hAnsi="Times New Roman" w:eastAsia="宋体" w:cs="Times New Roman"/>
                <w:bCs/>
                <w:color w:val="auto"/>
                <w:kern w:val="0"/>
                <w:sz w:val="24"/>
                <w:szCs w:val="24"/>
                <w:highlight w:val="none"/>
                <w:lang w:val="en-US" w:eastAsia="zh-CN"/>
              </w:rPr>
              <w:t>39</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4</w:t>
            </w:r>
            <w:r>
              <w:rPr>
                <w:rFonts w:hint="default" w:ascii="Times New Roman" w:hAnsi="Times New Roman" w:eastAsia="宋体" w:cs="Times New Roman"/>
                <w:bCs/>
                <w:color w:val="auto"/>
                <w:kern w:val="0"/>
                <w:sz w:val="24"/>
                <w:szCs w:val="24"/>
                <w:highlight w:val="none"/>
              </w:rPr>
              <w:t>9</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废活性炭收集暂存于危废暂存间后，委托资质单位</w:t>
            </w:r>
            <w:r>
              <w:rPr>
                <w:rFonts w:hint="default" w:ascii="Times New Roman" w:hAnsi="Times New Roman" w:eastAsia="宋体" w:cs="Times New Roman"/>
                <w:color w:val="auto"/>
                <w:sz w:val="24"/>
                <w:szCs w:val="24"/>
                <w:highlight w:val="none"/>
                <w:lang w:eastAsia="zh-CN"/>
              </w:rPr>
              <w:t>清运处置</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机修废物</w:t>
            </w:r>
          </w:p>
          <w:p>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bCs/>
                <w:color w:val="auto"/>
                <w:sz w:val="24"/>
                <w:szCs w:val="24"/>
                <w:highlight w:val="none"/>
              </w:rPr>
              <w:t>建设单位提供资料，项目区内的机械设备需定期进行维修保养，该过程会产生废机油及</w:t>
            </w:r>
            <w:r>
              <w:rPr>
                <w:rFonts w:hint="default" w:ascii="Times New Roman" w:hAnsi="Times New Roman" w:eastAsia="宋体" w:cs="Times New Roman"/>
                <w:color w:val="auto"/>
                <w:sz w:val="24"/>
                <w:szCs w:val="24"/>
                <w:highlight w:val="none"/>
              </w:rPr>
              <w:t>工作人员工作使用的废弃手套、毛巾等，</w:t>
            </w:r>
            <w:r>
              <w:rPr>
                <w:rFonts w:hint="default" w:ascii="Times New Roman" w:hAnsi="Times New Roman" w:eastAsia="宋体" w:cs="Times New Roman"/>
                <w:bCs/>
                <w:color w:val="auto"/>
                <w:sz w:val="24"/>
                <w:szCs w:val="24"/>
                <w:highlight w:val="none"/>
              </w:rPr>
              <w:t>废机油产生</w:t>
            </w:r>
            <w:r>
              <w:rPr>
                <w:rFonts w:hint="default" w:ascii="Times New Roman" w:hAnsi="Times New Roman" w:eastAsia="宋体" w:cs="Times New Roman"/>
                <w:bCs/>
                <w:color w:val="auto"/>
                <w:sz w:val="24"/>
                <w:szCs w:val="24"/>
                <w:highlight w:val="none"/>
                <w:lang w:eastAsia="zh-CN"/>
              </w:rPr>
              <w:t>量</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t/a，废弃的含油抹布、劳保用品等</w:t>
            </w:r>
            <w:r>
              <w:rPr>
                <w:rFonts w:hint="default" w:ascii="Times New Roman" w:hAnsi="Times New Roman" w:eastAsia="宋体" w:cs="Times New Roman"/>
                <w:bCs/>
                <w:color w:val="auto"/>
                <w:sz w:val="24"/>
                <w:szCs w:val="24"/>
                <w:highlight w:val="none"/>
              </w:rPr>
              <w:t>产生</w:t>
            </w:r>
            <w:r>
              <w:rPr>
                <w:rFonts w:hint="default" w:ascii="Times New Roman" w:hAnsi="Times New Roman" w:eastAsia="宋体" w:cs="Times New Roman"/>
                <w:color w:val="auto"/>
                <w:sz w:val="24"/>
                <w:szCs w:val="24"/>
                <w:highlight w:val="none"/>
              </w:rPr>
              <w:t>约为0.</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t/a。</w:t>
            </w:r>
            <w:r>
              <w:rPr>
                <w:rStyle w:val="99"/>
                <w:rFonts w:hint="default" w:ascii="Times New Roman" w:hAnsi="Times New Roman" w:eastAsia="宋体" w:cs="Times New Roman"/>
                <w:color w:val="auto"/>
                <w:spacing w:val="0"/>
                <w:sz w:val="24"/>
                <w:szCs w:val="24"/>
                <w:highlight w:val="none"/>
              </w:rPr>
              <w:t>根据</w:t>
            </w:r>
            <w:r>
              <w:rPr>
                <w:rFonts w:hint="default" w:ascii="Times New Roman" w:hAnsi="Times New Roman" w:eastAsia="宋体" w:cs="Times New Roman"/>
                <w:color w:val="auto"/>
                <w:sz w:val="24"/>
                <w:szCs w:val="24"/>
                <w:highlight w:val="none"/>
              </w:rPr>
              <w:t>《国家危险废物名录》（</w:t>
            </w:r>
            <w:r>
              <w:rPr>
                <w:rFonts w:hint="default" w:ascii="Times New Roman" w:hAnsi="Times New Roman" w:eastAsia="宋体" w:cs="Times New Roman"/>
                <w:color w:val="auto"/>
                <w:sz w:val="24"/>
                <w:szCs w:val="24"/>
                <w:highlight w:val="none"/>
                <w:lang w:val="en-US" w:eastAsia="zh-CN"/>
              </w:rPr>
              <w:t>2021</w:t>
            </w:r>
            <w:r>
              <w:rPr>
                <w:rFonts w:hint="default" w:ascii="Times New Roman" w:hAnsi="Times New Roman" w:eastAsia="宋体" w:cs="Times New Roman"/>
                <w:color w:val="auto"/>
                <w:sz w:val="24"/>
                <w:szCs w:val="24"/>
                <w:highlight w:val="none"/>
              </w:rPr>
              <w:t>版）</w:t>
            </w:r>
            <w:r>
              <w:rPr>
                <w:rFonts w:hint="default" w:ascii="Times New Roman" w:hAnsi="Times New Roman" w:eastAsia="宋体" w:cs="Times New Roman"/>
                <w:color w:val="auto"/>
                <w:sz w:val="24"/>
                <w:szCs w:val="24"/>
                <w:highlight w:val="none"/>
                <w:lang w:eastAsia="zh-CN"/>
              </w:rPr>
              <w:t>，废机油</w:t>
            </w:r>
            <w:r>
              <w:rPr>
                <w:rFonts w:hint="default" w:ascii="Times New Roman" w:hAnsi="Times New Roman" w:eastAsia="宋体" w:cs="Times New Roman"/>
                <w:color w:val="auto"/>
                <w:sz w:val="24"/>
                <w:szCs w:val="24"/>
                <w:highlight w:val="none"/>
                <w:lang w:bidi="ar"/>
              </w:rPr>
              <w:t>属于</w:t>
            </w:r>
            <w:r>
              <w:rPr>
                <w:rFonts w:hint="default" w:ascii="Times New Roman" w:hAnsi="Times New Roman" w:eastAsia="宋体" w:cs="Times New Roman"/>
                <w:color w:val="auto"/>
                <w:sz w:val="24"/>
                <w:szCs w:val="24"/>
                <w:highlight w:val="none"/>
                <w:lang w:eastAsia="zh-CN"/>
              </w:rPr>
              <w:t>HW</w:t>
            </w:r>
            <w:r>
              <w:rPr>
                <w:rFonts w:hint="default" w:ascii="Times New Roman" w:hAnsi="Times New Roman" w:eastAsia="宋体" w:cs="Times New Roman"/>
                <w:color w:val="auto"/>
                <w:sz w:val="24"/>
                <w:szCs w:val="24"/>
                <w:highlight w:val="none"/>
                <w:lang w:val="en-US" w:eastAsia="zh-CN"/>
              </w:rPr>
              <w:t>08废矿物油与含矿物油废物类</w:t>
            </w:r>
            <w:r>
              <w:rPr>
                <w:rFonts w:hint="default" w:ascii="Times New Roman" w:hAnsi="Times New Roman" w:eastAsia="宋体" w:cs="Times New Roman"/>
                <w:color w:val="auto"/>
                <w:sz w:val="24"/>
                <w:szCs w:val="24"/>
                <w:highlight w:val="none"/>
              </w:rPr>
              <w:t>危险废物，危废代码为</w:t>
            </w:r>
            <w:r>
              <w:rPr>
                <w:rFonts w:hint="default" w:ascii="Times New Roman" w:hAnsi="Times New Roman" w:eastAsia="宋体" w:cs="Times New Roman"/>
                <w:bCs/>
                <w:color w:val="auto"/>
                <w:kern w:val="0"/>
                <w:sz w:val="24"/>
                <w:szCs w:val="24"/>
                <w:highlight w:val="none"/>
              </w:rPr>
              <w:t>900-</w:t>
            </w:r>
            <w:r>
              <w:rPr>
                <w:rFonts w:hint="default" w:ascii="Times New Roman" w:hAnsi="Times New Roman" w:eastAsia="宋体" w:cs="Times New Roman"/>
                <w:bCs/>
                <w:color w:val="auto"/>
                <w:kern w:val="0"/>
                <w:sz w:val="24"/>
                <w:szCs w:val="24"/>
                <w:highlight w:val="none"/>
                <w:lang w:val="en-US" w:eastAsia="zh-CN"/>
              </w:rPr>
              <w:t>214</w:t>
            </w:r>
            <w:r>
              <w:rPr>
                <w:rFonts w:hint="default" w:ascii="Times New Roman" w:hAnsi="Times New Roman" w:eastAsia="宋体" w:cs="Times New Roman"/>
                <w:bCs/>
                <w:color w:val="auto"/>
                <w:kern w:val="0"/>
                <w:sz w:val="24"/>
                <w:szCs w:val="24"/>
                <w:highlight w:val="none"/>
              </w:rPr>
              <w:t>-</w:t>
            </w:r>
            <w:r>
              <w:rPr>
                <w:rFonts w:hint="default" w:ascii="Times New Roman" w:hAnsi="Times New Roman" w:eastAsia="宋体" w:cs="Times New Roman"/>
                <w:bCs/>
                <w:color w:val="auto"/>
                <w:kern w:val="0"/>
                <w:sz w:val="24"/>
                <w:szCs w:val="24"/>
                <w:highlight w:val="none"/>
                <w:lang w:val="en-US" w:eastAsia="zh-CN"/>
              </w:rPr>
              <w:t>08；</w:t>
            </w:r>
            <w:r>
              <w:rPr>
                <w:rFonts w:hint="default" w:ascii="Times New Roman" w:hAnsi="Times New Roman" w:eastAsia="宋体" w:cs="Times New Roman"/>
                <w:color w:val="auto"/>
                <w:sz w:val="24"/>
                <w:szCs w:val="24"/>
                <w:highlight w:val="none"/>
              </w:rPr>
              <w:t>废弃的含油抹布、劳保用品</w:t>
            </w:r>
            <w:r>
              <w:rPr>
                <w:rFonts w:hint="default" w:ascii="Times New Roman" w:hAnsi="Times New Roman" w:eastAsia="宋体" w:cs="Times New Roman"/>
                <w:color w:val="auto"/>
                <w:sz w:val="24"/>
                <w:szCs w:val="24"/>
                <w:highlight w:val="none"/>
                <w:lang w:eastAsia="zh-CN"/>
              </w:rPr>
              <w:t>属于</w:t>
            </w:r>
            <w:r>
              <w:rPr>
                <w:rFonts w:hint="default" w:ascii="Times New Roman" w:hAnsi="Times New Roman" w:eastAsia="宋体" w:cs="Times New Roman"/>
                <w:color w:val="auto"/>
                <w:sz w:val="24"/>
                <w:szCs w:val="24"/>
                <w:highlight w:val="none"/>
              </w:rPr>
              <w:t>HW49其他废物</w:t>
            </w:r>
            <w:r>
              <w:rPr>
                <w:rFonts w:hint="default" w:ascii="Times New Roman" w:hAnsi="Times New Roman" w:eastAsia="宋体" w:cs="Times New Roman"/>
                <w:color w:val="auto"/>
                <w:sz w:val="24"/>
                <w:szCs w:val="24"/>
                <w:highlight w:val="none"/>
                <w:lang w:val="en-US" w:eastAsia="zh-CN"/>
              </w:rPr>
              <w:t>类</w:t>
            </w:r>
            <w:r>
              <w:rPr>
                <w:rFonts w:hint="default" w:ascii="Times New Roman" w:hAnsi="Times New Roman" w:eastAsia="宋体" w:cs="Times New Roman"/>
                <w:color w:val="auto"/>
                <w:sz w:val="24"/>
                <w:szCs w:val="24"/>
                <w:highlight w:val="none"/>
              </w:rPr>
              <w:t>危险废物，危废代码为900-041-49</w:t>
            </w:r>
            <w:r>
              <w:rPr>
                <w:rStyle w:val="99"/>
                <w:rFonts w:hint="default" w:ascii="Times New Roman" w:hAnsi="Times New Roman" w:eastAsia="宋体" w:cs="Times New Roman"/>
                <w:color w:val="auto"/>
                <w:spacing w:val="0"/>
                <w:sz w:val="24"/>
                <w:szCs w:val="24"/>
                <w:highlight w:val="none"/>
              </w:rPr>
              <w:t>。</w:t>
            </w:r>
          </w:p>
          <w:p>
            <w:pPr>
              <w:pStyle w:val="63"/>
              <w:keepNext w:val="0"/>
              <w:keepLines w:val="0"/>
              <w:pageBreakBefore w:val="0"/>
              <w:kinsoku/>
              <w:wordWrap/>
              <w:overflowPunct/>
              <w:topLinePunct w:val="0"/>
              <w:autoSpaceDE/>
              <w:autoSpaceDN/>
              <w:bidi w:val="0"/>
              <w:adjustRightInd/>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本次环评提出在</w:t>
            </w:r>
            <w:r>
              <w:rPr>
                <w:rFonts w:hint="default" w:ascii="Times New Roman" w:hAnsi="Times New Roman" w:eastAsia="宋体" w:cs="Times New Roman"/>
                <w:color w:val="auto"/>
                <w:sz w:val="24"/>
                <w:szCs w:val="24"/>
                <w:highlight w:val="none"/>
              </w:rPr>
              <w:t>项目区内设置</w:t>
            </w:r>
            <w:r>
              <w:rPr>
                <w:rFonts w:hint="default" w:ascii="Times New Roman" w:hAnsi="Times New Roman" w:eastAsia="宋体" w:cs="Times New Roman"/>
                <w:color w:val="auto"/>
                <w:sz w:val="24"/>
                <w:szCs w:val="24"/>
                <w:highlight w:val="none"/>
                <w:lang w:val="en-US" w:eastAsia="zh-CN"/>
              </w:rPr>
              <w:t>1间面积约为</w:t>
            </w:r>
            <w:r>
              <w:rPr>
                <w:rFonts w:hint="eastAsia"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2</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rPr>
              <w:t>危废暂存间</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w:t>
            </w:r>
            <w:r>
              <w:rPr>
                <w:rFonts w:hint="default" w:ascii="Times New Roman" w:hAnsi="Times New Roman" w:eastAsia="宋体" w:cs="Times New Roman"/>
                <w:color w:val="auto"/>
                <w:sz w:val="24"/>
                <w:szCs w:val="24"/>
                <w:highlight w:val="none"/>
              </w:rPr>
              <w:t>抗渗混凝土</w:t>
            </w:r>
            <w:r>
              <w:rPr>
                <w:rFonts w:hint="default" w:ascii="Times New Roman" w:hAnsi="Times New Roman" w:eastAsia="宋体" w:cs="Times New Roman"/>
                <w:color w:val="auto"/>
                <w:sz w:val="24"/>
                <w:szCs w:val="24"/>
                <w:highlight w:val="none"/>
                <w:lang w:val="zh-CN"/>
              </w:rPr>
              <w:t>+2mm</w:t>
            </w:r>
            <w:r>
              <w:rPr>
                <w:rFonts w:hint="default" w:ascii="Times New Roman" w:hAnsi="Times New Roman" w:eastAsia="宋体" w:cs="Times New Roman"/>
                <w:color w:val="auto"/>
                <w:sz w:val="24"/>
                <w:szCs w:val="24"/>
                <w:lang w:val="zh-CN"/>
              </w:rPr>
              <w:t>厚HDPE+环氧树脂</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并按照要求设置规范的标识标牌，同时内设</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个专用危废收集容器，</w:t>
            </w:r>
            <w:r>
              <w:rPr>
                <w:rFonts w:hint="default" w:ascii="Times New Roman" w:hAnsi="Times New Roman" w:eastAsia="宋体" w:cs="Times New Roman"/>
                <w:color w:val="auto"/>
                <w:sz w:val="24"/>
                <w:szCs w:val="24"/>
                <w:highlight w:val="none"/>
                <w:lang w:val="en-US" w:eastAsia="zh-CN"/>
              </w:rPr>
              <w:t>将项目区内所有危险废物收集后分区暂存于</w:t>
            </w:r>
            <w:r>
              <w:rPr>
                <w:rFonts w:hint="default" w:ascii="Times New Roman" w:hAnsi="Times New Roman" w:eastAsia="宋体" w:cs="Times New Roman"/>
                <w:color w:val="auto"/>
                <w:sz w:val="24"/>
                <w:szCs w:val="24"/>
                <w:highlight w:val="none"/>
              </w:rPr>
              <w:t>危废暂存间内，最终委托有资质的单位定期清运、处置。</w:t>
            </w:r>
          </w:p>
          <w:p>
            <w:pPr>
              <w:pStyle w:val="3"/>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b w:val="0"/>
                <w:bCs/>
                <w:color w:val="auto"/>
                <w:kern w:val="0"/>
                <w:sz w:val="24"/>
                <w:szCs w:val="24"/>
                <w:highlight w:val="none"/>
              </w:rPr>
            </w:pPr>
            <w:r>
              <w:rPr>
                <w:rFonts w:hint="default" w:ascii="Times New Roman" w:hAnsi="Times New Roman" w:eastAsia="宋体" w:cs="Times New Roman"/>
                <w:b w:val="0"/>
                <w:bCs/>
                <w:color w:val="auto"/>
                <w:kern w:val="0"/>
                <w:sz w:val="24"/>
                <w:szCs w:val="24"/>
                <w:highlight w:val="none"/>
              </w:rPr>
              <w:t>企业严格按照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b w:val="0"/>
                <w:bCs/>
                <w:color w:val="auto"/>
                <w:kern w:val="0"/>
                <w:sz w:val="24"/>
                <w:szCs w:val="24"/>
                <w:highlight w:val="none"/>
              </w:rPr>
              <w:t>建设危险废物暂存间，将危险废物分类转入容器内，并粘贴危险废物标签，做好</w:t>
            </w:r>
            <w:r>
              <w:rPr>
                <w:rFonts w:hint="eastAsia" w:cs="Times New Roman"/>
                <w:b w:val="0"/>
                <w:bCs/>
                <w:color w:val="auto"/>
                <w:kern w:val="0"/>
                <w:sz w:val="24"/>
                <w:szCs w:val="24"/>
                <w:highlight w:val="none"/>
                <w:lang w:eastAsia="zh-CN"/>
              </w:rPr>
              <w:t>相应的记录</w:t>
            </w:r>
            <w:r>
              <w:rPr>
                <w:rFonts w:hint="default" w:ascii="Times New Roman" w:hAnsi="Times New Roman" w:eastAsia="宋体" w:cs="Times New Roman"/>
                <w:b w:val="0"/>
                <w:bCs/>
                <w:color w:val="auto"/>
                <w:kern w:val="0"/>
                <w:sz w:val="24"/>
                <w:szCs w:val="24"/>
                <w:highlight w:val="none"/>
              </w:rPr>
              <w:t>。对相应的暂存场建设基础防渗设施、防风、防雨、防晒并配备照明设施等，并与厂区内其它生产单元、办公生活区严格区分、单独隔离。对危险废物的转移处理须严格按照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b w:val="0"/>
                <w:bCs/>
                <w:color w:val="auto"/>
                <w:kern w:val="0"/>
                <w:sz w:val="24"/>
                <w:szCs w:val="24"/>
                <w:highlight w:val="none"/>
                <w:lang w:val="en-US" w:eastAsia="zh-CN"/>
              </w:rPr>
              <w:t>生态环境部</w:t>
            </w:r>
            <w:r>
              <w:rPr>
                <w:rFonts w:hint="default" w:ascii="Times New Roman" w:hAnsi="Times New Roman" w:eastAsia="宋体" w:cs="Times New Roman"/>
                <w:b w:val="0"/>
                <w:bCs/>
                <w:color w:val="auto"/>
                <w:kern w:val="0"/>
                <w:sz w:val="24"/>
                <w:szCs w:val="24"/>
                <w:highlight w:val="none"/>
              </w:rPr>
              <w:t>《危险废物转移管理办法》</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lang w:val="en-US" w:eastAsia="zh-CN"/>
              </w:rPr>
              <w:t>部令第23号</w:t>
            </w:r>
            <w:r>
              <w:rPr>
                <w:rFonts w:hint="default" w:ascii="Times New Roman" w:hAnsi="Times New Roman" w:eastAsia="宋体" w:cs="Times New Roman"/>
                <w:b w:val="0"/>
                <w:bCs/>
                <w:color w:val="auto"/>
                <w:kern w:val="0"/>
                <w:sz w:val="24"/>
                <w:szCs w:val="24"/>
                <w:highlight w:val="none"/>
                <w:lang w:eastAsia="zh-CN"/>
              </w:rPr>
              <w:t>）</w:t>
            </w:r>
            <w:r>
              <w:rPr>
                <w:rFonts w:hint="default" w:ascii="Times New Roman" w:hAnsi="Times New Roman" w:eastAsia="宋体" w:cs="Times New Roman"/>
                <w:b w:val="0"/>
                <w:bCs/>
                <w:color w:val="auto"/>
                <w:kern w:val="0"/>
                <w:sz w:val="24"/>
                <w:szCs w:val="24"/>
                <w:highlight w:val="none"/>
              </w:rPr>
              <w:t>执行。</w:t>
            </w:r>
          </w:p>
          <w:p>
            <w:pPr>
              <w:pStyle w:val="3"/>
              <w:keepNext w:val="0"/>
              <w:keepLines w:val="0"/>
              <w:pageBreakBefore w:val="0"/>
              <w:widowControl w:val="0"/>
              <w:kinsoku/>
              <w:wordWrap/>
              <w:overflowPunct/>
              <w:topLinePunct w:val="0"/>
              <w:autoSpaceDE/>
              <w:autoSpaceDN/>
              <w:bidi w:val="0"/>
              <w:snapToGrid w:val="0"/>
              <w:spacing w:after="0" w:line="356" w:lineRule="auto"/>
              <w:ind w:left="0" w:leftChars="0" w:right="0" w:rightChars="0" w:firstLine="48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0"/>
                <w:sz w:val="24"/>
                <w:szCs w:val="24"/>
                <w:highlight w:val="none"/>
                <w:lang w:val="zh-CN"/>
              </w:rPr>
              <w:t>项目所涉及的危险废物的危</w:t>
            </w:r>
            <w:r>
              <w:rPr>
                <w:rFonts w:hint="default" w:ascii="Times New Roman" w:hAnsi="Times New Roman" w:eastAsia="宋体" w:cs="Times New Roman"/>
                <w:color w:val="auto"/>
                <w:sz w:val="24"/>
                <w:highlight w:val="none"/>
                <w:lang w:val="zh-CN"/>
              </w:rPr>
              <w:t>险特性见表</w:t>
            </w:r>
            <w:r>
              <w:rPr>
                <w:rFonts w:hint="default" w:ascii="Times New Roman" w:hAnsi="Times New Roman" w:eastAsia="宋体" w:cs="Times New Roman"/>
                <w:color w:val="auto"/>
                <w:sz w:val="24"/>
                <w:highlight w:val="none"/>
                <w:lang w:val="en-US" w:eastAsia="zh-CN"/>
              </w:rPr>
              <w:t>4-25</w:t>
            </w:r>
            <w:r>
              <w:rPr>
                <w:rFonts w:hint="default" w:ascii="Times New Roman" w:hAnsi="Times New Roman" w:eastAsia="宋体" w:cs="Times New Roman"/>
                <w:color w:val="auto"/>
                <w:sz w:val="24"/>
                <w:highlight w:val="none"/>
              </w:rPr>
              <w:t>。</w:t>
            </w:r>
          </w:p>
          <w:p>
            <w:pPr>
              <w:pStyle w:val="10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w:t>
            </w:r>
            <w:r>
              <w:rPr>
                <w:rFonts w:hint="default" w:ascii="Times New Roman" w:hAnsi="Times New Roman" w:eastAsia="宋体" w:cs="Times New Roman"/>
                <w:color w:val="auto"/>
                <w:sz w:val="21"/>
                <w:szCs w:val="21"/>
                <w:highlight w:val="none"/>
                <w:lang w:val="en-US" w:eastAsia="zh-CN"/>
              </w:rPr>
              <w:t xml:space="preserve">4-25 </w:t>
            </w:r>
            <w:r>
              <w:rPr>
                <w:rFonts w:hint="default" w:ascii="Times New Roman" w:hAnsi="Times New Roman" w:eastAsia="宋体" w:cs="Times New Roman"/>
                <w:color w:val="auto"/>
                <w:sz w:val="21"/>
                <w:szCs w:val="21"/>
                <w:highlight w:val="none"/>
              </w:rPr>
              <w:t xml:space="preserve"> 国家危险废物名录（</w:t>
            </w:r>
            <w:r>
              <w:rPr>
                <w:rFonts w:hint="default" w:ascii="Times New Roman" w:hAnsi="Times New Roman" w:eastAsia="宋体" w:cs="Times New Roman"/>
                <w:color w:val="auto"/>
                <w:sz w:val="21"/>
                <w:szCs w:val="21"/>
                <w:highlight w:val="none"/>
                <w:lang w:val="en-US" w:eastAsia="zh-CN"/>
              </w:rPr>
              <w:t>2021</w:t>
            </w:r>
            <w:r>
              <w:rPr>
                <w:rFonts w:hint="default" w:ascii="Times New Roman" w:hAnsi="Times New Roman" w:eastAsia="宋体" w:cs="Times New Roman"/>
                <w:color w:val="auto"/>
                <w:sz w:val="21"/>
                <w:szCs w:val="21"/>
                <w:highlight w:val="none"/>
              </w:rPr>
              <w:t>年）（摘抄）</w:t>
            </w:r>
          </w:p>
          <w:tbl>
            <w:tblPr>
              <w:tblStyle w:val="27"/>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3"/>
              <w:gridCol w:w="1330"/>
              <w:gridCol w:w="900"/>
              <w:gridCol w:w="900"/>
              <w:gridCol w:w="354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废物类别</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行业来源</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废物代码</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危险废物</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危险特性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7"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废活性炭</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HW49其他废物</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烟气、VOCs治理过程（不包括餐饮行业油烟治理过程）产生的废活性炭</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HW08废矿物油</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3546"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zh-CN" w:eastAsia="zh-CN"/>
                    </w:rPr>
                    <w:t>车辆、轮船及其它机械维修过程中产生的废发动机油、制动器油、自动变速器油、齿轮油等废润滑油</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0" w:hRule="atLeast"/>
                <w:jc w:val="center"/>
              </w:trPr>
              <w:tc>
                <w:tcPr>
                  <w:tcW w:w="1093"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3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HW49其他废物</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非特定行业</w:t>
                  </w:r>
                </w:p>
              </w:tc>
              <w:tc>
                <w:tcPr>
                  <w:tcW w:w="900"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900-041-49</w:t>
                  </w:r>
                </w:p>
              </w:tc>
              <w:tc>
                <w:tcPr>
                  <w:tcW w:w="3546" w:type="dxa"/>
                  <w:tcBorders>
                    <w:tl2br w:val="nil"/>
                    <w:tr2bl w:val="nil"/>
                  </w:tcBorders>
                  <w:noWrap w:val="0"/>
                  <w:vAlign w:val="center"/>
                </w:tcPr>
                <w:p>
                  <w:pPr>
                    <w:spacing w:beforeLines="0" w:afterLines="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含有或沾染毒性、感染性危险废物的废弃包装物、容器、过滤吸附介质</w:t>
                  </w:r>
                </w:p>
              </w:tc>
              <w:tc>
                <w:tcPr>
                  <w:tcW w:w="748" w:type="dxa"/>
                  <w:tcBorders>
                    <w:tl2br w:val="nil"/>
                    <w:tr2bl w:val="nil"/>
                  </w:tcBorders>
                  <w:noWrap w:val="0"/>
                  <w:vAlign w:val="center"/>
                </w:tcPr>
                <w:p>
                  <w:pPr>
                    <w:pStyle w:val="10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综上分析，项目在严格落实环评提出的各项固体废弃物收集、储存设施确实实施的情况下，一般固体废弃物的储存处置能够达到《一般工业固体废物贮存</w:t>
            </w:r>
            <w:r>
              <w:rPr>
                <w:rFonts w:hint="default" w:ascii="Times New Roman" w:hAnsi="Times New Roman" w:eastAsia="宋体" w:cs="Times New Roman"/>
                <w:color w:val="auto"/>
                <w:sz w:val="24"/>
                <w:szCs w:val="24"/>
                <w:highlight w:val="none"/>
                <w:lang w:val="en-US"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，项目所产生的危险废物能够满足</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default" w:ascii="Times New Roman" w:hAnsi="Times New Roman" w:eastAsia="宋体" w:cs="Times New Roman"/>
                <w:color w:val="auto"/>
                <w:kern w:val="0"/>
                <w:sz w:val="24"/>
                <w:szCs w:val="24"/>
                <w:highlight w:val="none"/>
                <w:lang w:eastAsia="zh-CN"/>
              </w:rPr>
              <w:t>中有关规定</w:t>
            </w:r>
            <w:r>
              <w:rPr>
                <w:rFonts w:hint="default" w:ascii="Times New Roman" w:hAnsi="Times New Roman" w:eastAsia="宋体" w:cs="Times New Roman"/>
                <w:color w:val="auto"/>
                <w:sz w:val="24"/>
                <w:szCs w:val="24"/>
                <w:highlight w:val="none"/>
              </w:rPr>
              <w:t>，项目所产生的固体废弃物能够得到合理、有效的处置，各固体废弃物去向明确，处置率达到100%，对环境的影响较小。</w:t>
            </w:r>
          </w:p>
          <w:p>
            <w:pPr>
              <w:pStyle w:val="56"/>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Style w:val="53"/>
                <w:rFonts w:hint="default" w:ascii="Times New Roman" w:hAnsi="Times New Roman" w:eastAsia="宋体" w:cs="Times New Roman"/>
                <w:b/>
                <w:bCs w:val="0"/>
                <w:color w:val="auto"/>
                <w:sz w:val="21"/>
                <w:szCs w:val="21"/>
                <w:highlight w:val="none"/>
                <w:lang w:val="en-US" w:eastAsia="zh-CN"/>
              </w:rPr>
            </w:pPr>
            <w:r>
              <w:rPr>
                <w:rStyle w:val="53"/>
                <w:rFonts w:hint="default" w:ascii="Times New Roman" w:hAnsi="Times New Roman" w:eastAsia="宋体" w:cs="Times New Roman"/>
                <w:b/>
                <w:bCs w:val="0"/>
                <w:color w:val="auto"/>
                <w:sz w:val="21"/>
                <w:szCs w:val="21"/>
                <w:highlight w:val="none"/>
                <w:lang w:val="en-US" w:eastAsia="zh-CN"/>
              </w:rPr>
              <w:t>表4-26  本项目固体废弃物处置情况</w:t>
            </w:r>
          </w:p>
          <w:tbl>
            <w:tblPr>
              <w:tblStyle w:val="28"/>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611"/>
              <w:gridCol w:w="610"/>
              <w:gridCol w:w="709"/>
              <w:gridCol w:w="429"/>
              <w:gridCol w:w="435"/>
              <w:gridCol w:w="414"/>
              <w:gridCol w:w="2"/>
              <w:gridCol w:w="416"/>
              <w:gridCol w:w="413"/>
              <w:gridCol w:w="495"/>
              <w:gridCol w:w="675"/>
              <w:gridCol w:w="810"/>
              <w:gridCol w:w="705"/>
              <w:gridCol w:w="66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产污环节</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原辅料拆包及包装工序</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预发泡、成型、修整、检验</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ascii="Times New Roman" w:hAnsi="Times New Roman" w:eastAsia="宋体" w:cs="Times New Roman"/>
                      <w:color w:val="auto"/>
                      <w:sz w:val="21"/>
                      <w:szCs w:val="21"/>
                      <w:highlight w:val="none"/>
                      <w:lang w:val="en-US" w:eastAsia="zh-CN"/>
                    </w:rPr>
                    <w:t>收集的粉尘</w:t>
                  </w:r>
                </w:p>
              </w:tc>
              <w:tc>
                <w:tcPr>
                  <w:tcW w:w="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冷却池</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日常生活</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隔油池</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化粪池、一体化污水处理站</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废气处理</w:t>
                  </w:r>
                </w:p>
              </w:tc>
              <w:tc>
                <w:tcPr>
                  <w:tcW w:w="13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废包装材料</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不合格颗粒、</w:t>
                  </w:r>
                  <w:r>
                    <w:rPr>
                      <w:rFonts w:hint="default" w:cs="Times New Roman"/>
                      <w:color w:val="auto"/>
                      <w:sz w:val="21"/>
                      <w:szCs w:val="21"/>
                      <w:highlight w:val="none"/>
                      <w:lang w:val="en-US" w:eastAsia="zh-CN"/>
                    </w:rPr>
                    <w:t>未成型产品</w:t>
                  </w:r>
                  <w:r>
                    <w:rPr>
                      <w:rFonts w:hint="eastAsia" w:cs="Times New Roman"/>
                      <w:color w:val="auto"/>
                      <w:sz w:val="21"/>
                      <w:szCs w:val="21"/>
                      <w:highlight w:val="none"/>
                      <w:lang w:val="en-US" w:eastAsia="zh-CN"/>
                    </w:rPr>
                    <w:t>、边角料、</w:t>
                  </w:r>
                  <w:r>
                    <w:rPr>
                      <w:rFonts w:hint="default" w:cs="Times New Roman"/>
                      <w:color w:val="auto"/>
                      <w:sz w:val="21"/>
                      <w:szCs w:val="21"/>
                      <w:highlight w:val="none"/>
                      <w:lang w:val="en-US" w:eastAsia="zh-CN"/>
                    </w:rPr>
                    <w:t>不合格品</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炉渣</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除尘灰</w:t>
                  </w:r>
                </w:p>
              </w:tc>
              <w:tc>
                <w:tcPr>
                  <w:tcW w:w="4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冷却池沉渣、浮渣</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食堂泔水</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废油脂</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污泥</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废活性炭</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含油废劳保用品</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6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属性</w:t>
                  </w:r>
                </w:p>
              </w:tc>
              <w:tc>
                <w:tcPr>
                  <w:tcW w:w="30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一般工业固废</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p>
              </w:tc>
              <w:tc>
                <w:tcPr>
                  <w:tcW w:w="6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危险废物代码</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eastAsia="zh-CN"/>
                    </w:rPr>
                    <w:t>HW49，</w:t>
                  </w:r>
                  <w:r>
                    <w:rPr>
                      <w:rFonts w:hint="default" w:ascii="Times New Roman" w:hAnsi="Times New Roman" w:eastAsia="宋体" w:cs="Times New Roman"/>
                      <w:bCs/>
                      <w:color w:val="auto"/>
                      <w:kern w:val="0"/>
                      <w:sz w:val="21"/>
                      <w:szCs w:val="21"/>
                      <w:highlight w:val="none"/>
                    </w:rPr>
                    <w:t>900-0</w:t>
                  </w:r>
                  <w:r>
                    <w:rPr>
                      <w:rFonts w:hint="default" w:ascii="Times New Roman" w:hAnsi="Times New Roman" w:eastAsia="宋体" w:cs="Times New Roman"/>
                      <w:bCs/>
                      <w:color w:val="auto"/>
                      <w:kern w:val="0"/>
                      <w:sz w:val="21"/>
                      <w:szCs w:val="21"/>
                      <w:highlight w:val="none"/>
                      <w:lang w:val="en-US" w:eastAsia="zh-CN"/>
                    </w:rPr>
                    <w:t>39</w:t>
                  </w:r>
                  <w:r>
                    <w:rPr>
                      <w:rFonts w:hint="default" w:ascii="Times New Roman" w:hAnsi="Times New Roman" w:eastAsia="宋体" w:cs="Times New Roman"/>
                      <w:bCs/>
                      <w:color w:val="auto"/>
                      <w:kern w:val="0"/>
                      <w:sz w:val="21"/>
                      <w:szCs w:val="21"/>
                      <w:highlight w:val="none"/>
                    </w:rPr>
                    <w:t>-</w:t>
                  </w:r>
                  <w:r>
                    <w:rPr>
                      <w:rFonts w:hint="default" w:ascii="Times New Roman" w:hAnsi="Times New Roman" w:eastAsia="宋体" w:cs="Times New Roman"/>
                      <w:bCs/>
                      <w:color w:val="auto"/>
                      <w:kern w:val="0"/>
                      <w:sz w:val="21"/>
                      <w:szCs w:val="21"/>
                      <w:highlight w:val="none"/>
                      <w:lang w:val="en-US" w:eastAsia="zh-CN"/>
                    </w:rPr>
                    <w:t>4</w:t>
                  </w:r>
                  <w:r>
                    <w:rPr>
                      <w:rFonts w:hint="default" w:ascii="Times New Roman" w:hAnsi="Times New Roman" w:eastAsia="宋体" w:cs="Times New Roman"/>
                      <w:bCs/>
                      <w:color w:val="auto"/>
                      <w:kern w:val="0"/>
                      <w:sz w:val="21"/>
                      <w:szCs w:val="21"/>
                      <w:highlight w:val="none"/>
                    </w:rPr>
                    <w:t>9</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HW08</w:t>
                  </w:r>
                  <w:r>
                    <w:rPr>
                      <w:rFonts w:hint="default" w:ascii="Times New Roman" w:hAnsi="Times New Roman" w:eastAsia="宋体" w:cs="Times New Roman"/>
                      <w:color w:val="auto"/>
                      <w:sz w:val="21"/>
                      <w:szCs w:val="21"/>
                      <w:highlight w:val="none"/>
                      <w:lang w:eastAsia="zh-CN"/>
                    </w:rPr>
                    <w:t>，900-2</w:t>
                  </w:r>
                  <w:r>
                    <w:rPr>
                      <w:rFonts w:hint="default" w:ascii="Times New Roman" w:hAnsi="Times New Roman" w:eastAsia="宋体" w:cs="Times New Roman"/>
                      <w:color w:val="auto"/>
                      <w:sz w:val="21"/>
                      <w:szCs w:val="21"/>
                      <w:highlight w:val="none"/>
                      <w:lang w:val="en-US" w:eastAsia="zh-CN"/>
                    </w:rPr>
                    <w:t>14</w:t>
                  </w:r>
                  <w:r>
                    <w:rPr>
                      <w:rFonts w:hint="default" w:ascii="Times New Roman" w:hAnsi="Times New Roman" w:eastAsia="宋体" w:cs="Times New Roman"/>
                      <w:color w:val="auto"/>
                      <w:sz w:val="21"/>
                      <w:szCs w:val="21"/>
                      <w:highlight w:val="none"/>
                      <w:lang w:eastAsia="zh-CN"/>
                    </w:rPr>
                    <w:t>-08</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HW49</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主要有毒有害物质名称</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有机废气</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物理性状</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固体</w:t>
                  </w: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固体</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固体</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环境危险特性</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I</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年度产生量（t/a）</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贮存方式</w:t>
                  </w:r>
                </w:p>
              </w:tc>
              <w:tc>
                <w:tcPr>
                  <w:tcW w:w="1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一般固废暂存区</w:t>
                  </w:r>
                </w:p>
              </w:tc>
              <w:tc>
                <w:tcPr>
                  <w:tcW w:w="12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锅炉房内</w:t>
                  </w:r>
                </w:p>
              </w:tc>
              <w:tc>
                <w:tcPr>
                  <w:tcW w:w="8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生活垃圾桶</w:t>
                  </w:r>
                </w:p>
              </w:tc>
              <w:tc>
                <w:tcPr>
                  <w:tcW w:w="4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泔水桶</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废油桶</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收集桶</w:t>
                  </w:r>
                </w:p>
              </w:tc>
              <w:tc>
                <w:tcPr>
                  <w:tcW w:w="2051" w:type="dxa"/>
                  <w:gridSpan w:val="3"/>
                  <w:noWrap w:val="0"/>
                  <w:vAlign w:val="center"/>
                </w:tcPr>
                <w:p>
                  <w:pPr>
                    <w:pStyle w:val="12"/>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危废收集桶</w:t>
                  </w:r>
                  <w:r>
                    <w:rPr>
                      <w:rFonts w:hint="eastAsia" w:cs="Times New Roman"/>
                      <w:color w:val="auto"/>
                      <w:sz w:val="21"/>
                      <w:szCs w:val="21"/>
                      <w:highlight w:val="none"/>
                      <w:lang w:val="en-US" w:eastAsia="zh-CN"/>
                    </w:rPr>
                    <w:t>收集、暂存危废暂存间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利用处置方式和去向</w:t>
                  </w:r>
                </w:p>
              </w:tc>
              <w:tc>
                <w:tcPr>
                  <w:tcW w:w="131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统一收集后暂存于一般固废暂存区，定期外售。</w:t>
                  </w:r>
                </w:p>
              </w:tc>
              <w:tc>
                <w:tcPr>
                  <w:tcW w:w="12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b w:val="0"/>
                      <w:bCs w:val="0"/>
                      <w:color w:val="auto"/>
                      <w:sz w:val="21"/>
                      <w:szCs w:val="21"/>
                      <w:lang w:val="en-US" w:eastAsia="zh-CN"/>
                    </w:rPr>
                    <w:t>外售建材生产企业</w:t>
                  </w:r>
                </w:p>
              </w:tc>
              <w:tc>
                <w:tcPr>
                  <w:tcW w:w="8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委托环卫部门清运处置</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委托有资质</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lang w:val="zh-CN" w:eastAsia="zh-CN"/>
                    </w:rPr>
                    <w:t>单位进行处置。</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委托环卫部门定期清运处置。</w:t>
                  </w:r>
                </w:p>
              </w:tc>
              <w:tc>
                <w:tcPr>
                  <w:tcW w:w="20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委托有资质单位进行处置。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利用或处置量（t/a）</w:t>
                  </w:r>
                </w:p>
              </w:tc>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4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c>
                <w:tcPr>
                  <w:tcW w:w="4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41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1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环境管理要求</w:t>
                  </w:r>
                </w:p>
              </w:tc>
              <w:tc>
                <w:tcPr>
                  <w:tcW w:w="7459"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100%处置</w:t>
                  </w:r>
                </w:p>
              </w:tc>
            </w:tr>
          </w:tbl>
          <w:p>
            <w:pPr>
              <w:pStyle w:val="84"/>
              <w:spacing w:line="360" w:lineRule="auto"/>
              <w:ind w:firstLine="482"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危废</w:t>
            </w:r>
            <w:r>
              <w:rPr>
                <w:rFonts w:hint="eastAsia" w:ascii="Times New Roman" w:hAnsi="Times New Roman" w:cs="Times New Roman"/>
                <w:b/>
                <w:color w:val="auto"/>
                <w:sz w:val="24"/>
                <w:szCs w:val="24"/>
                <w:highlight w:val="none"/>
                <w:lang w:val="en-US" w:eastAsia="zh-CN"/>
              </w:rPr>
              <w:t>暂存间</w:t>
            </w:r>
            <w:r>
              <w:rPr>
                <w:rFonts w:hint="default" w:ascii="Times New Roman" w:hAnsi="Times New Roman" w:eastAsia="宋体" w:cs="Times New Roman"/>
                <w:b/>
                <w:color w:val="auto"/>
                <w:sz w:val="24"/>
                <w:szCs w:val="24"/>
                <w:highlight w:val="none"/>
              </w:rPr>
              <w:t>建设</w:t>
            </w:r>
            <w:r>
              <w:rPr>
                <w:rFonts w:hint="eastAsia" w:ascii="Times New Roman" w:hAnsi="Times New Roman" w:cs="Times New Roman"/>
                <w:b/>
                <w:color w:val="auto"/>
                <w:sz w:val="24"/>
                <w:szCs w:val="24"/>
                <w:highlight w:val="none"/>
                <w:lang w:val="en-US" w:eastAsia="zh-CN"/>
              </w:rPr>
              <w:t>管理要求</w:t>
            </w:r>
            <w:r>
              <w:rPr>
                <w:rFonts w:hint="default" w:ascii="Times New Roman" w:hAnsi="Times New Roman" w:eastAsia="宋体" w:cs="Times New Roman"/>
                <w:b/>
                <w:color w:val="auto"/>
                <w:sz w:val="24"/>
                <w:szCs w:val="24"/>
                <w:highlight w:val="none"/>
              </w:rPr>
              <w:t>：</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eastAsia" w:ascii="Times New Roman" w:hAnsi="Times New Roman" w:cs="Times New Roman"/>
                <w:color w:val="auto"/>
                <w:spacing w:val="-3"/>
                <w:sz w:val="24"/>
                <w:szCs w:val="24"/>
                <w:highlight w:val="none"/>
                <w:lang w:eastAsia="zh-CN"/>
              </w:rPr>
            </w:pPr>
            <w:r>
              <w:rPr>
                <w:rFonts w:hint="default" w:ascii="Times New Roman" w:hAnsi="Times New Roman" w:eastAsia="宋体" w:cs="Times New Roman"/>
                <w:color w:val="auto"/>
                <w:spacing w:val="-8"/>
                <w:sz w:val="24"/>
                <w:szCs w:val="24"/>
                <w:highlight w:val="none"/>
              </w:rPr>
              <w:t>根据《危险废物贮存污染控制标准》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pacing w:val="-3"/>
                <w:sz w:val="24"/>
                <w:szCs w:val="24"/>
                <w:highlight w:val="none"/>
              </w:rPr>
              <w:t>）</w:t>
            </w:r>
            <w:r>
              <w:rPr>
                <w:rFonts w:hint="eastAsia" w:ascii="Times New Roman" w:hAnsi="Times New Roman" w:cs="Times New Roman"/>
                <w:color w:val="auto"/>
                <w:spacing w:val="-3"/>
                <w:sz w:val="24"/>
                <w:szCs w:val="24"/>
                <w:highlight w:val="none"/>
                <w:lang w:eastAsia="zh-CN"/>
              </w:rPr>
              <w:t>要求如下：</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200" w:right="0" w:rightChars="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防渗标准</w:t>
            </w:r>
            <w:r>
              <w:rPr>
                <w:rFonts w:hint="default" w:ascii="Times New Roman" w:hAnsi="Times New Roman" w:eastAsia="宋体" w:cs="Times New Roman"/>
                <w:color w:val="auto"/>
                <w:sz w:val="24"/>
                <w:szCs w:val="24"/>
                <w:highlight w:val="none"/>
                <w:lang w:val="en-US" w:eastAsia="zh-CN"/>
              </w:rPr>
              <w:t>及措施</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right="0" w:firstLine="448" w:firstLineChars="200"/>
              <w:jc w:val="both"/>
              <w:textAlignment w:val="auto"/>
              <w:rPr>
                <w:rFonts w:hint="default" w:ascii="Times New Roman" w:hAnsi="Times New Roman" w:eastAsia="宋体" w:cs="Times New Roman"/>
                <w:color w:val="auto"/>
                <w:spacing w:val="-3"/>
                <w:sz w:val="24"/>
                <w:szCs w:val="24"/>
                <w:highlight w:val="none"/>
                <w:lang w:val="en-US" w:eastAsia="zh-CN"/>
              </w:rPr>
            </w:pPr>
            <w:r>
              <w:rPr>
                <w:rFonts w:hint="default" w:ascii="Times New Roman" w:hAnsi="Times New Roman" w:eastAsia="宋体" w:cs="Times New Roman"/>
                <w:color w:val="auto"/>
                <w:spacing w:val="-8"/>
                <w:sz w:val="24"/>
                <w:szCs w:val="24"/>
                <w:highlight w:val="none"/>
              </w:rPr>
              <w:t>根据</w:t>
            </w:r>
            <w:r>
              <w:rPr>
                <w:rStyle w:val="77"/>
                <w:rFonts w:hint="default" w:ascii="Times New Roman" w:hAnsi="Times New Roman" w:eastAsia="宋体" w:cs="Times New Roman"/>
                <w:color w:val="auto"/>
                <w:sz w:val="24"/>
                <w:szCs w:val="24"/>
                <w:highlight w:val="none"/>
              </w:rPr>
              <w:t>《危险废物贮存污染控制标准》（GB18597-2023）</w:t>
            </w:r>
            <w:r>
              <w:rPr>
                <w:rFonts w:hint="default" w:ascii="Times New Roman" w:hAnsi="Times New Roman" w:eastAsia="宋体" w:cs="Times New Roman"/>
                <w:color w:val="auto"/>
                <w:spacing w:val="-3"/>
                <w:sz w:val="24"/>
                <w:szCs w:val="24"/>
                <w:highlight w:val="none"/>
                <w:lang w:eastAsia="zh-CN"/>
              </w:rPr>
              <w:t>，</w:t>
            </w:r>
            <w:r>
              <w:rPr>
                <w:rFonts w:hint="default" w:ascii="Times New Roman" w:hAnsi="Times New Roman" w:eastAsia="宋体" w:cs="Times New Roman"/>
                <w:color w:val="auto"/>
                <w:sz w:val="24"/>
                <w:szCs w:val="24"/>
                <w:highlight w:val="none"/>
              </w:rPr>
              <w:t>危险废物暂存间地面</w:t>
            </w:r>
            <w:r>
              <w:rPr>
                <w:rFonts w:hint="default" w:ascii="Times New Roman" w:hAnsi="Times New Roman" w:eastAsia="宋体" w:cs="Times New Roman"/>
                <w:color w:val="auto"/>
                <w:sz w:val="24"/>
                <w:szCs w:val="24"/>
                <w:highlight w:val="none"/>
                <w:lang w:val="en-US" w:eastAsia="zh-CN"/>
              </w:rPr>
              <w:t>和四周墙裙脚</w:t>
            </w:r>
            <w:r>
              <w:rPr>
                <w:rFonts w:hint="default" w:ascii="Times New Roman" w:hAnsi="Times New Roman" w:eastAsia="宋体" w:cs="Times New Roman"/>
                <w:color w:val="auto"/>
                <w:sz w:val="24"/>
                <w:szCs w:val="24"/>
                <w:highlight w:val="none"/>
                <w:lang w:val="zh-CN"/>
              </w:rPr>
              <w:t>采用“抗渗混凝土+2mm厚HDPE+环氧树脂”</w:t>
            </w:r>
            <w:r>
              <w:rPr>
                <w:rFonts w:hint="default" w:ascii="Times New Roman" w:hAnsi="Times New Roman" w:eastAsia="宋体" w:cs="Times New Roman"/>
                <w:color w:val="auto"/>
                <w:sz w:val="24"/>
                <w:szCs w:val="24"/>
                <w:highlight w:val="none"/>
                <w:lang w:val="en-US" w:eastAsia="zh-CN"/>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并按照要求设置规范的标识标牌</w:t>
            </w:r>
            <w:r>
              <w:rPr>
                <w:rFonts w:hint="default" w:ascii="Times New Roman" w:hAnsi="Times New Roman" w:eastAsia="宋体" w:cs="Times New Roman"/>
                <w:color w:val="auto"/>
                <w:sz w:val="24"/>
                <w:szCs w:val="24"/>
                <w:highlight w:val="none"/>
                <w:lang w:eastAsia="zh-CN"/>
              </w:rPr>
              <w:t>。</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暂存</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①</w:t>
            </w:r>
            <w:r>
              <w:rPr>
                <w:rFonts w:hint="default" w:ascii="Times New Roman" w:hAnsi="Times New Roman" w:eastAsia="宋体" w:cs="Times New Roman"/>
                <w:color w:val="auto"/>
                <w:sz w:val="24"/>
                <w:szCs w:val="24"/>
              </w:rPr>
              <w:t>贮存设施应根据危险废物的形态、物理化学性质、包装形式和污染物迁移</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途径，采取必要的防风、防晒、防雨、防漏、防渗、防腐以及其他环境污染防治措施，不应露天堆放危险废物。</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贮存设施应根据危险废物的类别、数量、形态、物理化学性质和污染防治</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等要求设置必要的贮存分区，避免不相容的危险废物接触、混合。</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③</w:t>
            </w:r>
            <w:r>
              <w:rPr>
                <w:rFonts w:hint="default" w:ascii="Times New Roman" w:hAnsi="Times New Roman" w:eastAsia="宋体" w:cs="Times New Roman"/>
                <w:color w:val="auto"/>
                <w:sz w:val="24"/>
                <w:szCs w:val="24"/>
              </w:rPr>
              <w:t>贮存设施或贮存分区内地面、墙面裙脚、堵截泄漏的围堰、接触危险废物的隔板和墙体等应采用坚固的材料建造，表面无裂缝。</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④</w:t>
            </w:r>
            <w:r>
              <w:rPr>
                <w:rFonts w:hint="default" w:ascii="Times New Roman" w:hAnsi="Times New Roman" w:eastAsia="宋体" w:cs="Times New Roman"/>
                <w:color w:val="auto"/>
                <w:sz w:val="24"/>
                <w:szCs w:val="24"/>
              </w:rPr>
              <w:t>贮存设施地面与裙脚应采取表面防渗措施；表面防渗材料应与所接触的物</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rPr>
            </w:pPr>
            <w:r>
              <w:rPr>
                <w:rFonts w:hint="eastAsia" w:cs="Times New Roman"/>
                <w:color w:val="auto"/>
                <w:sz w:val="24"/>
                <w:szCs w:val="24"/>
                <w:lang w:eastAsia="zh-CN"/>
              </w:rPr>
              <w:t>⑤</w:t>
            </w:r>
            <w:r>
              <w:rPr>
                <w:rFonts w:hint="default" w:ascii="Times New Roman" w:hAnsi="Times New Roman" w:eastAsia="宋体" w:cs="Times New Roman"/>
                <w:color w:val="auto"/>
                <w:sz w:val="24"/>
                <w:szCs w:val="24"/>
              </w:rPr>
              <w:t>同一贮存设施宜采用相同的防渗、防腐工艺（包括防渗、防腐结构或材料），</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防渗、防腐材料应覆盖所有可能与废物及其渗滤液、渗漏液等接触的构筑物表面；采用不同防渗、防腐工艺应分别建设贮存分区。</w:t>
            </w:r>
          </w:p>
          <w:p>
            <w:pPr>
              <w:pStyle w:val="84"/>
              <w:keepNext w:val="0"/>
              <w:keepLines w:val="0"/>
              <w:pageBreakBefore w:val="0"/>
              <w:widowControl w:val="0"/>
              <w:numPr>
                <w:ilvl w:val="0"/>
                <w:numId w:val="0"/>
              </w:numPr>
              <w:tabs>
                <w:tab w:val="left" w:pos="1189"/>
              </w:tabs>
              <w:kinsoku/>
              <w:wordWrap/>
              <w:overflowPunct/>
              <w:topLinePunct w:val="0"/>
              <w:autoSpaceDE/>
              <w:autoSpaceDN/>
              <w:bidi w:val="0"/>
              <w:adjustRightInd/>
              <w:snapToGrid/>
              <w:spacing w:line="360" w:lineRule="auto"/>
              <w:ind w:leftChars="200"/>
              <w:jc w:val="both"/>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lang w:eastAsia="zh-CN"/>
              </w:rPr>
              <w:t>⑥</w:t>
            </w:r>
            <w:r>
              <w:rPr>
                <w:rFonts w:hint="default" w:ascii="Times New Roman" w:hAnsi="Times New Roman" w:eastAsia="宋体" w:cs="Times New Roman"/>
                <w:color w:val="auto"/>
                <w:sz w:val="24"/>
                <w:szCs w:val="24"/>
              </w:rPr>
              <w:t>贮存设施应采取技术和管理措施防止无关人员进入。</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危废转移</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危废转移</w:t>
            </w:r>
            <w:r>
              <w:rPr>
                <w:rFonts w:hint="default" w:ascii="Times New Roman" w:hAnsi="Times New Roman" w:eastAsia="宋体" w:cs="Times New Roman"/>
                <w:color w:val="auto"/>
                <w:spacing w:val="-5"/>
                <w:sz w:val="24"/>
                <w:szCs w:val="24"/>
                <w:highlight w:val="none"/>
                <w:lang w:val="en-US" w:eastAsia="zh-CN"/>
              </w:rPr>
              <w:t>过程</w:t>
            </w:r>
            <w:r>
              <w:rPr>
                <w:rFonts w:hint="default" w:ascii="Times New Roman" w:hAnsi="Times New Roman" w:eastAsia="宋体" w:cs="Times New Roman"/>
                <w:color w:val="auto"/>
                <w:spacing w:val="-5"/>
                <w:sz w:val="24"/>
                <w:szCs w:val="24"/>
                <w:highlight w:val="none"/>
              </w:rPr>
              <w:t>应当严格遵守《危险废物转移管理办法》（部令 第23号）、《危险废</w:t>
            </w:r>
            <w:r>
              <w:rPr>
                <w:rFonts w:hint="default" w:ascii="Times New Roman" w:hAnsi="Times New Roman" w:eastAsia="宋体" w:cs="Times New Roman"/>
                <w:color w:val="auto"/>
                <w:sz w:val="24"/>
                <w:szCs w:val="24"/>
                <w:highlight w:val="none"/>
              </w:rPr>
              <w:t>物收集贮存运输技术规范</w:t>
            </w:r>
            <w:r>
              <w:rPr>
                <w:rFonts w:hint="default" w:ascii="Times New Roman" w:hAnsi="Times New Roman" w:eastAsia="宋体" w:cs="Times New Roman"/>
                <w:color w:val="auto"/>
                <w:spacing w:val="-5"/>
                <w:sz w:val="24"/>
                <w:szCs w:val="24"/>
                <w:highlight w:val="none"/>
              </w:rPr>
              <w:t>》</w:t>
            </w:r>
            <w:r>
              <w:rPr>
                <w:rFonts w:hint="default" w:ascii="Times New Roman" w:hAnsi="Times New Roman" w:eastAsia="宋体" w:cs="Times New Roman"/>
                <w:color w:val="auto"/>
                <w:sz w:val="24"/>
                <w:szCs w:val="24"/>
                <w:highlight w:val="none"/>
              </w:rPr>
              <w:t>（HJ 2025-2012）相关要求，确保危险废物得到安全处置：</w:t>
            </w:r>
          </w:p>
          <w:p>
            <w:pPr>
              <w:pStyle w:val="84"/>
              <w:keepNext w:val="0"/>
              <w:keepLines w:val="0"/>
              <w:pageBreakBefore w:val="0"/>
              <w:widowControl w:val="0"/>
              <w:numPr>
                <w:ilvl w:val="0"/>
                <w:numId w:val="0"/>
              </w:numPr>
              <w:tabs>
                <w:tab w:val="left" w:pos="953"/>
              </w:tabs>
              <w:kinsoku/>
              <w:wordWrap/>
              <w:overflowPunct/>
              <w:topLinePunct w:val="0"/>
              <w:autoSpaceDE/>
              <w:autoSpaceDN/>
              <w:bidi w:val="0"/>
              <w:adjustRightInd/>
              <w:snapToGrid/>
              <w:spacing w:beforeLines="0" w:afterLines="0" w:line="360" w:lineRule="auto"/>
              <w:ind w:leftChars="0" w:right="0" w:righ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做好危险废物转移手续，按照《危险废物转移管理办法》（部令</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第23号）要求进行。建</w:t>
            </w:r>
            <w:r>
              <w:rPr>
                <w:rFonts w:hint="default" w:ascii="Times New Roman" w:hAnsi="Times New Roman" w:eastAsia="宋体" w:cs="Times New Roman"/>
                <w:color w:val="auto"/>
                <w:spacing w:val="-4"/>
                <w:sz w:val="24"/>
                <w:szCs w:val="24"/>
                <w:highlight w:val="none"/>
              </w:rPr>
              <w:t>设单位在转移危险废物前，须按照国家有关规定报批危险废物转移计划；经批准后，产生</w:t>
            </w:r>
            <w:r>
              <w:rPr>
                <w:rFonts w:hint="default" w:ascii="Times New Roman" w:hAnsi="Times New Roman" w:eastAsia="宋体" w:cs="Times New Roman"/>
                <w:color w:val="auto"/>
                <w:spacing w:val="-3"/>
                <w:sz w:val="24"/>
                <w:szCs w:val="24"/>
                <w:highlight w:val="none"/>
              </w:rPr>
              <w:t>单位应当向移出地环境保护行政主管部门申请领取联单。危险废物产生单位应当如实填写</w:t>
            </w:r>
            <w:r>
              <w:rPr>
                <w:rFonts w:hint="default" w:ascii="Times New Roman" w:hAnsi="Times New Roman" w:eastAsia="宋体" w:cs="Times New Roman"/>
                <w:color w:val="auto"/>
                <w:spacing w:val="-5"/>
                <w:sz w:val="24"/>
                <w:szCs w:val="24"/>
                <w:highlight w:val="none"/>
              </w:rPr>
              <w:t>联单中产生单位栏目，并加盖公章，经交付危险废物运输单位核实验收签字后，将联单第</w:t>
            </w:r>
            <w:r>
              <w:rPr>
                <w:rFonts w:hint="default" w:ascii="Times New Roman" w:hAnsi="Times New Roman" w:eastAsia="宋体" w:cs="Times New Roman"/>
                <w:color w:val="auto"/>
                <w:spacing w:val="-4"/>
                <w:sz w:val="24"/>
                <w:szCs w:val="24"/>
                <w:highlight w:val="none"/>
              </w:rPr>
              <w:t>一联副联自留存档，将联单第二联交移出地环境保护行政主管部门，联单第一联正联及其</w:t>
            </w:r>
            <w:r>
              <w:rPr>
                <w:rFonts w:hint="default" w:ascii="Times New Roman" w:hAnsi="Times New Roman" w:eastAsia="宋体" w:cs="Times New Roman"/>
                <w:color w:val="auto"/>
                <w:sz w:val="24"/>
                <w:szCs w:val="24"/>
                <w:highlight w:val="none"/>
              </w:rPr>
              <w:t>余各联交付运输单位随危险废物转移运行。</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危险废物运输由持有危险废物经营许可证的单位按照其许可证的经营范围组织实施，承担危险废物运输单位应获得交通运输部门颁发的危险货物运输资质；</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rPr>
              <w:t>危险废物在运输途中若发生被盗、丢失、流散、</w:t>
            </w:r>
            <w:r>
              <w:rPr>
                <w:rFonts w:hint="default" w:ascii="Times New Roman" w:hAnsi="Times New Roman" w:eastAsia="宋体" w:cs="Times New Roman"/>
                <w:color w:val="auto"/>
                <w:sz w:val="24"/>
                <w:szCs w:val="24"/>
                <w:highlight w:val="none"/>
                <w:lang w:eastAsia="zh-CN"/>
              </w:rPr>
              <w:t>泄漏</w:t>
            </w:r>
            <w:r>
              <w:rPr>
                <w:rFonts w:hint="default" w:ascii="Times New Roman" w:hAnsi="Times New Roman" w:eastAsia="宋体" w:cs="Times New Roman"/>
                <w:color w:val="auto"/>
                <w:sz w:val="24"/>
                <w:szCs w:val="24"/>
                <w:highlight w:val="none"/>
              </w:rPr>
              <w:t>等情况时，公司及押运人员必须立即向当地环保部门、公安部门报告，并采取一切可能的警示措施。</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措施，并</w:t>
            </w:r>
            <w:r>
              <w:rPr>
                <w:rFonts w:hint="default" w:ascii="Times New Roman" w:hAnsi="Times New Roman" w:eastAsia="宋体" w:cs="Times New Roman"/>
                <w:color w:val="auto"/>
                <w:sz w:val="24"/>
                <w:szCs w:val="24"/>
                <w:highlight w:val="none"/>
                <w:lang w:val="en-US" w:eastAsia="zh-CN"/>
              </w:rPr>
              <w:t>对事故造成的危害进行监测、处置，符合国家环境保护标准。</w:t>
            </w:r>
          </w:p>
          <w:p>
            <w:pPr>
              <w:pStyle w:val="84"/>
              <w:keepNext w:val="0"/>
              <w:keepLines w:val="0"/>
              <w:pageBreakBefore w:val="0"/>
              <w:numPr>
                <w:ilvl w:val="0"/>
                <w:numId w:val="0"/>
              </w:numPr>
              <w:tabs>
                <w:tab w:val="left" w:pos="953"/>
              </w:tabs>
              <w:kinsoku/>
              <w:wordWrap/>
              <w:overflowPunct/>
              <w:topLinePunct w:val="0"/>
              <w:autoSpaceDE/>
              <w:autoSpaceDN/>
              <w:bidi w:val="0"/>
              <w:adjustRightInd/>
              <w:spacing w:beforeLines="0" w:afterLines="0" w:line="360" w:lineRule="auto"/>
              <w:ind w:right="0" w:rightChars="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在采取上述措</w:t>
            </w:r>
            <w:r>
              <w:rPr>
                <w:rFonts w:hint="default" w:ascii="Times New Roman" w:hAnsi="Times New Roman" w:eastAsia="宋体" w:cs="Times New Roman"/>
                <w:color w:val="auto"/>
                <w:sz w:val="24"/>
                <w:szCs w:val="24"/>
                <w:highlight w:val="none"/>
              </w:rPr>
              <w:t>施的前提下，项目运营期固体废物均能得到及时、妥善的处理和处置，不会对周围环境造成大的影响。</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五、土壤、地下水环境影响分析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val="zh-CN"/>
              </w:rPr>
              <w:t>污染源分析</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本项目正常工况下，不会产生地下水、土壤污染，只有在事故状态下，项目内暂存的废矿物油可能会发生</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等情况，可能对周边土壤造成污染，长时间</w:t>
            </w:r>
            <w:r>
              <w:rPr>
                <w:rFonts w:hint="default" w:ascii="Times New Roman" w:hAnsi="Times New Roman" w:eastAsia="宋体" w:cs="Times New Roman"/>
                <w:color w:val="auto"/>
                <w:sz w:val="24"/>
                <w:highlight w:val="none"/>
              </w:rPr>
              <w:t>泄漏</w:t>
            </w:r>
            <w:r>
              <w:rPr>
                <w:rFonts w:hint="default" w:ascii="Times New Roman" w:hAnsi="Times New Roman" w:eastAsia="宋体" w:cs="Times New Roman"/>
                <w:color w:val="auto"/>
                <w:sz w:val="24"/>
                <w:highlight w:val="none"/>
                <w:lang w:val="zh-CN"/>
              </w:rPr>
              <w:t>可能深入地下对地下水造成污染。</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本项目生产废水</w:t>
            </w:r>
            <w:r>
              <w:rPr>
                <w:rFonts w:hint="eastAsia" w:cs="Times New Roman"/>
                <w:color w:val="auto"/>
                <w:sz w:val="24"/>
                <w:highlight w:val="none"/>
                <w:lang w:val="en-US" w:eastAsia="zh-CN"/>
              </w:rPr>
              <w:t>基本均</w:t>
            </w:r>
            <w:r>
              <w:rPr>
                <w:rFonts w:hint="default" w:ascii="Times New Roman" w:hAnsi="Times New Roman" w:eastAsia="宋体" w:cs="Times New Roman"/>
                <w:color w:val="auto"/>
                <w:sz w:val="24"/>
                <w:highlight w:val="none"/>
                <w:lang w:val="en-US" w:eastAsia="zh-CN"/>
              </w:rPr>
              <w:t>为清净水（</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bCs w:val="0"/>
                <w:color w:val="auto"/>
                <w:sz w:val="24"/>
                <w:szCs w:val="24"/>
                <w:lang w:eastAsia="zh-CN"/>
              </w:rPr>
              <w:t>锅炉排污水、</w:t>
            </w:r>
            <w:r>
              <w:rPr>
                <w:rFonts w:hint="default" w:ascii="Times New Roman" w:hAnsi="Times New Roman" w:eastAsia="宋体" w:cs="Times New Roman"/>
                <w:b w:val="0"/>
                <w:bCs w:val="0"/>
                <w:color w:val="auto"/>
                <w:sz w:val="24"/>
                <w:szCs w:val="24"/>
              </w:rPr>
              <w:t>蒸汽冷凝水</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生产冷却水</w:t>
            </w:r>
            <w:r>
              <w:rPr>
                <w:rFonts w:hint="default" w:ascii="Times New Roman" w:hAnsi="Times New Roman" w:eastAsia="宋体" w:cs="Times New Roman"/>
                <w:color w:val="auto"/>
                <w:sz w:val="24"/>
                <w:highlight w:val="none"/>
                <w:lang w:val="en-US" w:eastAsia="zh-CN"/>
              </w:rPr>
              <w:t>），本项目设置的水池为混凝土结构，不易破损也不易造成废水泄漏等情况。</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val="zh-CN"/>
              </w:rPr>
              <w:t>污染物类型和污染途径识别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1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lang w:val="zh-CN"/>
              </w:rPr>
              <w:t>①</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环境影响类型与影响途径识别</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本项目对周边</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土壤环境影响的类型与影响途径见表4-</w:t>
            </w:r>
            <w:r>
              <w:rPr>
                <w:rFonts w:hint="default" w:ascii="Times New Roman" w:hAnsi="Times New Roman" w:eastAsia="宋体" w:cs="Times New Roman"/>
                <w:color w:val="auto"/>
                <w:sz w:val="24"/>
                <w:highlight w:val="none"/>
                <w:lang w:val="en-US" w:eastAsia="zh-CN"/>
              </w:rPr>
              <w:t>27</w:t>
            </w:r>
            <w:r>
              <w:rPr>
                <w:rFonts w:hint="default" w:ascii="Times New Roman" w:hAnsi="Times New Roman" w:eastAsia="宋体" w:cs="Times New Roman"/>
                <w:color w:val="auto"/>
                <w:sz w:val="24"/>
                <w:highlight w:val="none"/>
                <w:lang w:val="zh-CN"/>
              </w:rPr>
              <w:t>。</w:t>
            </w:r>
          </w:p>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表4-</w:t>
            </w:r>
            <w:r>
              <w:rPr>
                <w:rStyle w:val="53"/>
                <w:rFonts w:hint="default" w:ascii="Times New Roman" w:hAnsi="Times New Roman" w:eastAsia="宋体" w:cs="Times New Roman"/>
                <w:b/>
                <w:color w:val="auto"/>
                <w:szCs w:val="21"/>
                <w:highlight w:val="none"/>
                <w:lang w:val="en-US" w:eastAsia="zh-CN"/>
              </w:rPr>
              <w:t>27</w:t>
            </w:r>
            <w:r>
              <w:rPr>
                <w:rStyle w:val="53"/>
                <w:rFonts w:hint="default" w:ascii="Times New Roman" w:hAnsi="Times New Roman" w:eastAsia="宋体" w:cs="Times New Roman"/>
                <w:b/>
                <w:color w:val="auto"/>
                <w:szCs w:val="21"/>
                <w:highlight w:val="none"/>
              </w:rPr>
              <w:t xml:space="preserve">  项目土壤、地下水环境影响类型与影响途径识别表</w:t>
            </w:r>
          </w:p>
          <w:tbl>
            <w:tblPr>
              <w:tblStyle w:val="2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484"/>
              <w:gridCol w:w="1724"/>
              <w:gridCol w:w="17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restart"/>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时段</w:t>
                  </w:r>
                </w:p>
              </w:tc>
              <w:tc>
                <w:tcPr>
                  <w:tcW w:w="6525" w:type="dxa"/>
                  <w:gridSpan w:val="4"/>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污染影响类型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Merge w:val="continue"/>
                  <w:vAlign w:val="center"/>
                </w:tcPr>
                <w:p>
                  <w:pPr>
                    <w:pStyle w:val="56"/>
                    <w:adjustRightInd w:val="0"/>
                    <w:snapToGrid w:val="0"/>
                    <w:rPr>
                      <w:rStyle w:val="53"/>
                      <w:rFonts w:hint="default" w:ascii="Times New Roman" w:hAnsi="Times New Roman" w:eastAsia="宋体" w:cs="Times New Roman"/>
                      <w:bCs/>
                      <w:color w:val="auto"/>
                      <w:szCs w:val="21"/>
                      <w:highlight w:val="none"/>
                    </w:rPr>
                  </w:pPr>
                </w:p>
              </w:tc>
              <w:tc>
                <w:tcPr>
                  <w:tcW w:w="148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大气沉降</w:t>
                  </w:r>
                </w:p>
              </w:tc>
              <w:tc>
                <w:tcPr>
                  <w:tcW w:w="172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地面漫流</w:t>
                  </w:r>
                </w:p>
              </w:tc>
              <w:tc>
                <w:tcPr>
                  <w:tcW w:w="17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p>
              </w:tc>
              <w:tc>
                <w:tcPr>
                  <w:tcW w:w="1557"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运营期</w:t>
                  </w:r>
                </w:p>
              </w:tc>
              <w:tc>
                <w:tcPr>
                  <w:tcW w:w="148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724"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7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c>
                <w:tcPr>
                  <w:tcW w:w="1557"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zh-CN"/>
              </w:rPr>
              <w:fldChar w:fldCharType="begin"/>
            </w:r>
            <w:r>
              <w:rPr>
                <w:rFonts w:hint="default" w:ascii="Times New Roman" w:hAnsi="Times New Roman" w:eastAsia="宋体" w:cs="Times New Roman"/>
                <w:color w:val="auto"/>
                <w:sz w:val="24"/>
                <w:highlight w:val="none"/>
                <w:lang w:val="zh-CN"/>
              </w:rPr>
              <w:instrText xml:space="preserve"> = 2 \* GB3 \* MERGEFORMAT </w:instrText>
            </w:r>
            <w:r>
              <w:rPr>
                <w:rFonts w:hint="default" w:ascii="Times New Roman" w:hAnsi="Times New Roman" w:eastAsia="宋体" w:cs="Times New Roman"/>
                <w:color w:val="auto"/>
                <w:sz w:val="24"/>
                <w:highlight w:val="none"/>
                <w:lang w:val="zh-CN"/>
              </w:rPr>
              <w:fldChar w:fldCharType="separate"/>
            </w:r>
            <w:r>
              <w:rPr>
                <w:rFonts w:hint="default" w:ascii="Times New Roman" w:hAnsi="Times New Roman" w:eastAsia="宋体" w:cs="Times New Roman"/>
                <w:color w:val="auto"/>
                <w:sz w:val="24"/>
                <w:highlight w:val="none"/>
              </w:rPr>
              <w:t>②</w:t>
            </w:r>
            <w:r>
              <w:rPr>
                <w:rFonts w:hint="default" w:ascii="Times New Roman" w:hAnsi="Times New Roman" w:eastAsia="宋体" w:cs="Times New Roman"/>
                <w:color w:val="auto"/>
                <w:sz w:val="24"/>
                <w:highlight w:val="none"/>
                <w:lang w:val="zh-CN"/>
              </w:rPr>
              <w:fldChar w:fldCharType="end"/>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环境影响</w:t>
            </w:r>
            <w:r>
              <w:rPr>
                <w:rFonts w:hint="default" w:ascii="Times New Roman" w:hAnsi="Times New Roman" w:eastAsia="宋体" w:cs="Times New Roman"/>
                <w:color w:val="auto"/>
                <w:sz w:val="24"/>
                <w:highlight w:val="none"/>
              </w:rPr>
              <w:t>源及影响因子</w:t>
            </w:r>
          </w:p>
          <w:p>
            <w:pPr>
              <w:adjustRightInd w:val="0"/>
              <w:snapToGrid w:val="0"/>
              <w:spacing w:line="360" w:lineRule="auto"/>
              <w:ind w:firstLine="480" w:firstLineChars="200"/>
              <w:rPr>
                <w:rStyle w:val="53"/>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z w:val="24"/>
                <w:highlight w:val="none"/>
              </w:rPr>
              <w:t>项目对</w:t>
            </w:r>
            <w:r>
              <w:rPr>
                <w:rFonts w:hint="default" w:ascii="Times New Roman" w:hAnsi="Times New Roman" w:eastAsia="宋体" w:cs="Times New Roman"/>
                <w:color w:val="auto"/>
                <w:sz w:val="24"/>
                <w:highlight w:val="none"/>
                <w:lang w:val="zh-CN"/>
              </w:rPr>
              <w:t>土壤、</w:t>
            </w:r>
            <w:r>
              <w:rPr>
                <w:rFonts w:hint="default" w:ascii="Times New Roman" w:hAnsi="Times New Roman" w:eastAsia="宋体" w:cs="Times New Roman"/>
                <w:color w:val="auto"/>
                <w:sz w:val="24"/>
                <w:highlight w:val="none"/>
              </w:rPr>
              <w:t>地下水</w:t>
            </w:r>
            <w:r>
              <w:rPr>
                <w:rFonts w:hint="default" w:ascii="Times New Roman" w:hAnsi="Times New Roman" w:eastAsia="宋体" w:cs="Times New Roman"/>
                <w:color w:val="auto"/>
                <w:sz w:val="24"/>
                <w:highlight w:val="none"/>
                <w:lang w:val="zh-CN"/>
              </w:rPr>
              <w:t>环境</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zh-CN"/>
              </w:rPr>
              <w:t>影响</w:t>
            </w:r>
            <w:r>
              <w:rPr>
                <w:rFonts w:hint="default" w:ascii="Times New Roman" w:hAnsi="Times New Roman" w:eastAsia="宋体" w:cs="Times New Roman"/>
                <w:color w:val="auto"/>
                <w:sz w:val="24"/>
                <w:highlight w:val="none"/>
              </w:rPr>
              <w:t>源及影响因子</w:t>
            </w:r>
            <w:r>
              <w:rPr>
                <w:rFonts w:hint="default" w:ascii="Times New Roman" w:hAnsi="Times New Roman" w:eastAsia="宋体" w:cs="Times New Roman"/>
                <w:color w:val="auto"/>
                <w:sz w:val="24"/>
                <w:highlight w:val="none"/>
                <w:lang w:val="zh-CN"/>
              </w:rPr>
              <w:t>见表4-</w:t>
            </w:r>
            <w:r>
              <w:rPr>
                <w:rFonts w:hint="default" w:ascii="Times New Roman" w:hAnsi="Times New Roman" w:eastAsia="宋体" w:cs="Times New Roman"/>
                <w:color w:val="auto"/>
                <w:sz w:val="24"/>
                <w:highlight w:val="none"/>
                <w:lang w:val="en-US" w:eastAsia="zh-CN"/>
              </w:rPr>
              <w:t>28</w:t>
            </w:r>
            <w:r>
              <w:rPr>
                <w:rFonts w:hint="default" w:ascii="Times New Roman" w:hAnsi="Times New Roman" w:eastAsia="宋体" w:cs="Times New Roman"/>
                <w:color w:val="auto"/>
                <w:sz w:val="24"/>
                <w:highlight w:val="none"/>
                <w:lang w:val="zh-CN"/>
              </w:rPr>
              <w:t>。</w:t>
            </w: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p>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表4-</w:t>
            </w:r>
            <w:r>
              <w:rPr>
                <w:rStyle w:val="53"/>
                <w:rFonts w:hint="default" w:ascii="Times New Roman" w:hAnsi="Times New Roman" w:eastAsia="宋体" w:cs="Times New Roman"/>
                <w:b/>
                <w:color w:val="auto"/>
                <w:szCs w:val="21"/>
                <w:highlight w:val="none"/>
                <w:lang w:val="en-US" w:eastAsia="zh-CN"/>
              </w:rPr>
              <w:t>28</w:t>
            </w:r>
            <w:r>
              <w:rPr>
                <w:rStyle w:val="53"/>
                <w:rFonts w:hint="default" w:ascii="Times New Roman" w:hAnsi="Times New Roman" w:eastAsia="宋体" w:cs="Times New Roman"/>
                <w:b/>
                <w:color w:val="auto"/>
                <w:szCs w:val="21"/>
                <w:highlight w:val="none"/>
              </w:rPr>
              <w:t xml:space="preserve">  项目土壤、地下水环境影响源及影响因子识别表</w:t>
            </w:r>
          </w:p>
          <w:tbl>
            <w:tblPr>
              <w:tblStyle w:val="2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605"/>
              <w:gridCol w:w="1260"/>
              <w:gridCol w:w="1123"/>
              <w:gridCol w:w="3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污染源</w:t>
                  </w:r>
                </w:p>
              </w:tc>
              <w:tc>
                <w:tcPr>
                  <w:tcW w:w="1605"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工艺流程/环节</w:t>
                  </w:r>
                </w:p>
              </w:tc>
              <w:tc>
                <w:tcPr>
                  <w:tcW w:w="1260"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污染途径</w:t>
                  </w:r>
                </w:p>
              </w:tc>
              <w:tc>
                <w:tcPr>
                  <w:tcW w:w="1123"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污染物</w:t>
                  </w:r>
                </w:p>
              </w:tc>
              <w:tc>
                <w:tcPr>
                  <w:tcW w:w="3051" w:type="dxa"/>
                  <w:vAlign w:val="center"/>
                </w:tcPr>
                <w:p>
                  <w:pPr>
                    <w:pStyle w:val="56"/>
                    <w:adjustRightInd w:val="0"/>
                    <w:snapToGrid w:val="0"/>
                    <w:rPr>
                      <w:rStyle w:val="53"/>
                      <w:rFonts w:hint="default" w:ascii="Times New Roman" w:hAnsi="Times New Roman" w:eastAsia="宋体" w:cs="Times New Roman"/>
                      <w:b/>
                      <w:color w:val="auto"/>
                      <w:szCs w:val="21"/>
                      <w:highlight w:val="none"/>
                    </w:rPr>
                  </w:pPr>
                  <w:r>
                    <w:rPr>
                      <w:rStyle w:val="53"/>
                      <w:rFonts w:hint="default" w:ascii="Times New Roman" w:hAnsi="Times New Roman" w:eastAsia="宋体"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危险废物暂存间</w:t>
                  </w:r>
                </w:p>
              </w:tc>
              <w:tc>
                <w:tcPr>
                  <w:tcW w:w="160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危险废物暂存</w:t>
                  </w:r>
                </w:p>
              </w:tc>
              <w:tc>
                <w:tcPr>
                  <w:tcW w:w="12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p>
              </w:tc>
              <w:tc>
                <w:tcPr>
                  <w:tcW w:w="1123"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废矿物油</w:t>
                  </w:r>
                </w:p>
              </w:tc>
              <w:tc>
                <w:tcPr>
                  <w:tcW w:w="3051"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危废收集容器损坏，废矿物油泄漏渗入土壤</w:t>
                  </w:r>
                  <w:r>
                    <w:rPr>
                      <w:rStyle w:val="53"/>
                      <w:rFonts w:hint="eastAsia" w:cs="Times New Roman"/>
                      <w:bCs/>
                      <w:color w:val="auto"/>
                      <w:szCs w:val="21"/>
                      <w:highlight w:val="none"/>
                      <w:lang w:eastAsia="zh-CN"/>
                    </w:rPr>
                    <w:t>、地下水</w:t>
                  </w:r>
                  <w:r>
                    <w:rPr>
                      <w:rStyle w:val="53"/>
                      <w:rFonts w:hint="default" w:ascii="Times New Roman" w:hAnsi="Times New Roman" w:eastAsia="宋体" w:cs="Times New Roman"/>
                      <w:bCs/>
                      <w:color w:val="auto"/>
                      <w:szCs w:val="21"/>
                      <w:highlight w:val="none"/>
                    </w:rPr>
                    <w:t>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lang w:val="en-US" w:eastAsia="zh-CN"/>
                    </w:rPr>
                    <w:t>絮凝沉淀池</w:t>
                  </w:r>
                </w:p>
              </w:tc>
              <w:tc>
                <w:tcPr>
                  <w:tcW w:w="1605"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Fonts w:hint="eastAsia" w:cs="Times New Roman"/>
                      <w:iCs/>
                      <w:color w:val="auto"/>
                      <w:sz w:val="21"/>
                      <w:szCs w:val="21"/>
                      <w:highlight w:val="none"/>
                      <w:lang w:val="en-US" w:eastAsia="zh-CN"/>
                    </w:rPr>
                    <w:t>纯水制备废水</w:t>
                  </w:r>
                  <w:r>
                    <w:rPr>
                      <w:rStyle w:val="53"/>
                      <w:rFonts w:hint="default" w:ascii="Times New Roman" w:hAnsi="Times New Roman" w:eastAsia="宋体" w:cs="Times New Roman"/>
                      <w:b w:val="0"/>
                      <w:bCs/>
                      <w:color w:val="auto"/>
                      <w:sz w:val="21"/>
                      <w:szCs w:val="21"/>
                      <w:highlight w:val="none"/>
                    </w:rPr>
                    <w:t>、</w:t>
                  </w:r>
                  <w:r>
                    <w:rPr>
                      <w:rStyle w:val="53"/>
                      <w:rFonts w:hint="default" w:ascii="Times New Roman" w:hAnsi="Times New Roman" w:eastAsia="宋体" w:cs="Times New Roman"/>
                      <w:b w:val="0"/>
                      <w:bCs/>
                      <w:color w:val="auto"/>
                      <w:sz w:val="21"/>
                      <w:szCs w:val="21"/>
                      <w:highlight w:val="none"/>
                      <w:lang w:eastAsia="zh-CN"/>
                    </w:rPr>
                    <w:t>锅炉排污水</w:t>
                  </w:r>
                </w:p>
              </w:tc>
              <w:tc>
                <w:tcPr>
                  <w:tcW w:w="1260"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rPr>
                    <w:t>垂直入渗</w:t>
                  </w:r>
                  <w:r>
                    <w:rPr>
                      <w:rStyle w:val="53"/>
                      <w:rFonts w:hint="default" w:ascii="Times New Roman" w:hAnsi="Times New Roman" w:eastAsia="宋体" w:cs="Times New Roman"/>
                      <w:bCs/>
                      <w:color w:val="auto"/>
                      <w:szCs w:val="21"/>
                      <w:highlight w:val="none"/>
                      <w:lang w:eastAsia="zh-CN"/>
                    </w:rPr>
                    <w:t>、</w:t>
                  </w:r>
                  <w:r>
                    <w:rPr>
                      <w:rStyle w:val="53"/>
                      <w:rFonts w:hint="default" w:ascii="Times New Roman" w:hAnsi="Times New Roman" w:eastAsia="宋体" w:cs="Times New Roman"/>
                      <w:bCs/>
                      <w:color w:val="auto"/>
                      <w:szCs w:val="21"/>
                      <w:highlight w:val="none"/>
                      <w:lang w:val="en-US" w:eastAsia="zh-CN"/>
                    </w:rPr>
                    <w:t>地面漫流</w:t>
                  </w:r>
                </w:p>
              </w:tc>
              <w:tc>
                <w:tcPr>
                  <w:tcW w:w="1123"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Style w:val="53"/>
                      <w:rFonts w:hint="default" w:ascii="Times New Roman" w:hAnsi="Times New Roman" w:eastAsia="宋体" w:cs="Times New Roman"/>
                      <w:bCs/>
                      <w:color w:val="auto"/>
                      <w:szCs w:val="21"/>
                      <w:highlight w:val="none"/>
                      <w:lang w:val="en-US" w:eastAsia="zh-CN"/>
                    </w:rPr>
                    <w:t>浓盐水</w:t>
                  </w:r>
                </w:p>
              </w:tc>
              <w:tc>
                <w:tcPr>
                  <w:tcW w:w="3051" w:type="dxa"/>
                  <w:vAlign w:val="center"/>
                </w:tcPr>
                <w:p>
                  <w:pPr>
                    <w:pStyle w:val="56"/>
                    <w:adjustRightInd w:val="0"/>
                    <w:snapToGrid w:val="0"/>
                    <w:rPr>
                      <w:rStyle w:val="53"/>
                      <w:rFonts w:hint="default" w:ascii="Times New Roman" w:hAnsi="Times New Roman" w:eastAsia="宋体" w:cs="Times New Roman"/>
                      <w:bCs/>
                      <w:color w:val="auto"/>
                      <w:szCs w:val="21"/>
                      <w:highlight w:val="none"/>
                    </w:rPr>
                  </w:pPr>
                  <w:r>
                    <w:rPr>
                      <w:rFonts w:hint="eastAsia" w:cs="Times New Roman"/>
                      <w:iCs/>
                      <w:color w:val="auto"/>
                      <w:sz w:val="21"/>
                      <w:szCs w:val="21"/>
                      <w:highlight w:val="none"/>
                      <w:lang w:val="en-US" w:eastAsia="zh-CN"/>
                    </w:rPr>
                    <w:t>纯水制备废水</w:t>
                  </w:r>
                  <w:r>
                    <w:rPr>
                      <w:rStyle w:val="53"/>
                      <w:rFonts w:hint="default" w:ascii="Times New Roman" w:hAnsi="Times New Roman" w:eastAsia="宋体" w:cs="Times New Roman"/>
                      <w:b w:val="0"/>
                      <w:bCs/>
                      <w:color w:val="auto"/>
                      <w:sz w:val="21"/>
                      <w:szCs w:val="21"/>
                      <w:highlight w:val="none"/>
                    </w:rPr>
                    <w:t>、</w:t>
                  </w:r>
                  <w:r>
                    <w:rPr>
                      <w:rStyle w:val="53"/>
                      <w:rFonts w:hint="default" w:ascii="Times New Roman" w:hAnsi="Times New Roman" w:eastAsia="宋体" w:cs="Times New Roman"/>
                      <w:b w:val="0"/>
                      <w:bCs/>
                      <w:color w:val="auto"/>
                      <w:sz w:val="21"/>
                      <w:szCs w:val="21"/>
                      <w:highlight w:val="none"/>
                      <w:lang w:eastAsia="zh-CN"/>
                    </w:rPr>
                    <w:t>锅炉排污水</w:t>
                  </w:r>
                  <w:r>
                    <w:rPr>
                      <w:rStyle w:val="53"/>
                      <w:rFonts w:hint="default" w:ascii="Times New Roman" w:hAnsi="Times New Roman" w:eastAsia="宋体" w:cs="Times New Roman"/>
                      <w:bCs/>
                      <w:color w:val="auto"/>
                      <w:szCs w:val="21"/>
                      <w:highlight w:val="none"/>
                      <w:lang w:val="en-US" w:eastAsia="zh-CN"/>
                    </w:rPr>
                    <w:t>外溢通过地表漫流、垂直</w:t>
                  </w:r>
                  <w:r>
                    <w:rPr>
                      <w:rStyle w:val="53"/>
                      <w:rFonts w:hint="default" w:ascii="Times New Roman" w:hAnsi="Times New Roman" w:eastAsia="宋体" w:cs="Times New Roman"/>
                      <w:bCs/>
                      <w:color w:val="auto"/>
                      <w:szCs w:val="21"/>
                      <w:highlight w:val="none"/>
                    </w:rPr>
                    <w:t>入渗</w:t>
                  </w:r>
                  <w:r>
                    <w:rPr>
                      <w:rStyle w:val="53"/>
                      <w:rFonts w:hint="default" w:ascii="Times New Roman" w:hAnsi="Times New Roman" w:eastAsia="宋体" w:cs="Times New Roman"/>
                      <w:bCs/>
                      <w:color w:val="auto"/>
                      <w:szCs w:val="21"/>
                      <w:highlight w:val="none"/>
                      <w:lang w:val="en-US" w:eastAsia="zh-CN"/>
                    </w:rPr>
                    <w:t>进入土壤、地下水造成污染</w:t>
                  </w:r>
                </w:p>
              </w:tc>
            </w:tr>
          </w:tbl>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3、分区防控措施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zh-CN"/>
              </w:rPr>
              <w:t>根据以上分析，项目存在土壤、地下水污染源的区域主要为危险废</w:t>
            </w:r>
            <w:r>
              <w:rPr>
                <w:rFonts w:hint="default" w:ascii="Times New Roman" w:hAnsi="Times New Roman" w:eastAsia="宋体" w:cs="Times New Roman"/>
                <w:color w:val="auto"/>
                <w:sz w:val="24"/>
                <w:szCs w:val="24"/>
                <w:highlight w:val="none"/>
              </w:rPr>
              <w:t>物</w:t>
            </w:r>
            <w:r>
              <w:rPr>
                <w:rFonts w:hint="default" w:ascii="Times New Roman" w:hAnsi="Times New Roman" w:eastAsia="宋体" w:cs="Times New Roman"/>
                <w:color w:val="auto"/>
                <w:sz w:val="24"/>
                <w:szCs w:val="24"/>
                <w:highlight w:val="none"/>
                <w:lang w:val="zh-CN"/>
              </w:rPr>
              <w:t>暂存间，因此提出厂内进行分区防渗措施，其中</w:t>
            </w:r>
            <w:r>
              <w:rPr>
                <w:rFonts w:hint="default" w:ascii="Times New Roman" w:hAnsi="Times New Roman" w:eastAsia="宋体" w:cs="Times New Roman"/>
                <w:color w:val="auto"/>
                <w:sz w:val="24"/>
                <w:szCs w:val="24"/>
                <w:highlight w:val="none"/>
              </w:rPr>
              <w:t>危险废物</w:t>
            </w:r>
            <w:r>
              <w:rPr>
                <w:rFonts w:hint="default" w:ascii="Times New Roman" w:hAnsi="Times New Roman" w:eastAsia="宋体" w:cs="Times New Roman"/>
                <w:color w:val="auto"/>
                <w:sz w:val="24"/>
                <w:szCs w:val="24"/>
                <w:highlight w:val="none"/>
                <w:lang w:val="zh-CN"/>
              </w:rPr>
              <w:t>暂存间为重点防渗区，采用“抗渗混凝土+2mm厚HDPE+环氧树脂”</w:t>
            </w:r>
            <w:r>
              <w:rPr>
                <w:rFonts w:hint="default" w:ascii="Times New Roman" w:hAnsi="Times New Roman" w:eastAsia="宋体" w:cs="Times New Roman"/>
                <w:color w:val="auto"/>
                <w:sz w:val="24"/>
                <w:szCs w:val="24"/>
                <w:highlight w:val="none"/>
              </w:rPr>
              <w:t>进行重点防渗处理</w:t>
            </w:r>
            <w:r>
              <w:rPr>
                <w:rFonts w:hint="default" w:ascii="Times New Roman" w:hAnsi="Times New Roman" w:eastAsia="宋体" w:cs="Times New Roman"/>
                <w:color w:val="auto"/>
                <w:sz w:val="24"/>
                <w:szCs w:val="24"/>
                <w:highlight w:val="none"/>
                <w:lang w:val="zh-CN"/>
              </w:rPr>
              <w:t>，渗透系数≤10</w:t>
            </w:r>
            <w:r>
              <w:rPr>
                <w:rFonts w:hint="default" w:ascii="Times New Roman" w:hAnsi="Times New Roman" w:eastAsia="宋体" w:cs="Times New Roman"/>
                <w:color w:val="auto"/>
                <w:sz w:val="24"/>
                <w:szCs w:val="24"/>
                <w:highlight w:val="none"/>
                <w:vertAlign w:val="superscript"/>
                <w:lang w:val="zh-CN"/>
              </w:rPr>
              <w:t>-10</w:t>
            </w:r>
            <w:r>
              <w:rPr>
                <w:rFonts w:hint="default" w:ascii="Times New Roman" w:hAnsi="Times New Roman" w:eastAsia="宋体" w:cs="Times New Roman"/>
                <w:color w:val="auto"/>
                <w:sz w:val="24"/>
                <w:szCs w:val="24"/>
                <w:highlight w:val="none"/>
                <w:lang w:val="zh-CN"/>
              </w:rPr>
              <w:t>cm/s；</w:t>
            </w:r>
            <w:r>
              <w:rPr>
                <w:rFonts w:hint="default" w:ascii="Times New Roman" w:hAnsi="Times New Roman" w:eastAsia="宋体" w:cs="Times New Roman"/>
                <w:color w:val="auto"/>
                <w:sz w:val="24"/>
                <w:szCs w:val="24"/>
                <w:highlight w:val="none"/>
              </w:rPr>
              <w:t>危险</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废物</w:t>
            </w:r>
            <w:r>
              <w:rPr>
                <w:rFonts w:hint="default" w:ascii="Times New Roman" w:hAnsi="Times New Roman" w:eastAsia="宋体" w:cs="Times New Roman"/>
                <w:color w:val="auto"/>
                <w:sz w:val="24"/>
                <w:szCs w:val="24"/>
                <w:highlight w:val="none"/>
                <w:lang w:val="zh-CN"/>
              </w:rPr>
              <w:t>暂存间地面及</w:t>
            </w:r>
            <w:r>
              <w:rPr>
                <w:rFonts w:hint="default" w:ascii="Times New Roman" w:hAnsi="Times New Roman" w:eastAsia="宋体" w:cs="Times New Roman"/>
                <w:color w:val="auto"/>
                <w:sz w:val="24"/>
                <w:szCs w:val="24"/>
                <w:highlight w:val="none"/>
              </w:rPr>
              <w:t>四周墙裙脚应</w:t>
            </w:r>
            <w:r>
              <w:rPr>
                <w:rFonts w:hint="default" w:ascii="Times New Roman" w:hAnsi="Times New Roman" w:eastAsia="宋体" w:cs="Times New Roman"/>
                <w:color w:val="auto"/>
                <w:sz w:val="24"/>
                <w:szCs w:val="24"/>
                <w:highlight w:val="none"/>
                <w:lang w:val="zh-CN"/>
              </w:rPr>
              <w:t>按照</w:t>
            </w:r>
            <w:r>
              <w:rPr>
                <w:rFonts w:hint="default" w:ascii="Times New Roman" w:hAnsi="Times New Roman" w:eastAsia="宋体" w:cs="Times New Roman"/>
                <w:color w:val="auto"/>
                <w:spacing w:val="-8"/>
                <w:sz w:val="24"/>
                <w:szCs w:val="24"/>
                <w:highlight w:val="none"/>
              </w:rPr>
              <w:t>《危险废物贮存污染控制标准》</w:t>
            </w:r>
            <w:r>
              <w:rPr>
                <w:rFonts w:hint="default" w:ascii="Times New Roman" w:hAnsi="Times New Roman" w:eastAsia="宋体" w:cs="Times New Roman"/>
                <w:color w:val="auto"/>
                <w:sz w:val="24"/>
                <w:szCs w:val="24"/>
                <w:highlight w:val="none"/>
              </w:rPr>
              <w:t xml:space="preserve">（GB </w:t>
            </w:r>
            <w:r>
              <w:rPr>
                <w:rFonts w:hint="default" w:ascii="Times New Roman" w:hAnsi="Times New Roman" w:eastAsia="宋体" w:cs="Times New Roman"/>
                <w:color w:val="auto"/>
                <w:spacing w:val="-3"/>
                <w:sz w:val="24"/>
                <w:szCs w:val="24"/>
                <w:highlight w:val="none"/>
              </w:rPr>
              <w:t>18597-20</w:t>
            </w:r>
            <w:r>
              <w:rPr>
                <w:rFonts w:hint="eastAsia" w:ascii="Times New Roman" w:hAnsi="Times New Roman" w:cs="Times New Roman"/>
                <w:color w:val="auto"/>
                <w:spacing w:val="-3"/>
                <w:sz w:val="24"/>
                <w:szCs w:val="24"/>
                <w:highlight w:val="none"/>
                <w:lang w:val="en-US" w:eastAsia="zh-CN"/>
              </w:rPr>
              <w:t>23）</w:t>
            </w:r>
            <w:r>
              <w:rPr>
                <w:rFonts w:hint="default" w:ascii="Times New Roman" w:hAnsi="Times New Roman" w:eastAsia="宋体" w:cs="Times New Roman"/>
                <w:color w:val="auto"/>
                <w:sz w:val="24"/>
                <w:szCs w:val="24"/>
                <w:highlight w:val="none"/>
                <w:lang w:val="zh-CN"/>
              </w:rPr>
              <w:t>中要求</w:t>
            </w:r>
            <w:r>
              <w:rPr>
                <w:rFonts w:hint="default" w:ascii="Times New Roman" w:hAnsi="Times New Roman" w:eastAsia="宋体" w:cs="Times New Roman"/>
                <w:color w:val="auto"/>
                <w:sz w:val="24"/>
                <w:szCs w:val="24"/>
                <w:highlight w:val="none"/>
              </w:rPr>
              <w:t>进行重点防渗</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rPr>
              <w:t>并设危险废物备用储存容器，避免废矿物油泄漏污染土壤、地下水</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b w:val="0"/>
                <w:bCs w:val="0"/>
                <w:color w:val="auto"/>
                <w:sz w:val="24"/>
                <w:szCs w:val="24"/>
                <w:lang w:val="en-US" w:eastAsia="zh-CN"/>
              </w:rPr>
              <w:t>一般防渗区：絮凝沉淀池、循环冷却水池、隔油池、化粪池、一体化污水处理站、蓄水池、事故应急池、一般固体废物暂存区防渗技术要求达到等效黏土防渗层Mb≥1.5m，渗透系数≤10</w:t>
            </w:r>
            <w:r>
              <w:rPr>
                <w:rFonts w:hint="default" w:ascii="Times New Roman" w:hAnsi="Times New Roman" w:eastAsia="宋体" w:cs="Times New Roman"/>
                <w:b w:val="0"/>
                <w:bCs w:val="0"/>
                <w:color w:val="auto"/>
                <w:sz w:val="24"/>
                <w:szCs w:val="24"/>
                <w:vertAlign w:val="superscript"/>
                <w:lang w:val="en-US" w:eastAsia="zh-CN"/>
              </w:rPr>
              <w:t>-7</w:t>
            </w:r>
            <w:r>
              <w:rPr>
                <w:rFonts w:hint="default" w:ascii="Times New Roman" w:hAnsi="Times New Roman" w:eastAsia="宋体" w:cs="Times New Roman"/>
                <w:b w:val="0"/>
                <w:bCs w:val="0"/>
                <w:color w:val="auto"/>
                <w:sz w:val="24"/>
                <w:szCs w:val="24"/>
                <w:lang w:val="en-US" w:eastAsia="zh-CN"/>
              </w:rPr>
              <w:t>cm/s。简单防渗区：其余生产区、道路及办公区域（除绿化外）进行一般硬化处理。</w:t>
            </w:r>
          </w:p>
          <w:p>
            <w:pPr>
              <w:pStyle w:val="84"/>
              <w:keepNext w:val="0"/>
              <w:keepLines w:val="0"/>
              <w:pageBreakBefore w:val="0"/>
              <w:numPr>
                <w:ilvl w:val="0"/>
                <w:numId w:val="0"/>
              </w:numPr>
              <w:tabs>
                <w:tab w:val="left" w:pos="953"/>
              </w:tabs>
              <w:kinsoku/>
              <w:wordWrap/>
              <w:overflowPunct/>
              <w:topLinePunct w:val="0"/>
              <w:autoSpaceDE/>
              <w:autoSpaceDN/>
              <w:bidi w:val="0"/>
              <w:adjustRightInd w:val="0"/>
              <w:snapToGrid w:val="0"/>
              <w:spacing w:beforeLines="0" w:afterLines="0" w:line="360" w:lineRule="auto"/>
              <w:ind w:leftChars="0" w:right="0" w:rightChars="0" w:firstLine="480"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采取以上措施后可有效避免生产废水及危险废物对土壤及地下水的污染。</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六、生态环境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hint="default" w:ascii="Times New Roman" w:hAnsi="Times New Roman" w:eastAsia="宋体" w:cs="Times New Roman"/>
                <w:color w:val="auto"/>
                <w:kern w:val="2"/>
                <w:sz w:val="24"/>
                <w:szCs w:val="24"/>
                <w:highlight w:val="none"/>
                <w:lang w:val="zh-CN" w:eastAsia="zh-CN" w:bidi="ar-SA"/>
              </w:rPr>
            </w:pPr>
            <w:r>
              <w:rPr>
                <w:rFonts w:hint="default" w:ascii="Times New Roman" w:hAnsi="Times New Roman" w:eastAsia="宋体" w:cs="Times New Roman"/>
                <w:b w:val="0"/>
                <w:bCs w:val="0"/>
                <w:color w:val="auto"/>
                <w:sz w:val="24"/>
                <w:szCs w:val="22"/>
                <w:highlight w:val="none"/>
                <w:lang w:val="en-US" w:eastAsia="zh-CN"/>
              </w:rPr>
              <w:t>本</w:t>
            </w:r>
            <w:r>
              <w:rPr>
                <w:rFonts w:hint="default" w:ascii="Times New Roman" w:hAnsi="Times New Roman" w:eastAsia="宋体" w:cs="Times New Roman"/>
                <w:b w:val="0"/>
                <w:bCs w:val="0"/>
                <w:color w:val="auto"/>
                <w:sz w:val="24"/>
                <w:highlight w:val="none"/>
                <w:lang w:val="en-US" w:eastAsia="zh-CN"/>
              </w:rPr>
              <w:t>项目位</w:t>
            </w:r>
            <w:r>
              <w:rPr>
                <w:rFonts w:hint="default" w:ascii="Times New Roman" w:hAnsi="Times New Roman" w:eastAsia="宋体" w:cs="Times New Roman"/>
                <w:color w:val="auto"/>
                <w:sz w:val="24"/>
                <w:highlight w:val="none"/>
                <w:lang w:val="en-US" w:eastAsia="zh-CN"/>
              </w:rPr>
              <w:t>于工业园区内，</w:t>
            </w:r>
            <w:r>
              <w:rPr>
                <w:rFonts w:hint="default" w:ascii="Times New Roman" w:hAnsi="Times New Roman" w:eastAsia="宋体" w:cs="Times New Roman"/>
                <w:color w:val="auto"/>
                <w:kern w:val="2"/>
                <w:sz w:val="24"/>
                <w:szCs w:val="24"/>
                <w:highlight w:val="none"/>
                <w:lang w:val="en-US" w:eastAsia="zh-CN" w:bidi="ar-SA"/>
              </w:rPr>
              <w:t>在</w:t>
            </w:r>
            <w:r>
              <w:rPr>
                <w:rFonts w:hint="eastAsia" w:cs="Times New Roman"/>
                <w:color w:val="auto"/>
                <w:kern w:val="2"/>
                <w:sz w:val="24"/>
                <w:szCs w:val="24"/>
                <w:highlight w:val="none"/>
                <w:lang w:val="en-US" w:eastAsia="zh-CN" w:bidi="ar-SA"/>
              </w:rPr>
              <w:t>空地进行建设</w:t>
            </w:r>
            <w:r>
              <w:rPr>
                <w:rFonts w:hint="default"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已基本</w:t>
            </w:r>
            <w:r>
              <w:rPr>
                <w:rFonts w:hint="default" w:ascii="Times New Roman" w:hAnsi="Times New Roman" w:eastAsia="宋体" w:cs="Times New Roman"/>
                <w:color w:val="auto"/>
                <w:sz w:val="24"/>
                <w:highlight w:val="none"/>
                <w:lang w:val="en-US" w:eastAsia="zh-CN"/>
              </w:rPr>
              <w:t>无</w:t>
            </w:r>
            <w:r>
              <w:rPr>
                <w:rFonts w:hint="eastAsia" w:cs="Times New Roman"/>
                <w:color w:val="auto"/>
                <w:sz w:val="24"/>
                <w:highlight w:val="none"/>
                <w:lang w:val="en-US" w:eastAsia="zh-CN"/>
              </w:rPr>
              <w:t>原生</w:t>
            </w:r>
            <w:r>
              <w:rPr>
                <w:rFonts w:hint="default" w:ascii="Times New Roman" w:hAnsi="Times New Roman" w:eastAsia="宋体" w:cs="Times New Roman"/>
                <w:color w:val="auto"/>
                <w:sz w:val="24"/>
                <w:highlight w:val="none"/>
                <w:lang w:val="en-US" w:eastAsia="zh-CN"/>
              </w:rPr>
              <w:t>植被附着，</w:t>
            </w:r>
            <w:r>
              <w:rPr>
                <w:rFonts w:hint="eastAsia" w:cs="Times New Roman"/>
                <w:color w:val="auto"/>
                <w:sz w:val="24"/>
                <w:highlight w:val="none"/>
                <w:lang w:val="en-US" w:eastAsia="zh-CN"/>
              </w:rPr>
              <w:t>部分</w:t>
            </w:r>
            <w:r>
              <w:rPr>
                <w:rFonts w:hint="default" w:ascii="Times New Roman" w:hAnsi="Times New Roman" w:eastAsia="宋体" w:cs="Times New Roman"/>
                <w:color w:val="auto"/>
                <w:sz w:val="24"/>
                <w:highlight w:val="none"/>
                <w:lang w:val="en-US" w:eastAsia="zh-CN"/>
              </w:rPr>
              <w:t>场地已硬化，项目建设期和运营期均不会对区域生态环境造成</w:t>
            </w:r>
            <w:r>
              <w:rPr>
                <w:rFonts w:hint="eastAsia" w:cs="Times New Roman"/>
                <w:color w:val="auto"/>
                <w:sz w:val="24"/>
                <w:highlight w:val="none"/>
                <w:lang w:val="en-US" w:eastAsia="zh-CN"/>
              </w:rPr>
              <w:t>较大</w:t>
            </w:r>
            <w:r>
              <w:rPr>
                <w:rFonts w:hint="default" w:ascii="Times New Roman" w:hAnsi="Times New Roman" w:eastAsia="宋体" w:cs="Times New Roman"/>
                <w:color w:val="auto"/>
                <w:sz w:val="24"/>
                <w:highlight w:val="none"/>
                <w:lang w:val="en-US" w:eastAsia="zh-CN"/>
              </w:rPr>
              <w:t>影响。</w:t>
            </w:r>
          </w:p>
          <w:p>
            <w:pPr>
              <w:spacing w:line="360" w:lineRule="auto"/>
              <w:ind w:firstLine="482"/>
              <w:rPr>
                <w:rFonts w:hint="default" w:ascii="Times New Roman" w:hAnsi="Times New Roman" w:eastAsia="宋体" w:cs="Times New Roman"/>
                <w:b/>
                <w:bCs/>
                <w:color w:val="auto"/>
                <w:sz w:val="24"/>
                <w:szCs w:val="22"/>
                <w:highlight w:val="none"/>
                <w:lang w:val="en-US" w:eastAsia="zh-CN"/>
              </w:rPr>
            </w:pPr>
            <w:r>
              <w:rPr>
                <w:rFonts w:hint="default" w:ascii="Times New Roman" w:hAnsi="Times New Roman" w:eastAsia="宋体" w:cs="Times New Roman"/>
                <w:b/>
                <w:bCs/>
                <w:color w:val="auto"/>
                <w:sz w:val="24"/>
                <w:szCs w:val="22"/>
                <w:highlight w:val="none"/>
                <w:lang w:val="en-US" w:eastAsia="zh-CN"/>
              </w:rPr>
              <w:t>七、风险分析措施</w:t>
            </w:r>
          </w:p>
          <w:p>
            <w:pPr>
              <w:keepNext w:val="0"/>
              <w:keepLines w:val="0"/>
              <w:pageBreakBefore w:val="0"/>
              <w:widowControl/>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环境风险分析的目的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环境风险分析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、风险</w:t>
            </w:r>
            <w:r>
              <w:rPr>
                <w:rFonts w:hint="default" w:ascii="Times New Roman" w:hAnsi="Times New Roman" w:eastAsia="宋体" w:cs="Times New Roman"/>
                <w:b/>
                <w:bCs/>
                <w:color w:val="auto"/>
                <w:sz w:val="24"/>
                <w:szCs w:val="24"/>
                <w:highlight w:val="none"/>
                <w:lang w:val="en-US" w:eastAsia="zh-CN"/>
              </w:rPr>
              <w:t>识别</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color w:val="auto"/>
                <w:spacing w:val="-10"/>
                <w:sz w:val="24"/>
                <w:highlight w:val="none"/>
                <w:lang w:eastAsia="zh-CN"/>
              </w:rPr>
            </w:pP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pacing w:val="-10"/>
                <w:sz w:val="24"/>
                <w:highlight w:val="none"/>
                <w:lang w:val="en-US" w:eastAsia="zh-CN"/>
              </w:rPr>
              <w:t>1</w:t>
            </w:r>
            <w:r>
              <w:rPr>
                <w:rFonts w:hint="default" w:ascii="Times New Roman" w:hAnsi="Times New Roman" w:eastAsia="宋体" w:cs="Times New Roman"/>
                <w:color w:val="auto"/>
                <w:spacing w:val="-10"/>
                <w:sz w:val="24"/>
                <w:highlight w:val="none"/>
                <w:lang w:eastAsia="zh-CN"/>
              </w:rPr>
              <w:t>）</w:t>
            </w:r>
            <w:r>
              <w:rPr>
                <w:rFonts w:hint="default" w:ascii="Times New Roman" w:hAnsi="Times New Roman" w:eastAsia="宋体" w:cs="Times New Roman"/>
                <w:color w:val="auto"/>
                <w:sz w:val="24"/>
                <w:highlight w:val="none"/>
              </w:rPr>
              <w:t>建设项目风险源调查</w:t>
            </w:r>
          </w:p>
          <w:p>
            <w:pPr>
              <w:pStyle w:val="84"/>
              <w:keepNext w:val="0"/>
              <w:keepLines w:val="0"/>
              <w:pageBreakBefore w:val="0"/>
              <w:widowControl w:val="0"/>
              <w:kinsoku/>
              <w:wordWrap/>
              <w:overflowPunct/>
              <w:topLinePunct w:val="0"/>
              <w:autoSpaceDE/>
              <w:autoSpaceDN/>
              <w:bidi w:val="0"/>
              <w:spacing w:beforeLines="0" w:afterLines="0" w:line="360" w:lineRule="auto"/>
              <w:ind w:left="0" w:right="0" w:firstLine="440" w:firstLineChars="200"/>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spacing w:val="-10"/>
                <w:sz w:val="24"/>
                <w:highlight w:val="none"/>
              </w:rPr>
              <w:t>根据《建设项目环境风险评价技术导则》</w:t>
            </w:r>
            <w:r>
              <w:rPr>
                <w:rFonts w:hint="default" w:ascii="Times New Roman" w:hAnsi="Times New Roman" w:eastAsia="宋体" w:cs="Times New Roman"/>
                <w:color w:val="auto"/>
                <w:spacing w:val="-4"/>
                <w:sz w:val="24"/>
                <w:highlight w:val="none"/>
              </w:rPr>
              <w:t>（HJ169-2018）</w:t>
            </w:r>
            <w:r>
              <w:rPr>
                <w:rFonts w:hint="default" w:ascii="Times New Roman" w:hAnsi="Times New Roman" w:eastAsia="宋体" w:cs="Times New Roman"/>
                <w:color w:val="auto"/>
                <w:spacing w:val="-19"/>
                <w:sz w:val="24"/>
                <w:highlight w:val="none"/>
              </w:rPr>
              <w:t>附录</w:t>
            </w:r>
            <w:r>
              <w:rPr>
                <w:rFonts w:hint="default" w:ascii="Times New Roman" w:hAnsi="Times New Roman" w:eastAsia="宋体" w:cs="Times New Roman"/>
                <w:color w:val="auto"/>
                <w:sz w:val="24"/>
                <w:highlight w:val="none"/>
              </w:rPr>
              <w:t>B</w:t>
            </w:r>
            <w:r>
              <w:rPr>
                <w:rFonts w:hint="default" w:ascii="Times New Roman" w:hAnsi="Times New Roman" w:eastAsia="宋体" w:cs="Times New Roman"/>
                <w:color w:val="auto"/>
                <w:spacing w:val="-7"/>
                <w:sz w:val="24"/>
                <w:highlight w:val="none"/>
              </w:rPr>
              <w:t>和《重大危险源辨识》</w:t>
            </w:r>
            <w:r>
              <w:rPr>
                <w:rFonts w:hint="default" w:ascii="Times New Roman" w:hAnsi="Times New Roman" w:eastAsia="宋体" w:cs="Times New Roman"/>
                <w:color w:val="auto"/>
                <w:sz w:val="24"/>
                <w:highlight w:val="none"/>
              </w:rPr>
              <w:t>（GB18218-2018），本项目风险物质为</w:t>
            </w:r>
            <w:r>
              <w:rPr>
                <w:rFonts w:hint="default" w:ascii="Times New Roman" w:hAnsi="Times New Roman" w:eastAsia="宋体" w:cs="Times New Roman"/>
                <w:color w:val="auto"/>
                <w:sz w:val="24"/>
                <w:highlight w:val="none"/>
                <w:lang w:val="en-US" w:eastAsia="zh-CN"/>
              </w:rPr>
              <w:t>废矿物油</w:t>
            </w:r>
            <w:r>
              <w:rPr>
                <w:rFonts w:hint="default" w:ascii="Times New Roman" w:hAnsi="Times New Roman" w:eastAsia="宋体" w:cs="Times New Roman"/>
                <w:color w:val="auto"/>
                <w:sz w:val="24"/>
                <w:highlight w:val="none"/>
              </w:rPr>
              <w:t>。其理化性质详见表</w:t>
            </w:r>
            <w:r>
              <w:rPr>
                <w:rFonts w:hint="default" w:ascii="Times New Roman" w:hAnsi="Times New Roman" w:eastAsia="宋体" w:cs="Times New Roman"/>
                <w:color w:val="auto"/>
                <w:sz w:val="24"/>
                <w:highlight w:val="none"/>
                <w:lang w:val="en-US" w:eastAsia="zh-CN"/>
              </w:rPr>
              <w:t>4-29</w:t>
            </w:r>
            <w:r>
              <w:rPr>
                <w:rFonts w:hint="default" w:ascii="Times New Roman" w:hAnsi="Times New Roman" w:eastAsia="宋体" w:cs="Times New Roman"/>
                <w:color w:val="auto"/>
                <w:sz w:val="24"/>
                <w:highlight w:val="none"/>
              </w:rPr>
              <w:t>。</w:t>
            </w:r>
          </w:p>
          <w:p>
            <w:pPr>
              <w:keepNext w:val="0"/>
              <w:keepLines w:val="0"/>
              <w:pageBreakBefore w:val="0"/>
              <w:kinsoku/>
              <w:wordWrap/>
              <w:overflowPunct/>
              <w:topLinePunct w:val="0"/>
              <w:bidi w:val="0"/>
              <w:adjustRightInd w:val="0"/>
              <w:snapToGrid w:val="0"/>
              <w:jc w:val="both"/>
              <w:rPr>
                <w:rFonts w:hint="default" w:ascii="Times New Roman" w:hAnsi="Times New Roman" w:eastAsia="宋体" w:cs="Times New Roman"/>
                <w:b/>
                <w:color w:val="auto"/>
                <w:szCs w:val="21"/>
                <w:highlight w:val="none"/>
              </w:rPr>
            </w:pPr>
          </w:p>
          <w:p>
            <w:pPr>
              <w:keepNext w:val="0"/>
              <w:keepLines w:val="0"/>
              <w:pageBreakBefore w:val="0"/>
              <w:kinsoku/>
              <w:wordWrap/>
              <w:overflowPunct/>
              <w:topLinePunct w:val="0"/>
              <w:bidi w:val="0"/>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 xml:space="preserve">4-29 </w:t>
            </w:r>
            <w:r>
              <w:rPr>
                <w:rFonts w:hint="default" w:ascii="Times New Roman" w:hAnsi="Times New Roman" w:eastAsia="宋体" w:cs="Times New Roman"/>
                <w:b/>
                <w:color w:val="auto"/>
                <w:szCs w:val="21"/>
                <w:highlight w:val="none"/>
              </w:rPr>
              <w:t xml:space="preserve"> 矿物油理化性质及危险特性表</w:t>
            </w:r>
          </w:p>
          <w:tbl>
            <w:tblPr>
              <w:tblStyle w:val="27"/>
              <w:tblW w:w="82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789"/>
              <w:gridCol w:w="2455"/>
              <w:gridCol w:w="43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中文名：</w:t>
                  </w:r>
                  <w:r>
                    <w:rPr>
                      <w:rFonts w:hint="default" w:ascii="Times New Roman" w:hAnsi="Times New Roman" w:eastAsia="宋体" w:cs="Times New Roman"/>
                      <w:color w:val="auto"/>
                      <w:szCs w:val="21"/>
                      <w:highlight w:val="none"/>
                      <w:lang w:val="en-US" w:eastAsia="zh-CN"/>
                    </w:rPr>
                    <w:t>矿物</w:t>
                  </w:r>
                  <w:r>
                    <w:rPr>
                      <w:rFonts w:hint="default" w:ascii="Times New Roman" w:hAnsi="Times New Roman" w:eastAsia="宋体" w:cs="Times New Roman"/>
                      <w:color w:val="auto"/>
                      <w:szCs w:val="21"/>
                      <w:highlight w:val="none"/>
                    </w:rPr>
                    <w:t>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英文名：</w:t>
                  </w:r>
                  <w:r>
                    <w:rPr>
                      <w:rFonts w:hint="default" w:ascii="Times New Roman" w:hAnsi="Times New Roman" w:eastAsia="宋体" w:cs="Times New Roman"/>
                      <w:color w:val="auto"/>
                      <w:szCs w:val="21"/>
                      <w:highlight w:val="none"/>
                    </w:rPr>
                    <w:fldChar w:fldCharType="begin"/>
                  </w:r>
                  <w:r>
                    <w:rPr>
                      <w:rFonts w:hint="default" w:ascii="Times New Roman" w:hAnsi="Times New Roman" w:eastAsia="宋体" w:cs="Times New Roman"/>
                      <w:color w:val="auto"/>
                      <w:szCs w:val="21"/>
                      <w:highlight w:val="none"/>
                    </w:rPr>
                    <w:instrText xml:space="preserve"> HYPERLINK "https://www.chemsrc.com/en/cas/8020-83-5_1198972.html" \t "https://www.chemsrc.com/cas/_blank" </w:instrText>
                  </w:r>
                  <w:r>
                    <w:rPr>
                      <w:rFonts w:hint="default" w:ascii="Times New Roman" w:hAnsi="Times New Roman" w:eastAsia="宋体" w:cs="Times New Roman"/>
                      <w:color w:val="auto"/>
                      <w:szCs w:val="21"/>
                      <w:highlight w:val="none"/>
                    </w:rPr>
                    <w:fldChar w:fldCharType="separate"/>
                  </w:r>
                  <w:r>
                    <w:rPr>
                      <w:rStyle w:val="36"/>
                      <w:rFonts w:hint="default" w:ascii="Times New Roman" w:hAnsi="Times New Roman" w:eastAsia="宋体" w:cs="Times New Roman"/>
                      <w:color w:val="auto"/>
                      <w:szCs w:val="21"/>
                      <w:highlight w:val="none"/>
                    </w:rPr>
                    <w:t>paraffin</w:t>
                  </w:r>
                  <w:r>
                    <w:rPr>
                      <w:rFonts w:hint="default" w:ascii="Times New Roman" w:hAnsi="Times New Roman" w:eastAsia="宋体" w:cs="Times New Roman"/>
                      <w:color w:val="auto"/>
                      <w:szCs w:val="21"/>
                      <w:highlight w:val="none"/>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危险性类别：可燃液体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理化</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性质</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外观与性状：</w:t>
                  </w:r>
                  <w:r>
                    <w:rPr>
                      <w:rFonts w:hint="default" w:ascii="Times New Roman" w:hAnsi="Times New Roman" w:eastAsia="宋体" w:cs="Times New Roman"/>
                      <w:color w:val="auto"/>
                      <w:szCs w:val="21"/>
                      <w:highlight w:val="none"/>
                      <w:shd w:val="clear" w:color="auto" w:fill="FFFFFF"/>
                    </w:rPr>
                    <w:t>无色透明油状黏性液体，室温下无嗅无味或略带异味，对酸、热、光都很稳定</w:t>
                  </w: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熔点（℃）：-</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沸点（℃）：-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临界温度（℃）：-</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临界压力（MPa）：-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饱和蒸气压（KPa）：-</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燃烧热 （KJ／mol）：-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密度：0.85g/mLat 20°C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溶解性：</w:t>
                  </w:r>
                  <w:r>
                    <w:rPr>
                      <w:rFonts w:hint="default" w:ascii="Times New Roman" w:hAnsi="Times New Roman" w:eastAsia="宋体" w:cs="Times New Roman"/>
                      <w:color w:val="auto"/>
                      <w:szCs w:val="21"/>
                      <w:highlight w:val="none"/>
                      <w:shd w:val="clear" w:color="auto" w:fill="FFFFFF"/>
                    </w:rPr>
                    <w:t>不溶于水、甘油、冷乙醇。溶于热乙醇、二硫化碳、乙醚、酯、氯仿、苯、石油醚。除蓖麻油外,与许多油脂和蜡都能混合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燃烧爆炸危险性</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燃烧性：本品可燃，具窒息性。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引燃温度（℃）：300</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闪点（℃）：220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爆炸下限（%）：-</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爆炸上限（%）：-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3244"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最小点火能（mj）：-</w:t>
                  </w:r>
                </w:p>
              </w:tc>
              <w:tc>
                <w:tcPr>
                  <w:tcW w:w="4337"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最大爆炸压力(MPa)：-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危险</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特性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遇明火、高热可燃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禁配物</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消防</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消防人员须佩戴防毒面具、身穿全身消防服，在上风险灭活。尽可能将容器从火场移至空旷处。喷水保持火场容器冷却，直至灭活结束。处在火场中的容器若已变色或从安全泄压装置中产生声音，必须马上撤离。</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灭火剂：雾状水、泡沫、干粉、二氧化碳、砂土。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restart"/>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LD50 ：无资料。</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LC50 ：无资料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毒性</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健康</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危害</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侵入途径：吸入、食入；</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性吸入，可出现乏力、头晕、头痛、恶心，严重者可引起油脂性肺炎。慢接触者，暴露部位可发生油性痤疮和接触性皮炎。可引起神经衰弱综合症，呼吸道和眼刺激症状及慢性油脂性肺炎。有资料报告，接触石油润滑油类的工人，有致癌的病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防护</w:t>
                  </w:r>
                </w:p>
              </w:tc>
              <w:tc>
                <w:tcPr>
                  <w:tcW w:w="6792" w:type="dxa"/>
                  <w:gridSpan w:val="2"/>
                  <w:noWrap w:val="0"/>
                  <w:vAlign w:val="center"/>
                </w:tcPr>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工程控制：密闭操作，注意通风；</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呼吸系统防护：空气中浓度超标时，建议佩戴自吸过滤式防毒面具（半面罩）。紧急事态抢救或撤离时，应该佩戴空气呼吸器。</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眼睛防护：戴化学安全防护眼镜。</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身体防护：穿防毒物渗透工作服；</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手防护：戴橡胶耐油手套；</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其他：工作现场禁止吸烟。避免长期反复接触。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vMerge w:val="continue"/>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p>
              </w:tc>
              <w:tc>
                <w:tcPr>
                  <w:tcW w:w="789"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急救</w:t>
                  </w:r>
                </w:p>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措施</w:t>
                  </w:r>
                </w:p>
              </w:tc>
              <w:tc>
                <w:tcPr>
                  <w:tcW w:w="6792" w:type="dxa"/>
                  <w:gridSpan w:val="2"/>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皮肤接触：立即脱去被污染的衣着，用大量清水冲洗；</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eastAsia="zh-CN"/>
                    </w:rPr>
                    <w:t>眼睛</w:t>
                  </w:r>
                  <w:r>
                    <w:rPr>
                      <w:rFonts w:hint="default" w:ascii="Times New Roman" w:hAnsi="Times New Roman" w:eastAsia="宋体" w:cs="Times New Roman"/>
                      <w:color w:val="auto"/>
                      <w:szCs w:val="21"/>
                      <w:highlight w:val="none"/>
                    </w:rPr>
                    <w:t>接触：立即提起眼睑，用大量流动清水或生理盐水冲洗，就医；</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吸入：迅速脱离现场至空气新鲜处，保持呼吸道通畅，如呼吸困难，给输氧；如呼吸停止，立即进行人工呼吸，就医；</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食入：饮足量温水，催吐，就医。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贮运条件</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储存于阴凉、通风的库房。远离火种、热源。应与氧化剂分开存放，</w:t>
                  </w:r>
                  <w:r>
                    <w:rPr>
                      <w:rFonts w:hint="eastAsia" w:cs="Times New Roman"/>
                      <w:color w:val="auto"/>
                      <w:highlight w:val="none"/>
                      <w:lang w:eastAsia="zh-CN"/>
                    </w:rPr>
                    <w:t>切忌</w:t>
                  </w:r>
                  <w:r>
                    <w:rPr>
                      <w:rFonts w:hint="default" w:ascii="Times New Roman" w:hAnsi="Times New Roman" w:eastAsia="宋体" w:cs="Times New Roman"/>
                      <w:color w:val="auto"/>
                      <w:highlight w:val="none"/>
                    </w:rPr>
                    <w:t>混储。配备相应品种和数量的消防器材。出去应备有泄漏应急处理设备和合适的收容材料。</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运输前应先检查包装容器是否完整、密封，运输过程中要确保容器不</w:t>
                  </w:r>
                  <w:r>
                    <w:rPr>
                      <w:rFonts w:hint="default" w:ascii="Times New Roman" w:hAnsi="Times New Roman" w:eastAsia="宋体" w:cs="Times New Roman"/>
                      <w:color w:val="auto"/>
                      <w:szCs w:val="21"/>
                      <w:highlight w:val="none"/>
                      <w:lang w:eastAsia="zh-CN"/>
                    </w:rPr>
                    <w:t>泄漏</w:t>
                  </w:r>
                  <w:r>
                    <w:rPr>
                      <w:rFonts w:hint="default" w:ascii="Times New Roman" w:hAnsi="Times New Roman" w:eastAsia="宋体" w:cs="Times New Roman"/>
                      <w:color w:val="auto"/>
                      <w:szCs w:val="21"/>
                      <w:highlight w:val="none"/>
                    </w:rPr>
                    <w:t>、不倒塌、不坠落、不损坏。严禁与氧化剂、食用化学品等混装混运。运输车船必须彻底清洗、消毒，否则不得装运其他物品。船运时，配装位置应远离卧室、厨房，并与电源、火源等部位隔离。公路运输时要按规定路线行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710" w:type="dxa"/>
                  <w:noWrap w:val="0"/>
                  <w:vAlign w:val="center"/>
                </w:tcPr>
                <w:p>
                  <w:pPr>
                    <w:keepNext w:val="0"/>
                    <w:keepLines w:val="0"/>
                    <w:pageBreakBefore w:val="0"/>
                    <w:kinsoku/>
                    <w:wordWrap/>
                    <w:overflowPunct/>
                    <w:topLinePunct w:val="0"/>
                    <w:bidi w:val="0"/>
                    <w:snapToGrid w:val="0"/>
                    <w:spacing w:line="28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泄漏应急处理</w:t>
                  </w:r>
                </w:p>
              </w:tc>
              <w:tc>
                <w:tcPr>
                  <w:tcW w:w="7581" w:type="dxa"/>
                  <w:gridSpan w:val="3"/>
                  <w:noWrap w:val="0"/>
                  <w:vAlign w:val="center"/>
                </w:tcPr>
                <w:p>
                  <w:pPr>
                    <w:keepNext w:val="0"/>
                    <w:keepLines w:val="0"/>
                    <w:pageBreakBefore w:val="0"/>
                    <w:kinsoku/>
                    <w:wordWrap/>
                    <w:overflowPunct/>
                    <w:topLinePunct w:val="0"/>
                    <w:bidi w:val="0"/>
                    <w:snapToGrid w:val="0"/>
                    <w:spacing w:line="280" w:lineRule="exac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迅速撤离泄漏污染区人员至安全区，并进行隔离，严格限制出入。切断火源。建议应急处理人员戴自给正压式呼吸器，穿防毒服。尽可能切断泄漏源。</w:t>
                  </w:r>
                  <w:r>
                    <w:rPr>
                      <w:rFonts w:hint="eastAsia" w:cs="Times New Roman"/>
                      <w:color w:val="auto"/>
                      <w:highlight w:val="none"/>
                      <w:lang w:eastAsia="zh-CN"/>
                    </w:rPr>
                    <w:t>防止</w:t>
                  </w:r>
                  <w:r>
                    <w:rPr>
                      <w:rFonts w:hint="default" w:ascii="Times New Roman" w:hAnsi="Times New Roman" w:eastAsia="宋体" w:cs="Times New Roman"/>
                      <w:color w:val="auto"/>
                      <w:highlight w:val="none"/>
                    </w:rPr>
                    <w:t>流入下水道、排洪沟等限制性空间。</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小量泄漏：用砂土或其他不燃材料吸附或吸收。</w:t>
                  </w:r>
                </w:p>
                <w:p>
                  <w:pPr>
                    <w:pStyle w:val="19"/>
                    <w:keepNext w:val="0"/>
                    <w:keepLines w:val="0"/>
                    <w:pageBreakBefore w:val="0"/>
                    <w:kinsoku/>
                    <w:wordWrap/>
                    <w:overflowPunct/>
                    <w:topLinePunct w:val="0"/>
                    <w:bidi w:val="0"/>
                    <w:snapToGrid w:val="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大量泄漏：构筑位堤或挖坑收容。用泵转移至槽车或专用收集器内，回收或运至废物处理场所处置</w:t>
                  </w:r>
                </w:p>
              </w:tc>
            </w:tr>
          </w:tbl>
          <w:p>
            <w:pPr>
              <w:keepNext w:val="0"/>
              <w:keepLines w:val="0"/>
              <w:pageBreakBefore w:val="0"/>
              <w:kinsoku/>
              <w:wordWrap/>
              <w:overflowPunct/>
              <w:topLinePunct w:val="0"/>
              <w:autoSpaceDE w:val="0"/>
              <w:autoSpaceDN w:val="0"/>
              <w:bidi w:val="0"/>
              <w:adjustRightInd w:val="0"/>
              <w:snapToGrid w:val="0"/>
              <w:spacing w:line="360" w:lineRule="auto"/>
              <w:ind w:left="0" w:right="0" w:firstLine="482" w:firstLineChars="200"/>
              <w:jc w:val="left"/>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rPr>
              <w:t>环境风险识别</w:t>
            </w:r>
          </w:p>
          <w:p>
            <w:pPr>
              <w:pStyle w:val="4"/>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项目环境风险识别包括物质危险性识别，生产系统危险性识别，危险物质向环境转移的途径识别。</w:t>
            </w:r>
          </w:p>
          <w:p>
            <w:pPr>
              <w:pStyle w:val="4"/>
              <w:keepNext w:val="0"/>
              <w:keepLines w:val="0"/>
              <w:pageBreakBefore w:val="0"/>
              <w:kinsoku/>
              <w:wordWrap/>
              <w:overflowPunct/>
              <w:topLinePunct w:val="0"/>
              <w:bidi w:val="0"/>
              <w:snapToGrid w:val="0"/>
              <w:spacing w:before="0" w:after="0" w:line="360" w:lineRule="auto"/>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物质危险识别包括：主要原辅材料、燃料、中间产品、副产品、最终产品、污染物、</w:t>
            </w:r>
            <w:r>
              <w:rPr>
                <w:rFonts w:hint="default" w:ascii="Times New Roman" w:hAnsi="Times New Roman" w:eastAsia="宋体" w:cs="Times New Roman"/>
                <w:color w:val="auto"/>
                <w:sz w:val="24"/>
                <w:szCs w:val="24"/>
                <w:highlight w:val="none"/>
              </w:rPr>
              <w:t>火灾和爆炸伴生/</w:t>
            </w:r>
            <w:r>
              <w:rPr>
                <w:rFonts w:hint="default" w:ascii="Times New Roman" w:hAnsi="Times New Roman" w:eastAsia="宋体" w:cs="Times New Roman"/>
                <w:color w:val="auto"/>
                <w:spacing w:val="-8"/>
                <w:sz w:val="24"/>
                <w:szCs w:val="24"/>
                <w:highlight w:val="none"/>
              </w:rPr>
              <w:t>次生物等。根据《建设项目环境风险评价技术导则》</w:t>
            </w:r>
            <w:r>
              <w:rPr>
                <w:rFonts w:hint="default" w:ascii="Times New Roman" w:hAnsi="Times New Roman" w:eastAsia="宋体" w:cs="Times New Roman"/>
                <w:color w:val="auto"/>
                <w:sz w:val="24"/>
                <w:szCs w:val="24"/>
                <w:highlight w:val="none"/>
              </w:rPr>
              <w:t>（HJ169-2018）附录B，对其按有毒有害、易燃易爆物质逐个分类识别判定。本项目建成后</w:t>
            </w:r>
            <w:r>
              <w:rPr>
                <w:rFonts w:hint="default" w:ascii="Times New Roman" w:hAnsi="Times New Roman" w:eastAsia="宋体" w:cs="Times New Roman"/>
                <w:color w:val="auto"/>
                <w:sz w:val="24"/>
                <w:szCs w:val="24"/>
                <w:highlight w:val="none"/>
                <w:lang w:val="en-US" w:eastAsia="zh-CN"/>
              </w:rPr>
              <w:t>风险</w:t>
            </w:r>
            <w:r>
              <w:rPr>
                <w:rFonts w:hint="default" w:ascii="Times New Roman" w:hAnsi="Times New Roman" w:eastAsia="宋体" w:cs="Times New Roman"/>
                <w:color w:val="auto"/>
                <w:sz w:val="24"/>
                <w:szCs w:val="24"/>
                <w:highlight w:val="none"/>
              </w:rPr>
              <w:t>物质主要为</w:t>
            </w:r>
            <w:r>
              <w:rPr>
                <w:rFonts w:hint="default" w:ascii="Times New Roman" w:hAnsi="Times New Roman" w:eastAsia="宋体" w:cs="Times New Roman"/>
                <w:color w:val="auto"/>
                <w:sz w:val="24"/>
                <w:highlight w:val="none"/>
                <w:lang w:val="en-US" w:eastAsia="zh-CN"/>
              </w:rPr>
              <w:t>废矿物油（废机油）</w:t>
            </w:r>
            <w:r>
              <w:rPr>
                <w:rFonts w:hint="default" w:ascii="Times New Roman" w:hAnsi="Times New Roman" w:eastAsia="宋体" w:cs="Times New Roman"/>
                <w:color w:val="auto"/>
                <w:sz w:val="24"/>
                <w:szCs w:val="24"/>
                <w:highlight w:val="none"/>
              </w:rPr>
              <w:t>。</w:t>
            </w:r>
          </w:p>
          <w:p>
            <w:pPr>
              <w:pStyle w:val="4"/>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皮肤接触</w:t>
            </w:r>
            <w:r>
              <w:rPr>
                <w:rFonts w:hint="default" w:ascii="Times New Roman" w:hAnsi="Times New Roman" w:eastAsia="宋体" w:cs="Times New Roman"/>
                <w:color w:val="auto"/>
                <w:sz w:val="24"/>
                <w:szCs w:val="24"/>
                <w:highlight w:val="none"/>
                <w:lang w:val="en-US" w:eastAsia="zh-CN"/>
              </w:rPr>
              <w:t>油类物质</w:t>
            </w:r>
            <w:r>
              <w:rPr>
                <w:rFonts w:hint="default" w:ascii="Times New Roman" w:hAnsi="Times New Roman" w:eastAsia="宋体" w:cs="Times New Roman"/>
                <w:color w:val="auto"/>
                <w:sz w:val="24"/>
                <w:szCs w:val="24"/>
                <w:highlight w:val="none"/>
              </w:rPr>
              <w:t>可引起接触性皮炎、油性痤疮，吸入可引起吸入性肺炎，能经胎盘进入胎儿血中。</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废气可引起眼、鼻刺激症状，头晕及头痛。</w:t>
            </w:r>
          </w:p>
          <w:p>
            <w:pPr>
              <w:pStyle w:val="4"/>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本项目生产系统风险源主要为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发生火灾、爆炸事故；</w:t>
            </w:r>
            <w:r>
              <w:rPr>
                <w:rFonts w:hint="eastAsia" w:cs="Times New Roman"/>
                <w:color w:val="auto"/>
                <w:sz w:val="24"/>
                <w:szCs w:val="24"/>
                <w:highlight w:val="none"/>
                <w:lang w:eastAsia="zh-CN"/>
              </w:rPr>
              <w:t>原辅材料及产品发生火灾；</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属易燃、易爆液体，如果在储存、输送过程发生跑、冒、滴、漏，油料蒸发出来的可燃气体在一定的浓度范围内，能够与空气形成爆炸性混合物，遇明火、静电及高温或与氧化剂接触等易引起燃烧或爆炸；同时其蒸汽比空气重，能在较低处扩散到相当远的地方，遇明火会引着回燃，也会造成火灾爆炸事故。</w:t>
            </w:r>
            <w:r>
              <w:rPr>
                <w:rFonts w:hint="default" w:ascii="Times New Roman" w:hAnsi="Times New Roman" w:eastAsia="宋体" w:cs="Times New Roman"/>
                <w:color w:val="auto"/>
                <w:sz w:val="24"/>
              </w:rPr>
              <w:t>塑料原料及产品塑料</w:t>
            </w:r>
            <w:r>
              <w:rPr>
                <w:rFonts w:hint="default" w:ascii="Times New Roman" w:hAnsi="Times New Roman" w:eastAsia="宋体" w:cs="Times New Roman"/>
                <w:color w:val="auto"/>
                <w:sz w:val="24"/>
                <w:lang w:val="en-US" w:eastAsia="zh-CN"/>
              </w:rPr>
              <w:t>制品</w:t>
            </w:r>
            <w:r>
              <w:rPr>
                <w:rFonts w:hint="default" w:ascii="Times New Roman" w:hAnsi="Times New Roman" w:eastAsia="宋体" w:cs="Times New Roman"/>
                <w:color w:val="auto"/>
                <w:sz w:val="24"/>
              </w:rPr>
              <w:t>遇高温明火可发生燃烧。如营运期安全措施不到位，极易引发火灾事故和污染事故。一般火灾事故会造成较大的人身财产安全，在物料燃烧过程中会造成大气环境污染。燃烧过程中会产生如CO、烟尘等有毒有害气体。CO在大气中比较稳定，不易与其他物质产生化学反应，但当CO浓度过高时，人在这种环境下待的时间较长，就会出现晕眩、头痛、怠倦的现象，CO对人的主要危害就是引起组织缺氧，导致急性或者慢性中毒甚至有死亡的威胁。此外，CO还可能造成听力与视力的损害，比如视野的减小或者听力的丧失。二氧化碳对环境影响主要为温室效应。</w:t>
            </w:r>
          </w:p>
          <w:p>
            <w:pPr>
              <w:pStyle w:val="4"/>
              <w:keepNext w:val="0"/>
              <w:keepLines w:val="0"/>
              <w:pageBreakBefore w:val="0"/>
              <w:kinsoku/>
              <w:wordWrap/>
              <w:overflowPunct/>
              <w:topLinePunct w:val="0"/>
              <w:bidi w:val="0"/>
              <w:snapToGrid w:val="0"/>
              <w:spacing w:before="0" w:after="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危险物质向环境转移的途径识别包括：物质泄漏，以及火灾、爆炸等引发的伴生次生污染物排放。本项目环境风险类型主要为</w:t>
            </w:r>
            <w:r>
              <w:rPr>
                <w:rFonts w:hint="default" w:ascii="Times New Roman" w:hAnsi="Times New Roman" w:eastAsia="宋体" w:cs="Times New Roman"/>
                <w:color w:val="auto"/>
                <w:sz w:val="24"/>
                <w:szCs w:val="24"/>
                <w:highlight w:val="none"/>
                <w:lang w:val="en-US" w:eastAsia="zh-CN"/>
              </w:rPr>
              <w:t>废矿物油</w:t>
            </w:r>
            <w:r>
              <w:rPr>
                <w:rFonts w:hint="default" w:ascii="Times New Roman" w:hAnsi="Times New Roman" w:eastAsia="宋体" w:cs="Times New Roman"/>
                <w:color w:val="auto"/>
                <w:sz w:val="24"/>
                <w:szCs w:val="24"/>
                <w:highlight w:val="none"/>
              </w:rPr>
              <w:t>发生泄漏、火灾、爆炸</w:t>
            </w:r>
            <w:r>
              <w:rPr>
                <w:rFonts w:hint="eastAsia" w:cs="Times New Roman"/>
                <w:color w:val="auto"/>
                <w:sz w:val="24"/>
                <w:szCs w:val="24"/>
                <w:highlight w:val="none"/>
                <w:lang w:eastAsia="zh-CN"/>
              </w:rPr>
              <w:t>；原辅料及产品发生火灾</w:t>
            </w:r>
            <w:r>
              <w:rPr>
                <w:rFonts w:hint="default" w:ascii="Times New Roman" w:hAnsi="Times New Roman" w:eastAsia="宋体" w:cs="Times New Roman"/>
                <w:color w:val="auto"/>
                <w:sz w:val="24"/>
                <w:szCs w:val="24"/>
                <w:highlight w:val="none"/>
              </w:rPr>
              <w:t>引发的伴生/次生污染物排放对大气、地表水、地下水的影响。</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rPr>
              <w:t>风险潜势初判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建设项目潜势划分为I、II、III、IV/IV+级。</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4"/>
                <w:szCs w:val="24"/>
                <w:highlight w:val="none"/>
                <w:lang w:eastAsia="zh-CN"/>
              </w:rPr>
              <w:t>根据建设项目涉及的物质和工艺系统的危险性及其所在地的环境敏感程度，结合事故情形下环境影响途径，对建设项目潜在环境危害程度进行概化分析，按照下表确定环境风险潜势。</w:t>
            </w:r>
          </w:p>
          <w:p>
            <w:pPr>
              <w:adjustRightInd w:val="0"/>
              <w:snapToGrid w:val="0"/>
              <w:spacing w:line="240" w:lineRule="auto"/>
              <w:jc w:val="center"/>
              <w:rPr>
                <w:rFonts w:hint="default" w:ascii="Times New Roman" w:hAnsi="Times New Roman" w:eastAsia="宋体" w:cs="Times New Roman"/>
                <w:b/>
                <w:bCs w:val="0"/>
                <w:snapToGrid w:val="0"/>
                <w:color w:val="auto"/>
                <w:kern w:val="0"/>
                <w:sz w:val="21"/>
                <w:szCs w:val="21"/>
                <w:highlight w:val="none"/>
                <w:lang w:eastAsia="zh-CN"/>
              </w:rPr>
            </w:pPr>
            <w:r>
              <w:rPr>
                <w:rFonts w:hint="default" w:ascii="Times New Roman" w:hAnsi="Times New Roman" w:eastAsia="宋体" w:cs="Times New Roman"/>
                <w:b/>
                <w:bCs w:val="0"/>
                <w:snapToGrid w:val="0"/>
                <w:color w:val="auto"/>
                <w:kern w:val="0"/>
                <w:sz w:val="21"/>
                <w:szCs w:val="21"/>
                <w:highlight w:val="none"/>
              </w:rPr>
              <w:t>表</w:t>
            </w:r>
            <w:r>
              <w:rPr>
                <w:rFonts w:hint="default" w:ascii="Times New Roman" w:hAnsi="Times New Roman" w:eastAsia="宋体" w:cs="Times New Roman"/>
                <w:b/>
                <w:bCs w:val="0"/>
                <w:snapToGrid w:val="0"/>
                <w:color w:val="auto"/>
                <w:kern w:val="0"/>
                <w:sz w:val="21"/>
                <w:szCs w:val="21"/>
                <w:highlight w:val="none"/>
                <w:lang w:val="en-US" w:eastAsia="zh-CN"/>
              </w:rPr>
              <w:t>4-30</w:t>
            </w:r>
            <w:r>
              <w:rPr>
                <w:rFonts w:hint="default" w:ascii="Times New Roman" w:hAnsi="Times New Roman" w:eastAsia="宋体" w:cs="Times New Roman"/>
                <w:b/>
                <w:bCs w:val="0"/>
                <w:snapToGrid w:val="0"/>
                <w:color w:val="auto"/>
                <w:kern w:val="0"/>
                <w:sz w:val="21"/>
                <w:szCs w:val="21"/>
                <w:highlight w:val="none"/>
              </w:rPr>
              <w:t xml:space="preserve"> </w:t>
            </w:r>
            <w:r>
              <w:rPr>
                <w:rFonts w:hint="default" w:ascii="Times New Roman" w:hAnsi="Times New Roman" w:eastAsia="宋体" w:cs="Times New Roman"/>
                <w:b/>
                <w:bCs w:val="0"/>
                <w:snapToGrid w:val="0"/>
                <w:color w:val="auto"/>
                <w:kern w:val="0"/>
                <w:sz w:val="21"/>
                <w:szCs w:val="21"/>
                <w:highlight w:val="none"/>
                <w:lang w:val="en-US" w:eastAsia="zh-CN"/>
              </w:rPr>
              <w:t xml:space="preserve"> </w:t>
            </w:r>
            <w:r>
              <w:rPr>
                <w:rFonts w:hint="default" w:ascii="Times New Roman" w:hAnsi="Times New Roman" w:eastAsia="宋体" w:cs="Times New Roman"/>
                <w:b/>
                <w:bCs w:val="0"/>
                <w:snapToGrid w:val="0"/>
                <w:color w:val="auto"/>
                <w:kern w:val="0"/>
                <w:sz w:val="21"/>
                <w:szCs w:val="21"/>
                <w:highlight w:val="none"/>
                <w:lang w:eastAsia="zh-CN"/>
              </w:rPr>
              <w:t>建设项目环境风险潜势划分</w:t>
            </w:r>
          </w:p>
          <w:tbl>
            <w:tblPr>
              <w:tblStyle w:val="28"/>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460"/>
              <w:gridCol w:w="1687"/>
              <w:gridCol w:w="154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环境敏感程度（</w:t>
                  </w:r>
                  <w:r>
                    <w:rPr>
                      <w:rFonts w:hint="default" w:ascii="Times New Roman" w:hAnsi="Times New Roman" w:eastAsia="宋体" w:cs="Times New Roman"/>
                      <w:b/>
                      <w:bCs/>
                      <w:snapToGrid w:val="0"/>
                      <w:color w:val="auto"/>
                      <w:kern w:val="0"/>
                      <w:sz w:val="21"/>
                      <w:szCs w:val="21"/>
                      <w:highlight w:val="none"/>
                      <w:vertAlign w:val="baseline"/>
                      <w:lang w:val="en-US" w:eastAsia="zh-CN"/>
                    </w:rPr>
                    <w:t>E</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6334"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val="zh-CN" w:eastAsia="zh-CN"/>
                    </w:rPr>
                    <w:t>危险物质及工艺系统危险性（</w:t>
                  </w:r>
                  <w:r>
                    <w:rPr>
                      <w:rFonts w:hint="default" w:ascii="Times New Roman" w:hAnsi="Times New Roman" w:eastAsia="宋体" w:cs="Times New Roman"/>
                      <w:b/>
                      <w:bCs/>
                      <w:snapToGrid w:val="0"/>
                      <w:color w:val="auto"/>
                      <w:kern w:val="0"/>
                      <w:sz w:val="21"/>
                      <w:szCs w:val="21"/>
                      <w:highlight w:val="none"/>
                      <w:vertAlign w:val="baseline"/>
                      <w:lang w:val="en-US" w:eastAsia="zh-CN"/>
                    </w:rPr>
                    <w:t>P</w:t>
                  </w:r>
                  <w:r>
                    <w:rPr>
                      <w:rFonts w:hint="default" w:ascii="Times New Roman" w:hAnsi="Times New Roman" w:eastAsia="宋体" w:cs="Times New Roman"/>
                      <w:b/>
                      <w:bCs/>
                      <w:snapToGrid w:val="0"/>
                      <w:color w:val="auto"/>
                      <w:kern w:val="0"/>
                      <w:sz w:val="21"/>
                      <w:szCs w:val="21"/>
                      <w:highlight w:val="none"/>
                      <w:vertAlign w:val="baseli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2"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极高危害（</w:t>
                  </w:r>
                  <w:r>
                    <w:rPr>
                      <w:rFonts w:hint="default" w:ascii="Times New Roman" w:hAnsi="Times New Roman" w:eastAsia="宋体" w:cs="Times New Roman"/>
                      <w:b/>
                      <w:bCs/>
                      <w:snapToGrid w:val="0"/>
                      <w:color w:val="auto"/>
                      <w:kern w:val="0"/>
                      <w:sz w:val="21"/>
                      <w:szCs w:val="21"/>
                      <w:highlight w:val="none"/>
                      <w:vertAlign w:val="baseline"/>
                      <w:lang w:val="en-US" w:eastAsia="zh-CN"/>
                    </w:rPr>
                    <w:t>P1</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高度危害（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P2</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中度危害（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P3</w:t>
                  </w:r>
                  <w:r>
                    <w:rPr>
                      <w:rFonts w:hint="default" w:ascii="Times New Roman" w:hAnsi="Times New Roman" w:eastAsia="宋体" w:cs="Times New Roman"/>
                      <w:b/>
                      <w:bCs/>
                      <w:snapToGrid w:val="0"/>
                      <w:color w:val="auto"/>
                      <w:kern w:val="0"/>
                      <w:sz w:val="21"/>
                      <w:szCs w:val="21"/>
                      <w:highlight w:val="none"/>
                      <w:vertAlign w:val="baseline"/>
                      <w:lang w:eastAsia="zh-CN"/>
                    </w:rPr>
                    <w:t>）</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bCs/>
                      <w:snapToGrid w:val="0"/>
                      <w:color w:val="auto"/>
                      <w:kern w:val="0"/>
                      <w:sz w:val="21"/>
                      <w:szCs w:val="21"/>
                      <w:highlight w:val="none"/>
                      <w:vertAlign w:val="baseline"/>
                      <w:lang w:eastAsia="zh-CN"/>
                    </w:rPr>
                  </w:pPr>
                  <w:r>
                    <w:rPr>
                      <w:rFonts w:hint="default" w:ascii="Times New Roman" w:hAnsi="Times New Roman" w:eastAsia="宋体" w:cs="Times New Roman"/>
                      <w:b/>
                      <w:bCs/>
                      <w:snapToGrid w:val="0"/>
                      <w:color w:val="auto"/>
                      <w:kern w:val="0"/>
                      <w:sz w:val="21"/>
                      <w:szCs w:val="21"/>
                      <w:highlight w:val="none"/>
                      <w:vertAlign w:val="baseline"/>
                      <w:lang w:eastAsia="zh-CN"/>
                    </w:rPr>
                    <w:t>轻度危害（</w:t>
                  </w:r>
                  <w:r>
                    <w:rPr>
                      <w:rFonts w:hint="default" w:ascii="Times New Roman" w:hAnsi="Times New Roman" w:eastAsia="宋体" w:cs="Times New Roman"/>
                      <w:b/>
                      <w:bCs/>
                      <w:snapToGrid w:val="0"/>
                      <w:color w:val="auto"/>
                      <w:kern w:val="0"/>
                      <w:sz w:val="21"/>
                      <w:szCs w:val="21"/>
                      <w:highlight w:val="none"/>
                      <w:vertAlign w:val="baseline"/>
                      <w:lang w:val="en-US" w:eastAsia="zh-CN"/>
                    </w:rPr>
                    <w:t>P4</w:t>
                  </w:r>
                  <w:r>
                    <w:rPr>
                      <w:rFonts w:hint="default" w:ascii="Times New Roman" w:hAnsi="Times New Roman" w:eastAsia="宋体" w:cs="Times New Roman"/>
                      <w:b/>
                      <w:bCs/>
                      <w:snapToGrid w:val="0"/>
                      <w:color w:val="auto"/>
                      <w:kern w:val="0"/>
                      <w:sz w:val="21"/>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环境高度敏感区（</w:t>
                  </w:r>
                  <w:r>
                    <w:rPr>
                      <w:rFonts w:hint="default" w:ascii="Times New Roman" w:hAnsi="Times New Roman" w:eastAsia="宋体" w:cs="Times New Roman"/>
                      <w:snapToGrid w:val="0"/>
                      <w:color w:val="auto"/>
                      <w:kern w:val="0"/>
                      <w:sz w:val="21"/>
                      <w:szCs w:val="21"/>
                      <w:highlight w:val="none"/>
                      <w:vertAlign w:val="baseline"/>
                      <w:lang w:val="en-US" w:eastAsia="zh-CN"/>
                    </w:rPr>
                    <w:t>E1</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r>
                    <w:rPr>
                      <w:rFonts w:hint="default" w:ascii="Times New Roman" w:hAnsi="Times New Roman" w:eastAsia="宋体" w:cs="Times New Roman"/>
                      <w:snapToGrid w:val="0"/>
                      <w:color w:val="auto"/>
                      <w:kern w:val="0"/>
                      <w:sz w:val="21"/>
                      <w:szCs w:val="21"/>
                      <w:highlight w:val="none"/>
                      <w:vertAlign w:val="baseline"/>
                      <w:lang w:val="en-US" w:eastAsia="zh-CN"/>
                    </w:rPr>
                    <w:t>+</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环境中度敏感区（</w:t>
                  </w:r>
                  <w:r>
                    <w:rPr>
                      <w:rFonts w:hint="default" w:ascii="Times New Roman" w:hAnsi="Times New Roman" w:eastAsia="宋体" w:cs="Times New Roman"/>
                      <w:snapToGrid w:val="0"/>
                      <w:color w:val="auto"/>
                      <w:kern w:val="0"/>
                      <w:sz w:val="21"/>
                      <w:szCs w:val="21"/>
                      <w:highlight w:val="none"/>
                      <w:vertAlign w:val="baseline"/>
                      <w:lang w:val="en-US" w:eastAsia="zh-CN"/>
                    </w:rPr>
                    <w:t>E2</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Ⅳ</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环境低度敏感区（</w:t>
                  </w:r>
                  <w:r>
                    <w:rPr>
                      <w:rFonts w:hint="default" w:ascii="Times New Roman" w:hAnsi="Times New Roman" w:eastAsia="宋体" w:cs="Times New Roman"/>
                      <w:snapToGrid w:val="0"/>
                      <w:color w:val="auto"/>
                      <w:kern w:val="0"/>
                      <w:sz w:val="21"/>
                      <w:szCs w:val="21"/>
                      <w:highlight w:val="none"/>
                      <w:vertAlign w:val="baseline"/>
                      <w:lang w:val="en-US" w:eastAsia="zh-CN"/>
                    </w:rPr>
                    <w:t>E3</w:t>
                  </w:r>
                  <w:r>
                    <w:rPr>
                      <w:rFonts w:hint="default" w:ascii="Times New Roman" w:hAnsi="Times New Roman" w:eastAsia="宋体" w:cs="Times New Roman"/>
                      <w:snapToGrid w:val="0"/>
                      <w:color w:val="auto"/>
                      <w:kern w:val="0"/>
                      <w:sz w:val="21"/>
                      <w:szCs w:val="21"/>
                      <w:highlight w:val="none"/>
                      <w:vertAlign w:val="baseline"/>
                      <w:lang w:eastAsia="zh-CN"/>
                    </w:rPr>
                    <w:t>）</w:t>
                  </w:r>
                </w:p>
              </w:tc>
              <w:tc>
                <w:tcPr>
                  <w:tcW w:w="14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68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Ⅲ</w:t>
                  </w:r>
                </w:p>
              </w:tc>
              <w:tc>
                <w:tcPr>
                  <w:tcW w:w="154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Ⅱ</w:t>
                  </w:r>
                </w:p>
              </w:tc>
              <w:tc>
                <w:tcPr>
                  <w:tcW w:w="164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86"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vertAlign w:val="baseline"/>
                      <w:lang w:eastAsia="zh-CN"/>
                    </w:rPr>
                  </w:pPr>
                  <w:r>
                    <w:rPr>
                      <w:rFonts w:hint="default" w:ascii="Times New Roman" w:hAnsi="Times New Roman" w:eastAsia="宋体" w:cs="Times New Roman"/>
                      <w:snapToGrid w:val="0"/>
                      <w:color w:val="auto"/>
                      <w:kern w:val="0"/>
                      <w:sz w:val="21"/>
                      <w:szCs w:val="21"/>
                      <w:highlight w:val="none"/>
                      <w:vertAlign w:val="baseline"/>
                      <w:lang w:eastAsia="zh-CN"/>
                    </w:rPr>
                    <w:t>注：Ⅳ</w:t>
                  </w:r>
                  <w:r>
                    <w:rPr>
                      <w:rFonts w:hint="default" w:ascii="Times New Roman" w:hAnsi="Times New Roman" w:eastAsia="宋体" w:cs="Times New Roman"/>
                      <w:snapToGrid w:val="0"/>
                      <w:color w:val="auto"/>
                      <w:kern w:val="0"/>
                      <w:sz w:val="21"/>
                      <w:szCs w:val="21"/>
                      <w:highlight w:val="none"/>
                      <w:vertAlign w:val="baseline"/>
                      <w:lang w:val="en-US" w:eastAsia="zh-CN"/>
                    </w:rPr>
                    <w:t>+</w:t>
                  </w:r>
                  <w:r>
                    <w:rPr>
                      <w:rFonts w:hint="default" w:ascii="Times New Roman" w:hAnsi="Times New Roman" w:eastAsia="宋体" w:cs="Times New Roman"/>
                      <w:snapToGrid w:val="0"/>
                      <w:color w:val="auto"/>
                      <w:kern w:val="0"/>
                      <w:sz w:val="21"/>
                      <w:szCs w:val="21"/>
                      <w:highlight w:val="none"/>
                      <w:vertAlign w:val="baseline"/>
                      <w:lang w:eastAsia="zh-CN"/>
                    </w:rPr>
                    <w:t>为极高环境风险</w:t>
                  </w:r>
                </w:p>
              </w:tc>
            </w:tr>
          </w:tbl>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危险物质及工艺系统危险性（P）由危险物质数量与临界量的比值（Q）和所属行业及生产工艺特点（M）判定。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首先</w:t>
            </w:r>
            <w:r>
              <w:rPr>
                <w:rFonts w:hint="default" w:ascii="Times New Roman" w:hAnsi="Times New Roman" w:eastAsia="宋体" w:cs="Times New Roman"/>
                <w:color w:val="auto"/>
                <w:sz w:val="24"/>
                <w:szCs w:val="24"/>
                <w:highlight w:val="none"/>
                <w:lang w:val="zh-CN"/>
              </w:rPr>
              <w:t>确定危险物质数量与临界量的比值（Q）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根据该技术导则附录B中表B.1突发环境事件风险物质及临界点，附录C中C1.1危险物质数量与临界量比值（Q）的计算有两种情况：</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a、当只涉及一种危险物质时，计算该物质的总量与其临界量比值，即为Q；</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b、当存在多种危险物质时，则按下式计算物质总量与其临界量的比值（Q）：</w:t>
            </w:r>
          </w:p>
          <w:p>
            <w:pPr>
              <w:keepNext w:val="0"/>
              <w:keepLines w:val="0"/>
              <w:pageBreakBefore w:val="0"/>
              <w:widowControl w:val="0"/>
              <w:kinsoku/>
              <w:wordWrap/>
              <w:overflowPunct/>
              <w:topLinePunct w:val="0"/>
              <w:autoSpaceDE/>
              <w:autoSpaceDN/>
              <w:bidi w:val="0"/>
              <w:adjustRightInd w:val="0"/>
              <w:snapToGrid w:val="0"/>
              <w:spacing w:line="351"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position w:val="-28"/>
                <w:sz w:val="24"/>
                <w:szCs w:val="24"/>
                <w:highlight w:val="none"/>
                <w:vertAlign w:val="subscript"/>
                <w:lang w:val="en-US" w:eastAsia="zh-CN"/>
              </w:rPr>
              <w:object>
                <v:shape id="_x0000_i1033" o:spt="75" type="#_x0000_t75" style="height:33pt;width:106pt;" o:ole="t" filled="f" o:preferrelative="t" stroked="f" coordsize="21600,21600">
                  <v:path/>
                  <v:fill on="f" focussize="0,0"/>
                  <v:stroke on="f"/>
                  <v:imagedata r:id="rId33" o:title=""/>
                  <o:lock v:ext="edit" aspectratio="t"/>
                  <w10:wrap type="none"/>
                  <w10:anchorlock/>
                </v:shape>
                <o:OLEObject Type="Embed" ProgID="Equation.KSEE3" ShapeID="_x0000_i1033" DrawAspect="Content" ObjectID="_1468075736" r:id="rId3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snapToGrid w:val="0"/>
                <w:color w:val="auto"/>
                <w:kern w:val="0"/>
                <w:sz w:val="24"/>
                <w:szCs w:val="24"/>
                <w:highlight w:val="none"/>
                <w:lang w:eastAsia="zh-CN"/>
              </w:rPr>
              <w:t>式中：</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n</w:t>
            </w:r>
            <w:r>
              <w:rPr>
                <w:rFonts w:hint="default" w:ascii="Times New Roman" w:hAnsi="Times New Roman" w:eastAsia="宋体" w:cs="Times New Roman"/>
                <w:color w:val="auto"/>
                <w:sz w:val="24"/>
                <w:szCs w:val="24"/>
                <w:highlight w:val="none"/>
                <w:lang w:val="zh-CN"/>
              </w:rPr>
              <w:t>——每种危险物质的最大存在总量，t；</w:t>
            </w:r>
          </w:p>
          <w:p>
            <w:pPr>
              <w:keepNext w:val="0"/>
              <w:keepLines w:val="0"/>
              <w:pageBreakBefore w:val="0"/>
              <w:widowControl w:val="0"/>
              <w:kinsoku/>
              <w:wordWrap/>
              <w:overflowPunct/>
              <w:topLinePunct w:val="0"/>
              <w:autoSpaceDE/>
              <w:autoSpaceDN/>
              <w:bidi w:val="0"/>
              <w:adjustRightInd w:val="0"/>
              <w:snapToGrid w:val="0"/>
              <w:spacing w:line="351" w:lineRule="auto"/>
              <w:ind w:firstLine="1200" w:firstLineChars="5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zh-CN"/>
              </w:rPr>
              <w:t>1</w:t>
            </w:r>
            <w:r>
              <w:rPr>
                <w:rFonts w:hint="default" w:ascii="Times New Roman" w:hAnsi="Times New Roman" w:eastAsia="宋体" w:cs="Times New Roman"/>
                <w:color w:val="auto"/>
                <w:sz w:val="24"/>
                <w:szCs w:val="24"/>
                <w:highlight w:val="none"/>
                <w:lang w:val="zh-CN"/>
              </w:rPr>
              <w:t>，Q</w:t>
            </w:r>
            <w:r>
              <w:rPr>
                <w:rFonts w:hint="default" w:ascii="Times New Roman" w:hAnsi="Times New Roman" w:eastAsia="宋体" w:cs="Times New Roman"/>
                <w:color w:val="auto"/>
                <w:sz w:val="24"/>
                <w:szCs w:val="24"/>
                <w:highlight w:val="none"/>
                <w:vertAlign w:val="subscript"/>
                <w:lang w:val="zh-CN"/>
              </w:rPr>
              <w:t>2</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Q</w:t>
            </w:r>
            <w:r>
              <w:rPr>
                <w:rFonts w:hint="default" w:ascii="Times New Roman" w:hAnsi="Times New Roman" w:eastAsia="宋体" w:cs="Times New Roman"/>
                <w:color w:val="auto"/>
                <w:sz w:val="24"/>
                <w:szCs w:val="24"/>
                <w:highlight w:val="none"/>
                <w:vertAlign w:val="subscript"/>
                <w:lang w:val="en-US" w:eastAsia="zh-CN"/>
              </w:rPr>
              <w:t>n</w:t>
            </w:r>
            <w:r>
              <w:rPr>
                <w:rFonts w:hint="default" w:ascii="Times New Roman" w:hAnsi="Times New Roman" w:eastAsia="宋体" w:cs="Times New Roman"/>
                <w:color w:val="auto"/>
                <w:sz w:val="24"/>
                <w:szCs w:val="24"/>
                <w:highlight w:val="none"/>
                <w:lang w:val="zh-CN"/>
              </w:rPr>
              <w:t>——每种危险物质的临界量，t。</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当Q&lt;1时，该项目环境风险潜势为I。</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outlineLvl w:val="9"/>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当Q≥1时，将Q值划分为：（1）1≤Q&lt;10；（2）10≤Q&lt;100；（3）Q≥100。再综合所属行业及生产工艺特点（M）另行判定。</w:t>
            </w:r>
          </w:p>
          <w:p>
            <w:pPr>
              <w:keepNext w:val="0"/>
              <w:keepLines w:val="0"/>
              <w:pageBreakBefore w:val="0"/>
              <w:widowControl w:val="0"/>
              <w:kinsoku/>
              <w:wordWrap/>
              <w:overflowPunct/>
              <w:topLinePunct w:val="0"/>
              <w:autoSpaceDE/>
              <w:autoSpaceDN/>
              <w:bidi w:val="0"/>
              <w:adjustRightInd w:val="0"/>
              <w:snapToGrid w:val="0"/>
              <w:spacing w:line="351" w:lineRule="auto"/>
              <w:ind w:firstLine="480" w:firstLineChars="200"/>
              <w:textAlignment w:val="auto"/>
              <w:rPr>
                <w:rFonts w:hint="default" w:ascii="Times New Roman" w:hAnsi="Times New Roman" w:eastAsia="宋体" w:cs="Times New Roman"/>
                <w:bCs/>
                <w:color w:val="auto"/>
                <w:kern w:val="0"/>
                <w:sz w:val="24"/>
                <w:highlight w:val="none"/>
              </w:rPr>
            </w:pPr>
            <w:r>
              <w:rPr>
                <w:rFonts w:hint="default" w:ascii="Times New Roman" w:hAnsi="Times New Roman" w:eastAsia="宋体" w:cs="Times New Roman"/>
                <w:bCs/>
                <w:color w:val="auto"/>
                <w:kern w:val="0"/>
                <w:sz w:val="24"/>
                <w:highlight w:val="none"/>
              </w:rPr>
              <w:t>对照《建设项目环境风险评价技术导则》（HJ/T169-2018），本项目涉及的突发环境事件风险物质、临界量及Q值，见下表。</w:t>
            </w:r>
          </w:p>
          <w:p>
            <w:pPr>
              <w:adjustRightInd w:val="0"/>
              <w:snapToGrid w:val="0"/>
              <w:jc w:val="center"/>
              <w:rPr>
                <w:rFonts w:hint="default" w:ascii="Times New Roman" w:hAnsi="Times New Roman" w:eastAsia="宋体" w:cs="Times New Roman"/>
                <w:b/>
                <w:bCs/>
                <w:color w:val="auto"/>
                <w:kern w:val="0"/>
                <w:highlight w:val="none"/>
              </w:rPr>
            </w:pPr>
            <w:r>
              <w:rPr>
                <w:rFonts w:hint="default" w:ascii="Times New Roman" w:hAnsi="Times New Roman" w:eastAsia="宋体" w:cs="Times New Roman"/>
                <w:b/>
                <w:bCs/>
                <w:color w:val="auto"/>
                <w:kern w:val="0"/>
                <w:highlight w:val="none"/>
              </w:rPr>
              <w:t>表</w:t>
            </w:r>
            <w:r>
              <w:rPr>
                <w:rFonts w:hint="default" w:ascii="Times New Roman" w:hAnsi="Times New Roman" w:eastAsia="宋体" w:cs="Times New Roman"/>
                <w:b/>
                <w:bCs/>
                <w:color w:val="auto"/>
                <w:kern w:val="0"/>
                <w:highlight w:val="none"/>
                <w:lang w:val="en-US" w:eastAsia="zh-CN"/>
              </w:rPr>
              <w:t>4-31</w:t>
            </w:r>
            <w:r>
              <w:rPr>
                <w:rFonts w:hint="default" w:ascii="Times New Roman" w:hAnsi="Times New Roman" w:eastAsia="宋体" w:cs="Times New Roman"/>
                <w:b/>
                <w:bCs/>
                <w:color w:val="auto"/>
                <w:kern w:val="0"/>
                <w:highlight w:val="none"/>
              </w:rPr>
              <w:t xml:space="preserve">  重大危险源识别一览表</w:t>
            </w:r>
          </w:p>
          <w:tbl>
            <w:tblPr>
              <w:tblStyle w:val="27"/>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93"/>
              <w:gridCol w:w="1500"/>
              <w:gridCol w:w="1086"/>
              <w:gridCol w:w="154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序号</w:t>
                  </w:r>
                </w:p>
              </w:tc>
              <w:tc>
                <w:tcPr>
                  <w:tcW w:w="1793"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名称</w:t>
                  </w:r>
                </w:p>
              </w:tc>
              <w:tc>
                <w:tcPr>
                  <w:tcW w:w="1500" w:type="dxa"/>
                  <w:noWrap w:val="0"/>
                  <w:vAlign w:val="center"/>
                </w:tcPr>
                <w:p>
                  <w:pPr>
                    <w:pStyle w:val="84"/>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bCs/>
                      <w:color w:val="auto"/>
                      <w:sz w:val="21"/>
                      <w:highlight w:val="none"/>
                    </w:rPr>
                    <w:t>最大储存量/在线量/t</w:t>
                  </w:r>
                </w:p>
              </w:tc>
              <w:tc>
                <w:tcPr>
                  <w:tcW w:w="108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lang w:eastAsia="zh-CN"/>
                    </w:rPr>
                  </w:pPr>
                  <w:r>
                    <w:rPr>
                      <w:rFonts w:hint="default" w:ascii="Times New Roman" w:hAnsi="Times New Roman" w:eastAsia="宋体" w:cs="Times New Roman"/>
                      <w:b/>
                      <w:color w:val="auto"/>
                      <w:kern w:val="0"/>
                      <w:szCs w:val="21"/>
                      <w:highlight w:val="none"/>
                    </w:rPr>
                    <w:t>是否为</w:t>
                  </w:r>
                  <w:r>
                    <w:rPr>
                      <w:rFonts w:hint="default" w:ascii="Times New Roman" w:hAnsi="Times New Roman" w:eastAsia="宋体" w:cs="Times New Roman"/>
                      <w:b/>
                      <w:color w:val="auto"/>
                      <w:kern w:val="0"/>
                      <w:szCs w:val="21"/>
                      <w:highlight w:val="none"/>
                      <w:lang w:eastAsia="zh-CN"/>
                    </w:rPr>
                    <w:t>风险物质</w:t>
                  </w:r>
                </w:p>
              </w:tc>
              <w:tc>
                <w:tcPr>
                  <w:tcW w:w="1546"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生产场所临界量（t）</w:t>
                  </w:r>
                </w:p>
              </w:tc>
              <w:tc>
                <w:tcPr>
                  <w:tcW w:w="1997" w:type="dxa"/>
                  <w:noWrap w:val="0"/>
                  <w:vAlign w:val="center"/>
                </w:tcPr>
                <w:p>
                  <w:pPr>
                    <w:adjustRightInd w:val="0"/>
                    <w:snapToGrid w:val="0"/>
                    <w:jc w:val="center"/>
                    <w:rPr>
                      <w:rFonts w:hint="default" w:ascii="Times New Roman" w:hAnsi="Times New Roman" w:eastAsia="宋体" w:cs="Times New Roman"/>
                      <w:b/>
                      <w:color w:val="auto"/>
                      <w:kern w:val="0"/>
                      <w:szCs w:val="21"/>
                      <w:highlight w:val="none"/>
                    </w:rPr>
                  </w:pPr>
                  <w:r>
                    <w:rPr>
                      <w:rFonts w:hint="default" w:ascii="Times New Roman" w:hAnsi="Times New Roman" w:eastAsia="宋体" w:cs="Times New Roman"/>
                      <w:b/>
                      <w:color w:val="auto"/>
                      <w:kern w:val="0"/>
                      <w:szCs w:val="21"/>
                      <w:highlight w:val="none"/>
                    </w:rPr>
                    <w:t>Q（危险物质数量与临界量比值）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1</w:t>
                  </w:r>
                </w:p>
              </w:tc>
              <w:tc>
                <w:tcPr>
                  <w:tcW w:w="1793"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废机油</w:t>
                  </w:r>
                </w:p>
              </w:tc>
              <w:tc>
                <w:tcPr>
                  <w:tcW w:w="1500"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0.2</w:t>
                  </w:r>
                </w:p>
              </w:tc>
              <w:tc>
                <w:tcPr>
                  <w:tcW w:w="108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eastAsia="zh-CN"/>
                    </w:rPr>
                  </w:pPr>
                  <w:r>
                    <w:rPr>
                      <w:rFonts w:hint="default" w:ascii="Times New Roman" w:hAnsi="Times New Roman" w:eastAsia="宋体" w:cs="Times New Roman"/>
                      <w:bCs/>
                      <w:color w:val="auto"/>
                      <w:kern w:val="0"/>
                      <w:szCs w:val="21"/>
                      <w:highlight w:val="none"/>
                      <w:lang w:eastAsia="zh-CN"/>
                    </w:rPr>
                    <w:t>是</w:t>
                  </w:r>
                </w:p>
              </w:tc>
              <w:tc>
                <w:tcPr>
                  <w:tcW w:w="1546" w:type="dxa"/>
                  <w:noWrap w:val="0"/>
                  <w:vAlign w:val="center"/>
                </w:tcPr>
                <w:p>
                  <w:pPr>
                    <w:adjustRightInd w:val="0"/>
                    <w:snapToGrid w:val="0"/>
                    <w:jc w:val="center"/>
                    <w:rPr>
                      <w:rFonts w:hint="default" w:ascii="Times New Roman" w:hAnsi="Times New Roman" w:eastAsia="宋体" w:cs="Times New Roman"/>
                      <w:bCs/>
                      <w:color w:val="auto"/>
                      <w:kern w:val="0"/>
                      <w:szCs w:val="21"/>
                      <w:highlight w:val="none"/>
                      <w:lang w:val="en-US" w:eastAsia="zh-CN"/>
                    </w:rPr>
                  </w:pPr>
                  <w:r>
                    <w:rPr>
                      <w:rFonts w:hint="default" w:ascii="Times New Roman" w:hAnsi="Times New Roman" w:eastAsia="宋体" w:cs="Times New Roman"/>
                      <w:bCs/>
                      <w:color w:val="auto"/>
                      <w:kern w:val="0"/>
                      <w:szCs w:val="21"/>
                      <w:highlight w:val="none"/>
                      <w:lang w:val="en-US" w:eastAsia="zh-CN"/>
                    </w:rPr>
                    <w:t>2500t</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7" w:type="dxa"/>
                  <w:gridSpan w:val="5"/>
                  <w:noWrap w:val="0"/>
                  <w:vAlign w:val="center"/>
                </w:tcPr>
                <w:p>
                  <w:pPr>
                    <w:adjustRightInd w:val="0"/>
                    <w:snapToGrid w:val="0"/>
                    <w:jc w:val="center"/>
                    <w:rPr>
                      <w:rFonts w:hint="default" w:ascii="Times New Roman" w:hAnsi="Times New Roman" w:eastAsia="宋体" w:cs="Times New Roman"/>
                      <w:bCs/>
                      <w:color w:val="auto"/>
                      <w:kern w:val="0"/>
                      <w:szCs w:val="21"/>
                      <w:highlight w:val="none"/>
                    </w:rPr>
                  </w:pPr>
                  <w:r>
                    <w:rPr>
                      <w:rFonts w:hint="default" w:ascii="Times New Roman" w:hAnsi="Times New Roman" w:eastAsia="宋体" w:cs="Times New Roman"/>
                      <w:bCs/>
                      <w:color w:val="auto"/>
                      <w:kern w:val="0"/>
                      <w:szCs w:val="21"/>
                      <w:highlight w:val="none"/>
                    </w:rPr>
                    <w:t>合计</w:t>
                  </w:r>
                </w:p>
              </w:tc>
              <w:tc>
                <w:tcPr>
                  <w:tcW w:w="1997" w:type="dxa"/>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0.00008</w:t>
                  </w:r>
                </w:p>
              </w:tc>
            </w:tr>
          </w:tbl>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综上，本项目Q=0.00008</w:t>
            </w:r>
            <w:r>
              <w:rPr>
                <w:rFonts w:hint="default" w:ascii="Times New Roman" w:hAnsi="Times New Roman" w:eastAsia="宋体" w:cs="Times New Roman"/>
                <w:color w:val="auto"/>
                <w:kern w:val="1"/>
                <w:sz w:val="24"/>
                <w:highlight w:val="none"/>
              </w:rPr>
              <w:t>&lt;1</w:t>
            </w:r>
            <w:r>
              <w:rPr>
                <w:rFonts w:hint="default" w:ascii="Times New Roman" w:hAnsi="Times New Roman" w:eastAsia="宋体" w:cs="Times New Roman"/>
                <w:color w:val="auto"/>
                <w:kern w:val="1"/>
                <w:sz w:val="24"/>
                <w:highlight w:val="none"/>
                <w:lang w:eastAsia="zh-CN"/>
              </w:rPr>
              <w:t>，</w:t>
            </w:r>
            <w:r>
              <w:rPr>
                <w:rFonts w:hint="default" w:ascii="Times New Roman" w:hAnsi="Times New Roman" w:eastAsia="宋体" w:cs="Times New Roman"/>
                <w:color w:val="auto"/>
                <w:sz w:val="24"/>
                <w:highlight w:val="none"/>
                <w:lang w:eastAsia="zh-CN"/>
              </w:rPr>
              <w:t>项目环境风险潜势为I</w:t>
            </w:r>
            <w:r>
              <w:rPr>
                <w:rFonts w:hint="default" w:ascii="Times New Roman" w:hAnsi="Times New Roman" w:eastAsia="宋体" w:cs="Times New Roman"/>
                <w:color w:val="auto"/>
                <w:sz w:val="24"/>
                <w:highlight w:val="none"/>
                <w:lang w:val="en-US" w:eastAsia="zh-CN"/>
              </w:rPr>
              <w:t>，故不设专项评价。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4</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szCs w:val="24"/>
                <w:highlight w:val="none"/>
                <w:lang w:val="en-US" w:eastAsia="zh-CN"/>
              </w:rPr>
              <w:t>环境风险分析</w:t>
            </w:r>
          </w:p>
          <w:p>
            <w:pPr>
              <w:pStyle w:val="71"/>
              <w:keepNext w:val="0"/>
              <w:keepLines w:val="0"/>
              <w:pageBreakBefore w:val="0"/>
              <w:widowControl w:val="0"/>
              <w:numPr>
                <w:ilvl w:val="0"/>
                <w:numId w:val="0"/>
              </w:numPr>
              <w:tabs>
                <w:tab w:val="left" w:pos="1330"/>
              </w:tabs>
              <w:kinsoku/>
              <w:wordWrap/>
              <w:overflowPunct/>
              <w:topLinePunct w:val="0"/>
              <w:bidi w:val="0"/>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1</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事故源项分析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根据《建设项目环境风险评价技术导则》（HJ/T169-2018），</w:t>
            </w:r>
            <w:r>
              <w:rPr>
                <w:rFonts w:hint="default" w:ascii="Times New Roman" w:hAnsi="Times New Roman" w:eastAsia="宋体" w:cs="Times New Roman"/>
                <w:color w:val="auto"/>
                <w:spacing w:val="-2"/>
                <w:sz w:val="24"/>
                <w:szCs w:val="24"/>
                <w:highlight w:val="none"/>
              </w:rPr>
              <w:t>环境风险潜势为Ⅰ。本</w:t>
            </w:r>
            <w:r>
              <w:rPr>
                <w:rFonts w:hint="default" w:ascii="Times New Roman" w:hAnsi="Times New Roman" w:eastAsia="宋体" w:cs="Times New Roman"/>
                <w:color w:val="auto"/>
                <w:spacing w:val="-3"/>
                <w:sz w:val="24"/>
                <w:szCs w:val="24"/>
                <w:highlight w:val="none"/>
              </w:rPr>
              <w:t>评价主要对项目营运期间可能存在的危险、有害因素进行分析，并对可能发生的突发性</w:t>
            </w:r>
            <w:r>
              <w:rPr>
                <w:rFonts w:hint="default" w:ascii="Times New Roman" w:hAnsi="Times New Roman" w:eastAsia="宋体" w:cs="Times New Roman"/>
                <w:color w:val="auto"/>
                <w:sz w:val="24"/>
                <w:szCs w:val="24"/>
                <w:highlight w:val="none"/>
                <w:vertAlign w:val="baseline"/>
              </w:rPr>
              <w:t>事件及事故所造成的人身安全与环境影响和损害程度，提出合理的可行的防范、应急与减缓措施。</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rPr>
              <w:t>本项目可能发生的事故主要有储油</w:t>
            </w:r>
            <w:r>
              <w:rPr>
                <w:rFonts w:hint="default" w:ascii="Times New Roman" w:hAnsi="Times New Roman" w:eastAsia="宋体" w:cs="Times New Roman"/>
                <w:color w:val="auto"/>
                <w:sz w:val="24"/>
                <w:szCs w:val="24"/>
                <w:highlight w:val="none"/>
                <w:vertAlign w:val="baseline"/>
                <w:lang w:val="en-US" w:eastAsia="zh-CN"/>
              </w:rPr>
              <w:t>桶</w:t>
            </w:r>
            <w:r>
              <w:rPr>
                <w:rFonts w:hint="default" w:ascii="Times New Roman" w:hAnsi="Times New Roman" w:eastAsia="宋体" w:cs="Times New Roman"/>
                <w:color w:val="auto"/>
                <w:sz w:val="24"/>
                <w:szCs w:val="24"/>
                <w:highlight w:val="none"/>
                <w:vertAlign w:val="baseline"/>
              </w:rPr>
              <w:t>破损</w:t>
            </w:r>
            <w:r>
              <w:rPr>
                <w:rFonts w:hint="default" w:ascii="Times New Roman" w:hAnsi="Times New Roman" w:eastAsia="宋体" w:cs="Times New Roman"/>
                <w:color w:val="auto"/>
                <w:sz w:val="24"/>
                <w:szCs w:val="24"/>
                <w:highlight w:val="none"/>
                <w:vertAlign w:val="baseline"/>
                <w:lang w:val="en-US" w:eastAsia="zh-CN"/>
              </w:rPr>
              <w:t>物料</w:t>
            </w:r>
            <w:r>
              <w:rPr>
                <w:rFonts w:hint="default" w:ascii="Times New Roman" w:hAnsi="Times New Roman" w:eastAsia="宋体" w:cs="Times New Roman"/>
                <w:color w:val="auto"/>
                <w:sz w:val="24"/>
                <w:szCs w:val="24"/>
                <w:highlight w:val="none"/>
                <w:vertAlign w:val="baseline"/>
              </w:rPr>
              <w:t>渗漏引起土壤及地下水的污染，根据风险识别，本项目主要存在的事故类型有：</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①</w:t>
            </w:r>
            <w:r>
              <w:rPr>
                <w:rFonts w:hint="default" w:ascii="Times New Roman" w:hAnsi="Times New Roman" w:eastAsia="宋体" w:cs="Times New Roman"/>
                <w:color w:val="auto"/>
                <w:sz w:val="24"/>
                <w:szCs w:val="24"/>
                <w:highlight w:val="none"/>
                <w:vertAlign w:val="baseline"/>
              </w:rPr>
              <w:t>储</w:t>
            </w:r>
            <w:r>
              <w:rPr>
                <w:rFonts w:hint="default" w:ascii="Times New Roman" w:hAnsi="Times New Roman" w:eastAsia="宋体" w:cs="Times New Roman"/>
                <w:color w:val="auto"/>
                <w:sz w:val="24"/>
                <w:szCs w:val="24"/>
                <w:highlight w:val="none"/>
                <w:vertAlign w:val="baseline"/>
                <w:lang w:val="en-US" w:eastAsia="zh-CN"/>
              </w:rPr>
              <w:t>油桶</w:t>
            </w:r>
            <w:r>
              <w:rPr>
                <w:rFonts w:hint="default" w:ascii="Times New Roman" w:hAnsi="Times New Roman" w:eastAsia="宋体" w:cs="Times New Roman"/>
                <w:color w:val="auto"/>
                <w:sz w:val="24"/>
                <w:szCs w:val="24"/>
                <w:highlight w:val="none"/>
                <w:vertAlign w:val="baseline"/>
              </w:rPr>
              <w:t>破损油品渗漏引起土壤及地下水的污染；</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vertAlign w:val="baseline"/>
                <w:lang w:val="en-US" w:eastAsia="zh-CN"/>
              </w:rPr>
              <w:t>②</w:t>
            </w:r>
            <w:r>
              <w:rPr>
                <w:rFonts w:hint="default" w:ascii="Times New Roman" w:hAnsi="Times New Roman" w:eastAsia="宋体" w:cs="Times New Roman"/>
                <w:color w:val="auto"/>
                <w:sz w:val="24"/>
                <w:szCs w:val="24"/>
                <w:highlight w:val="none"/>
                <w:vertAlign w:val="baseline"/>
              </w:rPr>
              <w:t>油品溢出或</w:t>
            </w:r>
            <w:r>
              <w:rPr>
                <w:rFonts w:hint="default" w:ascii="Times New Roman" w:hAnsi="Times New Roman" w:eastAsia="宋体" w:cs="Times New Roman"/>
                <w:color w:val="auto"/>
                <w:spacing w:val="-1"/>
                <w:sz w:val="24"/>
                <w:szCs w:val="24"/>
                <w:highlight w:val="none"/>
              </w:rPr>
              <w:t>泄漏后遇明火发生火灾、爆炸事故；</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③原辅料及产品</w:t>
            </w:r>
            <w:r>
              <w:rPr>
                <w:rFonts w:hint="default" w:ascii="Times New Roman" w:hAnsi="Times New Roman" w:eastAsia="宋体" w:cs="Times New Roman"/>
                <w:color w:val="auto"/>
                <w:spacing w:val="-1"/>
                <w:sz w:val="24"/>
                <w:szCs w:val="24"/>
                <w:highlight w:val="none"/>
              </w:rPr>
              <w:t>遇明火发生火灾事故；</w:t>
            </w:r>
          </w:p>
          <w:p>
            <w:pPr>
              <w:pStyle w:val="71"/>
              <w:keepNext w:val="0"/>
              <w:keepLines w:val="0"/>
              <w:pageBreakBefore w:val="0"/>
              <w:widowControl w:val="0"/>
              <w:numPr>
                <w:ilvl w:val="0"/>
                <w:numId w:val="0"/>
              </w:numPr>
              <w:tabs>
                <w:tab w:val="left" w:pos="1330"/>
              </w:tabs>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2</w:t>
            </w:r>
            <w:r>
              <w:rPr>
                <w:rFonts w:hint="eastAsia"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事故后果分析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废机油</w:t>
            </w:r>
            <w:r>
              <w:rPr>
                <w:rFonts w:hint="default" w:ascii="Times New Roman" w:hAnsi="Times New Roman" w:eastAsia="宋体" w:cs="Times New Roman"/>
                <w:color w:val="auto"/>
                <w:sz w:val="24"/>
                <w:szCs w:val="24"/>
                <w:highlight w:val="none"/>
              </w:rPr>
              <w:t>发生火灾、爆炸事故</w:t>
            </w:r>
            <w:r>
              <w:rPr>
                <w:rFonts w:hint="eastAsia" w:cs="Times New Roman"/>
                <w:color w:val="auto"/>
                <w:sz w:val="24"/>
                <w:szCs w:val="24"/>
                <w:highlight w:val="none"/>
                <w:lang w:eastAsia="zh-CN"/>
              </w:rPr>
              <w:t>，原辅料及产品发生火灾事故</w:t>
            </w:r>
            <w:r>
              <w:rPr>
                <w:rFonts w:hint="default" w:ascii="Times New Roman" w:hAnsi="Times New Roman" w:eastAsia="宋体" w:cs="Times New Roman"/>
                <w:color w:val="auto"/>
                <w:sz w:val="24"/>
                <w:szCs w:val="24"/>
                <w:highlight w:val="none"/>
              </w:rPr>
              <w:t>引发的次生伴生影响主要体现在火灾或爆炸过程产生的燃烧产物和灭火过程产生的固废，燃烧产物为CO2、CO和H</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O。</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1）对地</w:t>
            </w:r>
            <w:r>
              <w:rPr>
                <w:rFonts w:hint="default" w:ascii="Times New Roman" w:hAnsi="Times New Roman" w:eastAsia="宋体" w:cs="Times New Roman"/>
                <w:color w:val="auto"/>
                <w:sz w:val="24"/>
                <w:szCs w:val="24"/>
                <w:highlight w:val="none"/>
                <w:vertAlign w:val="baseline"/>
              </w:rPr>
              <w:t>表水环境影响分析</w:t>
            </w:r>
          </w:p>
          <w:p>
            <w:pPr>
              <w:pStyle w:val="4"/>
              <w:keepNext w:val="0"/>
              <w:keepLines w:val="0"/>
              <w:pageBreakBefore w:val="0"/>
              <w:widowControl w:val="0"/>
              <w:kinsoku/>
              <w:wordWrap/>
              <w:overflowPunct/>
              <w:topLinePunct w:val="0"/>
              <w:bidi w:val="0"/>
              <w:spacing w:after="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rPr>
              <w:t>泄漏影响分析</w:t>
            </w:r>
          </w:p>
          <w:p>
            <w:pPr>
              <w:pStyle w:val="4"/>
              <w:keepNext w:val="0"/>
              <w:keepLines w:val="0"/>
              <w:pageBreakBefore w:val="0"/>
              <w:widowControl w:val="0"/>
              <w:kinsoku/>
              <w:wordWrap/>
              <w:overflowPunct/>
              <w:topLinePunct w:val="0"/>
              <w:bidi w:val="0"/>
              <w:spacing w:after="0" w:line="360" w:lineRule="auto"/>
              <w:ind w:left="0" w:leftChars="0" w:right="0" w:firstLine="472"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2"/>
                <w:sz w:val="24"/>
                <w:szCs w:val="24"/>
                <w:highlight w:val="none"/>
              </w:rPr>
              <w:t>泄漏或渗漏的</w:t>
            </w:r>
            <w:r>
              <w:rPr>
                <w:rFonts w:hint="default" w:ascii="Times New Roman" w:hAnsi="Times New Roman" w:eastAsia="宋体" w:cs="Times New Roman"/>
                <w:color w:val="auto"/>
                <w:spacing w:val="-2"/>
                <w:sz w:val="24"/>
                <w:szCs w:val="24"/>
                <w:highlight w:val="none"/>
                <w:lang w:val="en-US" w:eastAsia="zh-CN"/>
              </w:rPr>
              <w:t>油类物质</w:t>
            </w:r>
            <w:r>
              <w:rPr>
                <w:rFonts w:hint="default" w:ascii="Times New Roman" w:hAnsi="Times New Roman" w:eastAsia="宋体" w:cs="Times New Roman"/>
                <w:color w:val="auto"/>
                <w:spacing w:val="-2"/>
                <w:sz w:val="24"/>
                <w:szCs w:val="24"/>
                <w:highlight w:val="none"/>
              </w:rPr>
              <w:t>一旦进入地表河流，将造成地表河流的污染</w:t>
            </w:r>
            <w:r>
              <w:rPr>
                <w:rFonts w:hint="default" w:ascii="Times New Roman" w:hAnsi="Times New Roman" w:eastAsia="宋体" w:cs="Times New Roman"/>
                <w:color w:val="auto"/>
                <w:spacing w:val="-3"/>
                <w:sz w:val="24"/>
                <w:szCs w:val="24"/>
                <w:highlight w:val="none"/>
              </w:rPr>
              <w:t>。污染首先将造成地表河流的景观破坏，产生严重的刺鼻性气味；其次，由于有机烃类物质难溶于水，大部分上浮在水层表面，形成一层油膜使空气隔离，造成水</w:t>
            </w:r>
            <w:r>
              <w:rPr>
                <w:rFonts w:hint="default" w:ascii="Times New Roman" w:hAnsi="Times New Roman" w:eastAsia="宋体" w:cs="Times New Roman"/>
                <w:color w:val="auto"/>
                <w:spacing w:val="-13"/>
                <w:sz w:val="24"/>
                <w:szCs w:val="24"/>
                <w:highlight w:val="none"/>
              </w:rPr>
              <w:t>中溶解氧浓度降低，逐渐形成死水，致使水中生物死亡；再次，成品油的主要成分是</w:t>
            </w:r>
            <w:r>
              <w:rPr>
                <w:rFonts w:hint="default" w:ascii="Times New Roman" w:hAnsi="Times New Roman" w:eastAsia="宋体" w:cs="Times New Roman"/>
                <w:color w:val="auto"/>
                <w:sz w:val="24"/>
                <w:szCs w:val="24"/>
                <w:highlight w:val="none"/>
              </w:rPr>
              <w:t>C4～C9的烃类、芳烃类、醇酮类以及卤代烃类有机物，一旦进入水体环境，由于可生化性较差，造成被污染水体长</w:t>
            </w:r>
            <w:r>
              <w:rPr>
                <w:rFonts w:hint="default" w:ascii="Times New Roman" w:hAnsi="Times New Roman" w:eastAsia="宋体" w:cs="Times New Roman"/>
                <w:color w:val="auto"/>
                <w:spacing w:val="-3"/>
                <w:sz w:val="24"/>
                <w:szCs w:val="24"/>
                <w:highlight w:val="none"/>
              </w:rPr>
              <w:t>时间得不到净化，完全恢复则需十几年、甚至几十年时间。</w:t>
            </w:r>
          </w:p>
          <w:p>
            <w:pPr>
              <w:pStyle w:val="4"/>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②</w:t>
            </w:r>
            <w:r>
              <w:rPr>
                <w:rFonts w:hint="default" w:ascii="Times New Roman" w:hAnsi="Times New Roman" w:eastAsia="宋体" w:cs="Times New Roman"/>
                <w:color w:val="auto"/>
                <w:spacing w:val="-3"/>
                <w:sz w:val="24"/>
                <w:szCs w:val="24"/>
                <w:highlight w:val="none"/>
              </w:rPr>
              <w:t>火灾、爆炸影响分析</w:t>
            </w:r>
          </w:p>
          <w:p>
            <w:pPr>
              <w:pStyle w:val="4"/>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lang w:val="en-US" w:eastAsia="zh-CN"/>
              </w:rPr>
              <w:t>油类物质</w:t>
            </w:r>
            <w:r>
              <w:rPr>
                <w:rFonts w:hint="default" w:ascii="Times New Roman" w:hAnsi="Times New Roman" w:eastAsia="宋体" w:cs="Times New Roman"/>
                <w:color w:val="auto"/>
                <w:spacing w:val="-3"/>
                <w:sz w:val="24"/>
                <w:szCs w:val="24"/>
                <w:highlight w:val="none"/>
              </w:rPr>
              <w:t>燃烧、爆炸</w:t>
            </w:r>
            <w:r>
              <w:rPr>
                <w:rFonts w:hint="eastAsia" w:cs="Times New Roman"/>
                <w:color w:val="auto"/>
                <w:spacing w:val="-3"/>
                <w:sz w:val="24"/>
                <w:szCs w:val="24"/>
                <w:highlight w:val="none"/>
                <w:lang w:eastAsia="zh-CN"/>
              </w:rPr>
              <w:t>，原辅料及产品燃烧</w:t>
            </w:r>
            <w:r>
              <w:rPr>
                <w:rFonts w:hint="default" w:ascii="Times New Roman" w:hAnsi="Times New Roman" w:eastAsia="宋体" w:cs="Times New Roman"/>
                <w:color w:val="auto"/>
                <w:spacing w:val="-3"/>
                <w:sz w:val="24"/>
                <w:szCs w:val="24"/>
                <w:highlight w:val="none"/>
              </w:rPr>
              <w:t>产生污染物主要为CO和CO</w:t>
            </w:r>
            <w:r>
              <w:rPr>
                <w:rFonts w:hint="default" w:ascii="Times New Roman" w:hAnsi="Times New Roman" w:eastAsia="宋体" w:cs="Times New Roman"/>
                <w:color w:val="auto"/>
                <w:spacing w:val="-3"/>
                <w:sz w:val="24"/>
                <w:szCs w:val="24"/>
                <w:highlight w:val="none"/>
                <w:vertAlign w:val="subscript"/>
              </w:rPr>
              <w:t>2</w:t>
            </w:r>
            <w:r>
              <w:rPr>
                <w:rFonts w:hint="default" w:ascii="Times New Roman" w:hAnsi="Times New Roman" w:eastAsia="宋体" w:cs="Times New Roman"/>
                <w:color w:val="auto"/>
                <w:spacing w:val="-3"/>
                <w:sz w:val="24"/>
                <w:szCs w:val="24"/>
                <w:highlight w:val="none"/>
              </w:rPr>
              <w:t>，两种物质均不溶于水。项目内布设灭火器为干粉灭火器、消防沙等，发生火灾及灭火过程中项目内不会产生废水。因此项目发生火灾、爆炸事故后对周围水环境影响不大。</w:t>
            </w:r>
          </w:p>
          <w:p>
            <w:pPr>
              <w:pStyle w:val="4"/>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lang w:val="en-US" w:eastAsia="zh-CN"/>
              </w:rPr>
              <w:t>2）</w:t>
            </w:r>
            <w:r>
              <w:rPr>
                <w:rFonts w:hint="default" w:ascii="Times New Roman" w:hAnsi="Times New Roman" w:eastAsia="宋体" w:cs="Times New Roman"/>
                <w:color w:val="auto"/>
                <w:spacing w:val="-3"/>
                <w:sz w:val="24"/>
                <w:szCs w:val="24"/>
                <w:highlight w:val="none"/>
              </w:rPr>
              <w:t>对地下水环境</w:t>
            </w:r>
            <w:r>
              <w:rPr>
                <w:rFonts w:hint="default" w:ascii="Times New Roman" w:hAnsi="Times New Roman" w:eastAsia="宋体" w:cs="Times New Roman"/>
                <w:color w:val="auto"/>
                <w:sz w:val="24"/>
                <w:szCs w:val="24"/>
                <w:highlight w:val="none"/>
              </w:rPr>
              <w:t>的影响分析</w:t>
            </w:r>
          </w:p>
          <w:p>
            <w:pPr>
              <w:pStyle w:val="4"/>
              <w:keepNext w:val="0"/>
              <w:keepLines w:val="0"/>
              <w:pageBreakBefore w:val="0"/>
              <w:widowControl w:val="0"/>
              <w:kinsoku/>
              <w:wordWrap/>
              <w:overflowPunct/>
              <w:topLinePunct w:val="0"/>
              <w:bidi w:val="0"/>
              <w:spacing w:after="0" w:line="360" w:lineRule="auto"/>
              <w:ind w:left="0" w:leftChars="0" w:right="0" w:firstLine="468"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3"/>
                <w:sz w:val="24"/>
                <w:szCs w:val="24"/>
                <w:highlight w:val="none"/>
              </w:rPr>
              <w:t>储油</w:t>
            </w:r>
            <w:r>
              <w:rPr>
                <w:rFonts w:hint="default" w:ascii="Times New Roman" w:hAnsi="Times New Roman" w:eastAsia="宋体" w:cs="Times New Roman"/>
                <w:color w:val="auto"/>
                <w:spacing w:val="-3"/>
                <w:sz w:val="24"/>
                <w:szCs w:val="24"/>
                <w:highlight w:val="none"/>
                <w:lang w:val="en-US" w:eastAsia="zh-CN"/>
              </w:rPr>
              <w:t>桶</w:t>
            </w:r>
            <w:r>
              <w:rPr>
                <w:rFonts w:hint="default" w:ascii="Times New Roman" w:hAnsi="Times New Roman" w:eastAsia="宋体" w:cs="Times New Roman"/>
                <w:color w:val="auto"/>
                <w:spacing w:val="-3"/>
                <w:sz w:val="24"/>
                <w:szCs w:val="24"/>
                <w:highlight w:val="none"/>
              </w:rPr>
              <w:t>的泄漏或渗漏对地下水的污染较为严重，地下水一旦遭到成品油的污染，将使</w:t>
            </w:r>
            <w:r>
              <w:rPr>
                <w:rFonts w:hint="default" w:ascii="Times New Roman" w:hAnsi="Times New Roman" w:eastAsia="宋体" w:cs="Times New Roman"/>
                <w:color w:val="auto"/>
                <w:spacing w:val="-5"/>
                <w:sz w:val="24"/>
                <w:szCs w:val="24"/>
                <w:highlight w:val="none"/>
              </w:rPr>
              <w:t>地下水产生严重异味，并具有较强的致畸致癌性，无法饮用，又由于这种渗漏必然穿过较</w:t>
            </w:r>
            <w:r>
              <w:rPr>
                <w:rFonts w:hint="default" w:ascii="Times New Roman" w:hAnsi="Times New Roman" w:eastAsia="宋体" w:cs="Times New Roman"/>
                <w:color w:val="auto"/>
                <w:spacing w:val="-6"/>
                <w:sz w:val="24"/>
                <w:szCs w:val="24"/>
                <w:highlight w:val="none"/>
              </w:rPr>
              <w:t>厚的土层，使土壤层中吸附有大量的燃油料，土壤层吸附的燃料油不仅会造成植物生物的死亡，而且土壤层吸附的燃料还会随着地表水的下渗对土壤层的冲刷补充到地下水，这样</w:t>
            </w:r>
            <w:r>
              <w:rPr>
                <w:rFonts w:hint="default" w:ascii="Times New Roman" w:hAnsi="Times New Roman" w:eastAsia="宋体" w:cs="Times New Roman"/>
                <w:color w:val="auto"/>
                <w:sz w:val="24"/>
                <w:szCs w:val="24"/>
                <w:highlight w:val="none"/>
              </w:rPr>
              <w:t>即便污染源得到及时控制，地下水要完全恢复也需几十年甚至上百年的时间。</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72"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2"/>
                <w:sz w:val="24"/>
                <w:szCs w:val="24"/>
                <w:highlight w:val="none"/>
                <w:lang w:val="en-US" w:eastAsia="zh-CN"/>
              </w:rPr>
              <w:t>3）</w:t>
            </w:r>
            <w:r>
              <w:rPr>
                <w:rFonts w:hint="default" w:ascii="Times New Roman" w:hAnsi="Times New Roman" w:eastAsia="宋体" w:cs="Times New Roman"/>
                <w:color w:val="auto"/>
                <w:spacing w:val="-2"/>
                <w:sz w:val="24"/>
                <w:szCs w:val="24"/>
                <w:highlight w:val="none"/>
              </w:rPr>
              <w:t>对大气环境影响分析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pacing w:val="-6"/>
                <w:kern w:val="2"/>
                <w:sz w:val="24"/>
                <w:szCs w:val="24"/>
                <w:highlight w:val="none"/>
                <w:lang w:val="en-US" w:eastAsia="zh-CN" w:bidi="ar-SA"/>
              </w:rPr>
            </w:pPr>
            <w:r>
              <w:rPr>
                <w:rFonts w:hint="default" w:ascii="Times New Roman" w:hAnsi="Times New Roman" w:eastAsia="宋体" w:cs="Times New Roman"/>
                <w:color w:val="auto"/>
                <w:spacing w:val="-6"/>
                <w:kern w:val="2"/>
                <w:sz w:val="24"/>
                <w:szCs w:val="24"/>
                <w:highlight w:val="none"/>
                <w:lang w:val="en-US" w:eastAsia="zh-CN" w:bidi="ar-SA"/>
              </w:rPr>
              <w:t>①泄漏影响分析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56"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kern w:val="2"/>
                <w:sz w:val="24"/>
                <w:szCs w:val="24"/>
                <w:highlight w:val="none"/>
                <w:lang w:val="en-US" w:eastAsia="zh-CN" w:bidi="ar-SA"/>
              </w:rPr>
              <w:t>根据国内外的研究，对于突发性的事故溢油，油品溢出后在地面呈不规则的面源分布，油品的挥发速度重要影响因素为油品蒸汽压、现场风速、油品溢出面积、油品蒸汽分子平均重度。本项目设</w:t>
            </w:r>
            <w:r>
              <w:rPr>
                <w:rFonts w:hint="default" w:ascii="Times New Roman" w:hAnsi="Times New Roman" w:eastAsia="宋体" w:cs="Times New Roman"/>
                <w:color w:val="auto"/>
                <w:spacing w:val="-7"/>
                <w:sz w:val="24"/>
                <w:szCs w:val="24"/>
                <w:highlight w:val="none"/>
              </w:rPr>
              <w:t>置</w:t>
            </w:r>
            <w:r>
              <w:rPr>
                <w:rFonts w:hint="default" w:ascii="Times New Roman" w:hAnsi="Times New Roman" w:eastAsia="宋体" w:cs="Times New Roman"/>
                <w:color w:val="auto"/>
                <w:spacing w:val="-7"/>
                <w:sz w:val="24"/>
                <w:szCs w:val="24"/>
                <w:highlight w:val="none"/>
                <w:lang w:val="en-US" w:eastAsia="zh-CN"/>
              </w:rPr>
              <w:t>废矿物油储存</w:t>
            </w:r>
            <w:r>
              <w:rPr>
                <w:rFonts w:hint="default" w:ascii="Times New Roman" w:hAnsi="Times New Roman" w:eastAsia="宋体" w:cs="Times New Roman"/>
                <w:color w:val="auto"/>
                <w:spacing w:val="-7"/>
                <w:sz w:val="24"/>
                <w:szCs w:val="24"/>
                <w:highlight w:val="none"/>
              </w:rPr>
              <w:t>，油品将主要通过储油区通气管非密封处挥发，不会造成大</w:t>
            </w:r>
            <w:r>
              <w:rPr>
                <w:rFonts w:hint="default" w:ascii="Times New Roman" w:hAnsi="Times New Roman" w:eastAsia="宋体" w:cs="Times New Roman"/>
                <w:color w:val="auto"/>
                <w:sz w:val="24"/>
                <w:szCs w:val="24"/>
                <w:highlight w:val="none"/>
              </w:rPr>
              <w:t>面积的扩散，对大气环境影响较小。</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rPr>
              <w:t>火灾、爆炸产生的污染物对人和环境的影响分析</w:t>
            </w:r>
          </w:p>
          <w:p>
            <w:pPr>
              <w:pStyle w:val="71"/>
              <w:keepNext w:val="0"/>
              <w:keepLines w:val="0"/>
              <w:pageBreakBefore w:val="0"/>
              <w:widowControl w:val="0"/>
              <w:numPr>
                <w:ilvl w:val="0"/>
                <w:numId w:val="0"/>
              </w:numPr>
              <w:tabs>
                <w:tab w:val="left" w:pos="1090"/>
              </w:tabs>
              <w:kinsoku/>
              <w:wordWrap/>
              <w:overflowPunct/>
              <w:topLinePunct w:val="0"/>
              <w:autoSpaceDE/>
              <w:autoSpaceDN/>
              <w:bidi w:val="0"/>
              <w:adjustRightInd/>
              <w:snapToGrid/>
              <w:spacing w:line="360" w:lineRule="auto"/>
              <w:ind w:leftChars="0" w:right="0" w:rightChars="0" w:firstLine="480"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矿物油</w:t>
            </w:r>
            <w:r>
              <w:rPr>
                <w:rFonts w:hint="default" w:ascii="Times New Roman" w:hAnsi="Times New Roman" w:eastAsia="宋体" w:cs="Times New Roman"/>
                <w:color w:val="auto"/>
                <w:sz w:val="24"/>
                <w:szCs w:val="24"/>
                <w:highlight w:val="none"/>
              </w:rPr>
              <w:t>为碳氢</w:t>
            </w:r>
            <w:r>
              <w:rPr>
                <w:rFonts w:hint="default" w:ascii="Times New Roman" w:hAnsi="Times New Roman" w:eastAsia="宋体" w:cs="Times New Roman"/>
                <w:color w:val="auto"/>
                <w:spacing w:val="-5"/>
                <w:sz w:val="24"/>
                <w:szCs w:val="24"/>
                <w:highlight w:val="none"/>
              </w:rPr>
              <w:t>化合物，分解产物为一氧化碳、二氧化碳及水，其中完全燃烧时产生二氧</w:t>
            </w:r>
            <w:r>
              <w:rPr>
                <w:rFonts w:hint="default" w:ascii="Times New Roman" w:hAnsi="Times New Roman" w:eastAsia="宋体" w:cs="Times New Roman"/>
                <w:color w:val="auto"/>
                <w:spacing w:val="-10"/>
                <w:sz w:val="24"/>
                <w:szCs w:val="24"/>
                <w:highlight w:val="none"/>
              </w:rPr>
              <w:t>化碳，不完全燃烧时产生</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27"/>
                <w:sz w:val="24"/>
                <w:szCs w:val="24"/>
                <w:highlight w:val="none"/>
              </w:rPr>
              <w:t>。</w:t>
            </w:r>
            <w:r>
              <w:rPr>
                <w:rFonts w:hint="default" w:ascii="Times New Roman" w:hAnsi="Times New Roman" w:eastAsia="宋体" w:cs="Times New Roman"/>
                <w:color w:val="auto"/>
                <w:sz w:val="24"/>
                <w:szCs w:val="24"/>
                <w:highlight w:val="none"/>
              </w:rPr>
              <w:t>CO</w:t>
            </w:r>
            <w:r>
              <w:rPr>
                <w:rFonts w:hint="default" w:ascii="Times New Roman" w:hAnsi="Times New Roman" w:eastAsia="宋体" w:cs="Times New Roman"/>
                <w:color w:val="auto"/>
                <w:spacing w:val="-6"/>
                <w:sz w:val="24"/>
                <w:szCs w:val="24"/>
                <w:highlight w:val="none"/>
              </w:rPr>
              <w:t>在大气中比较稳定，不易与其他物质产生化学反应，其</w:t>
            </w:r>
            <w:r>
              <w:rPr>
                <w:rFonts w:hint="default" w:ascii="Times New Roman" w:hAnsi="Times New Roman" w:eastAsia="宋体" w:cs="Times New Roman"/>
                <w:color w:val="auto"/>
                <w:spacing w:val="-5"/>
                <w:sz w:val="24"/>
                <w:szCs w:val="24"/>
                <w:highlight w:val="none"/>
              </w:rPr>
              <w:t>在进入大气后，由于大气的扩散稀释作用和氧化作用，一般不会造成危害，所以吸入时不为人们所察觉，是室内外空气中常见的污染物。当其浓度过高时，人在这种环境下待的时</w:t>
            </w:r>
            <w:r>
              <w:rPr>
                <w:rFonts w:hint="default" w:ascii="Times New Roman" w:hAnsi="Times New Roman" w:eastAsia="宋体" w:cs="Times New Roman"/>
                <w:color w:val="auto"/>
                <w:sz w:val="24"/>
                <w:szCs w:val="24"/>
                <w:highlight w:val="none"/>
              </w:rPr>
              <w:t>间较长，就会出现晕眩、头痛、怠倦的现象，CO对人的主要危害就是引起组织缺氧，导致急性或者慢性中毒甚至有死亡的威胁。此外，CO还可能造成听力与视力的损害，比如</w:t>
            </w:r>
            <w:r>
              <w:rPr>
                <w:rFonts w:hint="default" w:ascii="Times New Roman" w:hAnsi="Times New Roman" w:eastAsia="宋体" w:cs="Times New Roman"/>
                <w:color w:val="auto"/>
                <w:spacing w:val="-4"/>
                <w:sz w:val="24"/>
                <w:szCs w:val="24"/>
                <w:highlight w:val="none"/>
              </w:rPr>
              <w:t>视野的减小或者听力的丧失。二氧化碳对环境影响主要为温室效应。根据前面分析，项目</w:t>
            </w:r>
            <w:r>
              <w:rPr>
                <w:rFonts w:hint="default" w:ascii="Times New Roman" w:hAnsi="Times New Roman" w:eastAsia="宋体" w:cs="Times New Roman"/>
                <w:color w:val="auto"/>
                <w:spacing w:val="-6"/>
                <w:sz w:val="24"/>
                <w:szCs w:val="24"/>
                <w:highlight w:val="none"/>
              </w:rPr>
              <w:t>出现火灾、爆炸事故概率较小，排放的一氧化碳、二氧化碳经大气稀释、扩散后对周边大</w:t>
            </w:r>
            <w:r>
              <w:rPr>
                <w:rFonts w:hint="default" w:ascii="Times New Roman" w:hAnsi="Times New Roman" w:eastAsia="宋体" w:cs="Times New Roman"/>
                <w:color w:val="auto"/>
                <w:sz w:val="24"/>
                <w:szCs w:val="24"/>
                <w:highlight w:val="none"/>
              </w:rPr>
              <w:t>气环境影响较小。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56" w:firstLineChars="200"/>
              <w:jc w:val="left"/>
              <w:textAlignment w:val="auto"/>
              <w:rPr>
                <w:rFonts w:hint="eastAsia" w:ascii="Times New Roman" w:hAnsi="Times New Roman" w:eastAsia="宋体" w:cs="Times New Roman"/>
                <w:color w:val="auto"/>
                <w:spacing w:val="-6"/>
                <w:kern w:val="2"/>
                <w:sz w:val="24"/>
                <w:szCs w:val="24"/>
                <w:highlight w:val="none"/>
                <w:lang w:val="en-US" w:eastAsia="zh-CN" w:bidi="ar-SA"/>
              </w:rPr>
            </w:pPr>
            <w:r>
              <w:rPr>
                <w:rFonts w:hint="eastAsia" w:ascii="Times New Roman" w:hAnsi="Times New Roman" w:eastAsia="宋体" w:cs="Times New Roman"/>
                <w:color w:val="auto"/>
                <w:spacing w:val="-6"/>
                <w:kern w:val="2"/>
                <w:sz w:val="24"/>
                <w:szCs w:val="24"/>
                <w:highlight w:val="none"/>
                <w:lang w:val="en-US" w:eastAsia="zh-CN" w:bidi="ar-SA"/>
              </w:rPr>
              <w:t>4）废气、废水处理设施故障影响分析</w:t>
            </w:r>
          </w:p>
          <w:p>
            <w:pPr>
              <w:adjustRightInd w:val="0"/>
              <w:snapToGrid w:val="0"/>
              <w:spacing w:line="360" w:lineRule="auto"/>
              <w:ind w:firstLine="480" w:firstLineChars="200"/>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项目</w:t>
            </w:r>
            <w:r>
              <w:rPr>
                <w:rFonts w:hint="eastAsia" w:cs="Times New Roman"/>
                <w:iCs/>
                <w:color w:val="auto"/>
                <w:sz w:val="24"/>
                <w:szCs w:val="24"/>
                <w:highlight w:val="none"/>
                <w:lang w:val="en-US" w:eastAsia="zh-CN"/>
              </w:rPr>
              <w:t>纯水制备废水</w:t>
            </w:r>
            <w:r>
              <w:rPr>
                <w:rFonts w:hint="default" w:ascii="Times New Roman" w:hAnsi="Times New Roman" w:eastAsia="宋体" w:cs="Times New Roman"/>
                <w:b w:val="0"/>
                <w:bCs w:val="0"/>
                <w:color w:val="auto"/>
                <w:sz w:val="24"/>
                <w:szCs w:val="21"/>
                <w:lang w:val="en-US" w:eastAsia="zh-CN"/>
              </w:rPr>
              <w:t>及锅炉排污水经絮凝沉淀处理后作为生产冷却循环水补充使用；</w:t>
            </w:r>
            <w:r>
              <w:rPr>
                <w:rFonts w:hint="default" w:ascii="Times New Roman" w:hAnsi="Times New Roman" w:eastAsia="宋体" w:cs="Times New Roman"/>
                <w:color w:val="auto"/>
                <w:sz w:val="24"/>
              </w:rPr>
              <w:t>冷却废水经循环水冷却池冷却后循环使用</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szCs w:val="24"/>
                <w:highlight w:val="none"/>
                <w:lang w:eastAsia="zh-CN"/>
              </w:rPr>
              <w:t>蒸汽</w:t>
            </w:r>
            <w:r>
              <w:rPr>
                <w:rFonts w:hint="default" w:ascii="Times New Roman" w:hAnsi="Times New Roman" w:eastAsia="宋体" w:cs="Times New Roman"/>
                <w:color w:val="auto"/>
                <w:sz w:val="24"/>
              </w:rPr>
              <w:t>冷凝水</w:t>
            </w:r>
            <w:r>
              <w:rPr>
                <w:rFonts w:hint="default" w:ascii="Times New Roman" w:hAnsi="Times New Roman" w:eastAsia="宋体" w:cs="Times New Roman"/>
                <w:color w:val="auto"/>
                <w:sz w:val="24"/>
                <w:lang w:val="en-US" w:eastAsia="zh-CN"/>
              </w:rPr>
              <w:t>用于锅炉</w:t>
            </w:r>
            <w:r>
              <w:rPr>
                <w:rFonts w:hint="default" w:ascii="Times New Roman" w:hAnsi="Times New Roman" w:eastAsia="宋体" w:cs="Times New Roman"/>
                <w:color w:val="auto"/>
                <w:sz w:val="24"/>
              </w:rPr>
              <w:t>损耗补充水，生产废水不外排</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b w:val="0"/>
                <w:bCs w:val="0"/>
                <w:color w:val="auto"/>
                <w:sz w:val="24"/>
                <w:szCs w:val="24"/>
                <w:highlight w:val="none"/>
                <w:lang w:val="en-US" w:eastAsia="zh-CN"/>
              </w:rPr>
              <w:t>食堂含油废水经隔油池预处理后与其他办公生活污水一并进入化粪池、一体化污水处理站</w:t>
            </w:r>
            <w:r>
              <w:rPr>
                <w:rFonts w:hint="eastAsia" w:cs="Times New Roman"/>
                <w:b w:val="0"/>
                <w:bCs w:val="0"/>
                <w:color w:val="auto"/>
                <w:sz w:val="24"/>
                <w:szCs w:val="24"/>
                <w:highlight w:val="none"/>
                <w:lang w:val="en-US" w:eastAsia="zh-CN"/>
              </w:rPr>
              <w:t>处理</w:t>
            </w:r>
            <w:r>
              <w:rPr>
                <w:rFonts w:hint="default" w:ascii="Times New Roman" w:hAnsi="Times New Roman" w:eastAsia="宋体" w:cs="Times New Roman"/>
                <w:b w:val="0"/>
                <w:bCs w:val="0"/>
                <w:color w:val="auto"/>
                <w:sz w:val="24"/>
                <w:szCs w:val="24"/>
                <w:highlight w:val="none"/>
                <w:lang w:val="en-US" w:eastAsia="zh-CN"/>
              </w:rPr>
              <w:t>后，用于项目区内绿化及道路场地洒水降尘，不外排。</w:t>
            </w:r>
            <w:r>
              <w:rPr>
                <w:rFonts w:hint="eastAsia" w:ascii="Times New Roman" w:hAnsi="Times New Roman" w:eastAsia="宋体"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内的污水管道破损，将引发未处理的废水泄漏，从而影响区域水环境</w:t>
            </w:r>
            <w:r>
              <w:rPr>
                <w:rFonts w:hint="default" w:ascii="Times New Roman" w:hAnsi="Times New Roman" w:eastAsia="宋体" w:cs="Times New Roman"/>
                <w:b w:val="0"/>
                <w:bCs w:val="0"/>
                <w:color w:val="auto"/>
                <w:sz w:val="24"/>
                <w:szCs w:val="24"/>
                <w:highlight w:val="none"/>
                <w:lang w:val="en-US" w:eastAsia="zh-CN"/>
              </w:rPr>
              <w:t>以及土壤环境。</w:t>
            </w:r>
          </w:p>
          <w:p>
            <w:pPr>
              <w:adjustRightInd w:val="0"/>
              <w:snapToGrid w:val="0"/>
              <w:spacing w:line="360" w:lineRule="auto"/>
              <w:ind w:firstLine="480" w:firstLineChars="200"/>
              <w:rPr>
                <w:rFonts w:hint="default"/>
                <w:color w:val="auto"/>
                <w:lang w:val="en-US" w:eastAsia="zh-CN"/>
              </w:rPr>
            </w:pPr>
            <w:r>
              <w:rPr>
                <w:rFonts w:hint="default" w:ascii="Times New Roman" w:hAnsi="Times New Roman" w:eastAsia="宋体" w:cs="Times New Roman"/>
                <w:b w:val="0"/>
                <w:bCs w:val="0"/>
                <w:color w:val="auto"/>
                <w:sz w:val="24"/>
                <w:szCs w:val="24"/>
                <w:highlight w:val="none"/>
                <w:lang w:val="en-US" w:eastAsia="zh-CN"/>
              </w:rPr>
              <w:t>项目采用</w:t>
            </w:r>
            <w:r>
              <w:rPr>
                <w:rFonts w:hint="eastAsia" w:ascii="Times New Roman" w:hAnsi="Times New Roman" w:eastAsia="宋体" w:cs="Times New Roman"/>
                <w:b w:val="0"/>
                <w:bCs w:val="0"/>
                <w:color w:val="auto"/>
                <w:sz w:val="24"/>
                <w:szCs w:val="24"/>
                <w:highlight w:val="none"/>
                <w:lang w:val="en-US" w:eastAsia="zh-CN"/>
              </w:rPr>
              <w:t>耐高温布袋除尘器、三级活性炭装置来处理废气</w:t>
            </w:r>
            <w:r>
              <w:rPr>
                <w:rFonts w:hint="default" w:ascii="Times New Roman" w:hAnsi="Times New Roman" w:eastAsia="宋体" w:cs="Times New Roman"/>
                <w:b w:val="0"/>
                <w:bCs w:val="0"/>
                <w:color w:val="auto"/>
                <w:sz w:val="24"/>
                <w:szCs w:val="24"/>
                <w:highlight w:val="none"/>
                <w:lang w:val="en-US" w:eastAsia="zh-CN"/>
              </w:rPr>
              <w:t>，若运营过程中</w:t>
            </w:r>
            <w:r>
              <w:rPr>
                <w:rFonts w:hint="eastAsia" w:ascii="Times New Roman" w:hAnsi="Times New Roman" w:eastAsia="宋体" w:cs="Times New Roman"/>
                <w:b w:val="0"/>
                <w:bCs w:val="0"/>
                <w:color w:val="auto"/>
                <w:sz w:val="24"/>
                <w:szCs w:val="24"/>
                <w:highlight w:val="none"/>
                <w:lang w:val="en-US" w:eastAsia="zh-CN"/>
              </w:rPr>
              <w:t>耐高温布袋除尘器、三级活性炭装置发生故障，</w:t>
            </w:r>
            <w:r>
              <w:rPr>
                <w:rFonts w:hint="default" w:ascii="Times New Roman" w:hAnsi="Times New Roman" w:eastAsia="宋体" w:cs="Times New Roman"/>
                <w:b w:val="0"/>
                <w:bCs w:val="0"/>
                <w:color w:val="auto"/>
                <w:sz w:val="24"/>
                <w:szCs w:val="24"/>
                <w:highlight w:val="none"/>
                <w:lang w:val="en-US" w:eastAsia="zh-CN"/>
              </w:rPr>
              <w:t>将导致废气</w:t>
            </w:r>
            <w:r>
              <w:rPr>
                <w:rFonts w:hint="eastAsia" w:ascii="Times New Roman" w:hAnsi="Times New Roman" w:eastAsia="宋体" w:cs="Times New Roman"/>
                <w:b w:val="0"/>
                <w:bCs w:val="0"/>
                <w:color w:val="auto"/>
                <w:sz w:val="24"/>
                <w:szCs w:val="24"/>
                <w:highlight w:val="none"/>
                <w:lang w:val="en-US" w:eastAsia="zh-CN"/>
              </w:rPr>
              <w:t>不能达标</w:t>
            </w:r>
            <w:r>
              <w:rPr>
                <w:rFonts w:hint="default" w:ascii="Times New Roman" w:hAnsi="Times New Roman" w:eastAsia="宋体" w:cs="Times New Roman"/>
                <w:b w:val="0"/>
                <w:bCs w:val="0"/>
                <w:color w:val="auto"/>
                <w:sz w:val="24"/>
                <w:szCs w:val="24"/>
                <w:highlight w:val="none"/>
                <w:lang w:val="en-US" w:eastAsia="zh-CN"/>
              </w:rPr>
              <w:t>排</w:t>
            </w:r>
            <w:r>
              <w:rPr>
                <w:rFonts w:hint="eastAsia" w:ascii="Times New Roman" w:hAnsi="Times New Roman" w:eastAsia="宋体" w:cs="Times New Roman"/>
                <w:b w:val="0"/>
                <w:bCs w:val="0"/>
                <w:color w:val="auto"/>
                <w:sz w:val="24"/>
                <w:szCs w:val="24"/>
                <w:highlight w:val="none"/>
                <w:lang w:val="en-US" w:eastAsia="zh-CN"/>
              </w:rPr>
              <w:t>放</w:t>
            </w:r>
            <w:r>
              <w:rPr>
                <w:rFonts w:hint="default" w:ascii="Times New Roman" w:hAnsi="Times New Roman" w:eastAsia="宋体" w:cs="Times New Roman"/>
                <w:b w:val="0"/>
                <w:bCs w:val="0"/>
                <w:color w:val="auto"/>
                <w:sz w:val="24"/>
                <w:szCs w:val="24"/>
                <w:highlight w:val="none"/>
                <w:lang w:val="en-US" w:eastAsia="zh-CN"/>
              </w:rPr>
              <w:t>，发生污染事故。</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2" w:firstLineChars="20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b/>
                <w:color w:val="auto"/>
                <w:sz w:val="24"/>
                <w:highlight w:val="none"/>
              </w:rPr>
              <w:t>环境风险防范措施及应急要求</w:t>
            </w:r>
          </w:p>
          <w:p>
            <w:pPr>
              <w:pStyle w:val="84"/>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（1）风险防范措施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1）火灾爆炸风险防范措施：</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③工作人员要熟练掌握操作技术和防火安全管理规定；</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snapToGrid/>
              <w:spacing w:beforeLines="0" w:afterLines="0" w:line="360" w:lineRule="auto"/>
              <w:ind w:leftChars="0" w:right="0" w:righ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④定期检查材料存储的安全状态，以防止泄漏引发火灾、爆炸。</w:t>
            </w:r>
          </w:p>
          <w:p>
            <w:pPr>
              <w:spacing w:line="360" w:lineRule="auto"/>
              <w:ind w:firstLine="480" w:firstLineChars="200"/>
              <w:rPr>
                <w:rFonts w:hint="default" w:ascii="Times New Roman" w:hAnsi="Times New Roman" w:eastAsia="宋体" w:cs="Times New Roman"/>
                <w:bCs/>
                <w:color w:val="auto"/>
                <w:sz w:val="24"/>
              </w:rPr>
            </w:pPr>
            <w:r>
              <w:rPr>
                <w:rFonts w:hint="eastAsia" w:ascii="Times New Roman" w:hAnsi="Times New Roman" w:cs="Times New Roman"/>
                <w:bCs/>
                <w:color w:val="auto"/>
                <w:sz w:val="24"/>
                <w:lang w:eastAsia="zh-CN"/>
              </w:rPr>
              <w:t>⑤</w:t>
            </w:r>
            <w:r>
              <w:rPr>
                <w:rFonts w:hint="default" w:ascii="Times New Roman" w:hAnsi="Times New Roman" w:eastAsia="宋体" w:cs="Times New Roman"/>
                <w:bCs/>
                <w:color w:val="auto"/>
                <w:sz w:val="24"/>
              </w:rPr>
              <w:t>塑料原料、产品贮存区设置明确禁止烟火标识</w:t>
            </w:r>
            <w:r>
              <w:rPr>
                <w:rFonts w:hint="default" w:ascii="Times New Roman" w:hAnsi="Times New Roman" w:eastAsia="宋体" w:cs="Times New Roman"/>
                <w:bCs/>
                <w:color w:val="auto"/>
                <w:sz w:val="24"/>
                <w:lang w:eastAsia="zh-CN"/>
              </w:rPr>
              <w:t>。</w:t>
            </w:r>
          </w:p>
          <w:p>
            <w:pPr>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bCs/>
                <w:color w:val="auto"/>
                <w:sz w:val="24"/>
                <w:lang w:eastAsia="zh-CN"/>
              </w:rPr>
              <w:t>⑥</w:t>
            </w:r>
            <w:r>
              <w:rPr>
                <w:rFonts w:hint="default" w:ascii="Times New Roman" w:hAnsi="Times New Roman" w:eastAsia="宋体" w:cs="Times New Roman"/>
                <w:bCs/>
                <w:color w:val="auto"/>
                <w:sz w:val="24"/>
              </w:rPr>
              <w:t>严格控制原料、产品在场内的贮存量。</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③定期检查危险物质存储的安全状态，检查其包装有无破损，以防止泄漏。</w:t>
            </w:r>
          </w:p>
          <w:p>
            <w:pPr>
              <w:pStyle w:val="84"/>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szCs w:val="24"/>
                <w:highlight w:val="none"/>
                <w:lang w:val="en-US" w:eastAsia="zh-CN"/>
              </w:rPr>
              <w:t>④</w:t>
            </w:r>
            <w:r>
              <w:rPr>
                <w:rFonts w:hint="default" w:ascii="Times New Roman" w:hAnsi="Times New Roman" w:eastAsia="宋体" w:cs="Times New Roman"/>
                <w:bCs/>
                <w:color w:val="auto"/>
                <w:sz w:val="24"/>
                <w:szCs w:val="24"/>
                <w:highlight w:val="none"/>
                <w:lang w:val="zh-CN"/>
              </w:rPr>
              <w:t>建立健全安全、环境管理体系及高效的安全生产机构，一旦发生事故，要做到快速、高效、安全处置。</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3）废气、废水处理设施故障风险</w:t>
            </w:r>
            <w:r>
              <w:rPr>
                <w:rFonts w:hint="default" w:ascii="Times New Roman" w:hAnsi="Times New Roman" w:eastAsia="宋体" w:cs="Times New Roman"/>
                <w:bCs/>
                <w:color w:val="auto"/>
                <w:kern w:val="2"/>
                <w:sz w:val="24"/>
                <w:szCs w:val="24"/>
                <w:highlight w:val="none"/>
                <w:lang w:val="en-US" w:eastAsia="zh-CN" w:bidi="ar-SA"/>
              </w:rPr>
              <w:t>防范措施</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①</w:t>
            </w:r>
            <w:r>
              <w:rPr>
                <w:rFonts w:hint="default" w:ascii="Times New Roman" w:hAnsi="Times New Roman" w:eastAsia="宋体" w:cs="Times New Roman"/>
                <w:bCs/>
                <w:color w:val="auto"/>
                <w:kern w:val="2"/>
                <w:sz w:val="24"/>
                <w:szCs w:val="24"/>
                <w:highlight w:val="none"/>
                <w:lang w:val="en-US" w:eastAsia="zh-CN" w:bidi="ar-SA"/>
              </w:rPr>
              <w:t>污水输送管道采用不易腐蚀、不易受损</w:t>
            </w:r>
            <w:r>
              <w:rPr>
                <w:rFonts w:hint="eastAsia" w:ascii="Times New Roman" w:hAnsi="Times New Roman" w:eastAsia="宋体" w:cs="Times New Roman"/>
                <w:bCs/>
                <w:color w:val="auto"/>
                <w:kern w:val="2"/>
                <w:sz w:val="24"/>
                <w:szCs w:val="24"/>
                <w:highlight w:val="none"/>
                <w:lang w:val="en-US" w:eastAsia="zh-CN" w:bidi="ar-SA"/>
              </w:rPr>
              <w:t>的材质，废水池按时检修且做好防渗措施</w:t>
            </w:r>
            <w:r>
              <w:rPr>
                <w:rFonts w:hint="default" w:ascii="Times New Roman" w:hAnsi="Times New Roman" w:eastAsia="宋体" w:cs="Times New Roman"/>
                <w:bCs/>
                <w:color w:val="auto"/>
                <w:kern w:val="2"/>
                <w:sz w:val="24"/>
                <w:szCs w:val="24"/>
                <w:highlight w:val="none"/>
                <w:lang w:val="en-US" w:eastAsia="zh-CN" w:bidi="ar-SA"/>
              </w:rPr>
              <w:t>，降低了事故发生的概率；</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②</w:t>
            </w:r>
            <w:r>
              <w:rPr>
                <w:rFonts w:hint="default" w:ascii="Times New Roman" w:hAnsi="Times New Roman" w:eastAsia="宋体" w:cs="Times New Roman"/>
                <w:bCs/>
                <w:color w:val="auto"/>
                <w:kern w:val="2"/>
                <w:sz w:val="24"/>
                <w:szCs w:val="24"/>
                <w:highlight w:val="none"/>
                <w:lang w:val="en-US" w:eastAsia="zh-CN" w:bidi="ar-SA"/>
              </w:rPr>
              <w:t>污水输送管道及污水处理设施已安排专人负责，保证设备的正常运行。</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③</w:t>
            </w:r>
            <w:r>
              <w:rPr>
                <w:rFonts w:hint="default" w:ascii="Times New Roman" w:hAnsi="Times New Roman" w:eastAsia="宋体" w:cs="Times New Roman"/>
                <w:bCs/>
                <w:color w:val="auto"/>
                <w:kern w:val="2"/>
                <w:sz w:val="24"/>
                <w:szCs w:val="24"/>
                <w:highlight w:val="none"/>
                <w:lang w:val="en-US" w:eastAsia="zh-CN" w:bidi="ar-SA"/>
              </w:rPr>
              <w:t>设置专职环保管理人员，负责全厂的废气</w:t>
            </w:r>
            <w:r>
              <w:rPr>
                <w:rFonts w:hint="eastAsia" w:ascii="Times New Roman" w:hAnsi="Times New Roman" w:eastAsia="宋体" w:cs="Times New Roman"/>
                <w:bCs/>
                <w:color w:val="auto"/>
                <w:kern w:val="2"/>
                <w:sz w:val="24"/>
                <w:szCs w:val="24"/>
                <w:highlight w:val="none"/>
                <w:lang w:val="en-US" w:eastAsia="zh-CN" w:bidi="ar-SA"/>
              </w:rPr>
              <w:t>、废水</w:t>
            </w:r>
            <w:r>
              <w:rPr>
                <w:rFonts w:hint="default" w:ascii="Times New Roman" w:hAnsi="Times New Roman" w:eastAsia="宋体" w:cs="Times New Roman"/>
                <w:bCs/>
                <w:color w:val="auto"/>
                <w:kern w:val="2"/>
                <w:sz w:val="24"/>
                <w:szCs w:val="24"/>
                <w:highlight w:val="none"/>
                <w:lang w:val="en-US" w:eastAsia="zh-CN" w:bidi="ar-SA"/>
              </w:rPr>
              <w:t>环保管理工作，建立健全环境保护管理制度，应确保环保设施的正常运转。</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bCs/>
                <w:color w:val="auto"/>
                <w:kern w:val="2"/>
                <w:sz w:val="24"/>
                <w:szCs w:val="24"/>
                <w:highlight w:val="none"/>
                <w:lang w:val="en-US" w:eastAsia="zh-CN" w:bidi="ar-SA"/>
              </w:rPr>
              <w:t>④</w:t>
            </w:r>
            <w:r>
              <w:rPr>
                <w:rFonts w:hint="default" w:ascii="Times New Roman" w:hAnsi="Times New Roman" w:eastAsia="宋体" w:cs="Times New Roman"/>
                <w:bCs/>
                <w:color w:val="auto"/>
                <w:kern w:val="2"/>
                <w:sz w:val="24"/>
                <w:szCs w:val="24"/>
                <w:highlight w:val="none"/>
                <w:lang w:val="en-US" w:eastAsia="zh-CN" w:bidi="ar-SA"/>
              </w:rPr>
              <w:t>健全各项规章制度，制定各种操作规程。定期对设备及其附件进行检查、维护和保养。</w:t>
            </w:r>
          </w:p>
          <w:p>
            <w:pPr>
              <w:pStyle w:val="84"/>
              <w:keepNext w:val="0"/>
              <w:keepLines w:val="0"/>
              <w:pageBreakBefore w:val="0"/>
              <w:widowControl w:val="0"/>
              <w:kinsoku/>
              <w:wordWrap/>
              <w:overflowPunct/>
              <w:topLinePunct w:val="0"/>
              <w:autoSpaceDE/>
              <w:autoSpaceDN/>
              <w:bidi w:val="0"/>
              <w:adjustRightInd/>
              <w:spacing w:beforeLines="0" w:afterLines="0" w:line="360" w:lineRule="auto"/>
              <w:ind w:left="0" w:leftChars="0" w:right="0"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（2）应急要求</w:t>
            </w:r>
          </w:p>
          <w:p>
            <w:pPr>
              <w:spacing w:line="360" w:lineRule="auto"/>
              <w:ind w:firstLine="468" w:firstLineChars="200"/>
              <w:rPr>
                <w:rFonts w:hint="default" w:cs="Times New Roman"/>
                <w:b/>
                <w:bCs/>
                <w:color w:val="auto"/>
                <w:sz w:val="24"/>
                <w:szCs w:val="24"/>
                <w:highlight w:val="none"/>
                <w:lang w:val="en-US" w:eastAsia="zh-CN"/>
              </w:rPr>
            </w:pPr>
            <w:r>
              <w:rPr>
                <w:rFonts w:hint="default" w:ascii="Times New Roman" w:hAnsi="Times New Roman" w:eastAsia="宋体" w:cs="Times New Roman"/>
                <w:color w:val="auto"/>
                <w:spacing w:val="-3"/>
                <w:sz w:val="24"/>
                <w:highlight w:val="none"/>
              </w:rPr>
              <w:t>企业</w:t>
            </w:r>
            <w:r>
              <w:rPr>
                <w:color w:val="auto"/>
                <w:sz w:val="24"/>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z w:val="24"/>
                <w:szCs w:val="24"/>
                <w:highlight w:val="none"/>
                <w:lang w:eastAsia="zh-CN"/>
              </w:rPr>
            </w:pPr>
            <w:r>
              <w:rPr>
                <w:rFonts w:hint="eastAsia"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eastAsia="zh-CN"/>
              </w:rPr>
              <w:t>结论</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480" w:firstLineChars="200"/>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综上分析，通过采用严格的防火设计标准、加强原辅料储存管理、严格按有关规章制度进行生产操作等措施后，火灾发生的可能性很小。制定风险应急预案，一旦发生事故将可迅速响应，采取措施将影响降到最小。项目环境风险在可接受范围内，且采取措施后风险可控。</w:t>
            </w:r>
          </w:p>
          <w:p>
            <w:pPr>
              <w:keepNext w:val="0"/>
              <w:keepLines w:val="0"/>
              <w:pageBreakBefore w:val="0"/>
              <w:widowControl w:val="0"/>
              <w:kinsoku/>
              <w:wordWrap/>
              <w:overflowPunct/>
              <w:topLinePunct w:val="0"/>
              <w:bidi w:val="0"/>
              <w:adjustRightInd w:val="0"/>
              <w:snapToGrid w:val="0"/>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综上所述，本项目风险处于完全可接受的水平，其风险管理措施有效、可靠，从防范风险角度分析是可行的</w:t>
            </w:r>
            <w:r>
              <w:rPr>
                <w:rFonts w:hint="default" w:ascii="Times New Roman" w:hAnsi="Times New Roman" w:eastAsia="宋体" w:cs="Times New Roman"/>
                <w:color w:val="auto"/>
                <w:sz w:val="24"/>
                <w:szCs w:val="24"/>
                <w:highlight w:val="none"/>
              </w:rPr>
              <w:t>。</w:t>
            </w:r>
          </w:p>
          <w:p>
            <w:pPr>
              <w:pStyle w:val="74"/>
              <w:snapToGrid w:val="0"/>
              <w:spacing w:line="360" w:lineRule="auto"/>
              <w:rPr>
                <w:rFonts w:hint="eastAsia" w:ascii="Times New Roman" w:hAnsi="Times New Roman"/>
                <w:b/>
                <w:bCs/>
                <w:color w:val="auto"/>
                <w:sz w:val="24"/>
              </w:rPr>
            </w:pPr>
            <w:r>
              <w:rPr>
                <w:rFonts w:hint="eastAsia" w:ascii="Times New Roman" w:hAnsi="Times New Roman"/>
                <w:b/>
                <w:bCs/>
                <w:color w:val="auto"/>
                <w:szCs w:val="21"/>
              </w:rPr>
              <w:t>表4-</w:t>
            </w:r>
            <w:r>
              <w:rPr>
                <w:rFonts w:hint="eastAsia" w:ascii="Times New Roman" w:hAnsi="Times New Roman"/>
                <w:b/>
                <w:bCs/>
                <w:color w:val="auto"/>
                <w:szCs w:val="21"/>
                <w:lang w:val="en-US" w:eastAsia="zh-CN"/>
              </w:rPr>
              <w:t>32</w:t>
            </w:r>
            <w:r>
              <w:rPr>
                <w:rFonts w:hint="eastAsia" w:ascii="Times New Roman" w:hAnsi="Times New Roman"/>
                <w:b/>
                <w:bCs/>
                <w:color w:val="auto"/>
                <w:szCs w:val="21"/>
              </w:rPr>
              <w:t xml:space="preserve">  建设项目环境风险简单分析内容表</w:t>
            </w:r>
          </w:p>
          <w:tbl>
            <w:tblPr>
              <w:tblStyle w:val="27"/>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7" w:type="dxa"/>
                <w:bottom w:w="0" w:type="dxa"/>
                <w:right w:w="17" w:type="dxa"/>
              </w:tblCellMar>
            </w:tblPr>
            <w:tblGrid>
              <w:gridCol w:w="1361"/>
              <w:gridCol w:w="6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top w:val="single" w:color="auto" w:sz="4" w:space="0"/>
                    <w:left w:val="single" w:color="auto" w:sz="0"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建设项目名称</w:t>
                  </w:r>
                </w:p>
              </w:tc>
              <w:tc>
                <w:tcPr>
                  <w:tcW w:w="6945" w:type="dxa"/>
                  <w:tcBorders>
                    <w:top w:val="single" w:color="auto" w:sz="4" w:space="0"/>
                    <w:right w:val="single" w:color="auto" w:sz="4" w:space="0"/>
                  </w:tcBorders>
                  <w:noWrap w:val="0"/>
                  <w:vAlign w:val="center"/>
                </w:tcPr>
                <w:p>
                  <w:pPr>
                    <w:pStyle w:val="74"/>
                    <w:snapToGrid w:val="0"/>
                    <w:rPr>
                      <w:rFonts w:hint="eastAsia" w:ascii="Times New Roman" w:hAnsi="Times New Roman" w:eastAsia="宋体"/>
                      <w:color w:val="auto"/>
                      <w:szCs w:val="21"/>
                      <w:lang w:val="en-US" w:eastAsia="zh-CN"/>
                    </w:rPr>
                  </w:pPr>
                  <w:r>
                    <w:rPr>
                      <w:rFonts w:hint="default" w:ascii="Times New Roman" w:hAnsi="Times New Roman" w:eastAsia="宋体"/>
                      <w:color w:val="auto"/>
                      <w:szCs w:val="21"/>
                      <w:lang w:val="en-US" w:eastAsia="zh-CN"/>
                    </w:rPr>
                    <w:t>云南广兴塑料泡沫有限责任公司塑料制品生产线建设项目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建设地点</w:t>
                  </w:r>
                </w:p>
              </w:tc>
              <w:tc>
                <w:tcPr>
                  <w:tcW w:w="6945" w:type="dxa"/>
                  <w:tcBorders>
                    <w:right w:val="single" w:color="auto" w:sz="4" w:space="0"/>
                  </w:tcBorders>
                  <w:noWrap w:val="0"/>
                  <w:vAlign w:val="center"/>
                </w:tcPr>
                <w:p>
                  <w:pPr>
                    <w:pStyle w:val="74"/>
                    <w:snapToGrid w:val="0"/>
                    <w:rPr>
                      <w:rFonts w:hint="eastAsia" w:ascii="Times New Roman" w:hAnsi="Times New Roman" w:eastAsia="宋体"/>
                      <w:color w:val="auto"/>
                      <w:szCs w:val="21"/>
                    </w:rPr>
                  </w:pPr>
                  <w:r>
                    <w:rPr>
                      <w:rFonts w:hint="default" w:ascii="Times New Roman" w:hAnsi="Times New Roman"/>
                      <w:color w:val="auto"/>
                      <w:szCs w:val="21"/>
                      <w:lang w:val="en-US" w:eastAsia="zh-CN"/>
                    </w:rPr>
                    <w:t>云南省昆明市</w:t>
                  </w:r>
                  <w:r>
                    <w:rPr>
                      <w:rFonts w:hint="eastAsia" w:ascii="Times New Roman" w:hAnsi="Times New Roman"/>
                      <w:color w:val="auto"/>
                      <w:szCs w:val="21"/>
                      <w:lang w:val="zh-CN" w:eastAsia="zh-CN"/>
                    </w:rPr>
                    <w:t>寻甸特色产业园区羊街林业产业园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主要危险物质及分布</w:t>
                  </w:r>
                </w:p>
              </w:tc>
              <w:tc>
                <w:tcPr>
                  <w:tcW w:w="6945" w:type="dxa"/>
                  <w:tcBorders>
                    <w:right w:val="single" w:color="auto" w:sz="4" w:space="0"/>
                  </w:tcBorders>
                  <w:noWrap w:val="0"/>
                  <w:vAlign w:val="center"/>
                </w:tcPr>
                <w:p>
                  <w:pPr>
                    <w:pStyle w:val="74"/>
                    <w:snapToGrid w:val="0"/>
                    <w:rPr>
                      <w:rFonts w:hint="eastAsia" w:ascii="Times New Roman" w:hAnsi="Times New Roman"/>
                      <w:color w:val="auto"/>
                      <w:szCs w:val="21"/>
                    </w:rPr>
                  </w:pPr>
                  <w:r>
                    <w:rPr>
                      <w:rFonts w:hint="eastAsia" w:ascii="Times New Roman" w:hAnsi="Times New Roman"/>
                      <w:color w:val="auto"/>
                      <w:szCs w:val="21"/>
                    </w:rPr>
                    <w:t>废机油，危废暂存间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环境影响途径及危害后果（大气、地表水、地下水等）</w:t>
                  </w:r>
                </w:p>
              </w:tc>
              <w:tc>
                <w:tcPr>
                  <w:tcW w:w="69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①地表水、地下水、土壤环境风险分析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项目对地表水、地下水、土壤环境的风险影响主要是废机油储存及</w:t>
                  </w:r>
                  <w:r>
                    <w:rPr>
                      <w:rFonts w:hint="eastAsia" w:cs="Times New Roman"/>
                      <w:color w:val="auto"/>
                      <w:kern w:val="24"/>
                      <w:sz w:val="21"/>
                      <w:szCs w:val="21"/>
                      <w:lang w:val="en-US" w:eastAsia="zh-CN" w:bidi="ar-SA"/>
                    </w:rPr>
                    <w:t>原辅料、污水、产品</w:t>
                  </w:r>
                  <w:r>
                    <w:rPr>
                      <w:rFonts w:hint="eastAsia" w:ascii="Times New Roman" w:hAnsi="Times New Roman" w:eastAsia="宋体" w:cs="Times New Roman"/>
                      <w:color w:val="auto"/>
                      <w:kern w:val="24"/>
                      <w:sz w:val="21"/>
                      <w:szCs w:val="21"/>
                      <w:lang w:val="en-US" w:eastAsia="zh-CN" w:bidi="ar-SA"/>
                    </w:rPr>
                    <w:t>火灾爆炸产生的次生污染物。当发生泄露后，会通过项目区地表入渗，随着时间的推移，造成区域土壤和地下水的污染。</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②大气环境风险分析</w:t>
                  </w:r>
                </w:p>
                <w:p>
                  <w:pPr>
                    <w:pStyle w:val="74"/>
                    <w:keepNext w:val="0"/>
                    <w:keepLines w:val="0"/>
                    <w:pageBreakBefore w:val="0"/>
                    <w:widowControl w:val="0"/>
                    <w:kinsoku/>
                    <w:wordWrap/>
                    <w:overflowPunct/>
                    <w:topLinePunct w:val="0"/>
                    <w:bidi w:val="0"/>
                    <w:adjustRightInd w:val="0"/>
                    <w:snapToGrid w:val="0"/>
                    <w:spacing w:line="240" w:lineRule="auto"/>
                    <w:rPr>
                      <w:rFonts w:hint="eastAsia" w:ascii="Times New Roman" w:hAnsi="Times New Roman"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 xml:space="preserve">   项目对大气环境的风险影响主要是火灾爆炸产生的次生污染物</w:t>
                  </w:r>
                  <w:r>
                    <w:rPr>
                      <w:rFonts w:hint="eastAsia" w:ascii="Times New Roman" w:hAnsi="Times New Roman" w:cs="Times New Roman"/>
                      <w:color w:val="auto"/>
                      <w:kern w:val="24"/>
                      <w:sz w:val="21"/>
                      <w:szCs w:val="21"/>
                      <w:lang w:val="en-US" w:eastAsia="zh-CN" w:bidi="ar-SA"/>
                    </w:rPr>
                    <w:t>、废气处</w:t>
                  </w:r>
                </w:p>
                <w:p>
                  <w:pPr>
                    <w:pStyle w:val="74"/>
                    <w:keepNext w:val="0"/>
                    <w:keepLines w:val="0"/>
                    <w:pageBreakBefore w:val="0"/>
                    <w:widowControl w:val="0"/>
                    <w:kinsoku/>
                    <w:wordWrap/>
                    <w:overflowPunct/>
                    <w:topLinePunct w:val="0"/>
                    <w:bidi w:val="0"/>
                    <w:adjustRightInd w:val="0"/>
                    <w:snapToGrid w:val="0"/>
                    <w:spacing w:line="240" w:lineRule="auto"/>
                    <w:jc w:val="both"/>
                    <w:rPr>
                      <w:rFonts w:ascii="Times New Roman" w:hAnsi="Times New Roman"/>
                      <w:color w:val="auto"/>
                      <w:szCs w:val="21"/>
                    </w:rPr>
                  </w:pPr>
                  <w:r>
                    <w:rPr>
                      <w:rFonts w:hint="eastAsia" w:ascii="Times New Roman" w:hAnsi="Times New Roman" w:cs="Times New Roman"/>
                      <w:color w:val="auto"/>
                      <w:kern w:val="24"/>
                      <w:sz w:val="21"/>
                      <w:szCs w:val="21"/>
                      <w:lang w:val="en-US" w:eastAsia="zh-CN" w:bidi="ar-SA"/>
                    </w:rPr>
                    <w:t>理设施故障排放</w:t>
                  </w:r>
                  <w:r>
                    <w:rPr>
                      <w:rFonts w:hint="eastAsia" w:ascii="Times New Roman" w:hAnsi="Times New Roman" w:eastAsia="宋体" w:cs="Times New Roman"/>
                      <w:color w:val="auto"/>
                      <w:kern w:val="24"/>
                      <w:sz w:val="21"/>
                      <w:szCs w:val="21"/>
                      <w:lang w:val="en-US" w:eastAsia="zh-CN" w:bidi="ar-SA"/>
                    </w:rPr>
                    <w:t>。次生污染物</w:t>
                  </w:r>
                  <w:r>
                    <w:rPr>
                      <w:rFonts w:hint="eastAsia" w:ascii="Times New Roman" w:hAnsi="Times New Roman" w:cs="Times New Roman"/>
                      <w:color w:val="auto"/>
                      <w:kern w:val="24"/>
                      <w:sz w:val="21"/>
                      <w:szCs w:val="21"/>
                      <w:lang w:val="en-US" w:eastAsia="zh-CN" w:bidi="ar-SA"/>
                    </w:rPr>
                    <w:t>、废气</w:t>
                  </w:r>
                  <w:r>
                    <w:rPr>
                      <w:rFonts w:hint="eastAsia" w:ascii="Times New Roman" w:hAnsi="Times New Roman" w:eastAsia="宋体" w:cs="Times New Roman"/>
                      <w:color w:val="auto"/>
                      <w:kern w:val="24"/>
                      <w:sz w:val="21"/>
                      <w:szCs w:val="21"/>
                      <w:lang w:val="en-US" w:eastAsia="zh-CN" w:bidi="ar-SA"/>
                    </w:rPr>
                    <w:t>通过空气扩散至大气环境中污染大气环境。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jc w:val="center"/>
              </w:trPr>
              <w:tc>
                <w:tcPr>
                  <w:tcW w:w="1361" w:type="dxa"/>
                  <w:tcBorders>
                    <w:left w:val="single" w:color="auto" w:sz="4" w:space="0"/>
                  </w:tcBorders>
                  <w:noWrap w:val="0"/>
                  <w:vAlign w:val="center"/>
                </w:tcPr>
                <w:p>
                  <w:pPr>
                    <w:pStyle w:val="74"/>
                    <w:snapToGrid w:val="0"/>
                    <w:rPr>
                      <w:rFonts w:ascii="Times New Roman" w:hAnsi="Times New Roman"/>
                      <w:color w:val="auto"/>
                      <w:szCs w:val="21"/>
                    </w:rPr>
                  </w:pPr>
                  <w:r>
                    <w:rPr>
                      <w:rFonts w:hint="eastAsia" w:ascii="Times New Roman" w:hAnsi="Times New Roman"/>
                      <w:color w:val="auto"/>
                      <w:szCs w:val="21"/>
                    </w:rPr>
                    <w:t>风险防范措施要求</w:t>
                  </w:r>
                </w:p>
              </w:tc>
              <w:tc>
                <w:tcPr>
                  <w:tcW w:w="6945" w:type="dxa"/>
                  <w:tcBorders>
                    <w:right w:val="single" w:color="auto" w:sz="4" w:space="0"/>
                  </w:tcBorders>
                  <w:noWrap w:val="0"/>
                  <w:vAlign w:val="center"/>
                </w:tcPr>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（1）风险防范措施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1）火灾爆炸风险防范措施：</w:t>
                  </w:r>
                </w:p>
                <w:p>
                  <w:pPr>
                    <w:pStyle w:val="84"/>
                    <w:keepNext w:val="0"/>
                    <w:keepLines w:val="0"/>
                    <w:pageBreakBefore w:val="0"/>
                    <w:widowControl w:val="0"/>
                    <w:numPr>
                      <w:ilvl w:val="0"/>
                      <w:numId w:val="0"/>
                    </w:numPr>
                    <w:tabs>
                      <w:tab w:val="left" w:pos="949"/>
                    </w:tabs>
                    <w:kinsoku/>
                    <w:wordWrap/>
                    <w:overflowPunct/>
                    <w:topLinePunct w:val="0"/>
                    <w:autoSpaceDE/>
                    <w:autoSpaceDN/>
                    <w:bidi w:val="0"/>
                    <w:adjustRightInd w:val="0"/>
                    <w:snapToGrid w:val="0"/>
                    <w:spacing w:beforeLines="0" w:afterLines="0" w:line="240" w:lineRule="auto"/>
                    <w:ind w:leftChars="0" w:right="0" w:righ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①生产车间按规范配置灭火器材和消防装备；</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②在生产区域明显位置张贴禁用明火的告示，加强油类物质存放区域的巡查。</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③工作人员要熟练掌握操作技术和防火安全管理规定；</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④定期检查材料存储的安全状态，以防止泄漏引发火灾、爆炸。</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⑤</w:t>
                  </w:r>
                  <w:r>
                    <w:rPr>
                      <w:rFonts w:hint="default" w:ascii="Times New Roman" w:hAnsi="Times New Roman" w:eastAsia="宋体" w:cs="Times New Roman"/>
                      <w:color w:val="auto"/>
                      <w:kern w:val="24"/>
                      <w:sz w:val="21"/>
                      <w:szCs w:val="21"/>
                      <w:lang w:val="en-US" w:eastAsia="zh-CN" w:bidi="ar-SA"/>
                    </w:rPr>
                    <w:t>塑料原料、产品贮存区设置明确禁止烟火标识。</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⑥</w:t>
                  </w:r>
                  <w:r>
                    <w:rPr>
                      <w:rFonts w:hint="default" w:ascii="Times New Roman" w:hAnsi="Times New Roman" w:eastAsia="宋体" w:cs="Times New Roman"/>
                      <w:color w:val="auto"/>
                      <w:kern w:val="24"/>
                      <w:sz w:val="21"/>
                      <w:szCs w:val="21"/>
                      <w:lang w:val="en-US" w:eastAsia="zh-CN" w:bidi="ar-SA"/>
                    </w:rPr>
                    <w:t>严格控制原料、产品在场内的贮存量。</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2）危险物质泄漏防范措施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①仓库应做好防渗防腐处理，危废暂存间进行重点防渗；</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②生产车间应做好周边防护措施，如设置一定高度围堰，防范危险物质泄漏蔓延到周边区域；</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③定期检查危险物质存储的安全状态，检查其包装有无破损，以防止泄漏。</w:t>
                  </w:r>
                </w:p>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④</w:t>
                  </w:r>
                  <w:r>
                    <w:rPr>
                      <w:rFonts w:hint="default" w:ascii="Times New Roman" w:hAnsi="Times New Roman" w:eastAsia="宋体" w:cs="Times New Roman"/>
                      <w:color w:val="auto"/>
                      <w:kern w:val="24"/>
                      <w:sz w:val="21"/>
                      <w:szCs w:val="21"/>
                      <w:lang w:val="zh-CN" w:eastAsia="zh-CN" w:bidi="ar-SA"/>
                    </w:rPr>
                    <w:t>建立健全安全、环境管理体系及高效的安全生产机构，一旦发生事故，要做到快速、高效、安全处置。</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3）废气、废水处理设施故障风险</w:t>
                  </w:r>
                  <w:r>
                    <w:rPr>
                      <w:rFonts w:hint="default" w:ascii="Times New Roman" w:hAnsi="Times New Roman" w:eastAsia="宋体" w:cs="Times New Roman"/>
                      <w:color w:val="auto"/>
                      <w:kern w:val="24"/>
                      <w:sz w:val="21"/>
                      <w:szCs w:val="21"/>
                      <w:lang w:val="en-US" w:eastAsia="zh-CN" w:bidi="ar-SA"/>
                    </w:rPr>
                    <w:t>防范措施</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①</w:t>
                  </w:r>
                  <w:r>
                    <w:rPr>
                      <w:rFonts w:hint="default" w:ascii="Times New Roman" w:hAnsi="Times New Roman" w:eastAsia="宋体" w:cs="Times New Roman"/>
                      <w:color w:val="auto"/>
                      <w:kern w:val="24"/>
                      <w:sz w:val="21"/>
                      <w:szCs w:val="21"/>
                      <w:lang w:val="en-US" w:eastAsia="zh-CN" w:bidi="ar-SA"/>
                    </w:rPr>
                    <w:t>污水输送管道采用不易腐蚀、不易受损</w:t>
                  </w:r>
                  <w:r>
                    <w:rPr>
                      <w:rFonts w:hint="eastAsia" w:ascii="Times New Roman" w:hAnsi="Times New Roman" w:eastAsia="宋体" w:cs="Times New Roman"/>
                      <w:color w:val="auto"/>
                      <w:kern w:val="24"/>
                      <w:sz w:val="21"/>
                      <w:szCs w:val="21"/>
                      <w:lang w:val="en-US" w:eastAsia="zh-CN" w:bidi="ar-SA"/>
                    </w:rPr>
                    <w:t>的材质，废水池按时检修且做好防渗措施</w:t>
                  </w:r>
                  <w:r>
                    <w:rPr>
                      <w:rFonts w:hint="default" w:ascii="Times New Roman" w:hAnsi="Times New Roman" w:eastAsia="宋体" w:cs="Times New Roman"/>
                      <w:color w:val="auto"/>
                      <w:kern w:val="24"/>
                      <w:sz w:val="21"/>
                      <w:szCs w:val="21"/>
                      <w:lang w:val="en-US" w:eastAsia="zh-CN" w:bidi="ar-SA"/>
                    </w:rPr>
                    <w:t>，降低了事故发生的概率；</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②</w:t>
                  </w:r>
                  <w:r>
                    <w:rPr>
                      <w:rFonts w:hint="default" w:ascii="Times New Roman" w:hAnsi="Times New Roman" w:eastAsia="宋体" w:cs="Times New Roman"/>
                      <w:color w:val="auto"/>
                      <w:kern w:val="24"/>
                      <w:sz w:val="21"/>
                      <w:szCs w:val="21"/>
                      <w:lang w:val="en-US" w:eastAsia="zh-CN" w:bidi="ar-SA"/>
                    </w:rPr>
                    <w:t>污水输送管道及污水处理设施已安排专人负责，保证设备的正常运行。</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③</w:t>
                  </w:r>
                  <w:r>
                    <w:rPr>
                      <w:rFonts w:hint="default" w:ascii="Times New Roman" w:hAnsi="Times New Roman" w:eastAsia="宋体" w:cs="Times New Roman"/>
                      <w:color w:val="auto"/>
                      <w:kern w:val="24"/>
                      <w:sz w:val="21"/>
                      <w:szCs w:val="21"/>
                      <w:lang w:val="en-US" w:eastAsia="zh-CN" w:bidi="ar-SA"/>
                    </w:rPr>
                    <w:t>设置专职环保管理人员，负责全厂的废气</w:t>
                  </w:r>
                  <w:r>
                    <w:rPr>
                      <w:rFonts w:hint="eastAsia" w:ascii="Times New Roman" w:hAnsi="Times New Roman" w:eastAsia="宋体" w:cs="Times New Roman"/>
                      <w:color w:val="auto"/>
                      <w:kern w:val="24"/>
                      <w:sz w:val="21"/>
                      <w:szCs w:val="21"/>
                      <w:lang w:val="en-US" w:eastAsia="zh-CN" w:bidi="ar-SA"/>
                    </w:rPr>
                    <w:t>、废水</w:t>
                  </w:r>
                  <w:r>
                    <w:rPr>
                      <w:rFonts w:hint="default" w:ascii="Times New Roman" w:hAnsi="Times New Roman" w:eastAsia="宋体" w:cs="Times New Roman"/>
                      <w:color w:val="auto"/>
                      <w:kern w:val="24"/>
                      <w:sz w:val="21"/>
                      <w:szCs w:val="21"/>
                      <w:lang w:val="en-US" w:eastAsia="zh-CN" w:bidi="ar-SA"/>
                    </w:rPr>
                    <w:t>环保管理工作，建立健全环境保护管理制度，应确保环保设施的正常运转。</w:t>
                  </w:r>
                </w:p>
                <w:p>
                  <w:pPr>
                    <w:keepNext w:val="0"/>
                    <w:keepLines w:val="0"/>
                    <w:pageBreakBefore w:val="0"/>
                    <w:widowControl w:val="0"/>
                    <w:kinsoku/>
                    <w:wordWrap/>
                    <w:overflowPunct/>
                    <w:topLinePunct w:val="0"/>
                    <w:autoSpaceDE/>
                    <w:autoSpaceDN/>
                    <w:bidi w:val="0"/>
                    <w:adjustRightInd w:val="0"/>
                    <w:snapToGrid w:val="0"/>
                    <w:spacing w:line="240" w:lineRule="auto"/>
                    <w:ind w:leftChars="0" w:firstLine="420" w:firstLineChars="200"/>
                    <w:jc w:val="left"/>
                    <w:textAlignment w:val="auto"/>
                    <w:rPr>
                      <w:rFonts w:hint="default" w:ascii="Times New Roman" w:hAnsi="Times New Roman" w:eastAsia="宋体" w:cs="Times New Roman"/>
                      <w:color w:val="auto"/>
                      <w:kern w:val="24"/>
                      <w:sz w:val="21"/>
                      <w:szCs w:val="21"/>
                      <w:lang w:val="en-US" w:eastAsia="zh-CN" w:bidi="ar-SA"/>
                    </w:rPr>
                  </w:pPr>
                  <w:r>
                    <w:rPr>
                      <w:rFonts w:hint="eastAsia" w:ascii="Times New Roman" w:hAnsi="Times New Roman" w:eastAsia="宋体" w:cs="Times New Roman"/>
                      <w:color w:val="auto"/>
                      <w:kern w:val="24"/>
                      <w:sz w:val="21"/>
                      <w:szCs w:val="21"/>
                      <w:lang w:val="en-US" w:eastAsia="zh-CN" w:bidi="ar-SA"/>
                    </w:rPr>
                    <w:t>④</w:t>
                  </w:r>
                  <w:r>
                    <w:rPr>
                      <w:rFonts w:hint="default" w:ascii="Times New Roman" w:hAnsi="Times New Roman" w:eastAsia="宋体" w:cs="Times New Roman"/>
                      <w:color w:val="auto"/>
                      <w:kern w:val="24"/>
                      <w:sz w:val="21"/>
                      <w:szCs w:val="21"/>
                      <w:lang w:val="en-US" w:eastAsia="zh-CN" w:bidi="ar-SA"/>
                    </w:rPr>
                    <w:t>健全各项规章制度，制定各种操作规程。定期对设备及其附件进行检查、维护和保养。</w:t>
                  </w:r>
                </w:p>
                <w:p>
                  <w:pPr>
                    <w:pStyle w:val="84"/>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firstLine="420" w:firstLineChars="200"/>
                    <w:textAlignment w:val="auto"/>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（2）应急要求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color w:val="auto"/>
                      <w:szCs w:val="21"/>
                    </w:rPr>
                  </w:pPr>
                  <w:r>
                    <w:rPr>
                      <w:rFonts w:hint="default" w:ascii="Times New Roman" w:hAnsi="Times New Roman" w:eastAsia="宋体" w:cs="Times New Roman"/>
                      <w:color w:val="auto"/>
                      <w:kern w:val="24"/>
                      <w:sz w:val="21"/>
                      <w:szCs w:val="21"/>
                      <w:lang w:val="en-US" w:eastAsia="zh-CN" w:bidi="ar-SA"/>
                    </w:rPr>
                    <w:t>企业</w:t>
                  </w:r>
                  <w:r>
                    <w:rPr>
                      <w:rFonts w:hint="eastAsia" w:ascii="Times New Roman" w:hAnsi="Times New Roman" w:eastAsia="宋体" w:cs="Times New Roman"/>
                      <w:color w:val="auto"/>
                      <w:kern w:val="24"/>
                      <w:sz w:val="21"/>
                      <w:szCs w:val="21"/>
                      <w:lang w:val="en-US" w:eastAsia="zh-CN" w:bidi="ar-SA"/>
                    </w:rPr>
                    <w:t>应按照《突发环境事件应急预案管理暂行办法(环发[2010]113 号)》和《企业事业单位突发环境事件应急预案备案管理办法（试行）》（环发[2015]4 号）的相关要求编制应急预案，单位主要负责人应当按照本单位制定的应急预案，立即组织救援，并立即报告当地管理部门。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7" w:type="dxa"/>
                  <w:bottom w:w="0" w:type="dxa"/>
                  <w:right w:w="17" w:type="dxa"/>
                </w:tblCellMar>
              </w:tblPrEx>
              <w:trPr>
                <w:trHeight w:val="90" w:hRule="atLeast"/>
                <w:jc w:val="center"/>
              </w:trPr>
              <w:tc>
                <w:tcPr>
                  <w:tcW w:w="8306" w:type="dxa"/>
                  <w:gridSpan w:val="2"/>
                  <w:tcBorders>
                    <w:left w:val="single" w:color="auto" w:sz="4" w:space="0"/>
                    <w:bottom w:val="single" w:color="auto" w:sz="4" w:space="0"/>
                    <w:right w:val="single" w:color="auto" w:sz="4" w:space="0"/>
                  </w:tcBorders>
                  <w:noWrap w:val="0"/>
                  <w:vAlign w:val="center"/>
                </w:tcPr>
                <w:p>
                  <w:pPr>
                    <w:pStyle w:val="74"/>
                    <w:snapToGrid w:val="0"/>
                    <w:jc w:val="both"/>
                    <w:rPr>
                      <w:rFonts w:hint="eastAsia" w:ascii="Times New Roman" w:hAnsi="Times New Roman"/>
                      <w:color w:val="auto"/>
                      <w:szCs w:val="21"/>
                    </w:rPr>
                  </w:pPr>
                  <w:r>
                    <w:rPr>
                      <w:rFonts w:hint="eastAsia" w:ascii="Times New Roman" w:hAnsi="Times New Roman"/>
                      <w:color w:val="auto"/>
                      <w:szCs w:val="21"/>
                    </w:rPr>
                    <w:t>填表说明（列出项目相关信息及评价说明）：</w:t>
                  </w:r>
                </w:p>
                <w:p>
                  <w:pPr>
                    <w:pStyle w:val="74"/>
                    <w:snapToGrid w:val="0"/>
                    <w:jc w:val="both"/>
                    <w:rPr>
                      <w:rFonts w:hint="eastAsia" w:ascii="Times New Roman" w:hAnsi="Times New Roman" w:eastAsia="宋体"/>
                      <w:color w:val="auto"/>
                      <w:szCs w:val="21"/>
                      <w:lang w:val="en-US" w:eastAsia="zh-CN"/>
                    </w:rPr>
                  </w:pPr>
                  <w:r>
                    <w:rPr>
                      <w:rFonts w:hint="eastAsia" w:ascii="Times New Roman" w:hAnsi="Times New Roman"/>
                      <w:color w:val="auto"/>
                      <w:szCs w:val="21"/>
                      <w:lang w:val="en-US" w:eastAsia="zh-CN"/>
                    </w:rPr>
                    <w:t>/</w:t>
                  </w:r>
                </w:p>
              </w:tc>
            </w:tr>
          </w:tbl>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eastAsia" w:cs="Times New Roman"/>
                <w:bCs/>
                <w:color w:val="auto"/>
                <w:spacing w:val="-10"/>
                <w:sz w:val="24"/>
                <w:szCs w:val="24"/>
                <w:highlight w:val="none"/>
                <w:lang w:val="en-US" w:eastAsia="zh-CN"/>
              </w:rPr>
            </w:pPr>
          </w:p>
          <w:p>
            <w:pPr>
              <w:adjustRightInd w:val="0"/>
              <w:snapToGrid w:val="0"/>
              <w:spacing w:line="360" w:lineRule="auto"/>
              <w:rPr>
                <w:rFonts w:hint="default" w:ascii="Times New Roman" w:hAnsi="Times New Roman" w:eastAsia="宋体" w:cs="Times New Roman"/>
                <w:bCs/>
                <w:color w:val="auto"/>
                <w:spacing w:val="-10"/>
                <w:sz w:val="24"/>
                <w:szCs w:val="24"/>
                <w:highlight w:val="none"/>
                <w:lang w:val="en-US" w:eastAsia="zh-CN"/>
              </w:rPr>
            </w:pPr>
          </w:p>
          <w:p>
            <w:pPr>
              <w:pStyle w:val="2"/>
              <w:rPr>
                <w:rFonts w:hint="default"/>
                <w:color w:val="auto"/>
                <w:lang w:val="en-US" w:eastAsia="zh-CN"/>
              </w:rPr>
            </w:pPr>
          </w:p>
        </w:tc>
      </w:tr>
    </w:tbl>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highlight w:val="none"/>
        </w:rPr>
      </w:pPr>
      <w:bookmarkStart w:id="27" w:name="_Toc6939"/>
      <w:r>
        <w:rPr>
          <w:rFonts w:hint="default" w:ascii="Times New Roman" w:hAnsi="Times New Roman" w:eastAsia="宋体" w:cs="Times New Roman"/>
          <w:b/>
          <w:bCs/>
          <w:snapToGrid w:val="0"/>
          <w:color w:val="auto"/>
          <w:sz w:val="30"/>
          <w:szCs w:val="30"/>
          <w:highlight w:val="none"/>
        </w:rPr>
        <w:t>五、</w:t>
      </w:r>
      <w:bookmarkStart w:id="28" w:name="_Hlk54167917"/>
      <w:r>
        <w:rPr>
          <w:rFonts w:hint="default" w:ascii="Times New Roman" w:hAnsi="Times New Roman" w:eastAsia="宋体" w:cs="Times New Roman"/>
          <w:b/>
          <w:bCs/>
          <w:snapToGrid w:val="0"/>
          <w:color w:val="auto"/>
          <w:sz w:val="30"/>
          <w:szCs w:val="30"/>
          <w:highlight w:val="none"/>
        </w:rPr>
        <w:t>环境保护措施监督检查清单</w:t>
      </w:r>
      <w:bookmarkEnd w:id="24"/>
      <w:bookmarkEnd w:id="27"/>
      <w:bookmarkEnd w:id="28"/>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726"/>
        <w:gridCol w:w="1276"/>
        <w:gridCol w:w="2975"/>
        <w:gridCol w:w="21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内容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要素</w:t>
            </w:r>
          </w:p>
        </w:tc>
        <w:tc>
          <w:tcPr>
            <w:tcW w:w="172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排放口(编号、名称)/污染源</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污染物项目</w:t>
            </w:r>
          </w:p>
        </w:tc>
        <w:tc>
          <w:tcPr>
            <w:tcW w:w="297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环境保护措施</w:t>
            </w:r>
          </w:p>
        </w:tc>
        <w:tc>
          <w:tcPr>
            <w:tcW w:w="2106"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锅炉燃料燃烧废气（DA001）</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颗粒物、SO</w:t>
            </w:r>
            <w:r>
              <w:rPr>
                <w:rFonts w:hint="default" w:ascii="Times New Roman" w:hAnsi="Times New Roman" w:eastAsia="宋体" w:cs="Times New Roman"/>
                <w:color w:val="auto"/>
                <w:sz w:val="21"/>
                <w:szCs w:val="21"/>
                <w:highlight w:val="none"/>
                <w:vertAlign w:val="subscript"/>
                <w:lang w:val="en-US" w:eastAsia="zh-CN"/>
              </w:rPr>
              <w:t>2</w:t>
            </w:r>
            <w:r>
              <w:rPr>
                <w:rFonts w:hint="default" w:ascii="Times New Roman" w:hAnsi="Times New Roman" w:eastAsia="宋体" w:cs="Times New Roman"/>
                <w:color w:val="auto"/>
                <w:sz w:val="21"/>
                <w:szCs w:val="21"/>
                <w:highlight w:val="none"/>
                <w:lang w:val="en-US" w:eastAsia="zh-CN"/>
              </w:rPr>
              <w:t>、NO</w:t>
            </w:r>
            <w:r>
              <w:rPr>
                <w:rFonts w:hint="default" w:ascii="Times New Roman" w:hAnsi="Times New Roman" w:eastAsia="宋体" w:cs="Times New Roman"/>
                <w:color w:val="auto"/>
                <w:sz w:val="21"/>
                <w:szCs w:val="21"/>
                <w:highlight w:val="none"/>
                <w:vertAlign w:val="subscript"/>
                <w:lang w:val="en-US" w:eastAsia="zh-CN"/>
              </w:rPr>
              <w:t>X</w:t>
            </w:r>
            <w:r>
              <w:rPr>
                <w:rFonts w:hint="default" w:ascii="Times New Roman" w:hAnsi="Times New Roman" w:eastAsia="宋体" w:cs="Times New Roman"/>
                <w:color w:val="auto"/>
                <w:sz w:val="21"/>
                <w:szCs w:val="21"/>
                <w:highlight w:val="none"/>
                <w:lang w:val="en-US" w:eastAsia="zh-CN"/>
              </w:rPr>
              <w:t>、烟气黑度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台</w:t>
            </w: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t/h的生物质锅炉</w:t>
            </w:r>
            <w:r>
              <w:rPr>
                <w:rFonts w:hint="eastAsia" w:cs="Times New Roman"/>
                <w:color w:val="auto"/>
                <w:sz w:val="21"/>
                <w:szCs w:val="21"/>
                <w:highlight w:val="none"/>
                <w:lang w:val="en-US" w:eastAsia="zh-CN"/>
              </w:rPr>
              <w:t>（一用一备）</w:t>
            </w:r>
            <w:r>
              <w:rPr>
                <w:rFonts w:hint="default" w:ascii="Times New Roman" w:hAnsi="Times New Roman" w:eastAsia="宋体" w:cs="Times New Roman"/>
                <w:color w:val="auto"/>
                <w:sz w:val="21"/>
                <w:szCs w:val="21"/>
                <w:highlight w:val="none"/>
                <w:lang w:val="en-US" w:eastAsia="zh-CN"/>
              </w:rPr>
              <w:t>废气经</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eastAsia" w:cs="Times New Roman"/>
                <w:color w:val="auto"/>
                <w:sz w:val="21"/>
                <w:szCs w:val="21"/>
                <w:highlight w:val="none"/>
                <w:lang w:val="en-US" w:eastAsia="zh-CN"/>
              </w:rPr>
              <w:t>耐高温布袋除尘器</w:t>
            </w:r>
            <w:r>
              <w:rPr>
                <w:rFonts w:hint="default" w:ascii="Times New Roman" w:hAnsi="Times New Roman" w:eastAsia="宋体" w:cs="Times New Roman"/>
                <w:color w:val="auto"/>
                <w:sz w:val="21"/>
                <w:szCs w:val="21"/>
                <w:highlight w:val="none"/>
                <w:lang w:val="en-US" w:eastAsia="zh-CN"/>
              </w:rPr>
              <w:t>”处理后由1根</w:t>
            </w:r>
            <w:r>
              <w:rPr>
                <w:rFonts w:hint="eastAsia"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m高排气筒（DA001）排放</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风量</w:t>
            </w:r>
            <w:r>
              <w:rPr>
                <w:rFonts w:hint="eastAsia" w:cs="Times New Roman"/>
                <w:color w:val="auto"/>
                <w:sz w:val="21"/>
                <w:szCs w:val="21"/>
                <w:highlight w:val="none"/>
                <w:lang w:val="en-US" w:eastAsia="zh-CN"/>
              </w:rPr>
              <w:t>10831.2430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bCs/>
                <w:color w:val="auto"/>
                <w:sz w:val="21"/>
                <w:szCs w:val="21"/>
                <w:highlight w:val="none"/>
                <w:lang w:eastAsia="zh-CN"/>
              </w:rPr>
              <w:t>，</w:t>
            </w:r>
            <w:r>
              <w:rPr>
                <w:rFonts w:hint="eastAsia" w:cs="Times New Roman"/>
                <w:bCs/>
                <w:color w:val="auto"/>
                <w:sz w:val="21"/>
                <w:szCs w:val="21"/>
                <w:highlight w:val="none"/>
                <w:lang w:eastAsia="zh-CN"/>
              </w:rPr>
              <w:t>耐高温</w:t>
            </w:r>
            <w:r>
              <w:rPr>
                <w:rFonts w:hint="eastAsia" w:cs="Times New Roman"/>
                <w:color w:val="auto"/>
                <w:sz w:val="21"/>
                <w:szCs w:val="21"/>
                <w:highlight w:val="none"/>
                <w:lang w:val="en-US" w:eastAsia="zh-CN"/>
              </w:rPr>
              <w:t>布袋除尘器</w:t>
            </w:r>
            <w:r>
              <w:rPr>
                <w:rFonts w:hint="default" w:ascii="Times New Roman" w:hAnsi="Times New Roman" w:eastAsia="宋体" w:cs="Times New Roman"/>
                <w:color w:val="auto"/>
                <w:sz w:val="21"/>
                <w:szCs w:val="21"/>
                <w:highlight w:val="none"/>
                <w:lang w:val="en-US" w:eastAsia="zh-CN"/>
              </w:rPr>
              <w:t>对颗粒物的处理</w:t>
            </w:r>
            <w:r>
              <w:rPr>
                <w:rFonts w:hint="default" w:ascii="Times New Roman" w:hAnsi="Times New Roman" w:eastAsia="宋体" w:cs="Times New Roman"/>
                <w:bCs/>
                <w:color w:val="auto"/>
                <w:sz w:val="21"/>
                <w:szCs w:val="21"/>
                <w:highlight w:val="none"/>
              </w:rPr>
              <w:t>效率</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95</w:t>
            </w:r>
            <w:r>
              <w:rPr>
                <w:rFonts w:hint="default" w:ascii="Times New Roman" w:hAnsi="Times New Roman" w:eastAsia="宋体" w:cs="Times New Roman"/>
                <w:bCs/>
                <w:color w:val="auto"/>
                <w:sz w:val="21"/>
                <w:szCs w:val="21"/>
                <w:highlight w:val="none"/>
                <w:lang w:val="en-US" w:eastAsia="zh-CN"/>
              </w:rPr>
              <w:t>%，排气筒内径0.</w:t>
            </w:r>
            <w:r>
              <w:rPr>
                <w:rFonts w:hint="eastAsia" w:cs="Times New Roman"/>
                <w:bCs/>
                <w:color w:val="auto"/>
                <w:sz w:val="21"/>
                <w:szCs w:val="21"/>
                <w:highlight w:val="none"/>
                <w:lang w:val="en-US" w:eastAsia="zh-CN"/>
              </w:rPr>
              <w:t>45</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lang w:val="en-US" w:eastAsia="zh-CN"/>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《锅炉大气污染物排放标准》（GB13271-2014）中</w:t>
            </w:r>
            <w:r>
              <w:rPr>
                <w:rFonts w:hint="default" w:ascii="Times New Roman" w:hAnsi="Times New Roman" w:eastAsia="宋体" w:cs="Times New Roman"/>
                <w:color w:val="auto"/>
                <w:sz w:val="21"/>
                <w:szCs w:val="21"/>
                <w:lang w:eastAsia="zh-CN"/>
              </w:rPr>
              <w:t>表</w:t>
            </w:r>
            <w:r>
              <w:rPr>
                <w:rFonts w:hint="default" w:ascii="Times New Roman" w:hAnsi="Times New Roman" w:eastAsia="宋体" w:cs="Times New Roman"/>
                <w:color w:val="auto"/>
                <w:sz w:val="21"/>
                <w:szCs w:val="21"/>
                <w:lang w:val="en-US" w:eastAsia="zh-CN"/>
              </w:rPr>
              <w:t>2新建</w:t>
            </w:r>
            <w:r>
              <w:rPr>
                <w:rFonts w:hint="default" w:ascii="Times New Roman" w:hAnsi="Times New Roman" w:eastAsia="宋体" w:cs="Times New Roman"/>
                <w:color w:val="auto"/>
                <w:sz w:val="21"/>
                <w:szCs w:val="21"/>
                <w:lang w:eastAsia="zh-CN"/>
              </w:rPr>
              <w:t>燃煤</w:t>
            </w:r>
            <w:r>
              <w:rPr>
                <w:rFonts w:hint="default" w:ascii="Times New Roman" w:hAnsi="Times New Roman" w:eastAsia="宋体" w:cs="Times New Roman"/>
                <w:color w:val="auto"/>
                <w:sz w:val="21"/>
                <w:szCs w:val="21"/>
              </w:rPr>
              <w:t>锅炉</w:t>
            </w:r>
            <w:r>
              <w:rPr>
                <w:rFonts w:hint="default" w:ascii="Times New Roman" w:hAnsi="Times New Roman" w:eastAsia="宋体" w:cs="Times New Roman"/>
                <w:color w:val="auto"/>
                <w:sz w:val="21"/>
                <w:szCs w:val="21"/>
                <w:lang w:eastAsia="zh-CN"/>
              </w:rPr>
              <w:t>大气污染物</w:t>
            </w:r>
            <w:r>
              <w:rPr>
                <w:rFonts w:hint="default" w:ascii="Times New Roman" w:hAnsi="Times New Roman" w:eastAsia="宋体" w:cs="Times New Roman"/>
                <w:color w:val="auto"/>
                <w:sz w:val="21"/>
                <w:szCs w:val="21"/>
              </w:rPr>
              <w:t>排放</w:t>
            </w:r>
            <w:r>
              <w:rPr>
                <w:rFonts w:hint="default" w:ascii="Times New Roman" w:hAnsi="Times New Roman" w:eastAsia="宋体" w:cs="Times New Roman"/>
                <w:color w:val="auto"/>
                <w:sz w:val="21"/>
                <w:szCs w:val="21"/>
                <w:lang w:eastAsia="zh-CN"/>
              </w:rPr>
              <w:t>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生产车间预发泡、成型废气（DA002）</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甲苯、乙苯、苯乙烯、非甲烷总烃</w:t>
            </w:r>
            <w:r>
              <w:rPr>
                <w:rFonts w:hint="eastAsia" w:cs="Times New Roman"/>
                <w:color w:val="auto"/>
                <w:sz w:val="21"/>
                <w:szCs w:val="21"/>
                <w:highlight w:val="none"/>
                <w:lang w:val="en-US" w:eastAsia="zh-CN"/>
              </w:rPr>
              <w:t>、臭气浓度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本项目在预发泡机及成型机上方分别设置集气罩，共设置</w:t>
            </w:r>
            <w:r>
              <w:rPr>
                <w:rFonts w:hint="eastAsia" w:cs="Times New Roman"/>
                <w:color w:val="auto"/>
                <w:sz w:val="21"/>
                <w:szCs w:val="21"/>
                <w:highlight w:val="none"/>
                <w:lang w:val="en-US" w:eastAsia="zh-CN"/>
              </w:rPr>
              <w:t>“38</w:t>
            </w:r>
            <w:r>
              <w:rPr>
                <w:rFonts w:hint="default" w:ascii="Times New Roman" w:hAnsi="Times New Roman" w:eastAsia="宋体" w:cs="Times New Roman"/>
                <w:color w:val="auto"/>
                <w:sz w:val="21"/>
                <w:szCs w:val="21"/>
                <w:highlight w:val="none"/>
                <w:lang w:val="en-US" w:eastAsia="zh-CN"/>
              </w:rPr>
              <w:t>个集气罩将废气统一收集进入</w:t>
            </w: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套</w:t>
            </w:r>
            <w:r>
              <w:rPr>
                <w:rFonts w:hint="default" w:ascii="Times New Roman" w:hAnsi="Times New Roman" w:eastAsia="宋体" w:cs="Times New Roman"/>
                <w:color w:val="auto"/>
                <w:sz w:val="21"/>
                <w:szCs w:val="21"/>
                <w:highlight w:val="none"/>
                <w:lang w:eastAsia="zh-CN"/>
              </w:rPr>
              <w:t>“三级活性炭吸附装置”</w:t>
            </w:r>
            <w:r>
              <w:rPr>
                <w:rFonts w:hint="default" w:ascii="Times New Roman" w:hAnsi="Times New Roman" w:eastAsia="宋体" w:cs="Times New Roman"/>
                <w:color w:val="auto"/>
                <w:sz w:val="21"/>
                <w:szCs w:val="21"/>
                <w:highlight w:val="none"/>
                <w:lang w:val="en-US" w:eastAsia="zh-CN"/>
              </w:rPr>
              <w:t>处理达标后由</w:t>
            </w:r>
            <w:r>
              <w:rPr>
                <w:rFonts w:hint="default" w:ascii="Times New Roman" w:hAnsi="Times New Roman" w:eastAsia="宋体" w:cs="Times New Roman"/>
                <w:color w:val="auto"/>
                <w:sz w:val="21"/>
                <w:szCs w:val="21"/>
                <w:highlight w:val="none"/>
              </w:rPr>
              <w:t>1根15m高排气筒（</w:t>
            </w:r>
            <w:r>
              <w:rPr>
                <w:rFonts w:hint="default" w:ascii="Times New Roman" w:hAnsi="Times New Roman" w:eastAsia="宋体" w:cs="Times New Roman"/>
                <w:color w:val="auto"/>
                <w:sz w:val="21"/>
                <w:szCs w:val="21"/>
                <w:highlight w:val="none"/>
                <w:lang w:val="en-US" w:eastAsia="zh-CN"/>
              </w:rPr>
              <w:t>DA002</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排放，配套</w:t>
            </w:r>
            <w:r>
              <w:rPr>
                <w:rFonts w:hint="default" w:ascii="Times New Roman" w:hAnsi="Times New Roman" w:eastAsia="宋体" w:cs="Times New Roman"/>
                <w:bCs/>
                <w:color w:val="auto"/>
                <w:sz w:val="21"/>
                <w:szCs w:val="21"/>
                <w:highlight w:val="none"/>
              </w:rPr>
              <w:t>风量</w:t>
            </w:r>
            <w:r>
              <w:rPr>
                <w:rFonts w:hint="default" w:ascii="Times New Roman" w:hAnsi="Times New Roman" w:eastAsia="宋体" w:cs="Times New Roman"/>
                <w:bCs/>
                <w:color w:val="auto"/>
                <w:sz w:val="21"/>
                <w:szCs w:val="21"/>
                <w:highlight w:val="none"/>
                <w:lang w:val="en-US" w:eastAsia="zh-CN"/>
              </w:rPr>
              <w:t>为</w:t>
            </w:r>
            <w:r>
              <w:rPr>
                <w:rFonts w:hint="eastAsia" w:cs="Times New Roman"/>
                <w:bCs/>
                <w:color w:val="auto"/>
                <w:sz w:val="21"/>
                <w:szCs w:val="21"/>
                <w:highlight w:val="none"/>
                <w:lang w:val="en-US" w:eastAsia="zh-CN"/>
              </w:rPr>
              <w:t>59940</w:t>
            </w:r>
            <w:r>
              <w:rPr>
                <w:rFonts w:hint="default" w:ascii="Times New Roman" w:hAnsi="Times New Roman" w:eastAsia="宋体" w:cs="Times New Roman"/>
                <w:bCs/>
                <w:color w:val="auto"/>
                <w:sz w:val="21"/>
                <w:szCs w:val="21"/>
                <w:highlight w:val="none"/>
              </w:rPr>
              <w:t>m</w:t>
            </w:r>
            <w:r>
              <w:rPr>
                <w:rFonts w:hint="default" w:ascii="Times New Roman" w:hAnsi="Times New Roman" w:eastAsia="宋体" w:cs="Times New Roman"/>
                <w:bCs/>
                <w:color w:val="auto"/>
                <w:sz w:val="21"/>
                <w:szCs w:val="21"/>
                <w:highlight w:val="none"/>
                <w:vertAlign w:val="superscript"/>
              </w:rPr>
              <w:t>3</w:t>
            </w:r>
            <w:r>
              <w:rPr>
                <w:rFonts w:hint="default" w:ascii="Times New Roman" w:hAnsi="Times New Roman" w:eastAsia="宋体" w:cs="Times New Roman"/>
                <w:bCs/>
                <w:color w:val="auto"/>
                <w:sz w:val="21"/>
                <w:szCs w:val="21"/>
                <w:highlight w:val="none"/>
              </w:rPr>
              <w:t>/h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kern w:val="2"/>
                <w:sz w:val="21"/>
                <w:szCs w:val="21"/>
                <w:highlight w:val="none"/>
              </w:rPr>
              <w:t>废气收集效率为</w:t>
            </w:r>
            <w:r>
              <w:rPr>
                <w:rFonts w:hint="eastAsia" w:cs="Times New Roman"/>
                <w:color w:val="auto"/>
                <w:kern w:val="2"/>
                <w:sz w:val="21"/>
                <w:szCs w:val="21"/>
                <w:highlight w:val="none"/>
                <w:lang w:val="en-US" w:eastAsia="zh-CN"/>
              </w:rPr>
              <w:t>8</w:t>
            </w:r>
            <w:r>
              <w:rPr>
                <w:rFonts w:hint="default" w:ascii="Times New Roman" w:hAnsi="Times New Roman" w:eastAsia="宋体" w:cs="Times New Roman"/>
                <w:color w:val="auto"/>
                <w:kern w:val="2"/>
                <w:sz w:val="21"/>
                <w:szCs w:val="21"/>
                <w:highlight w:val="none"/>
                <w:lang w:val="en-US" w:eastAsia="zh-CN"/>
              </w:rPr>
              <w:t>0</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lang w:val="en-US" w:eastAsia="zh-CN"/>
              </w:rPr>
              <w:t>，三</w:t>
            </w:r>
            <w:r>
              <w:rPr>
                <w:rFonts w:hint="default" w:ascii="Times New Roman" w:hAnsi="Times New Roman" w:eastAsia="宋体" w:cs="Times New Roman"/>
                <w:bCs/>
                <w:color w:val="auto"/>
                <w:sz w:val="21"/>
                <w:szCs w:val="21"/>
                <w:highlight w:val="none"/>
                <w:lang w:val="en-US" w:eastAsia="zh-CN"/>
              </w:rPr>
              <w:t>级</w:t>
            </w:r>
            <w:r>
              <w:rPr>
                <w:rFonts w:hint="default" w:ascii="Times New Roman" w:hAnsi="Times New Roman" w:eastAsia="宋体" w:cs="Times New Roman"/>
                <w:bCs/>
                <w:color w:val="auto"/>
                <w:sz w:val="21"/>
                <w:szCs w:val="21"/>
                <w:highlight w:val="none"/>
              </w:rPr>
              <w:t>活性炭去除效率</w:t>
            </w:r>
            <w:r>
              <w:rPr>
                <w:rFonts w:hint="eastAsia"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0%</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排气筒内径</w:t>
            </w:r>
            <w:r>
              <w:rPr>
                <w:rFonts w:hint="eastAsia"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lang w:val="en-US" w:eastAsia="zh-CN"/>
              </w:rPr>
              <w:t>m</w:t>
            </w:r>
            <w:r>
              <w:rPr>
                <w:rFonts w:hint="default" w:ascii="Times New Roman" w:hAnsi="Times New Roman" w:eastAsia="宋体" w:cs="Times New Roman"/>
                <w:color w:val="auto"/>
                <w:sz w:val="21"/>
                <w:szCs w:val="21"/>
                <w:highlight w:val="none"/>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合成树脂工业污染物排放标准</w:t>
            </w:r>
            <w:r>
              <w:rPr>
                <w:rFonts w:hint="default" w:ascii="Times New Roman" w:hAnsi="Times New Roman" w:eastAsia="宋体" w:cs="Times New Roman"/>
                <w:color w:val="auto"/>
                <w:sz w:val="21"/>
                <w:szCs w:val="21"/>
              </w:rPr>
              <w:t>》（GB</w:t>
            </w:r>
            <w:r>
              <w:rPr>
                <w:rFonts w:hint="default" w:ascii="Times New Roman" w:hAnsi="Times New Roman" w:eastAsia="宋体" w:cs="Times New Roman"/>
                <w:color w:val="auto"/>
                <w:sz w:val="21"/>
                <w:szCs w:val="21"/>
                <w:lang w:val="en-US" w:eastAsia="zh-CN"/>
              </w:rPr>
              <w:t>31572</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2015</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中相关</w:t>
            </w:r>
            <w:r>
              <w:rPr>
                <w:rFonts w:hint="default" w:ascii="Times New Roman" w:hAnsi="Times New Roman" w:eastAsia="宋体" w:cs="Times New Roman"/>
                <w:color w:val="auto"/>
                <w:sz w:val="21"/>
                <w:szCs w:val="21"/>
                <w:lang w:val="en-US" w:eastAsia="zh-CN"/>
              </w:rPr>
              <w:t>大气污染物排放限值</w:t>
            </w:r>
            <w:r>
              <w:rPr>
                <w:rFonts w:hint="eastAsia" w:cs="Times New Roman"/>
                <w:color w:val="auto"/>
                <w:sz w:val="21"/>
                <w:szCs w:val="21"/>
                <w:lang w:val="en-US" w:eastAsia="zh-CN"/>
              </w:rPr>
              <w:t>及</w:t>
            </w:r>
            <w:r>
              <w:rPr>
                <w:rFonts w:hint="default" w:ascii="Times New Roman" w:hAnsi="Times New Roman" w:eastAsia="宋体" w:cs="Times New Roman"/>
                <w:color w:val="auto"/>
                <w:sz w:val="21"/>
                <w:szCs w:val="21"/>
                <w:lang w:val="zh-CN" w:eastAsia="zh-CN"/>
              </w:rPr>
              <w:t>《恶臭污染物排放标准》（GB14554-93）表</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中二级</w:t>
            </w:r>
            <w:r>
              <w:rPr>
                <w:rFonts w:hint="eastAsia" w:ascii="Times New Roman" w:hAnsi="Times New Roman" w:eastAsia="宋体" w:cs="Times New Roman"/>
                <w:color w:val="auto"/>
                <w:sz w:val="21"/>
                <w:szCs w:val="21"/>
                <w:lang w:val="en-US" w:eastAsia="zh-CN"/>
              </w:rPr>
              <w:t>恶臭污染物</w:t>
            </w:r>
            <w:r>
              <w:rPr>
                <w:rFonts w:hint="default" w:ascii="Times New Roman" w:hAnsi="Times New Roman" w:eastAsia="宋体" w:cs="Times New Roman"/>
                <w:color w:val="auto"/>
                <w:sz w:val="21"/>
                <w:szCs w:val="21"/>
                <w:lang w:val="zh-CN" w:eastAsia="zh-CN"/>
              </w:rPr>
              <w:t>排放标准</w:t>
            </w:r>
            <w:r>
              <w:rPr>
                <w:rFonts w:hint="eastAsia" w:ascii="Times New Roman" w:hAnsi="Times New Roman" w:eastAsia="宋体" w:cs="Times New Roman"/>
                <w:color w:val="auto"/>
                <w:sz w:val="21"/>
                <w:szCs w:val="21"/>
                <w:lang w:val="zh-CN" w:eastAsia="zh-CN"/>
              </w:rPr>
              <w:t>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7" w:type="dxa"/>
            <w:vMerge w:val="continue"/>
            <w:vAlign w:val="center"/>
          </w:tcPr>
          <w:p>
            <w:pPr>
              <w:adjustRightInd w:val="0"/>
              <w:snapToGrid w:val="0"/>
              <w:jc w:val="center"/>
              <w:rPr>
                <w:color w:val="auto"/>
              </w:rPr>
            </w:pPr>
          </w:p>
        </w:tc>
        <w:tc>
          <w:tcPr>
            <w:tcW w:w="1726"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生产车间预发泡、成型过程未收集无组织废气</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甲苯、乙苯、苯乙烯、非甲烷总烃</w:t>
            </w:r>
            <w:r>
              <w:rPr>
                <w:rFonts w:hint="eastAsia" w:cs="Times New Roman"/>
                <w:color w:val="auto"/>
                <w:sz w:val="21"/>
                <w:szCs w:val="21"/>
                <w:highlight w:val="none"/>
                <w:lang w:val="en-US" w:eastAsia="zh-CN"/>
              </w:rPr>
              <w:t>、臭气浓度</w:t>
            </w:r>
          </w:p>
        </w:tc>
        <w:tc>
          <w:tcPr>
            <w:tcW w:w="2975" w:type="dxa"/>
            <w:vAlign w:val="center"/>
          </w:tcPr>
          <w:p>
            <w:pPr>
              <w:adjustRightInd w:val="0"/>
              <w:snapToGrid w:val="0"/>
              <w:spacing w:line="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《合成树脂工业污染物排放标准》（GB31572-2015）中相关大气污染物排放限值</w:t>
            </w:r>
            <w:r>
              <w:rPr>
                <w:rFonts w:hint="eastAsia" w:cs="Times New Roman"/>
                <w:color w:val="auto"/>
                <w:sz w:val="21"/>
                <w:szCs w:val="21"/>
                <w:lang w:val="en-US" w:eastAsia="zh-CN"/>
              </w:rPr>
              <w:t>及</w:t>
            </w: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17" w:type="dxa"/>
            <w:vMerge w:val="continue"/>
            <w:vAlign w:val="center"/>
          </w:tcPr>
          <w:p>
            <w:pPr>
              <w:adjustRightInd w:val="0"/>
              <w:snapToGrid w:val="0"/>
              <w:jc w:val="center"/>
              <w:rPr>
                <w:color w:val="auto"/>
              </w:rPr>
            </w:pPr>
          </w:p>
        </w:tc>
        <w:tc>
          <w:tcPr>
            <w:tcW w:w="1726" w:type="dxa"/>
            <w:vMerge w:val="continue"/>
            <w:vAlign w:val="center"/>
          </w:tcPr>
          <w:p>
            <w:pPr>
              <w:adjustRightInd w:val="0"/>
              <w:snapToGrid w:val="0"/>
              <w:jc w:val="center"/>
              <w:rPr>
                <w:color w:val="auto"/>
              </w:rPr>
            </w:pP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厂区内</w:t>
            </w:r>
            <w:r>
              <w:rPr>
                <w:rFonts w:hint="default" w:ascii="Times New Roman" w:hAnsi="Times New Roman" w:eastAsia="宋体" w:cs="Times New Roman"/>
                <w:color w:val="auto"/>
                <w:sz w:val="21"/>
                <w:szCs w:val="21"/>
                <w:highlight w:val="none"/>
                <w:lang w:val="en-US" w:eastAsia="zh-CN"/>
              </w:rPr>
              <w:t>非甲烷总烃</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《挥发性有机物无组织排放控制标准》</w:t>
            </w:r>
            <w:r>
              <w:rPr>
                <w:rFonts w:hint="default" w:ascii="Times New Roman" w:hAnsi="Times New Roman" w:eastAsia="宋体" w:cs="Times New Roman"/>
                <w:color w:val="auto"/>
                <w:sz w:val="21"/>
                <w:szCs w:val="21"/>
                <w:lang w:val="zh-CN" w:eastAsia="zh-CN"/>
              </w:rPr>
              <w:t>（GB</w:t>
            </w:r>
            <w:r>
              <w:rPr>
                <w:rFonts w:hint="default" w:ascii="Times New Roman" w:hAnsi="Times New Roman" w:eastAsia="宋体" w:cs="Times New Roman"/>
                <w:color w:val="auto"/>
                <w:sz w:val="21"/>
                <w:szCs w:val="21"/>
                <w:lang w:val="en-US" w:eastAsia="zh-CN"/>
              </w:rPr>
              <w:t>37822</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2019</w:t>
            </w:r>
            <w:r>
              <w:rPr>
                <w:rFonts w:hint="default" w:ascii="Times New Roman" w:hAnsi="Times New Roman" w:eastAsia="宋体" w:cs="Times New Roman"/>
                <w:color w:val="auto"/>
                <w:sz w:val="21"/>
                <w:szCs w:val="21"/>
                <w:lang w:val="zh-CN" w:eastAsia="zh-CN"/>
              </w:rPr>
              <w:t>）</w:t>
            </w:r>
            <w:r>
              <w:rPr>
                <w:rFonts w:hint="default" w:ascii="Times New Roman" w:hAnsi="Times New Roman" w:eastAsia="宋体" w:cs="Times New Roman"/>
                <w:color w:val="auto"/>
                <w:sz w:val="21"/>
                <w:szCs w:val="21"/>
                <w:lang w:val="en-US" w:eastAsia="zh-CN"/>
              </w:rPr>
              <w:t>中的要求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食堂</w:t>
            </w:r>
          </w:p>
        </w:tc>
        <w:tc>
          <w:tcPr>
            <w:tcW w:w="127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油烟</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食堂油烟配套“1个集气罩+1台油烟净化设施+高于生活综合楼房顶1.5m高的排气筒”，油烟净化器净化效率不低于60%。</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《饮食业油烟排放标准（试行）》（GB18483-2001）中的小型规模</w:t>
            </w:r>
            <w:r>
              <w:rPr>
                <w:rFonts w:hint="default" w:ascii="Times New Roman" w:hAnsi="Times New Roman" w:eastAsia="宋体" w:cs="Times New Roman"/>
                <w:color w:val="auto"/>
                <w:sz w:val="21"/>
                <w:szCs w:val="21"/>
                <w:highlight w:val="none"/>
              </w:rPr>
              <w:t>最高允许排放浓度，即油烟≤</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生产过程、化粪池、污水处理站</w:t>
            </w:r>
          </w:p>
        </w:tc>
        <w:tc>
          <w:tcPr>
            <w:tcW w:w="127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无组织臭气浓度</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加强通风及管理。</w:t>
            </w:r>
          </w:p>
        </w:tc>
        <w:tc>
          <w:tcPr>
            <w:tcW w:w="210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CN" w:eastAsia="zh-CN"/>
              </w:rPr>
              <w:t>《恶臭污染物排放标准》（GB14554-93）表1</w:t>
            </w:r>
            <w:r>
              <w:rPr>
                <w:rFonts w:hint="default" w:ascii="Times New Roman" w:hAnsi="Times New Roman" w:eastAsia="宋体" w:cs="Times New Roman"/>
                <w:color w:val="auto"/>
                <w:sz w:val="21"/>
                <w:szCs w:val="21"/>
                <w:highlight w:val="none"/>
                <w:lang w:val="en-US" w:eastAsia="zh-CN"/>
              </w:rPr>
              <w:t>中二级新建</w:t>
            </w:r>
            <w:r>
              <w:rPr>
                <w:rFonts w:hint="default" w:ascii="Times New Roman" w:hAnsi="Times New Roman" w:eastAsia="宋体" w:cs="Times New Roman"/>
                <w:color w:val="auto"/>
                <w:sz w:val="21"/>
                <w:szCs w:val="21"/>
                <w:highlight w:val="none"/>
                <w:lang w:val="zh-CN" w:eastAsia="zh-CN"/>
              </w:rPr>
              <w:t>企业厂界排放标准要求，</w:t>
            </w:r>
            <w:r>
              <w:rPr>
                <w:rFonts w:hint="default" w:ascii="Times New Roman" w:hAnsi="Times New Roman" w:eastAsia="宋体" w:cs="Times New Roman"/>
                <w:color w:val="auto"/>
                <w:sz w:val="21"/>
                <w:szCs w:val="21"/>
                <w:highlight w:val="none"/>
                <w:lang w:val="en-US" w:eastAsia="zh-CN"/>
              </w:rPr>
              <w:t>即无组织</w:t>
            </w:r>
            <w:r>
              <w:rPr>
                <w:rFonts w:hint="default" w:ascii="Times New Roman" w:hAnsi="Times New Roman" w:eastAsia="宋体" w:cs="Times New Roman"/>
                <w:bCs/>
                <w:color w:val="auto"/>
                <w:szCs w:val="21"/>
                <w:highlight w:val="none"/>
              </w:rPr>
              <w:t>臭气浓度</w:t>
            </w:r>
            <w:r>
              <w:rPr>
                <w:rFonts w:hint="default" w:ascii="Times New Roman" w:hAnsi="Times New Roman" w:eastAsia="宋体" w:cs="Times New Roman"/>
                <w:bCs/>
                <w:color w:val="auto"/>
                <w:szCs w:val="21"/>
                <w:highlight w:val="none"/>
                <w:lang w:val="en-US" w:eastAsia="zh-CN"/>
              </w:rPr>
              <w:t>≤20（无量纲）</w:t>
            </w:r>
            <w:r>
              <w:rPr>
                <w:rFonts w:hint="default" w:ascii="Times New Roman" w:hAnsi="Times New Roman" w:eastAsia="宋体" w:cs="Times New Roman"/>
                <w:color w:val="auto"/>
                <w:sz w:val="21"/>
                <w:szCs w:val="21"/>
                <w:highlight w:val="none"/>
                <w:lang w:val="zh-CN"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restart"/>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72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color w:val="auto"/>
                <w:sz w:val="21"/>
                <w:szCs w:val="21"/>
                <w:highlight w:val="none"/>
                <w:lang w:val="en-US" w:eastAsia="zh-CN"/>
              </w:rPr>
              <w:t>、锅炉排污水、蒸汽冷凝水</w:t>
            </w:r>
          </w:p>
        </w:tc>
        <w:tc>
          <w:tcPr>
            <w:tcW w:w="127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浓盐水</w:t>
            </w:r>
          </w:p>
        </w:tc>
        <w:tc>
          <w:tcPr>
            <w:tcW w:w="2975"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iCs/>
                <w:color w:val="auto"/>
                <w:sz w:val="21"/>
                <w:szCs w:val="21"/>
                <w:highlight w:val="none"/>
                <w:lang w:val="en-US" w:eastAsia="zh-CN"/>
              </w:rPr>
              <w:t>纯水制备废水</w:t>
            </w:r>
            <w:r>
              <w:rPr>
                <w:rFonts w:hint="default" w:ascii="Times New Roman" w:hAnsi="Times New Roman" w:eastAsia="宋体" w:cs="Times New Roman"/>
                <w:b w:val="0"/>
                <w:bCs w:val="0"/>
                <w:color w:val="auto"/>
                <w:sz w:val="21"/>
                <w:szCs w:val="21"/>
                <w:lang w:val="en-US" w:eastAsia="zh-CN"/>
              </w:rPr>
              <w:t>及锅炉排污水经絮凝沉淀处理后作为生产冷却循环水补充使用</w:t>
            </w:r>
            <w:r>
              <w:rPr>
                <w:rFonts w:hint="default" w:ascii="Times New Roman" w:hAnsi="Times New Roman" w:eastAsia="宋体" w:cs="Times New Roman"/>
                <w:color w:val="auto"/>
                <w:sz w:val="21"/>
                <w:szCs w:val="21"/>
                <w:highlight w:val="none"/>
                <w:lang w:val="en-US" w:eastAsia="zh-CN"/>
              </w:rPr>
              <w:t>；冷却废水经循环水冷却池冷却后循环使用，蒸汽冷凝水用于锅炉损耗补充水，生产废水不外排。</w:t>
            </w:r>
          </w:p>
        </w:tc>
        <w:tc>
          <w:tcPr>
            <w:tcW w:w="2106" w:type="dxa"/>
            <w:vMerge w:val="restart"/>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生产过程冷却水</w:t>
            </w:r>
          </w:p>
        </w:tc>
        <w:tc>
          <w:tcPr>
            <w:tcW w:w="1276" w:type="dxa"/>
            <w:vAlign w:val="center"/>
          </w:tcPr>
          <w:p>
            <w:pPr>
              <w:pStyle w:val="3"/>
              <w:spacing w:after="0"/>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75"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highlight w:val="none"/>
                <w:lang w:val="en-US" w:eastAsia="zh-CN"/>
              </w:rPr>
            </w:pPr>
          </w:p>
        </w:tc>
        <w:tc>
          <w:tcPr>
            <w:tcW w:w="2106" w:type="dxa"/>
            <w:vMerge w:val="continue"/>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Merge w:val="continue"/>
            <w:vAlign w:val="center"/>
          </w:tcPr>
          <w:p>
            <w:pPr>
              <w:adjustRightInd w:val="0"/>
              <w:snapToGrid w:val="0"/>
              <w:jc w:val="center"/>
              <w:rPr>
                <w:rFonts w:hint="default" w:ascii="Times New Roman" w:hAnsi="Times New Roman" w:eastAsia="宋体" w:cs="Times New Roman"/>
                <w:color w:val="auto"/>
                <w:sz w:val="21"/>
                <w:szCs w:val="21"/>
                <w:highlight w:val="none"/>
              </w:rPr>
            </w:pP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食堂废水、其他办公生活污水</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Cs w:val="21"/>
                <w:highlight w:val="none"/>
              </w:rPr>
              <w:t>CODcr</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BOD</w:t>
            </w:r>
            <w:r>
              <w:rPr>
                <w:rFonts w:hint="default" w:ascii="Times New Roman" w:hAnsi="Times New Roman" w:eastAsia="宋体" w:cs="Times New Roman"/>
                <w:color w:val="auto"/>
                <w:kern w:val="0"/>
                <w:szCs w:val="21"/>
                <w:highlight w:val="none"/>
                <w:vertAlign w:val="subscript"/>
              </w:rPr>
              <w:t>5</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SS</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kern w:val="0"/>
                <w:szCs w:val="21"/>
                <w:highlight w:val="none"/>
              </w:rPr>
              <w:t>氨氮</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szCs w:val="21"/>
                <w:highlight w:val="none"/>
                <w:lang w:eastAsia="zh-CN" w:bidi="ar"/>
              </w:rPr>
              <w:t>总磷、</w:t>
            </w:r>
            <w:r>
              <w:rPr>
                <w:rFonts w:hint="default" w:ascii="Times New Roman" w:hAnsi="Times New Roman" w:eastAsia="宋体" w:cs="Times New Roman"/>
                <w:color w:val="auto"/>
                <w:szCs w:val="21"/>
                <w:highlight w:val="none"/>
                <w:lang w:val="en-US" w:eastAsia="zh-CN" w:bidi="ar"/>
              </w:rPr>
              <w:t>动植物油、LAS</w:t>
            </w:r>
          </w:p>
        </w:tc>
        <w:tc>
          <w:tcPr>
            <w:tcW w:w="297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食堂含油废水经隔油池预处理后与其他办公生活污水一并进入化粪池、一体化污水处理站处理达《城市污水再生利用 城市杂用水水质》（GB/T18920-2020）中的城市绿化、道路清扫、消防、建筑施工标准后，非雨天用于项目区内绿化及道路场地洒水降尘，不外排。</w:t>
            </w:r>
            <w:r>
              <w:rPr>
                <w:rFonts w:hint="default" w:ascii="Times New Roman" w:hAnsi="Times New Roman" w:eastAsia="宋体" w:cs="Times New Roman"/>
                <w:color w:val="auto"/>
                <w:sz w:val="21"/>
                <w:szCs w:val="21"/>
                <w:highlight w:val="none"/>
                <w:lang w:val="en-US" w:eastAsia="zh-CN"/>
              </w:rPr>
              <w:t>雨天储存于蓄水池中待晴天再回用，不外排。</w:t>
            </w:r>
          </w:p>
        </w:tc>
        <w:tc>
          <w:tcPr>
            <w:tcW w:w="2106"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《城市污水再生利用 城市杂用水水质》（GB/T18920-2020）中的城市绿化、道路清扫、消防、建筑施工标准</w:t>
            </w:r>
            <w:r>
              <w:rPr>
                <w:rFonts w:hint="default" w:ascii="Times New Roman" w:hAnsi="Times New Roman" w:eastAsia="宋体" w:cs="Times New Roman"/>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Style w:val="105"/>
                <w:rFonts w:hint="default" w:ascii="Times New Roman" w:hAnsi="Times New Roman" w:eastAsia="宋体" w:cs="Times New Roman"/>
                <w:b w:val="0"/>
                <w:i w:val="0"/>
                <w:caps w:val="0"/>
                <w:color w:val="auto"/>
                <w:spacing w:val="0"/>
                <w:w w:val="100"/>
                <w:kern w:val="2"/>
                <w:sz w:val="21"/>
                <w:szCs w:val="21"/>
                <w:highlight w:val="none"/>
                <w:lang w:val="en-US" w:eastAsia="zh-CN" w:bidi="ar-SA"/>
              </w:rPr>
              <w:t>生产设备机组</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Leq（A）</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基础减震、厂房隔音。</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w:t>
            </w:r>
            <w:r>
              <w:rPr>
                <w:rFonts w:hint="eastAsia" w:cs="Times New Roman"/>
                <w:color w:val="auto"/>
                <w:szCs w:val="21"/>
                <w:highlight w:val="none"/>
                <w:lang w:val="en-US" w:eastAsia="zh-CN"/>
              </w:rPr>
              <w:t>3</w:t>
            </w:r>
            <w:r>
              <w:rPr>
                <w:rFonts w:hint="default" w:ascii="Times New Roman" w:hAnsi="Times New Roman" w:eastAsia="宋体" w:cs="Times New Roman"/>
                <w:color w:val="auto"/>
                <w:szCs w:val="21"/>
                <w:highlight w:val="none"/>
              </w:rPr>
              <w:t>类标准</w:t>
            </w:r>
            <w:r>
              <w:rPr>
                <w:rFonts w:hint="default" w:ascii="Times New Roman" w:hAnsi="Times New Roman" w:eastAsia="宋体" w:cs="Times New Roman"/>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电磁辐射</w:t>
            </w:r>
          </w:p>
        </w:tc>
        <w:tc>
          <w:tcPr>
            <w:tcW w:w="172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7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975"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06" w:type="dxa"/>
            <w:vAlign w:val="center"/>
          </w:tcPr>
          <w:p>
            <w:pPr>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固体废物</w:t>
            </w:r>
          </w:p>
        </w:tc>
        <w:tc>
          <w:tcPr>
            <w:tcW w:w="8083"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项目废包装材料统一收集后暂存于一般固体废物暂存处，定期外售给废品收购站；预发泡过程不合格颗粒、未成型产品、边角料、不合格产品统一收集后暂存于一般固体废物暂存区定期外售给废品收购站；锅炉炉渣</w:t>
            </w:r>
            <w:r>
              <w:rPr>
                <w:rFonts w:hint="eastAsia"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除尘器除尘灰</w:t>
            </w:r>
            <w:r>
              <w:rPr>
                <w:rFonts w:hint="eastAsia" w:cs="Times New Roman"/>
                <w:b w:val="0"/>
                <w:bCs w:val="0"/>
                <w:color w:val="auto"/>
                <w:kern w:val="2"/>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rPr>
              <w:t>絮凝沉淀池沉渣</w:t>
            </w:r>
            <w:r>
              <w:rPr>
                <w:rFonts w:hint="default" w:ascii="Times New Roman" w:hAnsi="Times New Roman" w:eastAsia="宋体" w:cs="Times New Roman"/>
                <w:b w:val="0"/>
                <w:bCs w:val="0"/>
                <w:color w:val="auto"/>
                <w:kern w:val="2"/>
                <w:sz w:val="21"/>
                <w:szCs w:val="21"/>
                <w:highlight w:val="none"/>
                <w:lang w:val="en-US" w:eastAsia="zh-CN" w:bidi="ar-SA"/>
              </w:rPr>
              <w:t>定期清理袋装后暂存于锅炉房内，</w:t>
            </w:r>
            <w:r>
              <w:rPr>
                <w:rFonts w:hint="eastAsia" w:ascii="Times New Roman" w:hAnsi="Times New Roman" w:eastAsia="宋体" w:cs="Times New Roman"/>
                <w:b w:val="0"/>
                <w:bCs w:val="0"/>
                <w:color w:val="auto"/>
                <w:kern w:val="2"/>
                <w:sz w:val="21"/>
                <w:szCs w:val="21"/>
                <w:highlight w:val="none"/>
                <w:lang w:val="en-US" w:eastAsia="zh-CN" w:bidi="ar-SA"/>
              </w:rPr>
              <w:t>外售建材生产企业</w:t>
            </w:r>
            <w:r>
              <w:rPr>
                <w:rFonts w:hint="default" w:ascii="Times New Roman" w:hAnsi="Times New Roman" w:eastAsia="宋体" w:cs="Times New Roman"/>
                <w:b w:val="0"/>
                <w:bCs w:val="0"/>
                <w:color w:val="auto"/>
                <w:kern w:val="2"/>
                <w:sz w:val="21"/>
                <w:szCs w:val="21"/>
                <w:highlight w:val="none"/>
                <w:lang w:val="en-US" w:eastAsia="zh-CN" w:bidi="ar-SA"/>
              </w:rPr>
              <w:t>；</w:t>
            </w:r>
            <w:r>
              <w:rPr>
                <w:rFonts w:hint="eastAsia" w:ascii="Times New Roman" w:hAnsi="Times New Roman" w:eastAsia="宋体" w:cs="Times New Roman"/>
                <w:b w:val="0"/>
                <w:bCs w:val="0"/>
                <w:color w:val="auto"/>
                <w:kern w:val="2"/>
                <w:sz w:val="21"/>
                <w:szCs w:val="21"/>
                <w:highlight w:val="none"/>
                <w:lang w:val="en-US" w:eastAsia="zh-CN" w:bidi="ar-SA"/>
              </w:rPr>
              <w:t>冷却池沉渣、浮渣</w:t>
            </w:r>
            <w:r>
              <w:rPr>
                <w:rFonts w:hint="default" w:ascii="Times New Roman" w:hAnsi="Times New Roman" w:eastAsia="宋体" w:cs="Times New Roman"/>
                <w:b w:val="0"/>
                <w:bCs w:val="0"/>
                <w:color w:val="auto"/>
                <w:kern w:val="2"/>
                <w:sz w:val="21"/>
                <w:szCs w:val="21"/>
                <w:highlight w:val="none"/>
                <w:lang w:val="en-US" w:eastAsia="zh-CN" w:bidi="ar-SA"/>
              </w:rPr>
              <w:t>定期清理袋装后同生活垃圾一同处置</w:t>
            </w:r>
            <w:r>
              <w:rPr>
                <w:rFonts w:hint="eastAsia" w:ascii="Times New Roman" w:hAnsi="Times New Roman" w:eastAsia="宋体" w:cs="Times New Roman"/>
                <w:b w:val="0"/>
                <w:bCs w:val="0"/>
                <w:color w:val="auto"/>
                <w:kern w:val="2"/>
                <w:sz w:val="21"/>
                <w:szCs w:val="21"/>
                <w:highlight w:val="none"/>
                <w:lang w:val="en-US" w:eastAsia="zh-CN" w:bidi="ar-SA"/>
              </w:rPr>
              <w:t>；</w:t>
            </w:r>
            <w:r>
              <w:rPr>
                <w:rFonts w:hint="default" w:ascii="Times New Roman" w:hAnsi="Times New Roman" w:eastAsia="宋体" w:cs="Times New Roman"/>
                <w:b w:val="0"/>
                <w:bCs w:val="0"/>
                <w:color w:val="auto"/>
                <w:kern w:val="2"/>
                <w:sz w:val="21"/>
                <w:szCs w:val="21"/>
                <w:highlight w:val="none"/>
                <w:lang w:val="en-US" w:eastAsia="zh-CN" w:bidi="ar-SA"/>
              </w:rPr>
              <w:t>生活垃圾统一收集后由当地环卫部门定期清运、处置；食堂餐厨垃圾通过加盖塑料桶收集后由有资质的单位定期清运、处置；化粪池及一体化污水处理站污泥委托环卫部门定期清掏清运处置；废活性炭、废矿物油、废弃的含油抹布、劳保用品收集暂存于危废暂存间后，委托资质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土壤及地下水污染防治措施</w:t>
            </w:r>
          </w:p>
        </w:tc>
        <w:tc>
          <w:tcPr>
            <w:tcW w:w="8083" w:type="dxa"/>
            <w:gridSpan w:val="4"/>
            <w:vAlign w:val="center"/>
          </w:tcPr>
          <w:p>
            <w:pPr>
              <w:widowControl/>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sz w:val="21"/>
                <w:szCs w:val="21"/>
                <w:highlight w:val="none"/>
                <w:lang w:val="en-US" w:eastAsia="zh-CN"/>
              </w:rPr>
              <w:t>分区防渗：</w:t>
            </w:r>
            <w:r>
              <w:rPr>
                <w:rFonts w:hint="default" w:ascii="Times New Roman" w:hAnsi="Times New Roman" w:eastAsia="宋体" w:cs="Times New Roman"/>
                <w:b w:val="0"/>
                <w:bCs w:val="0"/>
                <w:color w:val="auto"/>
                <w:lang w:val="en-US" w:eastAsia="zh-CN"/>
              </w:rPr>
              <w:t>重点防渗：危废暂存间地面及四周墙裙脚采用“</w:t>
            </w:r>
            <w:r>
              <w:rPr>
                <w:rFonts w:hint="default" w:ascii="Times New Roman" w:hAnsi="Times New Roman" w:eastAsia="宋体" w:cs="Times New Roman"/>
                <w:b w:val="0"/>
                <w:bCs w:val="0"/>
                <w:color w:val="auto"/>
                <w:sz w:val="21"/>
                <w:szCs w:val="21"/>
                <w:highlight w:val="none"/>
                <w:lang w:val="en-US" w:eastAsia="zh-CN"/>
              </w:rPr>
              <w:t>抗渗</w:t>
            </w:r>
            <w:r>
              <w:rPr>
                <w:rFonts w:hint="default" w:ascii="Times New Roman" w:hAnsi="Times New Roman" w:eastAsia="宋体" w:cs="Times New Roman"/>
                <w:b w:val="0"/>
                <w:bCs w:val="0"/>
                <w:color w:val="auto"/>
                <w:lang w:val="en-US" w:eastAsia="zh-CN"/>
              </w:rPr>
              <w:t>混凝土+2mm厚HDPE+环氧树脂”进行重点防渗处理，渗透系数≤10</w:t>
            </w:r>
            <w:r>
              <w:rPr>
                <w:rFonts w:hint="default" w:ascii="Times New Roman" w:hAnsi="Times New Roman" w:eastAsia="宋体" w:cs="Times New Roman"/>
                <w:b w:val="0"/>
                <w:bCs w:val="0"/>
                <w:color w:val="auto"/>
                <w:vertAlign w:val="superscript"/>
                <w:lang w:val="en-US" w:eastAsia="zh-CN"/>
              </w:rPr>
              <w:t>-10</w:t>
            </w:r>
            <w:r>
              <w:rPr>
                <w:rFonts w:hint="default" w:ascii="Times New Roman" w:hAnsi="Times New Roman" w:eastAsia="宋体" w:cs="Times New Roman"/>
                <w:b w:val="0"/>
                <w:bCs w:val="0"/>
                <w:color w:val="auto"/>
                <w:lang w:val="en-US" w:eastAsia="zh-CN"/>
              </w:rPr>
              <w:t>cm/s，并按照要求设置规范的标识、标牌。</w:t>
            </w:r>
          </w:p>
          <w:p>
            <w:pPr>
              <w:widowControl/>
              <w:spacing w:line="240" w:lineRule="auto"/>
              <w:ind w:firstLine="0" w:firstLineChars="0"/>
              <w:jc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一般防渗区：絮凝沉淀池、循环冷却水池、隔油池、化粪池、一体化污水处理站、</w:t>
            </w:r>
          </w:p>
          <w:p>
            <w:pPr>
              <w:widowControl/>
              <w:spacing w:line="240" w:lineRule="auto"/>
              <w:ind w:firstLine="0" w:firstLineChars="0"/>
              <w:jc w:val="both"/>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蓄水池、事故应急池、一般固体废物暂存区防渗技术要求达到等效黏土防渗层</w:t>
            </w:r>
          </w:p>
          <w:p>
            <w:pPr>
              <w:widowControl/>
              <w:spacing w:line="240" w:lineRule="auto"/>
              <w:ind w:firstLine="0" w:firstLineChars="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lang w:val="en-US" w:eastAsia="zh-CN"/>
              </w:rPr>
              <w:t>Mb≥1.5m，渗透系数≤10</w:t>
            </w:r>
            <w:r>
              <w:rPr>
                <w:rFonts w:hint="default" w:ascii="Times New Roman" w:hAnsi="Times New Roman" w:eastAsia="宋体" w:cs="Times New Roman"/>
                <w:b w:val="0"/>
                <w:bCs w:val="0"/>
                <w:color w:val="auto"/>
                <w:vertAlign w:val="superscript"/>
                <w:lang w:val="en-US" w:eastAsia="zh-CN"/>
              </w:rPr>
              <w:t>-7</w:t>
            </w:r>
            <w:r>
              <w:rPr>
                <w:rFonts w:hint="default" w:ascii="Times New Roman" w:hAnsi="Times New Roman" w:eastAsia="宋体" w:cs="Times New Roman"/>
                <w:b w:val="0"/>
                <w:bCs w:val="0"/>
                <w:color w:val="auto"/>
                <w:lang w:val="en-US" w:eastAsia="zh-CN"/>
              </w:rPr>
              <w:t>cm/s。简单防渗区：其余生产区、道路及办公区域（除绿化外）进行一般硬化处理。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生态保护措施</w:t>
            </w:r>
          </w:p>
        </w:tc>
        <w:tc>
          <w:tcPr>
            <w:tcW w:w="8083" w:type="dxa"/>
            <w:gridSpan w:val="4"/>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项目充分利用空间进行绿化，达到美化环境的效果。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环境风险防范措施</w:t>
            </w:r>
          </w:p>
        </w:tc>
        <w:tc>
          <w:tcPr>
            <w:tcW w:w="808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厂区进行分区防渗，</w:t>
            </w:r>
            <w:r>
              <w:rPr>
                <w:rFonts w:hint="default" w:ascii="Times New Roman" w:hAnsi="Times New Roman" w:eastAsia="宋体" w:cs="Times New Roman"/>
                <w:color w:val="auto"/>
                <w:kern w:val="2"/>
                <w:sz w:val="21"/>
                <w:szCs w:val="21"/>
                <w:highlight w:val="none"/>
                <w:u w:val="none"/>
                <w:lang w:val="zh-CN" w:eastAsia="zh-CN" w:bidi="ar-SA"/>
              </w:rPr>
              <w:t>危险废物暂存间进行重点防渗，</w:t>
            </w:r>
            <w:r>
              <w:rPr>
                <w:rFonts w:hint="default" w:ascii="Times New Roman" w:hAnsi="Times New Roman" w:eastAsia="宋体" w:cs="Times New Roman"/>
                <w:color w:val="auto"/>
                <w:sz w:val="21"/>
                <w:szCs w:val="21"/>
                <w:highlight w:val="none"/>
              </w:rPr>
              <w:t>地面</w:t>
            </w:r>
            <w:r>
              <w:rPr>
                <w:rFonts w:hint="default" w:ascii="Times New Roman" w:hAnsi="Times New Roman" w:eastAsia="宋体" w:cs="Times New Roman"/>
                <w:color w:val="auto"/>
                <w:sz w:val="21"/>
                <w:szCs w:val="21"/>
                <w:highlight w:val="none"/>
                <w:lang w:val="en-US" w:eastAsia="zh-CN"/>
              </w:rPr>
              <w:t>和四周墙裙脚</w:t>
            </w:r>
            <w:r>
              <w:rPr>
                <w:rFonts w:hint="default" w:ascii="Times New Roman" w:hAnsi="Times New Roman" w:eastAsia="宋体" w:cs="Times New Roman"/>
                <w:color w:val="auto"/>
                <w:sz w:val="21"/>
                <w:szCs w:val="21"/>
                <w:highlight w:val="none"/>
                <w:lang w:val="zh-CN"/>
              </w:rPr>
              <w:t>采用“</w:t>
            </w:r>
            <w:r>
              <w:rPr>
                <w:rFonts w:hint="default" w:ascii="Times New Roman" w:hAnsi="Times New Roman" w:eastAsia="宋体" w:cs="Times New Roman"/>
                <w:b w:val="0"/>
                <w:bCs w:val="0"/>
                <w:color w:val="auto"/>
                <w:sz w:val="21"/>
                <w:szCs w:val="21"/>
                <w:highlight w:val="none"/>
                <w:lang w:val="zh-CN"/>
              </w:rPr>
              <w:t>抗渗混凝土+2mm厚HDPE+环氧树脂</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进行重点防渗处理</w:t>
            </w:r>
            <w:r>
              <w:rPr>
                <w:rFonts w:hint="default" w:ascii="Times New Roman" w:hAnsi="Times New Roman" w:eastAsia="宋体" w:cs="Times New Roman"/>
                <w:color w:val="auto"/>
                <w:sz w:val="21"/>
                <w:szCs w:val="21"/>
                <w:highlight w:val="none"/>
                <w:lang w:val="zh-CN"/>
              </w:rPr>
              <w:t>，</w:t>
            </w:r>
            <w:r>
              <w:rPr>
                <w:rFonts w:hint="default" w:ascii="Times New Roman" w:hAnsi="Times New Roman" w:eastAsia="宋体" w:cs="Times New Roman"/>
                <w:color w:val="auto"/>
                <w:sz w:val="21"/>
                <w:szCs w:val="21"/>
                <w:highlight w:val="none"/>
                <w:lang w:val="en-US" w:eastAsia="zh-CN"/>
              </w:rPr>
              <w:t>渗透系数≤10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cm/s，危废暂存间地面向内形成一定的坡度，并设置围堰或在门口设置门槛，防止</w:t>
            </w:r>
            <w:r>
              <w:rPr>
                <w:rFonts w:hint="default" w:ascii="Times New Roman" w:hAnsi="Times New Roman" w:eastAsia="宋体" w:cs="Times New Roman"/>
                <w:color w:val="auto"/>
                <w:kern w:val="2"/>
                <w:sz w:val="21"/>
                <w:szCs w:val="21"/>
                <w:highlight w:val="none"/>
                <w:u w:val="none"/>
                <w:lang w:val="zh-CN" w:eastAsia="zh-CN" w:bidi="ar-SA"/>
              </w:rPr>
              <w:t>废矿物油</w:t>
            </w:r>
            <w:r>
              <w:rPr>
                <w:rFonts w:hint="default" w:ascii="Times New Roman" w:hAnsi="Times New Roman" w:eastAsia="宋体" w:cs="Times New Roman"/>
                <w:color w:val="auto"/>
                <w:sz w:val="21"/>
                <w:szCs w:val="21"/>
                <w:highlight w:val="none"/>
                <w:lang w:val="en-US" w:eastAsia="zh-CN"/>
              </w:rPr>
              <w:t>泄漏后进入外环境。</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设置专人进行管理，定期对危废储存</w:t>
            </w:r>
            <w:r>
              <w:rPr>
                <w:rFonts w:hint="default" w:ascii="Times New Roman" w:hAnsi="Times New Roman" w:eastAsia="宋体" w:cs="Times New Roman"/>
                <w:color w:val="auto"/>
                <w:kern w:val="2"/>
                <w:sz w:val="21"/>
                <w:szCs w:val="21"/>
                <w:highlight w:val="none"/>
                <w:u w:val="none"/>
                <w:lang w:val="zh-CN" w:eastAsia="zh-CN" w:bidi="ar-SA"/>
              </w:rPr>
              <w:t>容器</w:t>
            </w:r>
            <w:r>
              <w:rPr>
                <w:rFonts w:hint="default" w:ascii="Times New Roman" w:hAnsi="Times New Roman" w:eastAsia="宋体" w:cs="Times New Roman"/>
                <w:color w:val="auto"/>
                <w:sz w:val="21"/>
                <w:szCs w:val="21"/>
                <w:highlight w:val="none"/>
                <w:lang w:val="en-US" w:eastAsia="zh-CN"/>
              </w:rPr>
              <w:t>进行检查，并做好巡检记录及时发现事故隐患并迅速给以消除。</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lang w:val="en-US" w:eastAsia="zh-CN"/>
              </w:rPr>
              <w:t>编制突发环境事件应急预案，并报</w:t>
            </w:r>
            <w:r>
              <w:rPr>
                <w:rFonts w:hint="default" w:ascii="Times New Roman" w:hAnsi="Times New Roman" w:eastAsia="宋体" w:cs="Times New Roman"/>
                <w:color w:val="auto"/>
                <w:sz w:val="21"/>
                <w:szCs w:val="21"/>
                <w:highlight w:val="none"/>
                <w:lang w:eastAsia="zh-CN"/>
              </w:rPr>
              <w:t>昆明市生态环境局寻甸分局</w:t>
            </w:r>
            <w:r>
              <w:rPr>
                <w:rFonts w:hint="default" w:ascii="Times New Roman" w:hAnsi="Times New Roman" w:eastAsia="宋体" w:cs="Times New Roman"/>
                <w:color w:val="auto"/>
                <w:sz w:val="21"/>
                <w:szCs w:val="21"/>
                <w:highlight w:val="none"/>
                <w:lang w:val="en-US" w:eastAsia="zh-CN"/>
              </w:rPr>
              <w:t>备案。建立完善的应急报告制度，落实应急物资和经费，日常加强应急演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7" w:type="dxa"/>
            <w:vAlign w:val="center"/>
          </w:tcPr>
          <w:p>
            <w:pPr>
              <w:adjustRightInd w:val="0"/>
              <w:snapToGrid w:val="0"/>
              <w:jc w:val="center"/>
              <w:rPr>
                <w:rFonts w:hint="default" w:ascii="Times New Roman" w:hAnsi="Times New Roman" w:eastAsia="宋体" w:cs="Times New Roman"/>
                <w:color w:val="auto"/>
                <w:spacing w:val="-8"/>
                <w:sz w:val="21"/>
                <w:szCs w:val="21"/>
                <w:highlight w:val="none"/>
              </w:rPr>
            </w:pPr>
            <w:r>
              <w:rPr>
                <w:rFonts w:hint="default" w:ascii="Times New Roman" w:hAnsi="Times New Roman" w:eastAsia="宋体" w:cs="Times New Roman"/>
                <w:color w:val="auto"/>
                <w:spacing w:val="-8"/>
                <w:sz w:val="21"/>
                <w:szCs w:val="21"/>
                <w:highlight w:val="none"/>
              </w:rPr>
              <w:t>其他环境管理要求</w:t>
            </w:r>
          </w:p>
        </w:tc>
        <w:tc>
          <w:tcPr>
            <w:tcW w:w="808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1、环境管理计划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1）根据国家环保政策、标准及环境监测要求，制定该项目运行期环境管理规章制度、各种污染物排放指标。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2）项目建成投产前建设单位应自行组织项目竣工环境保护验收工作，检查环保设施是否达到“三同时”要求。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3）加强环保设施的管理，定期检查</w:t>
            </w:r>
            <w:r>
              <w:rPr>
                <w:rFonts w:hint="default" w:ascii="Times New Roman" w:hAnsi="Times New Roman" w:eastAsia="宋体" w:cs="Times New Roman"/>
                <w:color w:val="auto"/>
                <w:szCs w:val="21"/>
                <w:highlight w:val="none"/>
                <w:lang w:val="en-US" w:eastAsia="zh-CN"/>
              </w:rPr>
              <w:t>厂</w:t>
            </w:r>
            <w:r>
              <w:rPr>
                <w:rFonts w:hint="default" w:ascii="Times New Roman" w:hAnsi="Times New Roman" w:eastAsia="宋体" w:cs="Times New Roman"/>
                <w:color w:val="auto"/>
                <w:szCs w:val="21"/>
                <w:highlight w:val="none"/>
              </w:rPr>
              <w:t>内环保设施运行情况。及时排除故障，保证环保设施正常运转</w:t>
            </w:r>
            <w:r>
              <w:rPr>
                <w:rFonts w:hint="default" w:ascii="Times New Roman" w:hAnsi="Times New Roman" w:eastAsia="宋体"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危险废物</w:t>
            </w:r>
            <w:r>
              <w:rPr>
                <w:rFonts w:hint="default" w:ascii="Times New Roman" w:hAnsi="Times New Roman" w:eastAsia="宋体" w:cs="Times New Roman"/>
                <w:color w:val="auto"/>
                <w:szCs w:val="21"/>
                <w:highlight w:val="none"/>
              </w:rPr>
              <w:t>的收集管理应由专人负责，分类收集。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6）配合当地环保监测机构，实施环境监测计划。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、排污许可证 </w:t>
            </w:r>
          </w:p>
          <w:p>
            <w:pPr>
              <w:keepNext w:val="0"/>
              <w:keepLines w:val="0"/>
              <w:pageBreakBefore w:val="0"/>
              <w:kinsoku/>
              <w:wordWrap/>
              <w:overflowPunct/>
              <w:topLinePunct w:val="0"/>
              <w:autoSpaceDE/>
              <w:autoSpaceDN/>
              <w:bidi w:val="0"/>
              <w:adjustRightInd w:val="0"/>
              <w:snapToGrid w:val="0"/>
              <w:spacing w:line="360" w:lineRule="auto"/>
              <w:ind w:left="0" w:right="0" w:firstLine="420" w:firstLineChars="200"/>
              <w:textAlignment w:val="auto"/>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eastAsia="zh-CN"/>
              </w:rPr>
              <w:t>为</w:t>
            </w:r>
            <w:r>
              <w:rPr>
                <w:rFonts w:hint="default" w:ascii="Times New Roman" w:hAnsi="Times New Roman" w:eastAsia="宋体" w:cs="Times New Roman"/>
                <w:color w:val="auto"/>
                <w:sz w:val="21"/>
                <w:szCs w:val="21"/>
                <w:lang w:val="en-US" w:eastAsia="zh-CN"/>
              </w:rPr>
              <w:t>泡沫塑料制造项目，</w:t>
            </w:r>
            <w:r>
              <w:rPr>
                <w:rFonts w:hint="default" w:ascii="Times New Roman" w:hAnsi="Times New Roman" w:eastAsia="宋体" w:cs="Times New Roman"/>
                <w:color w:val="auto"/>
                <w:sz w:val="21"/>
                <w:szCs w:val="21"/>
                <w:lang w:eastAsia="zh-CN"/>
              </w:rPr>
              <w:t>国民经济行业类别为“</w:t>
            </w:r>
            <w:r>
              <w:rPr>
                <w:rFonts w:hint="default" w:ascii="Times New Roman" w:hAnsi="Times New Roman" w:eastAsia="宋体" w:cs="Times New Roman"/>
                <w:color w:val="auto"/>
                <w:sz w:val="21"/>
                <w:szCs w:val="21"/>
                <w:lang w:val="en-US" w:eastAsia="zh-CN"/>
              </w:rPr>
              <w:t>泡沫塑料制造(C2924)</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，根据《固定污染源排污许可分类管理名录（2019版）》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年产1万吨及以上的泡沫塑料制造2924</w:t>
            </w:r>
            <w:r>
              <w:rPr>
                <w:rFonts w:hint="default" w:ascii="Times New Roman" w:hAnsi="Times New Roman" w:eastAsia="宋体" w:cs="Times New Roman"/>
                <w:color w:val="auto"/>
                <w:sz w:val="21"/>
                <w:szCs w:val="21"/>
                <w:lang w:val="en-US" w:eastAsia="zh-CN"/>
              </w:rPr>
              <w:t>进行简化管理，本项目生产规模为</w:t>
            </w: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00万只/a，折算为</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0</w:t>
            </w:r>
            <w:r>
              <w:rPr>
                <w:rFonts w:hint="eastAsia" w:cs="Times New Roman"/>
                <w:color w:val="auto"/>
                <w:sz w:val="21"/>
                <w:szCs w:val="21"/>
                <w:lang w:val="en-US" w:eastAsia="zh-CN"/>
              </w:rPr>
              <w:t>0</w:t>
            </w:r>
            <w:r>
              <w:rPr>
                <w:rFonts w:hint="default" w:ascii="Times New Roman" w:hAnsi="Times New Roman" w:eastAsia="宋体" w:cs="Times New Roman"/>
                <w:color w:val="auto"/>
                <w:sz w:val="21"/>
                <w:szCs w:val="21"/>
                <w:lang w:val="en-US" w:eastAsia="zh-CN"/>
              </w:rPr>
              <w:t>0t/a，因此属于“其他”，</w:t>
            </w:r>
            <w:r>
              <w:rPr>
                <w:rFonts w:hint="eastAsia" w:ascii="Times New Roman" w:hAnsi="Times New Roman" w:eastAsia="宋体" w:cs="Times New Roman"/>
                <w:color w:val="auto"/>
                <w:sz w:val="21"/>
                <w:szCs w:val="21"/>
                <w:lang w:val="en-US" w:eastAsia="zh-CN"/>
              </w:rPr>
              <w:t>为</w:t>
            </w:r>
            <w:r>
              <w:rPr>
                <w:rFonts w:hint="default" w:ascii="Times New Roman" w:hAnsi="Times New Roman" w:eastAsia="宋体" w:cs="Times New Roman"/>
                <w:color w:val="auto"/>
                <w:sz w:val="21"/>
                <w:szCs w:val="21"/>
                <w:lang w:val="en-US" w:eastAsia="zh-CN"/>
              </w:rPr>
              <w:t>登记管理</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项目需按《排污许可管理</w:t>
            </w:r>
            <w:r>
              <w:rPr>
                <w:rFonts w:hint="eastAsia" w:ascii="Times New Roman" w:hAnsi="Times New Roman" w:eastAsia="宋体" w:cs="Times New Roman"/>
                <w:color w:val="auto"/>
                <w:sz w:val="21"/>
                <w:szCs w:val="21"/>
                <w:lang w:eastAsia="zh-CN"/>
              </w:rPr>
              <w:t>条例</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rPr>
              <w:t>排污申请与核发技术规范 橡胶和塑料制品工业</w:t>
            </w:r>
            <w:r>
              <w:rPr>
                <w:rFonts w:ascii="Times New Roman" w:hAnsi="Times New Roman" w:eastAsia="宋体" w:cs="Times New Roman"/>
                <w:color w:val="auto"/>
                <w:sz w:val="21"/>
                <w:szCs w:val="21"/>
              </w:rPr>
              <w:t>》等要求取得</w:t>
            </w:r>
            <w:r>
              <w:rPr>
                <w:rFonts w:hint="eastAsia" w:ascii="Times New Roman" w:hAnsi="Times New Roman" w:eastAsia="宋体" w:cs="Times New Roman"/>
                <w:color w:val="auto"/>
                <w:sz w:val="21"/>
                <w:szCs w:val="21"/>
              </w:rPr>
              <w:t>固定污染源排污登记回执，</w:t>
            </w:r>
            <w:r>
              <w:rPr>
                <w:rFonts w:ascii="Times New Roman" w:hAnsi="Times New Roman" w:eastAsia="宋体" w:cs="Times New Roman"/>
                <w:color w:val="auto"/>
                <w:sz w:val="21"/>
                <w:szCs w:val="21"/>
              </w:rPr>
              <w:t>不得无证排污。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排污口是</w:t>
            </w:r>
            <w:r>
              <w:rPr>
                <w:rFonts w:hint="default" w:ascii="Times New Roman" w:hAnsi="Times New Roman" w:eastAsia="宋体" w:cs="Times New Roman"/>
                <w:color w:val="auto"/>
                <w:szCs w:val="21"/>
                <w:highlight w:val="none"/>
                <w:lang w:val="en-US" w:eastAsia="zh-CN"/>
              </w:rPr>
              <w:t>项目运营期</w:t>
            </w:r>
            <w:r>
              <w:rPr>
                <w:rFonts w:hint="default" w:ascii="Times New Roman" w:hAnsi="Times New Roman" w:eastAsia="宋体" w:cs="Times New Roman"/>
                <w:color w:val="auto"/>
                <w:szCs w:val="21"/>
                <w:highlight w:val="none"/>
              </w:rPr>
              <w:t>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项目排放口设置满足以下要求：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污染物排放口，应按国家《环境保护图形标志排放口（源）》（GB15562.1-1995）的规定，设置国家环保总局统一制作的环境保护图形标志牌；本项目废气排放口和废水处理设施均应设置相应标志，并进行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default" w:ascii="Times New Roman" w:hAnsi="Times New Roman" w:eastAsia="宋体" w:cs="Times New Roman"/>
                <w:color w:val="auto"/>
                <w:szCs w:val="21"/>
                <w:highlight w:val="none"/>
                <w:lang w:eastAsia="zh-CN"/>
              </w:rPr>
              <w:t>。</w:t>
            </w:r>
          </w:p>
        </w:tc>
      </w:tr>
    </w:tbl>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outlineLvl w:val="0"/>
        <w:rPr>
          <w:rFonts w:hint="default" w:ascii="Times New Roman" w:hAnsi="Times New Roman" w:eastAsia="宋体" w:cs="Times New Roman"/>
          <w:b/>
          <w:bCs/>
          <w:snapToGrid w:val="0"/>
          <w:color w:val="auto"/>
          <w:sz w:val="30"/>
          <w:szCs w:val="30"/>
          <w:highlight w:val="none"/>
        </w:rPr>
      </w:pPr>
      <w:r>
        <w:rPr>
          <w:rFonts w:hint="default" w:ascii="Times New Roman" w:hAnsi="Times New Roman" w:eastAsia="宋体" w:cs="Times New Roman"/>
          <w:snapToGrid w:val="0"/>
          <w:color w:val="auto"/>
          <w:highlight w:val="none"/>
        </w:rPr>
        <w:br w:type="page"/>
      </w:r>
      <w:bookmarkStart w:id="29" w:name="_Toc24787"/>
      <w:bookmarkStart w:id="30" w:name="_Toc1582"/>
      <w:r>
        <w:rPr>
          <w:rFonts w:hint="default" w:ascii="Times New Roman" w:hAnsi="Times New Roman" w:eastAsia="宋体" w:cs="Times New Roman"/>
          <w:b/>
          <w:bCs/>
          <w:snapToGrid w:val="0"/>
          <w:color w:val="auto"/>
          <w:sz w:val="30"/>
          <w:szCs w:val="30"/>
          <w:highlight w:val="none"/>
        </w:rPr>
        <w:t>六、结论</w:t>
      </w:r>
      <w:bookmarkEnd w:id="29"/>
      <w:bookmarkEnd w:id="30"/>
    </w:p>
    <w:tbl>
      <w:tblPr>
        <w:tblStyle w:val="27"/>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spacing w:line="360" w:lineRule="auto"/>
              <w:ind w:firstLine="480" w:firstLineChars="200"/>
              <w:jc w:val="both"/>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的建设符合国家、地方产业政策，以及相关规划，不涉及自然保护区、风景名胜区、水源保护区等环境敏感区，与周围居民点、学校、医院等关心点距离较远，选址合理。在采取环评提出的措施后，项目产生的废气、噪声均可达标排放，</w:t>
            </w:r>
            <w:r>
              <w:rPr>
                <w:rFonts w:hint="eastAsia" w:cs="Times New Roman"/>
                <w:color w:val="auto"/>
                <w:sz w:val="24"/>
                <w:highlight w:val="none"/>
                <w:lang w:val="en-US" w:eastAsia="zh-CN"/>
              </w:rPr>
              <w:t>废水不外排，</w:t>
            </w:r>
            <w:r>
              <w:rPr>
                <w:rFonts w:hint="default" w:ascii="Times New Roman" w:hAnsi="Times New Roman" w:eastAsia="宋体" w:cs="Times New Roman"/>
                <w:color w:val="auto"/>
                <w:sz w:val="24"/>
                <w:highlight w:val="none"/>
                <w:lang w:val="en-US" w:eastAsia="zh-CN"/>
              </w:rPr>
              <w:t>固废处置率100%，对当地环境质量及主要关心点环境影响较小，符合达标排放、总量控制和不降低当地环境功能的原则要求，符合国家法律法规要求。</w:t>
            </w:r>
          </w:p>
          <w:p>
            <w:pPr>
              <w:spacing w:line="360" w:lineRule="auto"/>
              <w:ind w:firstLine="480" w:firstLineChars="200"/>
              <w:jc w:val="both"/>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本项目在严格执行环境保护“三同时”制度，严格进行环境管理，保证项目内的废气处理设施及其他环保设施的正常运行，污染物达标排放的条件下，从环境保护角度论证，本项目的建设是可行的。</w:t>
            </w: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ind w:firstLine="480" w:firstLineChars="200"/>
              <w:jc w:val="both"/>
              <w:rPr>
                <w:rFonts w:hint="eastAsia" w:cs="Times New Roman"/>
                <w:color w:val="auto"/>
                <w:sz w:val="24"/>
                <w:highlight w:val="none"/>
                <w:lang w:val="en-US" w:eastAsia="zh-CN"/>
              </w:rPr>
            </w:pPr>
          </w:p>
          <w:p>
            <w:pPr>
              <w:spacing w:line="360" w:lineRule="auto"/>
              <w:jc w:val="both"/>
              <w:rPr>
                <w:rFonts w:hint="default" w:ascii="Times New Roman" w:hAnsi="Times New Roman" w:eastAsia="宋体" w:cs="Times New Roman"/>
                <w:color w:val="auto"/>
                <w:sz w:val="24"/>
                <w:highlight w:val="none"/>
                <w:lang w:val="en-US" w:eastAsia="zh-CN"/>
              </w:rPr>
            </w:pPr>
          </w:p>
        </w:tc>
      </w:tr>
    </w:tbl>
    <w:p>
      <w:pPr>
        <w:rPr>
          <w:rFonts w:hint="default" w:ascii="Times New Roman" w:hAnsi="Times New Roman" w:eastAsia="宋体" w:cs="Times New Roman"/>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jc w:val="both"/>
        <w:textAlignment w:val="auto"/>
        <w:outlineLvl w:val="0"/>
        <w:rPr>
          <w:rFonts w:hint="default" w:ascii="Times New Roman" w:hAnsi="Times New Roman" w:eastAsia="宋体" w:cs="Times New Roman"/>
          <w:b/>
          <w:bCs/>
          <w:snapToGrid w:val="0"/>
          <w:color w:val="auto"/>
          <w:sz w:val="30"/>
          <w:szCs w:val="30"/>
          <w:highlight w:val="none"/>
        </w:rPr>
      </w:pPr>
      <w:bookmarkStart w:id="31" w:name="_Toc6881"/>
      <w:bookmarkStart w:id="32" w:name="_Toc24156"/>
      <w:bookmarkStart w:id="33" w:name="_Toc9427"/>
      <w:r>
        <w:rPr>
          <w:rFonts w:hint="default" w:ascii="Times New Roman" w:hAnsi="Times New Roman" w:eastAsia="宋体" w:cs="Times New Roman"/>
          <w:b/>
          <w:bCs/>
          <w:snapToGrid w:val="0"/>
          <w:color w:val="auto"/>
          <w:sz w:val="30"/>
          <w:szCs w:val="30"/>
          <w:highlight w:val="none"/>
        </w:rPr>
        <w:t>附表</w:t>
      </w:r>
      <w:bookmarkEnd w:id="31"/>
      <w:bookmarkEnd w:id="32"/>
      <w:bookmarkEnd w:id="33"/>
    </w:p>
    <w:p>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9"/>
        <w:rPr>
          <w:rFonts w:hint="default" w:ascii="Times New Roman" w:hAnsi="Times New Roman" w:eastAsia="宋体" w:cs="Times New Roman"/>
          <w:snapToGrid w:val="0"/>
          <w:color w:val="auto"/>
          <w:sz w:val="24"/>
          <w:szCs w:val="24"/>
          <w:highlight w:val="none"/>
        </w:rPr>
      </w:pPr>
      <w:bookmarkStart w:id="34" w:name="_Toc18631"/>
      <w:bookmarkStart w:id="35" w:name="_Toc29979"/>
      <w:r>
        <w:rPr>
          <w:rFonts w:hint="default" w:ascii="Times New Roman" w:hAnsi="Times New Roman" w:eastAsia="宋体" w:cs="Times New Roman"/>
          <w:snapToGrid w:val="0"/>
          <w:color w:val="auto"/>
          <w:sz w:val="24"/>
          <w:szCs w:val="24"/>
          <w:highlight w:val="none"/>
        </w:rPr>
        <w:t>建设项目污染物排放量汇总表</w:t>
      </w:r>
      <w:bookmarkEnd w:id="34"/>
      <w:bookmarkEnd w:id="35"/>
      <w:r>
        <w:rPr>
          <w:rFonts w:hint="default" w:ascii="Times New Roman" w:hAnsi="Times New Roman" w:eastAsia="宋体" w:cs="Times New Roman"/>
          <w:snapToGrid w:val="0"/>
          <w:color w:val="auto"/>
          <w:sz w:val="24"/>
          <w:szCs w:val="24"/>
          <w:highlight w:val="none"/>
          <w:lang w:eastAsia="zh-CN"/>
        </w:rPr>
        <w:t>（单位：</w:t>
      </w:r>
      <w:r>
        <w:rPr>
          <w:rFonts w:hint="default" w:ascii="Times New Roman" w:hAnsi="Times New Roman" w:eastAsia="宋体" w:cs="Times New Roman"/>
          <w:snapToGrid w:val="0"/>
          <w:color w:val="auto"/>
          <w:sz w:val="24"/>
          <w:szCs w:val="24"/>
          <w:highlight w:val="none"/>
          <w:lang w:val="en-US" w:eastAsia="zh-CN"/>
        </w:rPr>
        <w:t>t/a</w:t>
      </w:r>
      <w:r>
        <w:rPr>
          <w:rFonts w:hint="default" w:ascii="Times New Roman" w:hAnsi="Times New Roman" w:eastAsia="宋体" w:cs="Times New Roman"/>
          <w:snapToGrid w:val="0"/>
          <w:color w:val="auto"/>
          <w:sz w:val="24"/>
          <w:szCs w:val="24"/>
          <w:highlight w:val="none"/>
          <w:lang w:eastAsia="zh-CN"/>
        </w:rPr>
        <w:t>）</w:t>
      </w:r>
    </w:p>
    <w:tbl>
      <w:tblPr>
        <w:tblStyle w:val="27"/>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255"/>
        <w:gridCol w:w="1378"/>
        <w:gridCol w:w="1488"/>
        <w:gridCol w:w="1402"/>
        <w:gridCol w:w="1289"/>
        <w:gridCol w:w="1237"/>
        <w:gridCol w:w="1550"/>
        <w:gridCol w:w="13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tcBorders>
              <w:tl2br w:val="single" w:color="auto" w:sz="4"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分类</w:t>
            </w:r>
          </w:p>
        </w:tc>
        <w:tc>
          <w:tcPr>
            <w:tcW w:w="325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污染物名称</w:t>
            </w:r>
          </w:p>
        </w:tc>
        <w:tc>
          <w:tcPr>
            <w:tcW w:w="137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1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①</w:t>
            </w:r>
            <w:r>
              <w:rPr>
                <w:rFonts w:hint="default" w:ascii="Times New Roman" w:hAnsi="Times New Roman" w:eastAsia="宋体" w:cs="Times New Roman"/>
                <w:color w:val="auto"/>
                <w:sz w:val="21"/>
                <w:szCs w:val="21"/>
                <w:highlight w:val="none"/>
                <w:lang w:val="en-US" w:eastAsia="zh-CN"/>
              </w:rPr>
              <w:fldChar w:fldCharType="end"/>
            </w:r>
          </w:p>
        </w:tc>
        <w:tc>
          <w:tcPr>
            <w:tcW w:w="148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现有工程许可排放量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2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②</w:t>
            </w:r>
            <w:r>
              <w:rPr>
                <w:rFonts w:hint="default" w:ascii="Times New Roman" w:hAnsi="Times New Roman" w:eastAsia="宋体" w:cs="Times New Roman"/>
                <w:color w:val="auto"/>
                <w:sz w:val="21"/>
                <w:szCs w:val="21"/>
                <w:highlight w:val="none"/>
                <w:lang w:val="en-US" w:eastAsia="zh-CN"/>
              </w:rPr>
              <w:fldChar w:fldCharType="end"/>
            </w:r>
          </w:p>
        </w:tc>
        <w:tc>
          <w:tcPr>
            <w:tcW w:w="1402"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在建工程排放量（固体废物产生量）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3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③</w:t>
            </w:r>
            <w:r>
              <w:rPr>
                <w:rFonts w:hint="default" w:ascii="Times New Roman" w:hAnsi="Times New Roman" w:eastAsia="宋体" w:cs="Times New Roman"/>
                <w:color w:val="auto"/>
                <w:sz w:val="21"/>
                <w:szCs w:val="21"/>
                <w:highlight w:val="none"/>
                <w:lang w:val="en-US" w:eastAsia="zh-CN"/>
              </w:rPr>
              <w:fldChar w:fldCharType="end"/>
            </w:r>
          </w:p>
        </w:tc>
        <w:tc>
          <w:tcPr>
            <w:tcW w:w="128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4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④</w:t>
            </w:r>
            <w:r>
              <w:rPr>
                <w:rFonts w:hint="default" w:ascii="Times New Roman" w:hAnsi="Times New Roman" w:eastAsia="宋体" w:cs="Times New Roman"/>
                <w:color w:val="auto"/>
                <w:sz w:val="21"/>
                <w:szCs w:val="21"/>
                <w:highlight w:val="none"/>
                <w:lang w:val="en-US" w:eastAsia="zh-CN"/>
              </w:rPr>
              <w:fldChar w:fldCharType="end"/>
            </w:r>
          </w:p>
        </w:tc>
        <w:tc>
          <w:tcPr>
            <w:tcW w:w="1237"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以新带老削减量（新建项目不填）</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5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⑤</w:t>
            </w:r>
            <w:r>
              <w:rPr>
                <w:rFonts w:hint="default" w:ascii="Times New Roman" w:hAnsi="Times New Roman" w:eastAsia="宋体" w:cs="Times New Roman"/>
                <w:color w:val="auto"/>
                <w:sz w:val="21"/>
                <w:szCs w:val="21"/>
                <w:highlight w:val="none"/>
                <w:lang w:val="en-US" w:eastAsia="zh-CN"/>
              </w:rPr>
              <w:fldChar w:fldCharType="end"/>
            </w:r>
          </w:p>
        </w:tc>
        <w:tc>
          <w:tcPr>
            <w:tcW w:w="155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本项目建成后全厂排放量（固体废物产生量）</w:t>
            </w: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6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⑥</w:t>
            </w:r>
            <w:r>
              <w:rPr>
                <w:rFonts w:hint="default" w:ascii="Times New Roman" w:hAnsi="Times New Roman" w:eastAsia="宋体" w:cs="Times New Roman"/>
                <w:color w:val="auto"/>
                <w:sz w:val="21"/>
                <w:szCs w:val="21"/>
                <w:highlight w:val="none"/>
                <w:lang w:val="en-US" w:eastAsia="zh-CN"/>
              </w:rPr>
              <w:fldChar w:fldCharType="end"/>
            </w:r>
          </w:p>
        </w:tc>
        <w:tc>
          <w:tcPr>
            <w:tcW w:w="130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变化量</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fldChar w:fldCharType="begin"/>
            </w:r>
            <w:r>
              <w:rPr>
                <w:rFonts w:hint="default" w:ascii="Times New Roman" w:hAnsi="Times New Roman" w:eastAsia="宋体" w:cs="Times New Roman"/>
                <w:color w:val="auto"/>
                <w:sz w:val="21"/>
                <w:szCs w:val="21"/>
                <w:highlight w:val="none"/>
                <w:lang w:val="en-US" w:eastAsia="zh-CN"/>
              </w:rPr>
              <w:instrText xml:space="preserve"> = 7 \* GB3 \* MERGEFORMAT </w:instrText>
            </w:r>
            <w:r>
              <w:rPr>
                <w:rFonts w:hint="default" w:ascii="Times New Roman" w:hAnsi="Times New Roman" w:eastAsia="宋体" w:cs="Times New Roman"/>
                <w:color w:val="auto"/>
                <w:sz w:val="21"/>
                <w:szCs w:val="21"/>
                <w:highlight w:val="none"/>
                <w:lang w:val="en-US" w:eastAsia="zh-CN"/>
              </w:rPr>
              <w:fldChar w:fldCharType="separate"/>
            </w:r>
            <w:r>
              <w:rPr>
                <w:rFonts w:hint="default" w:ascii="Times New Roman" w:hAnsi="Times New Roman" w:eastAsia="宋体" w:cs="Times New Roman"/>
                <w:color w:val="auto"/>
                <w:sz w:val="21"/>
                <w:szCs w:val="21"/>
                <w:highlight w:val="none"/>
                <w:lang w:val="en-US" w:eastAsia="zh-CN"/>
              </w:rPr>
              <w:t>⑦</w:t>
            </w:r>
            <w:r>
              <w:rPr>
                <w:rFonts w:hint="default" w:ascii="Times New Roman" w:hAnsi="Times New Roman" w:eastAsia="宋体" w:cs="Times New Roman"/>
                <w:color w:val="auto"/>
                <w:sz w:val="21"/>
                <w:szCs w:val="21"/>
                <w:highlight w:val="none"/>
                <w:lang w:val="en-US" w:eastAsia="zh-CN"/>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废气</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1562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二氧化硫</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+5.3115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氮氧化物</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+6.3738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甲苯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0.000052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0.000052</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乙苯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苯乙烯</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0.0000156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0.0000156</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eastAsia" w:cs="Times New Roman"/>
                <w:i w:val="0"/>
                <w:iCs w:val="0"/>
                <w:color w:val="auto"/>
                <w:kern w:val="0"/>
                <w:sz w:val="21"/>
                <w:szCs w:val="21"/>
                <w:u w:val="none"/>
                <w:lang w:val="en-US" w:eastAsia="zh-CN" w:bidi="ar"/>
              </w:rPr>
              <w:t>+0.0000156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shd w:val="clear" w:color="auto" w:fill="auto"/>
              <w:kinsoku/>
              <w:wordWrap/>
              <w:overflowPunct/>
              <w:topLinePunct w:val="0"/>
              <w:autoSpaceDE/>
              <w:autoSpaceDN/>
              <w:bidi w:val="0"/>
              <w:adjustRightInd w:val="0"/>
              <w:snapToGrid w:val="0"/>
              <w:spacing w:line="36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非甲烷总烃</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c>
          <w:tcPr>
            <w:tcW w:w="130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i w:val="0"/>
                <w:iCs w:val="0"/>
                <w:color w:val="auto"/>
                <w:kern w:val="0"/>
                <w:sz w:val="21"/>
                <w:szCs w:val="21"/>
                <w:u w:val="none"/>
                <w:lang w:val="en-US" w:eastAsia="zh-CN" w:bidi="ar"/>
              </w:rPr>
              <w:t>+6.3898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废水</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COD</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一般固体废物</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废包装材料</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48.2657</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48.2657</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+48.2657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不合格颗粒、未成型产品、</w:t>
            </w:r>
            <w:r>
              <w:rPr>
                <w:rFonts w:hint="default" w:ascii="Times New Roman" w:hAnsi="Times New Roman" w:eastAsia="宋体" w:cs="Times New Roman"/>
                <w:color w:val="auto"/>
                <w:sz w:val="21"/>
                <w:szCs w:val="21"/>
                <w:highlight w:val="none"/>
                <w:lang w:eastAsia="zh-CN"/>
              </w:rPr>
              <w:t>边角料、不合格产品</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锅炉炉渣</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19.2900</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19.2900</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+19.2900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除尘器</w:t>
            </w:r>
            <w:r>
              <w:rPr>
                <w:rFonts w:hint="eastAsia" w:ascii="Times New Roman" w:hAnsi="Times New Roman" w:eastAsia="宋体" w:cs="Times New Roman"/>
                <w:color w:val="auto"/>
                <w:sz w:val="21"/>
                <w:szCs w:val="21"/>
                <w:highlight w:val="none"/>
                <w:lang w:val="en-US" w:eastAsia="zh-CN"/>
              </w:rPr>
              <w:t>收集的粉尘</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cs="Times New Roman"/>
                <w:color w:val="auto"/>
                <w:sz w:val="21"/>
                <w:szCs w:val="21"/>
                <w:lang w:val="en-US" w:eastAsia="zh-CN" w:bidi="ar"/>
              </w:rPr>
              <w:t>2.9682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lang w:val="en-US" w:eastAsia="zh-CN" w:bidi="ar"/>
              </w:rPr>
              <w:t>2.9682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lang w:val="en-US" w:eastAsia="zh-CN" w:bidi="ar"/>
              </w:rPr>
              <w:t>+2.9682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絮凝沉淀池沉渣</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color w:val="auto"/>
                <w:sz w:val="21"/>
                <w:szCs w:val="21"/>
                <w:lang w:val="en-US" w:eastAsia="zh-CN" w:bidi="ar"/>
              </w:rPr>
            </w:pPr>
            <w:r>
              <w:rPr>
                <w:rFonts w:hint="eastAsia" w:cs="Times New Roman"/>
                <w:color w:val="auto"/>
                <w:sz w:val="21"/>
                <w:szCs w:val="21"/>
                <w:lang w:val="en-US" w:eastAsia="zh-CN" w:bidi="ar"/>
              </w:rPr>
              <w:t>0.1</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bidi="ar"/>
              </w:rPr>
              <w:t>0.1</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b w:val="0"/>
                <w:bCs w:val="0"/>
                <w:color w:val="auto"/>
                <w:sz w:val="21"/>
                <w:szCs w:val="21"/>
                <w:highlight w:val="none"/>
                <w:lang w:val="en-US" w:eastAsia="zh-CN"/>
              </w:rPr>
            </w:pPr>
            <w:r>
              <w:rPr>
                <w:rFonts w:hint="eastAsia" w:cs="Times New Roman"/>
                <w:color w:val="auto"/>
                <w:sz w:val="21"/>
                <w:szCs w:val="21"/>
                <w:lang w:val="en-US" w:eastAsia="zh-CN" w:bidi="ar"/>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冷却池沉渣、浮渣</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cs="Times New Roman"/>
                <w:color w:val="auto"/>
                <w:sz w:val="21"/>
                <w:szCs w:val="21"/>
                <w:lang w:val="en-US" w:eastAsia="zh-CN" w:bidi="ar"/>
              </w:rPr>
            </w:pPr>
            <w:r>
              <w:rPr>
                <w:rFonts w:hint="eastAsia" w:cs="Times New Roman"/>
                <w:color w:val="auto"/>
                <w:sz w:val="21"/>
                <w:szCs w:val="21"/>
                <w:lang w:val="en-US" w:eastAsia="zh-CN" w:bidi="ar"/>
              </w:rPr>
              <w:t>0.1</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sz w:val="21"/>
                <w:szCs w:val="21"/>
                <w:lang w:val="en-US" w:eastAsia="zh-CN" w:bidi="ar"/>
              </w:rPr>
            </w:pPr>
            <w:r>
              <w:rPr>
                <w:rFonts w:hint="eastAsia" w:cs="Times New Roman"/>
                <w:color w:val="auto"/>
                <w:sz w:val="21"/>
                <w:szCs w:val="21"/>
                <w:lang w:val="en-US" w:eastAsia="zh-CN" w:bidi="ar"/>
              </w:rPr>
              <w:t>0.1</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cs="Times New Roman"/>
                <w:color w:val="auto"/>
                <w:sz w:val="21"/>
                <w:szCs w:val="21"/>
                <w:lang w:val="en-US" w:eastAsia="zh-CN" w:bidi="ar"/>
              </w:rPr>
            </w:pPr>
            <w:r>
              <w:rPr>
                <w:rFonts w:hint="eastAsia" w:cs="Times New Roman"/>
                <w:color w:val="auto"/>
                <w:sz w:val="21"/>
                <w:szCs w:val="21"/>
                <w:lang w:val="en-US" w:eastAsia="zh-CN" w:bidi="ar"/>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生活垃圾</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餐厨垃圾</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5.4</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5.4</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化粪池</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一体化污水处理站</w:t>
            </w:r>
            <w:r>
              <w:rPr>
                <w:rFonts w:hint="default" w:ascii="Times New Roman" w:hAnsi="Times New Roman" w:eastAsia="宋体" w:cs="Times New Roman"/>
                <w:b w:val="0"/>
                <w:bCs w:val="0"/>
                <w:color w:val="auto"/>
                <w:sz w:val="21"/>
                <w:szCs w:val="21"/>
                <w:highlight w:val="none"/>
              </w:rPr>
              <w:t>污泥</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废活性炭</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26.9632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26.9632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cs="Times New Roman"/>
                <w:color w:val="auto"/>
                <w:sz w:val="21"/>
                <w:szCs w:val="21"/>
                <w:highlight w:val="none"/>
                <w:lang w:val="en-US" w:eastAsia="zh-CN"/>
              </w:rPr>
              <w:t>+26.9632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废矿物油</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0.2</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废弃的含油抹布、劳保用品</w:t>
            </w:r>
          </w:p>
        </w:tc>
        <w:tc>
          <w:tcPr>
            <w:tcW w:w="137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8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4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289"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2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55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0.3</w:t>
            </w:r>
          </w:p>
        </w:tc>
        <w:tc>
          <w:tcPr>
            <w:tcW w:w="13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0.3</w:t>
            </w:r>
          </w:p>
        </w:tc>
      </w:tr>
    </w:tbl>
    <w:p>
      <w:pPr>
        <w:rPr>
          <w:rFonts w:hint="default" w:ascii="Times New Roman" w:hAnsi="Times New Roman" w:eastAsia="宋体" w:cs="Times New Roman"/>
          <w:color w:val="auto"/>
          <w:highlight w:val="none"/>
        </w:rPr>
      </w:pPr>
      <w:r>
        <w:rPr>
          <w:rFonts w:hint="default" w:ascii="Times New Roman" w:hAnsi="Times New Roman" w:eastAsia="宋体" w:cs="Times New Roman"/>
          <w:snapToGrid w:val="0"/>
          <w:color w:val="auto"/>
          <w:kern w:val="21"/>
          <w:szCs w:val="21"/>
          <w:highlight w:val="none"/>
        </w:rPr>
        <w:t>注：</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③</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④</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⑤</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⑦</w:t>
      </w:r>
      <w:r>
        <w:rPr>
          <w:rFonts w:hint="default" w:ascii="Times New Roman" w:hAnsi="Times New Roman" w:eastAsia="宋体" w:cs="Times New Roman"/>
          <w:snapToGrid w:val="0"/>
          <w:color w:val="auto"/>
          <w:spacing w:val="-6"/>
          <w:kern w:val="21"/>
          <w:szCs w:val="21"/>
          <w:highlight w:val="none"/>
        </w:rPr>
        <w:fldChar w:fldCharType="end"/>
      </w:r>
      <w:r>
        <w:rPr>
          <w:rFonts w:hint="default" w:ascii="Times New Roman" w:hAnsi="Times New Roman" w:eastAsia="宋体" w:cs="Times New Roman"/>
          <w:snapToGrid w:val="0"/>
          <w:color w:val="auto"/>
          <w:spacing w:val="-6"/>
          <w:kern w:val="21"/>
          <w:szCs w:val="21"/>
          <w:highlight w:val="none"/>
        </w:rPr>
        <w:t>=</w:t>
      </w:r>
      <w:r>
        <w:rPr>
          <w:rFonts w:hint="default" w:ascii="Times New Roman" w:hAnsi="Times New Roman" w:eastAsia="宋体" w:cs="Times New Roman"/>
          <w:snapToGrid w:val="0"/>
          <w:color w:val="auto"/>
          <w:spacing w:val="-16"/>
          <w:kern w:val="21"/>
          <w:szCs w:val="21"/>
          <w:highlight w:val="none"/>
        </w:rPr>
        <w:fldChar w:fldCharType="begin"/>
      </w:r>
      <w:r>
        <w:rPr>
          <w:rFonts w:hint="default" w:ascii="Times New Roman" w:hAnsi="Times New Roman" w:eastAsia="宋体" w:cs="Times New Roman"/>
          <w:snapToGrid w:val="0"/>
          <w:color w:val="auto"/>
          <w:spacing w:val="-16"/>
          <w:kern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Cs w:val="21"/>
          <w:highlight w:val="none"/>
        </w:rPr>
        <w:fldChar w:fldCharType="separate"/>
      </w:r>
      <w:r>
        <w:rPr>
          <w:rFonts w:hint="default" w:ascii="Times New Roman" w:hAnsi="Times New Roman" w:eastAsia="宋体" w:cs="Times New Roman"/>
          <w:color w:val="auto"/>
          <w:szCs w:val="21"/>
          <w:highlight w:val="none"/>
        </w:rPr>
        <w:t>⑥</w:t>
      </w:r>
      <w:r>
        <w:rPr>
          <w:rFonts w:hint="default" w:ascii="Times New Roman" w:hAnsi="Times New Roman" w:eastAsia="宋体" w:cs="Times New Roman"/>
          <w:snapToGrid w:val="0"/>
          <w:color w:val="auto"/>
          <w:spacing w:val="-16"/>
          <w:kern w:val="21"/>
          <w:szCs w:val="21"/>
          <w:highlight w:val="none"/>
        </w:rPr>
        <w:fldChar w:fldCharType="end"/>
      </w:r>
      <w:r>
        <w:rPr>
          <w:rFonts w:hint="default" w:ascii="Times New Roman" w:hAnsi="Times New Roman" w:eastAsia="宋体" w:cs="Times New Roman"/>
          <w:snapToGrid w:val="0"/>
          <w:color w:val="auto"/>
          <w:spacing w:val="-16"/>
          <w:kern w:val="21"/>
          <w:szCs w:val="21"/>
          <w:highlight w:val="none"/>
        </w:rPr>
        <w:t>-</w:t>
      </w:r>
      <w:r>
        <w:rPr>
          <w:rFonts w:hint="default" w:ascii="Times New Roman" w:hAnsi="Times New Roman" w:eastAsia="宋体" w:cs="Times New Roman"/>
          <w:snapToGrid w:val="0"/>
          <w:color w:val="auto"/>
          <w:spacing w:val="-6"/>
          <w:kern w:val="21"/>
          <w:szCs w:val="21"/>
          <w:highlight w:val="none"/>
        </w:rPr>
        <w:fldChar w:fldCharType="begin"/>
      </w:r>
      <w:r>
        <w:rPr>
          <w:rFonts w:hint="default" w:ascii="Times New Roman" w:hAnsi="Times New Roman" w:eastAsia="宋体" w:cs="Times New Roman"/>
          <w:snapToGrid w:val="0"/>
          <w:color w:val="auto"/>
          <w:spacing w:val="-6"/>
          <w:kern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Cs w:val="21"/>
          <w:highlight w:val="none"/>
        </w:rPr>
        <w:fldChar w:fldCharType="separate"/>
      </w:r>
      <w:r>
        <w:rPr>
          <w:rFonts w:hint="default" w:ascii="Times New Roman" w:hAnsi="Times New Roman" w:eastAsia="宋体" w:cs="Times New Roman"/>
          <w:color w:val="auto"/>
          <w:szCs w:val="21"/>
          <w:highlight w:val="none"/>
        </w:rPr>
        <w:t>①</w:t>
      </w:r>
      <w:r>
        <w:rPr>
          <w:rFonts w:hint="default" w:ascii="Times New Roman" w:hAnsi="Times New Roman" w:eastAsia="宋体" w:cs="Times New Roman"/>
          <w:snapToGrid w:val="0"/>
          <w:color w:val="auto"/>
          <w:spacing w:val="-6"/>
          <w:kern w:val="21"/>
          <w:szCs w:val="21"/>
          <w:highlight w:val="none"/>
        </w:rPr>
        <w:fldChar w:fldCharType="end"/>
      </w: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Geneva">
    <w:altName w:val="Arial"/>
    <w:panose1 w:val="020B0503030404040204"/>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7951"/>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rPr>
                        <w:rStyle w:val="31"/>
                        <w:rFonts w:ascii="宋体" w:hAnsi="宋体"/>
                        <w:sz w:val="28"/>
                        <w:szCs w:val="28"/>
                      </w:rPr>
                    </w:pPr>
                    <w:r>
                      <w:rPr>
                        <w:rStyle w:val="31"/>
                        <w:rFonts w:hint="eastAsia" w:ascii="宋体" w:hAnsi="宋体"/>
                        <w:sz w:val="28"/>
                        <w:szCs w:val="28"/>
                      </w:rPr>
                      <w:t>—</w:t>
                    </w:r>
                    <w:r>
                      <w:rPr>
                        <w:rStyle w:val="31"/>
                        <w:rFonts w:hint="eastAsia" w:ascii="宋体" w:hAnsi="宋体"/>
                        <w:sz w:val="20"/>
                      </w:rPr>
                      <w:t xml:space="preserve">  </w:t>
                    </w:r>
                    <w:r>
                      <w:rPr>
                        <w:rStyle w:val="31"/>
                        <w:rFonts w:ascii="宋体" w:hAnsi="宋体"/>
                        <w:sz w:val="26"/>
                        <w:szCs w:val="26"/>
                      </w:rPr>
                      <w:fldChar w:fldCharType="begin"/>
                    </w:r>
                    <w:r>
                      <w:rPr>
                        <w:rStyle w:val="31"/>
                        <w:rFonts w:ascii="宋体" w:hAnsi="宋体"/>
                        <w:sz w:val="26"/>
                        <w:szCs w:val="26"/>
                      </w:rPr>
                      <w:instrText xml:space="preserve">PAGE  </w:instrText>
                    </w:r>
                    <w:r>
                      <w:rPr>
                        <w:rStyle w:val="31"/>
                        <w:rFonts w:ascii="宋体" w:hAnsi="宋体"/>
                        <w:sz w:val="26"/>
                        <w:szCs w:val="26"/>
                      </w:rPr>
                      <w:fldChar w:fldCharType="separate"/>
                    </w:r>
                    <w:r>
                      <w:rPr>
                        <w:rStyle w:val="31"/>
                        <w:rFonts w:ascii="宋体" w:hAnsi="宋体"/>
                        <w:sz w:val="26"/>
                        <w:szCs w:val="26"/>
                      </w:rPr>
                      <w:t>9</w:t>
                    </w:r>
                    <w:r>
                      <w:rPr>
                        <w:rStyle w:val="31"/>
                        <w:rFonts w:ascii="宋体" w:hAnsi="宋体"/>
                        <w:sz w:val="26"/>
                        <w:szCs w:val="26"/>
                      </w:rPr>
                      <w:fldChar w:fldCharType="end"/>
                    </w:r>
                    <w:r>
                      <w:rPr>
                        <w:rStyle w:val="31"/>
                        <w:rFonts w:hint="eastAsia" w:ascii="宋体" w:hAnsi="宋体"/>
                        <w:sz w:val="20"/>
                      </w:rPr>
                      <w:t xml:space="preserve">  </w:t>
                    </w:r>
                    <w:r>
                      <w:rPr>
                        <w:rStyle w:val="31"/>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99B6E"/>
    <w:multiLevelType w:val="multilevel"/>
    <w:tmpl w:val="5A699B6E"/>
    <w:lvl w:ilvl="0" w:tentative="0">
      <w:start w:val="1"/>
      <w:numFmt w:val="decimal"/>
      <w:suff w:val="space"/>
      <w:lvlText w:val="第%1章  "/>
      <w:lvlJc w:val="center"/>
      <w:pPr>
        <w:tabs>
          <w:tab w:val="left" w:pos="420"/>
        </w:tabs>
        <w:ind w:left="0" w:firstLine="0"/>
      </w:pPr>
      <w:rPr>
        <w:rFonts w:hint="default" w:ascii="Times New Roman" w:hAnsi="Times New Roman" w:eastAsia="黑体" w:cs="Times New Roman"/>
        <w:b/>
        <w:bCs/>
        <w:sz w:val="30"/>
        <w:szCs w:val="30"/>
      </w:rPr>
    </w:lvl>
    <w:lvl w:ilvl="1" w:tentative="0">
      <w:start w:val="1"/>
      <w:numFmt w:val="decimal"/>
      <w:suff w:val="nothing"/>
      <w:lvlText w:val="%1.%2 "/>
      <w:lvlJc w:val="left"/>
      <w:pPr>
        <w:tabs>
          <w:tab w:val="left" w:pos="0"/>
        </w:tabs>
        <w:ind w:left="575" w:hanging="575"/>
      </w:pPr>
      <w:rPr>
        <w:rFonts w:hint="default" w:ascii="Times New Roman" w:hAnsi="Times New Roman" w:eastAsia="黑体" w:cs="Times New Roman"/>
        <w:b/>
        <w:bCs/>
        <w:sz w:val="28"/>
        <w:szCs w:val="28"/>
      </w:rPr>
    </w:lvl>
    <w:lvl w:ilvl="2" w:tentative="0">
      <w:start w:val="1"/>
      <w:numFmt w:val="decimal"/>
      <w:suff w:val="nothing"/>
      <w:lvlText w:val="%1.%2.%3 "/>
      <w:lvlJc w:val="left"/>
      <w:pPr>
        <w:tabs>
          <w:tab w:val="left" w:pos="0"/>
        </w:tabs>
        <w:ind w:left="720" w:hanging="720"/>
      </w:pPr>
      <w:rPr>
        <w:rFonts w:hint="default" w:ascii="Times New Roman" w:hAnsi="Times New Roman" w:eastAsia="宋体" w:cs="Times New Roman"/>
        <w:b/>
        <w:bCs/>
        <w:sz w:val="24"/>
        <w:szCs w:val="24"/>
      </w:rPr>
    </w:lvl>
    <w:lvl w:ilvl="3" w:tentative="0">
      <w:start w:val="1"/>
      <w:numFmt w:val="decimal"/>
      <w:suff w:val="nothing"/>
      <w:lvlText w:val="%1.%2.%3.%4 "/>
      <w:lvlJc w:val="left"/>
      <w:pPr>
        <w:tabs>
          <w:tab w:val="left" w:pos="0"/>
        </w:tabs>
        <w:ind w:left="864" w:hanging="864"/>
      </w:pPr>
      <w:rPr>
        <w:rFonts w:hint="default" w:ascii="Times New Roman" w:hAnsi="Times New Roman" w:eastAsia="宋体" w:cs="Times New Roman"/>
        <w:b/>
        <w:bCs/>
        <w:sz w:val="24"/>
        <w:szCs w:val="24"/>
      </w:rPr>
    </w:lvl>
    <w:lvl w:ilvl="4" w:tentative="0">
      <w:start w:val="1"/>
      <w:numFmt w:val="decimal"/>
      <w:lvlRestart w:val="2"/>
      <w:pStyle w:val="61"/>
      <w:suff w:val="nothing"/>
      <w:lvlText w:val="表%1.%2-%5  "/>
      <w:lvlJc w:val="left"/>
      <w:pPr>
        <w:tabs>
          <w:tab w:val="left" w:pos="0"/>
        </w:tabs>
        <w:ind w:left="1008" w:hanging="1008"/>
      </w:pPr>
      <w:rPr>
        <w:rFonts w:hint="default" w:ascii="Times New Roman" w:hAnsi="Times New Roman" w:eastAsia="宋体" w:cs="Times New Roman"/>
        <w:b/>
        <w:bCs/>
        <w:sz w:val="24"/>
        <w:szCs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670799FE"/>
    <w:multiLevelType w:val="singleLevel"/>
    <w:tmpl w:val="670799F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YzA1MTk2MmQ3MmRjMTcwZWQxZTBhMTA2N2YyMGUifQ=="/>
  </w:docVars>
  <w:rsids>
    <w:rsidRoot w:val="00172A27"/>
    <w:rsid w:val="00003504"/>
    <w:rsid w:val="00051995"/>
    <w:rsid w:val="000F6956"/>
    <w:rsid w:val="00195B31"/>
    <w:rsid w:val="001A2968"/>
    <w:rsid w:val="001A2B41"/>
    <w:rsid w:val="00205621"/>
    <w:rsid w:val="00224C7A"/>
    <w:rsid w:val="002D269B"/>
    <w:rsid w:val="002F4511"/>
    <w:rsid w:val="00303F39"/>
    <w:rsid w:val="00327CB1"/>
    <w:rsid w:val="00340FEF"/>
    <w:rsid w:val="00382DEE"/>
    <w:rsid w:val="003A4DB8"/>
    <w:rsid w:val="003C28DE"/>
    <w:rsid w:val="003C3010"/>
    <w:rsid w:val="00483F16"/>
    <w:rsid w:val="00551409"/>
    <w:rsid w:val="006360BD"/>
    <w:rsid w:val="00675306"/>
    <w:rsid w:val="00692FA7"/>
    <w:rsid w:val="006A623D"/>
    <w:rsid w:val="006C1441"/>
    <w:rsid w:val="006D6F3B"/>
    <w:rsid w:val="006E177F"/>
    <w:rsid w:val="007A6F63"/>
    <w:rsid w:val="007E4E77"/>
    <w:rsid w:val="00884CAE"/>
    <w:rsid w:val="0089189B"/>
    <w:rsid w:val="008E40E1"/>
    <w:rsid w:val="008F6EB2"/>
    <w:rsid w:val="00961A49"/>
    <w:rsid w:val="009763E1"/>
    <w:rsid w:val="00980EC9"/>
    <w:rsid w:val="00A10993"/>
    <w:rsid w:val="00A124D7"/>
    <w:rsid w:val="00A43F55"/>
    <w:rsid w:val="00A83AD0"/>
    <w:rsid w:val="00A86FB1"/>
    <w:rsid w:val="00B431AC"/>
    <w:rsid w:val="00B52CB1"/>
    <w:rsid w:val="00BA691D"/>
    <w:rsid w:val="00C74E44"/>
    <w:rsid w:val="00C823C4"/>
    <w:rsid w:val="00CA1B74"/>
    <w:rsid w:val="00CD79DA"/>
    <w:rsid w:val="00D5761F"/>
    <w:rsid w:val="00D91EDB"/>
    <w:rsid w:val="00E865C2"/>
    <w:rsid w:val="00EA40E8"/>
    <w:rsid w:val="00ED1E2A"/>
    <w:rsid w:val="01022F84"/>
    <w:rsid w:val="01056ABA"/>
    <w:rsid w:val="010A79CD"/>
    <w:rsid w:val="010F5955"/>
    <w:rsid w:val="01115B19"/>
    <w:rsid w:val="01160F0D"/>
    <w:rsid w:val="01167F7D"/>
    <w:rsid w:val="01233A9E"/>
    <w:rsid w:val="01246CCD"/>
    <w:rsid w:val="012C34B7"/>
    <w:rsid w:val="0136518B"/>
    <w:rsid w:val="013A432D"/>
    <w:rsid w:val="013B153A"/>
    <w:rsid w:val="013C06BC"/>
    <w:rsid w:val="01413E0E"/>
    <w:rsid w:val="014156B5"/>
    <w:rsid w:val="01431C2E"/>
    <w:rsid w:val="01472C04"/>
    <w:rsid w:val="0163340B"/>
    <w:rsid w:val="017023A7"/>
    <w:rsid w:val="0170579C"/>
    <w:rsid w:val="01787946"/>
    <w:rsid w:val="01940A17"/>
    <w:rsid w:val="019450FA"/>
    <w:rsid w:val="0198234B"/>
    <w:rsid w:val="01991C4C"/>
    <w:rsid w:val="019D55FE"/>
    <w:rsid w:val="01A11117"/>
    <w:rsid w:val="01A2544F"/>
    <w:rsid w:val="01A37B56"/>
    <w:rsid w:val="01AF1275"/>
    <w:rsid w:val="01B131E0"/>
    <w:rsid w:val="01BD17FD"/>
    <w:rsid w:val="01BE7323"/>
    <w:rsid w:val="01C74429"/>
    <w:rsid w:val="01CA3F1A"/>
    <w:rsid w:val="01CE02A5"/>
    <w:rsid w:val="01CF66BA"/>
    <w:rsid w:val="01D227E9"/>
    <w:rsid w:val="01D51CEF"/>
    <w:rsid w:val="01D52DEE"/>
    <w:rsid w:val="01E07FB3"/>
    <w:rsid w:val="01E274B5"/>
    <w:rsid w:val="01E54191"/>
    <w:rsid w:val="01EA3F2D"/>
    <w:rsid w:val="01F013C1"/>
    <w:rsid w:val="01F568EE"/>
    <w:rsid w:val="01F677A7"/>
    <w:rsid w:val="01FE5971"/>
    <w:rsid w:val="02023F4B"/>
    <w:rsid w:val="020D3724"/>
    <w:rsid w:val="02104022"/>
    <w:rsid w:val="02111D80"/>
    <w:rsid w:val="02117558"/>
    <w:rsid w:val="02160608"/>
    <w:rsid w:val="021805A0"/>
    <w:rsid w:val="021826DA"/>
    <w:rsid w:val="021F6013"/>
    <w:rsid w:val="022A49B8"/>
    <w:rsid w:val="022E4A8F"/>
    <w:rsid w:val="023000CF"/>
    <w:rsid w:val="0234328A"/>
    <w:rsid w:val="023831E6"/>
    <w:rsid w:val="024737BC"/>
    <w:rsid w:val="024A4B13"/>
    <w:rsid w:val="024B0EA1"/>
    <w:rsid w:val="024C35ED"/>
    <w:rsid w:val="024C492F"/>
    <w:rsid w:val="024C63F3"/>
    <w:rsid w:val="024E20A3"/>
    <w:rsid w:val="02502847"/>
    <w:rsid w:val="02503F29"/>
    <w:rsid w:val="0250441F"/>
    <w:rsid w:val="025817C9"/>
    <w:rsid w:val="026D20B1"/>
    <w:rsid w:val="02725808"/>
    <w:rsid w:val="02730CBD"/>
    <w:rsid w:val="027B0375"/>
    <w:rsid w:val="027B5F7F"/>
    <w:rsid w:val="028203C5"/>
    <w:rsid w:val="0284056C"/>
    <w:rsid w:val="029213A5"/>
    <w:rsid w:val="02955AF6"/>
    <w:rsid w:val="029562D6"/>
    <w:rsid w:val="029C58B6"/>
    <w:rsid w:val="029E162E"/>
    <w:rsid w:val="029E7C2F"/>
    <w:rsid w:val="02A1631F"/>
    <w:rsid w:val="02A53D13"/>
    <w:rsid w:val="02A66735"/>
    <w:rsid w:val="02B50098"/>
    <w:rsid w:val="02B524D4"/>
    <w:rsid w:val="02B76EA0"/>
    <w:rsid w:val="02C72207"/>
    <w:rsid w:val="02CB1CF7"/>
    <w:rsid w:val="02E078A9"/>
    <w:rsid w:val="02E1776D"/>
    <w:rsid w:val="02FF23DD"/>
    <w:rsid w:val="030C6E5A"/>
    <w:rsid w:val="03153BB5"/>
    <w:rsid w:val="03172975"/>
    <w:rsid w:val="032B47D4"/>
    <w:rsid w:val="032E299E"/>
    <w:rsid w:val="03342439"/>
    <w:rsid w:val="033905F3"/>
    <w:rsid w:val="033B50CF"/>
    <w:rsid w:val="034026E5"/>
    <w:rsid w:val="03443858"/>
    <w:rsid w:val="03477077"/>
    <w:rsid w:val="03477A8E"/>
    <w:rsid w:val="0348159A"/>
    <w:rsid w:val="034D4E02"/>
    <w:rsid w:val="034E2BCA"/>
    <w:rsid w:val="03550A4B"/>
    <w:rsid w:val="035703B8"/>
    <w:rsid w:val="03591C06"/>
    <w:rsid w:val="035E4CED"/>
    <w:rsid w:val="036A5AAA"/>
    <w:rsid w:val="036A7762"/>
    <w:rsid w:val="036F4ACF"/>
    <w:rsid w:val="0375211A"/>
    <w:rsid w:val="037567E0"/>
    <w:rsid w:val="03786668"/>
    <w:rsid w:val="037C09BB"/>
    <w:rsid w:val="03870314"/>
    <w:rsid w:val="0397607D"/>
    <w:rsid w:val="039B3DC0"/>
    <w:rsid w:val="03A73E08"/>
    <w:rsid w:val="03A92761"/>
    <w:rsid w:val="03A9365C"/>
    <w:rsid w:val="03AE1559"/>
    <w:rsid w:val="03AF6F21"/>
    <w:rsid w:val="03B104EB"/>
    <w:rsid w:val="03C055D4"/>
    <w:rsid w:val="03C06C7A"/>
    <w:rsid w:val="03C2134C"/>
    <w:rsid w:val="03C427E7"/>
    <w:rsid w:val="03C4339C"/>
    <w:rsid w:val="03C76963"/>
    <w:rsid w:val="03D33559"/>
    <w:rsid w:val="03DF20E6"/>
    <w:rsid w:val="03E84AD5"/>
    <w:rsid w:val="03EA75CC"/>
    <w:rsid w:val="03F41EEC"/>
    <w:rsid w:val="03FB485E"/>
    <w:rsid w:val="03FC7FF0"/>
    <w:rsid w:val="03FD436B"/>
    <w:rsid w:val="041365C4"/>
    <w:rsid w:val="04172478"/>
    <w:rsid w:val="04180F6C"/>
    <w:rsid w:val="04182BE0"/>
    <w:rsid w:val="041D2A27"/>
    <w:rsid w:val="04273BA4"/>
    <w:rsid w:val="042E24FA"/>
    <w:rsid w:val="04337931"/>
    <w:rsid w:val="043A35D9"/>
    <w:rsid w:val="044048B6"/>
    <w:rsid w:val="04406715"/>
    <w:rsid w:val="04455CBC"/>
    <w:rsid w:val="04485834"/>
    <w:rsid w:val="045253A0"/>
    <w:rsid w:val="0456591D"/>
    <w:rsid w:val="04590024"/>
    <w:rsid w:val="045C1F77"/>
    <w:rsid w:val="045C2D6E"/>
    <w:rsid w:val="045F6DD7"/>
    <w:rsid w:val="046046D6"/>
    <w:rsid w:val="04776088"/>
    <w:rsid w:val="047F4146"/>
    <w:rsid w:val="04864599"/>
    <w:rsid w:val="048C120B"/>
    <w:rsid w:val="048C5BE2"/>
    <w:rsid w:val="048F32CE"/>
    <w:rsid w:val="049158F0"/>
    <w:rsid w:val="049F3A8D"/>
    <w:rsid w:val="04A60661"/>
    <w:rsid w:val="04A85FC7"/>
    <w:rsid w:val="04AE3779"/>
    <w:rsid w:val="04AE464C"/>
    <w:rsid w:val="04AE7B23"/>
    <w:rsid w:val="04B05649"/>
    <w:rsid w:val="04B14484"/>
    <w:rsid w:val="04B213C1"/>
    <w:rsid w:val="04B5525E"/>
    <w:rsid w:val="04BB2116"/>
    <w:rsid w:val="04BC3FEE"/>
    <w:rsid w:val="04C335CE"/>
    <w:rsid w:val="04C410F4"/>
    <w:rsid w:val="04CB7A9A"/>
    <w:rsid w:val="04CD6D06"/>
    <w:rsid w:val="04D05CEB"/>
    <w:rsid w:val="04DC4690"/>
    <w:rsid w:val="04E179AB"/>
    <w:rsid w:val="04E83035"/>
    <w:rsid w:val="04F35535"/>
    <w:rsid w:val="04FD548E"/>
    <w:rsid w:val="05025D14"/>
    <w:rsid w:val="050442C2"/>
    <w:rsid w:val="0507507E"/>
    <w:rsid w:val="05145A0C"/>
    <w:rsid w:val="051554AC"/>
    <w:rsid w:val="052370D3"/>
    <w:rsid w:val="05263B5D"/>
    <w:rsid w:val="05273155"/>
    <w:rsid w:val="053775DF"/>
    <w:rsid w:val="053814B3"/>
    <w:rsid w:val="054377AC"/>
    <w:rsid w:val="055D3573"/>
    <w:rsid w:val="055E50A5"/>
    <w:rsid w:val="05600E1D"/>
    <w:rsid w:val="05753A6C"/>
    <w:rsid w:val="05796D93"/>
    <w:rsid w:val="057A4A23"/>
    <w:rsid w:val="05820786"/>
    <w:rsid w:val="05830037"/>
    <w:rsid w:val="05854CE9"/>
    <w:rsid w:val="059357C9"/>
    <w:rsid w:val="05A23AEA"/>
    <w:rsid w:val="05A32D8D"/>
    <w:rsid w:val="05A607FA"/>
    <w:rsid w:val="05B20F4D"/>
    <w:rsid w:val="05DB3FDB"/>
    <w:rsid w:val="05E774E6"/>
    <w:rsid w:val="05F477B7"/>
    <w:rsid w:val="05FA2A55"/>
    <w:rsid w:val="05FB0B46"/>
    <w:rsid w:val="05FC1F0A"/>
    <w:rsid w:val="06020126"/>
    <w:rsid w:val="06025659"/>
    <w:rsid w:val="060856F4"/>
    <w:rsid w:val="06110369"/>
    <w:rsid w:val="06147E59"/>
    <w:rsid w:val="06191684"/>
    <w:rsid w:val="061D0ABC"/>
    <w:rsid w:val="062067FE"/>
    <w:rsid w:val="062B6E9A"/>
    <w:rsid w:val="062C6F51"/>
    <w:rsid w:val="062F2FDC"/>
    <w:rsid w:val="06302974"/>
    <w:rsid w:val="063B7CCA"/>
    <w:rsid w:val="063D2F0C"/>
    <w:rsid w:val="063E50AD"/>
    <w:rsid w:val="064249C6"/>
    <w:rsid w:val="06555537"/>
    <w:rsid w:val="065869FD"/>
    <w:rsid w:val="065B0CF6"/>
    <w:rsid w:val="065F4847"/>
    <w:rsid w:val="0662062E"/>
    <w:rsid w:val="066801DD"/>
    <w:rsid w:val="066B5CCB"/>
    <w:rsid w:val="067A04CA"/>
    <w:rsid w:val="067F3525"/>
    <w:rsid w:val="068230B2"/>
    <w:rsid w:val="06867DFC"/>
    <w:rsid w:val="06872F1A"/>
    <w:rsid w:val="06915006"/>
    <w:rsid w:val="06947999"/>
    <w:rsid w:val="06952D48"/>
    <w:rsid w:val="069B6A6E"/>
    <w:rsid w:val="069D1BFD"/>
    <w:rsid w:val="069D785C"/>
    <w:rsid w:val="06A34A08"/>
    <w:rsid w:val="06A66E45"/>
    <w:rsid w:val="06AC1E41"/>
    <w:rsid w:val="06B156A8"/>
    <w:rsid w:val="06B7213F"/>
    <w:rsid w:val="06BA5030"/>
    <w:rsid w:val="06BC2051"/>
    <w:rsid w:val="06BD404D"/>
    <w:rsid w:val="06C50692"/>
    <w:rsid w:val="06C7630B"/>
    <w:rsid w:val="06CB676A"/>
    <w:rsid w:val="06CF4373"/>
    <w:rsid w:val="06EA3BC7"/>
    <w:rsid w:val="06EB0BBA"/>
    <w:rsid w:val="06F270BC"/>
    <w:rsid w:val="071B32B6"/>
    <w:rsid w:val="07267541"/>
    <w:rsid w:val="07287718"/>
    <w:rsid w:val="072B545A"/>
    <w:rsid w:val="07301F12"/>
    <w:rsid w:val="07310263"/>
    <w:rsid w:val="07331C8C"/>
    <w:rsid w:val="0743707D"/>
    <w:rsid w:val="074C325F"/>
    <w:rsid w:val="074E2EF7"/>
    <w:rsid w:val="075958CC"/>
    <w:rsid w:val="075F3ED9"/>
    <w:rsid w:val="075F5E39"/>
    <w:rsid w:val="07660241"/>
    <w:rsid w:val="076B3AA9"/>
    <w:rsid w:val="07767EF0"/>
    <w:rsid w:val="077C7D1E"/>
    <w:rsid w:val="07822CFC"/>
    <w:rsid w:val="07990119"/>
    <w:rsid w:val="07A128D4"/>
    <w:rsid w:val="07A1396F"/>
    <w:rsid w:val="07A174CB"/>
    <w:rsid w:val="07A953B1"/>
    <w:rsid w:val="07B34569"/>
    <w:rsid w:val="07BD6BB5"/>
    <w:rsid w:val="07BE6026"/>
    <w:rsid w:val="07C25320"/>
    <w:rsid w:val="07C25615"/>
    <w:rsid w:val="07CE1789"/>
    <w:rsid w:val="07DD7326"/>
    <w:rsid w:val="07EC6998"/>
    <w:rsid w:val="07F21110"/>
    <w:rsid w:val="07F32AD5"/>
    <w:rsid w:val="0800140A"/>
    <w:rsid w:val="080D0674"/>
    <w:rsid w:val="080E5162"/>
    <w:rsid w:val="082425D6"/>
    <w:rsid w:val="08254FB4"/>
    <w:rsid w:val="082751D4"/>
    <w:rsid w:val="0828199A"/>
    <w:rsid w:val="082D338F"/>
    <w:rsid w:val="08367B67"/>
    <w:rsid w:val="08371AF0"/>
    <w:rsid w:val="08393BA7"/>
    <w:rsid w:val="083E11BD"/>
    <w:rsid w:val="08430582"/>
    <w:rsid w:val="084F6F27"/>
    <w:rsid w:val="08512C9F"/>
    <w:rsid w:val="08517028"/>
    <w:rsid w:val="0858402D"/>
    <w:rsid w:val="08591B53"/>
    <w:rsid w:val="085D4882"/>
    <w:rsid w:val="08640C24"/>
    <w:rsid w:val="08644C05"/>
    <w:rsid w:val="086B2B4D"/>
    <w:rsid w:val="08730E67"/>
    <w:rsid w:val="08744F7A"/>
    <w:rsid w:val="087D3A94"/>
    <w:rsid w:val="087D7F38"/>
    <w:rsid w:val="08821A3A"/>
    <w:rsid w:val="08852292"/>
    <w:rsid w:val="088766C0"/>
    <w:rsid w:val="088E7A4F"/>
    <w:rsid w:val="0895702F"/>
    <w:rsid w:val="08961A12"/>
    <w:rsid w:val="089634CF"/>
    <w:rsid w:val="089F7EAE"/>
    <w:rsid w:val="08AB6408"/>
    <w:rsid w:val="08AF5C17"/>
    <w:rsid w:val="08B45FD1"/>
    <w:rsid w:val="08B80F70"/>
    <w:rsid w:val="08BB4E6E"/>
    <w:rsid w:val="08C16076"/>
    <w:rsid w:val="08C547EB"/>
    <w:rsid w:val="08D15B8E"/>
    <w:rsid w:val="08D2511C"/>
    <w:rsid w:val="08D768B3"/>
    <w:rsid w:val="08DC2B16"/>
    <w:rsid w:val="08E06BFE"/>
    <w:rsid w:val="08E65530"/>
    <w:rsid w:val="08EA1120"/>
    <w:rsid w:val="08FD1DEA"/>
    <w:rsid w:val="08FD31A9"/>
    <w:rsid w:val="0909610C"/>
    <w:rsid w:val="09153CCC"/>
    <w:rsid w:val="09154167"/>
    <w:rsid w:val="09175C96"/>
    <w:rsid w:val="091B682D"/>
    <w:rsid w:val="09206DDD"/>
    <w:rsid w:val="09212671"/>
    <w:rsid w:val="0926412B"/>
    <w:rsid w:val="092C7268"/>
    <w:rsid w:val="09364775"/>
    <w:rsid w:val="0941451D"/>
    <w:rsid w:val="09497E1A"/>
    <w:rsid w:val="094A557B"/>
    <w:rsid w:val="09510A7C"/>
    <w:rsid w:val="095A2027"/>
    <w:rsid w:val="095C4F27"/>
    <w:rsid w:val="095F1ABC"/>
    <w:rsid w:val="09672AD3"/>
    <w:rsid w:val="096C40EB"/>
    <w:rsid w:val="096E75D6"/>
    <w:rsid w:val="0976316B"/>
    <w:rsid w:val="09774987"/>
    <w:rsid w:val="097B395C"/>
    <w:rsid w:val="098904FD"/>
    <w:rsid w:val="099217C1"/>
    <w:rsid w:val="09AD03A9"/>
    <w:rsid w:val="09BC683E"/>
    <w:rsid w:val="09BE4F1A"/>
    <w:rsid w:val="09C00789"/>
    <w:rsid w:val="09C33728"/>
    <w:rsid w:val="09C70C60"/>
    <w:rsid w:val="09D370FD"/>
    <w:rsid w:val="09D5345C"/>
    <w:rsid w:val="09D674F6"/>
    <w:rsid w:val="09EA11A2"/>
    <w:rsid w:val="09EA6F07"/>
    <w:rsid w:val="09EC032D"/>
    <w:rsid w:val="09F93DAC"/>
    <w:rsid w:val="0A012637"/>
    <w:rsid w:val="0A014251"/>
    <w:rsid w:val="0A06008E"/>
    <w:rsid w:val="0A0B22A6"/>
    <w:rsid w:val="0A0D3EBF"/>
    <w:rsid w:val="0A1506D3"/>
    <w:rsid w:val="0A1D552E"/>
    <w:rsid w:val="0A211B30"/>
    <w:rsid w:val="0A21573F"/>
    <w:rsid w:val="0A261B64"/>
    <w:rsid w:val="0A2C39C3"/>
    <w:rsid w:val="0A2C447B"/>
    <w:rsid w:val="0A2C5771"/>
    <w:rsid w:val="0A3B7763"/>
    <w:rsid w:val="0A3D7FAC"/>
    <w:rsid w:val="0A430D0D"/>
    <w:rsid w:val="0A454A85"/>
    <w:rsid w:val="0A54281E"/>
    <w:rsid w:val="0A6007AB"/>
    <w:rsid w:val="0A664130"/>
    <w:rsid w:val="0A693506"/>
    <w:rsid w:val="0A69398C"/>
    <w:rsid w:val="0A694362"/>
    <w:rsid w:val="0A792992"/>
    <w:rsid w:val="0A7E6F9F"/>
    <w:rsid w:val="0A80786B"/>
    <w:rsid w:val="0A883A89"/>
    <w:rsid w:val="0A8F5D00"/>
    <w:rsid w:val="0A946A55"/>
    <w:rsid w:val="0A960E3D"/>
    <w:rsid w:val="0A963AAE"/>
    <w:rsid w:val="0A9D4330"/>
    <w:rsid w:val="0AA27E70"/>
    <w:rsid w:val="0AA7304A"/>
    <w:rsid w:val="0AA95014"/>
    <w:rsid w:val="0AAB489B"/>
    <w:rsid w:val="0AAC240E"/>
    <w:rsid w:val="0AB75863"/>
    <w:rsid w:val="0ABD0ABF"/>
    <w:rsid w:val="0ABE2D19"/>
    <w:rsid w:val="0AC41E4E"/>
    <w:rsid w:val="0ACB31DC"/>
    <w:rsid w:val="0ACE0286"/>
    <w:rsid w:val="0ADB6EF4"/>
    <w:rsid w:val="0AE36ECE"/>
    <w:rsid w:val="0AE93662"/>
    <w:rsid w:val="0AF60B31"/>
    <w:rsid w:val="0AF96715"/>
    <w:rsid w:val="0AFA13CC"/>
    <w:rsid w:val="0AFC77D6"/>
    <w:rsid w:val="0B077F8D"/>
    <w:rsid w:val="0B093D05"/>
    <w:rsid w:val="0B09418A"/>
    <w:rsid w:val="0B160A76"/>
    <w:rsid w:val="0B163D2C"/>
    <w:rsid w:val="0B1A19B4"/>
    <w:rsid w:val="0B217FC5"/>
    <w:rsid w:val="0B224DC6"/>
    <w:rsid w:val="0B282268"/>
    <w:rsid w:val="0B2F5832"/>
    <w:rsid w:val="0B3150EA"/>
    <w:rsid w:val="0B33619E"/>
    <w:rsid w:val="0B3E67C2"/>
    <w:rsid w:val="0B41524D"/>
    <w:rsid w:val="0B45421B"/>
    <w:rsid w:val="0B5605CC"/>
    <w:rsid w:val="0B574A70"/>
    <w:rsid w:val="0B5B3783"/>
    <w:rsid w:val="0B5C708E"/>
    <w:rsid w:val="0B622A02"/>
    <w:rsid w:val="0B643BD8"/>
    <w:rsid w:val="0B674CBC"/>
    <w:rsid w:val="0B6874E1"/>
    <w:rsid w:val="0B6C50CB"/>
    <w:rsid w:val="0B6D1AC3"/>
    <w:rsid w:val="0B6E19A7"/>
    <w:rsid w:val="0B7B0B24"/>
    <w:rsid w:val="0B8475F4"/>
    <w:rsid w:val="0B883F1F"/>
    <w:rsid w:val="0B920E35"/>
    <w:rsid w:val="0B941820"/>
    <w:rsid w:val="0B996E37"/>
    <w:rsid w:val="0B9A6BA7"/>
    <w:rsid w:val="0BA07081"/>
    <w:rsid w:val="0BA23811"/>
    <w:rsid w:val="0BA354C3"/>
    <w:rsid w:val="0BBC0D77"/>
    <w:rsid w:val="0BBE064B"/>
    <w:rsid w:val="0BBE4AFD"/>
    <w:rsid w:val="0BC10245"/>
    <w:rsid w:val="0BC63EC1"/>
    <w:rsid w:val="0BDC4F58"/>
    <w:rsid w:val="0BED2CDE"/>
    <w:rsid w:val="0BF56E60"/>
    <w:rsid w:val="0BFB775B"/>
    <w:rsid w:val="0C001D59"/>
    <w:rsid w:val="0C0539DD"/>
    <w:rsid w:val="0C0804DC"/>
    <w:rsid w:val="0C100447"/>
    <w:rsid w:val="0C112AE3"/>
    <w:rsid w:val="0C1A4BEB"/>
    <w:rsid w:val="0C1B6E61"/>
    <w:rsid w:val="0C2649DF"/>
    <w:rsid w:val="0C2E6944"/>
    <w:rsid w:val="0C395F24"/>
    <w:rsid w:val="0C3D30AA"/>
    <w:rsid w:val="0C4072B2"/>
    <w:rsid w:val="0C486239"/>
    <w:rsid w:val="0C4D3646"/>
    <w:rsid w:val="0C545836"/>
    <w:rsid w:val="0C594796"/>
    <w:rsid w:val="0C6236CC"/>
    <w:rsid w:val="0C6805B7"/>
    <w:rsid w:val="0C77337C"/>
    <w:rsid w:val="0C7A3F96"/>
    <w:rsid w:val="0C7C4062"/>
    <w:rsid w:val="0C82288B"/>
    <w:rsid w:val="0C970F7A"/>
    <w:rsid w:val="0C9B7F52"/>
    <w:rsid w:val="0CA30FB8"/>
    <w:rsid w:val="0CB06EE6"/>
    <w:rsid w:val="0CB97065"/>
    <w:rsid w:val="0CC53C5B"/>
    <w:rsid w:val="0CCC0710"/>
    <w:rsid w:val="0CDE3470"/>
    <w:rsid w:val="0CE143B2"/>
    <w:rsid w:val="0CEC1C98"/>
    <w:rsid w:val="0CF04ACE"/>
    <w:rsid w:val="0D040760"/>
    <w:rsid w:val="0D04428B"/>
    <w:rsid w:val="0D0A343A"/>
    <w:rsid w:val="0D191630"/>
    <w:rsid w:val="0D1F336B"/>
    <w:rsid w:val="0D305D1E"/>
    <w:rsid w:val="0D364756"/>
    <w:rsid w:val="0D3875BE"/>
    <w:rsid w:val="0D600C33"/>
    <w:rsid w:val="0D637D73"/>
    <w:rsid w:val="0D643474"/>
    <w:rsid w:val="0D666D0A"/>
    <w:rsid w:val="0D6C5EE5"/>
    <w:rsid w:val="0D777170"/>
    <w:rsid w:val="0D7C4200"/>
    <w:rsid w:val="0D863B28"/>
    <w:rsid w:val="0D960D3E"/>
    <w:rsid w:val="0D9A3561"/>
    <w:rsid w:val="0D9F1A6C"/>
    <w:rsid w:val="0DA254C0"/>
    <w:rsid w:val="0DA675E9"/>
    <w:rsid w:val="0DA837B8"/>
    <w:rsid w:val="0DB31787"/>
    <w:rsid w:val="0DB55A7E"/>
    <w:rsid w:val="0DBF4B4E"/>
    <w:rsid w:val="0DC21F49"/>
    <w:rsid w:val="0DCD09F0"/>
    <w:rsid w:val="0DCE08EE"/>
    <w:rsid w:val="0DCE4BD6"/>
    <w:rsid w:val="0DE563A5"/>
    <w:rsid w:val="0DE72CCE"/>
    <w:rsid w:val="0DF30ACF"/>
    <w:rsid w:val="0DFF5C3B"/>
    <w:rsid w:val="0E081147"/>
    <w:rsid w:val="0E0D6FCA"/>
    <w:rsid w:val="0E102753"/>
    <w:rsid w:val="0E242CF0"/>
    <w:rsid w:val="0E296834"/>
    <w:rsid w:val="0E296B13"/>
    <w:rsid w:val="0E386C18"/>
    <w:rsid w:val="0E3C2671"/>
    <w:rsid w:val="0E4018D9"/>
    <w:rsid w:val="0E467795"/>
    <w:rsid w:val="0E5139F9"/>
    <w:rsid w:val="0E567261"/>
    <w:rsid w:val="0E5C05EF"/>
    <w:rsid w:val="0E6F3E7F"/>
    <w:rsid w:val="0E7476E7"/>
    <w:rsid w:val="0E7D5A1E"/>
    <w:rsid w:val="0E7D63D0"/>
    <w:rsid w:val="0E807E3A"/>
    <w:rsid w:val="0E830AB7"/>
    <w:rsid w:val="0E8813E4"/>
    <w:rsid w:val="0E887F44"/>
    <w:rsid w:val="0E894549"/>
    <w:rsid w:val="0E8F7E1A"/>
    <w:rsid w:val="0E9125B0"/>
    <w:rsid w:val="0E927E61"/>
    <w:rsid w:val="0E971CEC"/>
    <w:rsid w:val="0EA34827"/>
    <w:rsid w:val="0EA3623F"/>
    <w:rsid w:val="0EA72B92"/>
    <w:rsid w:val="0EAD7E75"/>
    <w:rsid w:val="0EB16A5D"/>
    <w:rsid w:val="0EBC0E8C"/>
    <w:rsid w:val="0EC264DD"/>
    <w:rsid w:val="0EC71F0D"/>
    <w:rsid w:val="0EC8358F"/>
    <w:rsid w:val="0EC97C3C"/>
    <w:rsid w:val="0ED86C5C"/>
    <w:rsid w:val="0EDE2E47"/>
    <w:rsid w:val="0EDF1579"/>
    <w:rsid w:val="0EE20AF5"/>
    <w:rsid w:val="0EE71214"/>
    <w:rsid w:val="0EE7435D"/>
    <w:rsid w:val="0EF20FBD"/>
    <w:rsid w:val="0EF600FC"/>
    <w:rsid w:val="0EF97073"/>
    <w:rsid w:val="0EFC6BE3"/>
    <w:rsid w:val="0F0071CD"/>
    <w:rsid w:val="0F0C3DC3"/>
    <w:rsid w:val="0F114F36"/>
    <w:rsid w:val="0F142919"/>
    <w:rsid w:val="0F1B4006"/>
    <w:rsid w:val="0F1C245B"/>
    <w:rsid w:val="0F235324"/>
    <w:rsid w:val="0F3927D6"/>
    <w:rsid w:val="0F41676A"/>
    <w:rsid w:val="0F4470B9"/>
    <w:rsid w:val="0F455900"/>
    <w:rsid w:val="0F470958"/>
    <w:rsid w:val="0F4E1581"/>
    <w:rsid w:val="0F503CB0"/>
    <w:rsid w:val="0F516AFB"/>
    <w:rsid w:val="0F597A04"/>
    <w:rsid w:val="0F5A38D7"/>
    <w:rsid w:val="0F5B2655"/>
    <w:rsid w:val="0F611DE9"/>
    <w:rsid w:val="0F6255B7"/>
    <w:rsid w:val="0F625791"/>
    <w:rsid w:val="0F676827"/>
    <w:rsid w:val="0F76123D"/>
    <w:rsid w:val="0F8B118C"/>
    <w:rsid w:val="0F8D6F1D"/>
    <w:rsid w:val="0F9A589C"/>
    <w:rsid w:val="0F9B7951"/>
    <w:rsid w:val="0FA609CC"/>
    <w:rsid w:val="0FAC3659"/>
    <w:rsid w:val="0FAD1102"/>
    <w:rsid w:val="0FAE4E7B"/>
    <w:rsid w:val="0FC77ADA"/>
    <w:rsid w:val="0FF26075"/>
    <w:rsid w:val="0FF44180"/>
    <w:rsid w:val="0FF7237E"/>
    <w:rsid w:val="0FF747FD"/>
    <w:rsid w:val="0FF860F6"/>
    <w:rsid w:val="0FFA1E6E"/>
    <w:rsid w:val="0FFA3C1C"/>
    <w:rsid w:val="0FFC1427"/>
    <w:rsid w:val="10014FAA"/>
    <w:rsid w:val="10142F30"/>
    <w:rsid w:val="1017737C"/>
    <w:rsid w:val="10196798"/>
    <w:rsid w:val="101A14F8"/>
    <w:rsid w:val="101E031E"/>
    <w:rsid w:val="10214E0C"/>
    <w:rsid w:val="10233173"/>
    <w:rsid w:val="102351BA"/>
    <w:rsid w:val="10245548"/>
    <w:rsid w:val="10336795"/>
    <w:rsid w:val="10347536"/>
    <w:rsid w:val="103D0BA2"/>
    <w:rsid w:val="103E48B7"/>
    <w:rsid w:val="103F5C65"/>
    <w:rsid w:val="10414F72"/>
    <w:rsid w:val="104C1361"/>
    <w:rsid w:val="10556DBB"/>
    <w:rsid w:val="10595FBD"/>
    <w:rsid w:val="105C0433"/>
    <w:rsid w:val="105C33D3"/>
    <w:rsid w:val="105E23FD"/>
    <w:rsid w:val="1067038F"/>
    <w:rsid w:val="106F63B8"/>
    <w:rsid w:val="10757746"/>
    <w:rsid w:val="107617B0"/>
    <w:rsid w:val="10817E99"/>
    <w:rsid w:val="10882251"/>
    <w:rsid w:val="10953945"/>
    <w:rsid w:val="10963D8A"/>
    <w:rsid w:val="1096761C"/>
    <w:rsid w:val="109951E3"/>
    <w:rsid w:val="10A5614F"/>
    <w:rsid w:val="10AE1D05"/>
    <w:rsid w:val="10B91E62"/>
    <w:rsid w:val="10BB33AB"/>
    <w:rsid w:val="10BB4DB5"/>
    <w:rsid w:val="10BE1BE7"/>
    <w:rsid w:val="10C85AC8"/>
    <w:rsid w:val="10D26C28"/>
    <w:rsid w:val="10D31FAC"/>
    <w:rsid w:val="10D41638"/>
    <w:rsid w:val="10DD253A"/>
    <w:rsid w:val="10DD419A"/>
    <w:rsid w:val="10E072B6"/>
    <w:rsid w:val="10E16EA2"/>
    <w:rsid w:val="10E741A0"/>
    <w:rsid w:val="10EF74F9"/>
    <w:rsid w:val="10F93234"/>
    <w:rsid w:val="10FA431D"/>
    <w:rsid w:val="10FC6398"/>
    <w:rsid w:val="11003900"/>
    <w:rsid w:val="1107444E"/>
    <w:rsid w:val="110B7891"/>
    <w:rsid w:val="11186A50"/>
    <w:rsid w:val="111C3A3A"/>
    <w:rsid w:val="111D1A3C"/>
    <w:rsid w:val="111D7BC2"/>
    <w:rsid w:val="11287AF5"/>
    <w:rsid w:val="112D6274"/>
    <w:rsid w:val="11360C84"/>
    <w:rsid w:val="11382C4E"/>
    <w:rsid w:val="113E3FDC"/>
    <w:rsid w:val="113F4FF3"/>
    <w:rsid w:val="11401B02"/>
    <w:rsid w:val="11421D1E"/>
    <w:rsid w:val="11484C65"/>
    <w:rsid w:val="114F2D0E"/>
    <w:rsid w:val="11543643"/>
    <w:rsid w:val="115B3BDC"/>
    <w:rsid w:val="115B4B8E"/>
    <w:rsid w:val="115E37E9"/>
    <w:rsid w:val="116220BD"/>
    <w:rsid w:val="116B3023"/>
    <w:rsid w:val="116D6B65"/>
    <w:rsid w:val="116E743E"/>
    <w:rsid w:val="116F79B7"/>
    <w:rsid w:val="117143B2"/>
    <w:rsid w:val="1178642B"/>
    <w:rsid w:val="11813B96"/>
    <w:rsid w:val="118A31F7"/>
    <w:rsid w:val="118E1F67"/>
    <w:rsid w:val="119074D8"/>
    <w:rsid w:val="1192785D"/>
    <w:rsid w:val="1194344E"/>
    <w:rsid w:val="11943F45"/>
    <w:rsid w:val="119B4D4D"/>
    <w:rsid w:val="11A64014"/>
    <w:rsid w:val="11AE2F10"/>
    <w:rsid w:val="11AE4AF0"/>
    <w:rsid w:val="11C412E0"/>
    <w:rsid w:val="11D23F92"/>
    <w:rsid w:val="11D86EAE"/>
    <w:rsid w:val="11DC2C5C"/>
    <w:rsid w:val="11E1766F"/>
    <w:rsid w:val="11E22BBA"/>
    <w:rsid w:val="11E64B3D"/>
    <w:rsid w:val="11E74565"/>
    <w:rsid w:val="11E76422"/>
    <w:rsid w:val="11E9616D"/>
    <w:rsid w:val="11EB41F5"/>
    <w:rsid w:val="11EE77B0"/>
    <w:rsid w:val="11EF60BB"/>
    <w:rsid w:val="11F62EE9"/>
    <w:rsid w:val="11F86D77"/>
    <w:rsid w:val="12040D82"/>
    <w:rsid w:val="12045226"/>
    <w:rsid w:val="12095A3E"/>
    <w:rsid w:val="120C0775"/>
    <w:rsid w:val="120D35E2"/>
    <w:rsid w:val="1212349F"/>
    <w:rsid w:val="121355DB"/>
    <w:rsid w:val="12210E7B"/>
    <w:rsid w:val="1226659C"/>
    <w:rsid w:val="122753E4"/>
    <w:rsid w:val="122D0061"/>
    <w:rsid w:val="123155A1"/>
    <w:rsid w:val="123769F4"/>
    <w:rsid w:val="12473D7F"/>
    <w:rsid w:val="124B36BF"/>
    <w:rsid w:val="124D2729"/>
    <w:rsid w:val="125062A1"/>
    <w:rsid w:val="125C38BD"/>
    <w:rsid w:val="12664815"/>
    <w:rsid w:val="126C4B0A"/>
    <w:rsid w:val="127D6304"/>
    <w:rsid w:val="128C0640"/>
    <w:rsid w:val="12960CDE"/>
    <w:rsid w:val="129C6349"/>
    <w:rsid w:val="129E34BA"/>
    <w:rsid w:val="12B46304"/>
    <w:rsid w:val="12B86F7D"/>
    <w:rsid w:val="12B94041"/>
    <w:rsid w:val="12BC78AF"/>
    <w:rsid w:val="12BE3627"/>
    <w:rsid w:val="12BE7183"/>
    <w:rsid w:val="12C64289"/>
    <w:rsid w:val="12C7072D"/>
    <w:rsid w:val="12CB4732"/>
    <w:rsid w:val="12D5073B"/>
    <w:rsid w:val="12D75CEB"/>
    <w:rsid w:val="12D83555"/>
    <w:rsid w:val="12D87B7C"/>
    <w:rsid w:val="12DF7C4D"/>
    <w:rsid w:val="12E3308D"/>
    <w:rsid w:val="12E43DCF"/>
    <w:rsid w:val="12E56F20"/>
    <w:rsid w:val="12E62E70"/>
    <w:rsid w:val="12EC0194"/>
    <w:rsid w:val="12EF37E0"/>
    <w:rsid w:val="12F02E71"/>
    <w:rsid w:val="12F11306"/>
    <w:rsid w:val="12F40DF6"/>
    <w:rsid w:val="12FA57FD"/>
    <w:rsid w:val="130519AD"/>
    <w:rsid w:val="130629CD"/>
    <w:rsid w:val="1307145F"/>
    <w:rsid w:val="13076E22"/>
    <w:rsid w:val="13140156"/>
    <w:rsid w:val="131B3BB9"/>
    <w:rsid w:val="13280AA0"/>
    <w:rsid w:val="132B25B1"/>
    <w:rsid w:val="133B516B"/>
    <w:rsid w:val="133E0FD8"/>
    <w:rsid w:val="13426E05"/>
    <w:rsid w:val="134372EB"/>
    <w:rsid w:val="13453400"/>
    <w:rsid w:val="134E648D"/>
    <w:rsid w:val="13685340"/>
    <w:rsid w:val="13695C36"/>
    <w:rsid w:val="136C704E"/>
    <w:rsid w:val="13710699"/>
    <w:rsid w:val="13767056"/>
    <w:rsid w:val="137D703E"/>
    <w:rsid w:val="1386234D"/>
    <w:rsid w:val="1395222A"/>
    <w:rsid w:val="13975FCE"/>
    <w:rsid w:val="139C03FB"/>
    <w:rsid w:val="13A02D2C"/>
    <w:rsid w:val="13A35FA2"/>
    <w:rsid w:val="13B50586"/>
    <w:rsid w:val="13BE63AE"/>
    <w:rsid w:val="13C54441"/>
    <w:rsid w:val="13C82D78"/>
    <w:rsid w:val="13C87727"/>
    <w:rsid w:val="13D53B45"/>
    <w:rsid w:val="13DC453C"/>
    <w:rsid w:val="13DF6E73"/>
    <w:rsid w:val="13E175CD"/>
    <w:rsid w:val="13E7095B"/>
    <w:rsid w:val="13F1593A"/>
    <w:rsid w:val="13F75067"/>
    <w:rsid w:val="13F81095"/>
    <w:rsid w:val="13FD4129"/>
    <w:rsid w:val="140339E5"/>
    <w:rsid w:val="14067033"/>
    <w:rsid w:val="14092680"/>
    <w:rsid w:val="14232BF3"/>
    <w:rsid w:val="142A6E60"/>
    <w:rsid w:val="142F527C"/>
    <w:rsid w:val="14327BEE"/>
    <w:rsid w:val="1434290B"/>
    <w:rsid w:val="14357918"/>
    <w:rsid w:val="14362BD1"/>
    <w:rsid w:val="1436550F"/>
    <w:rsid w:val="143F5FAA"/>
    <w:rsid w:val="144B0EEA"/>
    <w:rsid w:val="144F3ACE"/>
    <w:rsid w:val="14524026"/>
    <w:rsid w:val="1454727D"/>
    <w:rsid w:val="1455356B"/>
    <w:rsid w:val="14553B17"/>
    <w:rsid w:val="14644BBB"/>
    <w:rsid w:val="14732D36"/>
    <w:rsid w:val="1477078D"/>
    <w:rsid w:val="147C5547"/>
    <w:rsid w:val="1480655B"/>
    <w:rsid w:val="14812B5E"/>
    <w:rsid w:val="14830684"/>
    <w:rsid w:val="14832432"/>
    <w:rsid w:val="148461AA"/>
    <w:rsid w:val="148924D2"/>
    <w:rsid w:val="148E6A4C"/>
    <w:rsid w:val="14952165"/>
    <w:rsid w:val="14991DEC"/>
    <w:rsid w:val="149E655B"/>
    <w:rsid w:val="14AA3E63"/>
    <w:rsid w:val="14AB1989"/>
    <w:rsid w:val="14AC7060"/>
    <w:rsid w:val="14B03698"/>
    <w:rsid w:val="14B167FF"/>
    <w:rsid w:val="14B75363"/>
    <w:rsid w:val="14BD65D4"/>
    <w:rsid w:val="14C34F24"/>
    <w:rsid w:val="14CE3295"/>
    <w:rsid w:val="14D16651"/>
    <w:rsid w:val="14D26F15"/>
    <w:rsid w:val="14D427D3"/>
    <w:rsid w:val="14D74BF1"/>
    <w:rsid w:val="14DC5FE6"/>
    <w:rsid w:val="14E32ED1"/>
    <w:rsid w:val="14EA24B1"/>
    <w:rsid w:val="14EF1875"/>
    <w:rsid w:val="14FC3F92"/>
    <w:rsid w:val="14FE41AE"/>
    <w:rsid w:val="150712B5"/>
    <w:rsid w:val="15085FE9"/>
    <w:rsid w:val="150A4647"/>
    <w:rsid w:val="151632A6"/>
    <w:rsid w:val="151E65FF"/>
    <w:rsid w:val="152655BA"/>
    <w:rsid w:val="15267BD5"/>
    <w:rsid w:val="1527568C"/>
    <w:rsid w:val="152C56B4"/>
    <w:rsid w:val="153E1664"/>
    <w:rsid w:val="15435C00"/>
    <w:rsid w:val="15451DDD"/>
    <w:rsid w:val="155073CC"/>
    <w:rsid w:val="1552003B"/>
    <w:rsid w:val="15547FDE"/>
    <w:rsid w:val="155C16B2"/>
    <w:rsid w:val="155E4A4F"/>
    <w:rsid w:val="155F44D6"/>
    <w:rsid w:val="156E2000"/>
    <w:rsid w:val="156E30E2"/>
    <w:rsid w:val="157A747A"/>
    <w:rsid w:val="15806971"/>
    <w:rsid w:val="158B3597"/>
    <w:rsid w:val="1591146B"/>
    <w:rsid w:val="159259DB"/>
    <w:rsid w:val="15973CBB"/>
    <w:rsid w:val="15995C85"/>
    <w:rsid w:val="159B12DE"/>
    <w:rsid w:val="159D1D5D"/>
    <w:rsid w:val="159D5775"/>
    <w:rsid w:val="159E329B"/>
    <w:rsid w:val="15A02B70"/>
    <w:rsid w:val="15A4687C"/>
    <w:rsid w:val="15A530EA"/>
    <w:rsid w:val="15A5462A"/>
    <w:rsid w:val="15A72150"/>
    <w:rsid w:val="15AE7982"/>
    <w:rsid w:val="15B33262"/>
    <w:rsid w:val="15BD4731"/>
    <w:rsid w:val="15BE749A"/>
    <w:rsid w:val="15C33CB3"/>
    <w:rsid w:val="15CC1BB7"/>
    <w:rsid w:val="15D05B4B"/>
    <w:rsid w:val="15D13671"/>
    <w:rsid w:val="15D46CBD"/>
    <w:rsid w:val="15DA1140"/>
    <w:rsid w:val="15DB268D"/>
    <w:rsid w:val="15DF095E"/>
    <w:rsid w:val="15DF44BE"/>
    <w:rsid w:val="15E338E5"/>
    <w:rsid w:val="15EE1307"/>
    <w:rsid w:val="15F630D7"/>
    <w:rsid w:val="15F967B3"/>
    <w:rsid w:val="16003FC0"/>
    <w:rsid w:val="16007AB2"/>
    <w:rsid w:val="16011215"/>
    <w:rsid w:val="160457F4"/>
    <w:rsid w:val="16090D0A"/>
    <w:rsid w:val="160B2645"/>
    <w:rsid w:val="160D0296"/>
    <w:rsid w:val="160E21CF"/>
    <w:rsid w:val="16140DEE"/>
    <w:rsid w:val="16196CEE"/>
    <w:rsid w:val="1622065F"/>
    <w:rsid w:val="16227A29"/>
    <w:rsid w:val="162D642C"/>
    <w:rsid w:val="162E6FEA"/>
    <w:rsid w:val="16306CB5"/>
    <w:rsid w:val="163634D4"/>
    <w:rsid w:val="163934C9"/>
    <w:rsid w:val="163B747F"/>
    <w:rsid w:val="163C4F8E"/>
    <w:rsid w:val="163E47A2"/>
    <w:rsid w:val="16421E79"/>
    <w:rsid w:val="16491459"/>
    <w:rsid w:val="16496AB1"/>
    <w:rsid w:val="164B51D1"/>
    <w:rsid w:val="164C1885"/>
    <w:rsid w:val="164C2CF7"/>
    <w:rsid w:val="16512C66"/>
    <w:rsid w:val="16534C52"/>
    <w:rsid w:val="16610EFD"/>
    <w:rsid w:val="16663DB9"/>
    <w:rsid w:val="1666781F"/>
    <w:rsid w:val="1671701F"/>
    <w:rsid w:val="16783AEC"/>
    <w:rsid w:val="167B0147"/>
    <w:rsid w:val="168C2EEF"/>
    <w:rsid w:val="16970417"/>
    <w:rsid w:val="169D3553"/>
    <w:rsid w:val="16B30AE1"/>
    <w:rsid w:val="16B70AB9"/>
    <w:rsid w:val="16B77600"/>
    <w:rsid w:val="16BA4105"/>
    <w:rsid w:val="16BD5CDA"/>
    <w:rsid w:val="16BE69CE"/>
    <w:rsid w:val="16CE3958"/>
    <w:rsid w:val="16D03928"/>
    <w:rsid w:val="16D97DC7"/>
    <w:rsid w:val="16E3365C"/>
    <w:rsid w:val="16EC492F"/>
    <w:rsid w:val="1700420E"/>
    <w:rsid w:val="17081314"/>
    <w:rsid w:val="170D2487"/>
    <w:rsid w:val="17151105"/>
    <w:rsid w:val="171B2960"/>
    <w:rsid w:val="17211B5D"/>
    <w:rsid w:val="17231F8F"/>
    <w:rsid w:val="17256CE1"/>
    <w:rsid w:val="17285513"/>
    <w:rsid w:val="172872C1"/>
    <w:rsid w:val="172D0D7B"/>
    <w:rsid w:val="17367C2F"/>
    <w:rsid w:val="173A0E4F"/>
    <w:rsid w:val="173A130E"/>
    <w:rsid w:val="173B5246"/>
    <w:rsid w:val="173D3E77"/>
    <w:rsid w:val="173D68BB"/>
    <w:rsid w:val="17431887"/>
    <w:rsid w:val="17432C1D"/>
    <w:rsid w:val="17481C73"/>
    <w:rsid w:val="174836DA"/>
    <w:rsid w:val="17684793"/>
    <w:rsid w:val="176A5B2B"/>
    <w:rsid w:val="176B58AB"/>
    <w:rsid w:val="176D1177"/>
    <w:rsid w:val="177009C8"/>
    <w:rsid w:val="17742506"/>
    <w:rsid w:val="177845C9"/>
    <w:rsid w:val="178D1819"/>
    <w:rsid w:val="17914E66"/>
    <w:rsid w:val="17917D74"/>
    <w:rsid w:val="17950011"/>
    <w:rsid w:val="17A10E21"/>
    <w:rsid w:val="17A85737"/>
    <w:rsid w:val="17B15700"/>
    <w:rsid w:val="17B814A8"/>
    <w:rsid w:val="17BE4FC6"/>
    <w:rsid w:val="17C24895"/>
    <w:rsid w:val="17C36FE9"/>
    <w:rsid w:val="17E05DED"/>
    <w:rsid w:val="17E170AC"/>
    <w:rsid w:val="17E20185"/>
    <w:rsid w:val="17E20250"/>
    <w:rsid w:val="17E51656"/>
    <w:rsid w:val="17F252E9"/>
    <w:rsid w:val="17F329A6"/>
    <w:rsid w:val="17FE06E4"/>
    <w:rsid w:val="180D0CCB"/>
    <w:rsid w:val="180D4E89"/>
    <w:rsid w:val="181602D3"/>
    <w:rsid w:val="18161D69"/>
    <w:rsid w:val="181A219C"/>
    <w:rsid w:val="181A3234"/>
    <w:rsid w:val="181C3E1E"/>
    <w:rsid w:val="18253800"/>
    <w:rsid w:val="182A4EC1"/>
    <w:rsid w:val="182C4B26"/>
    <w:rsid w:val="182D1850"/>
    <w:rsid w:val="18316649"/>
    <w:rsid w:val="183D4058"/>
    <w:rsid w:val="183F48C2"/>
    <w:rsid w:val="184229CE"/>
    <w:rsid w:val="18424E0A"/>
    <w:rsid w:val="18475E6C"/>
    <w:rsid w:val="184C6FDF"/>
    <w:rsid w:val="184D5CDD"/>
    <w:rsid w:val="184D6DCC"/>
    <w:rsid w:val="18510AEB"/>
    <w:rsid w:val="18577262"/>
    <w:rsid w:val="186913B9"/>
    <w:rsid w:val="186F1A5A"/>
    <w:rsid w:val="18836BCC"/>
    <w:rsid w:val="189270E7"/>
    <w:rsid w:val="189B5D97"/>
    <w:rsid w:val="18A14754"/>
    <w:rsid w:val="18AF6EC4"/>
    <w:rsid w:val="18B31A70"/>
    <w:rsid w:val="18B43502"/>
    <w:rsid w:val="18BB355D"/>
    <w:rsid w:val="18C536A3"/>
    <w:rsid w:val="18C60A94"/>
    <w:rsid w:val="18C96AE1"/>
    <w:rsid w:val="18CB084B"/>
    <w:rsid w:val="18D05E62"/>
    <w:rsid w:val="18D442CB"/>
    <w:rsid w:val="18D71DD8"/>
    <w:rsid w:val="18DB7BBC"/>
    <w:rsid w:val="18E216F1"/>
    <w:rsid w:val="18E322BF"/>
    <w:rsid w:val="18E44402"/>
    <w:rsid w:val="18E476DF"/>
    <w:rsid w:val="18E77701"/>
    <w:rsid w:val="18F2402A"/>
    <w:rsid w:val="18F5116E"/>
    <w:rsid w:val="190340F9"/>
    <w:rsid w:val="190568F9"/>
    <w:rsid w:val="19124F6A"/>
    <w:rsid w:val="19242A1C"/>
    <w:rsid w:val="19265A82"/>
    <w:rsid w:val="192B12EA"/>
    <w:rsid w:val="19313AE7"/>
    <w:rsid w:val="19341F4D"/>
    <w:rsid w:val="1936518C"/>
    <w:rsid w:val="193D5569"/>
    <w:rsid w:val="193E726F"/>
    <w:rsid w:val="194175B6"/>
    <w:rsid w:val="194B54E8"/>
    <w:rsid w:val="194C2307"/>
    <w:rsid w:val="194D37D0"/>
    <w:rsid w:val="19526877"/>
    <w:rsid w:val="195754C6"/>
    <w:rsid w:val="19596F19"/>
    <w:rsid w:val="19597DE9"/>
    <w:rsid w:val="197174BD"/>
    <w:rsid w:val="19720CC7"/>
    <w:rsid w:val="197607B7"/>
    <w:rsid w:val="19831126"/>
    <w:rsid w:val="19880B1B"/>
    <w:rsid w:val="1991739F"/>
    <w:rsid w:val="199364A5"/>
    <w:rsid w:val="199724DC"/>
    <w:rsid w:val="19A35324"/>
    <w:rsid w:val="19AF1F1B"/>
    <w:rsid w:val="19B133AF"/>
    <w:rsid w:val="19B17A0A"/>
    <w:rsid w:val="19B47531"/>
    <w:rsid w:val="19BA156E"/>
    <w:rsid w:val="19BB08C0"/>
    <w:rsid w:val="19BE6530"/>
    <w:rsid w:val="19C73E97"/>
    <w:rsid w:val="19C968E8"/>
    <w:rsid w:val="19E020D4"/>
    <w:rsid w:val="19E21D3F"/>
    <w:rsid w:val="19E90135"/>
    <w:rsid w:val="19EC6CCB"/>
    <w:rsid w:val="19F077E8"/>
    <w:rsid w:val="19FC385E"/>
    <w:rsid w:val="1A014D68"/>
    <w:rsid w:val="1A02204B"/>
    <w:rsid w:val="1A122BC9"/>
    <w:rsid w:val="1A177FD7"/>
    <w:rsid w:val="1A18186E"/>
    <w:rsid w:val="1A1D0C33"/>
    <w:rsid w:val="1A2361DE"/>
    <w:rsid w:val="1A2D1CA6"/>
    <w:rsid w:val="1A3174C7"/>
    <w:rsid w:val="1A383F32"/>
    <w:rsid w:val="1A3F504D"/>
    <w:rsid w:val="1A424B3D"/>
    <w:rsid w:val="1A472154"/>
    <w:rsid w:val="1A4A7EC5"/>
    <w:rsid w:val="1A4D493F"/>
    <w:rsid w:val="1A4F2DB6"/>
    <w:rsid w:val="1A5D0811"/>
    <w:rsid w:val="1A676352"/>
    <w:rsid w:val="1A696AC4"/>
    <w:rsid w:val="1A6A64BE"/>
    <w:rsid w:val="1A6E2201"/>
    <w:rsid w:val="1A7353E6"/>
    <w:rsid w:val="1A741638"/>
    <w:rsid w:val="1A7D3DC7"/>
    <w:rsid w:val="1A8326B7"/>
    <w:rsid w:val="1A8470D5"/>
    <w:rsid w:val="1A867F89"/>
    <w:rsid w:val="1A8A0CDA"/>
    <w:rsid w:val="1A906823"/>
    <w:rsid w:val="1A976C37"/>
    <w:rsid w:val="1A9B129F"/>
    <w:rsid w:val="1AA107CB"/>
    <w:rsid w:val="1AAC1D72"/>
    <w:rsid w:val="1AAD228C"/>
    <w:rsid w:val="1AB943B7"/>
    <w:rsid w:val="1AC535DA"/>
    <w:rsid w:val="1AC90407"/>
    <w:rsid w:val="1ACD08AB"/>
    <w:rsid w:val="1AE94FB9"/>
    <w:rsid w:val="1AEE0ED0"/>
    <w:rsid w:val="1B0167A6"/>
    <w:rsid w:val="1B03691D"/>
    <w:rsid w:val="1B110E54"/>
    <w:rsid w:val="1B1418BE"/>
    <w:rsid w:val="1B1433F2"/>
    <w:rsid w:val="1B18370C"/>
    <w:rsid w:val="1B1F59AD"/>
    <w:rsid w:val="1B251795"/>
    <w:rsid w:val="1B261D69"/>
    <w:rsid w:val="1B2673B2"/>
    <w:rsid w:val="1B43606F"/>
    <w:rsid w:val="1B4A3CA9"/>
    <w:rsid w:val="1B4F270F"/>
    <w:rsid w:val="1B590390"/>
    <w:rsid w:val="1B5E3125"/>
    <w:rsid w:val="1B6A60FA"/>
    <w:rsid w:val="1B6C11C8"/>
    <w:rsid w:val="1B6D0B86"/>
    <w:rsid w:val="1B6D1746"/>
    <w:rsid w:val="1B707488"/>
    <w:rsid w:val="1B715935"/>
    <w:rsid w:val="1B721A08"/>
    <w:rsid w:val="1B80591D"/>
    <w:rsid w:val="1B8126FA"/>
    <w:rsid w:val="1B8371BB"/>
    <w:rsid w:val="1B855224"/>
    <w:rsid w:val="1B8A679C"/>
    <w:rsid w:val="1B9211AC"/>
    <w:rsid w:val="1B930AD5"/>
    <w:rsid w:val="1B965141"/>
    <w:rsid w:val="1B9D672E"/>
    <w:rsid w:val="1BA23AE5"/>
    <w:rsid w:val="1BA2759C"/>
    <w:rsid w:val="1BA535D6"/>
    <w:rsid w:val="1BA60433"/>
    <w:rsid w:val="1BA76296"/>
    <w:rsid w:val="1BA86C22"/>
    <w:rsid w:val="1BB11F7A"/>
    <w:rsid w:val="1BB750B7"/>
    <w:rsid w:val="1BBA62E9"/>
    <w:rsid w:val="1BC455EE"/>
    <w:rsid w:val="1BC565DC"/>
    <w:rsid w:val="1BCD48DA"/>
    <w:rsid w:val="1BD75965"/>
    <w:rsid w:val="1BDF3A0A"/>
    <w:rsid w:val="1BE80EF6"/>
    <w:rsid w:val="1BEF424D"/>
    <w:rsid w:val="1BF27565"/>
    <w:rsid w:val="1BF44D9F"/>
    <w:rsid w:val="1BF954ED"/>
    <w:rsid w:val="1BF956CF"/>
    <w:rsid w:val="1BFC2ACA"/>
    <w:rsid w:val="1BFF6818"/>
    <w:rsid w:val="1BFF6B87"/>
    <w:rsid w:val="1C0320AA"/>
    <w:rsid w:val="1C035D31"/>
    <w:rsid w:val="1C0E117B"/>
    <w:rsid w:val="1C100BB9"/>
    <w:rsid w:val="1C136D8A"/>
    <w:rsid w:val="1C1D316C"/>
    <w:rsid w:val="1C1D75AD"/>
    <w:rsid w:val="1C1E6BE2"/>
    <w:rsid w:val="1C2344FA"/>
    <w:rsid w:val="1C2C7853"/>
    <w:rsid w:val="1C362480"/>
    <w:rsid w:val="1C452578"/>
    <w:rsid w:val="1C4B4B3B"/>
    <w:rsid w:val="1C5A0D28"/>
    <w:rsid w:val="1C5B5A42"/>
    <w:rsid w:val="1C5E5533"/>
    <w:rsid w:val="1C5E7EC4"/>
    <w:rsid w:val="1C5F7AD6"/>
    <w:rsid w:val="1C607A2E"/>
    <w:rsid w:val="1C6568C1"/>
    <w:rsid w:val="1C784104"/>
    <w:rsid w:val="1C7A05BE"/>
    <w:rsid w:val="1C8F1B2E"/>
    <w:rsid w:val="1C954CD6"/>
    <w:rsid w:val="1C994EC8"/>
    <w:rsid w:val="1C9A4142"/>
    <w:rsid w:val="1CA2734E"/>
    <w:rsid w:val="1CA44644"/>
    <w:rsid w:val="1CA64748"/>
    <w:rsid w:val="1CB4492A"/>
    <w:rsid w:val="1CBA322D"/>
    <w:rsid w:val="1CBD494F"/>
    <w:rsid w:val="1CBF19D2"/>
    <w:rsid w:val="1CC73DEA"/>
    <w:rsid w:val="1CC916A3"/>
    <w:rsid w:val="1CCC09D0"/>
    <w:rsid w:val="1CCE583F"/>
    <w:rsid w:val="1CD6156D"/>
    <w:rsid w:val="1CDD28FB"/>
    <w:rsid w:val="1CE313DF"/>
    <w:rsid w:val="1CE65C54"/>
    <w:rsid w:val="1CF06D47"/>
    <w:rsid w:val="1D081F61"/>
    <w:rsid w:val="1D0870CF"/>
    <w:rsid w:val="1D185F8C"/>
    <w:rsid w:val="1D19579E"/>
    <w:rsid w:val="1D1D719C"/>
    <w:rsid w:val="1D1F0D32"/>
    <w:rsid w:val="1D1F6293"/>
    <w:rsid w:val="1D206B8C"/>
    <w:rsid w:val="1D293D92"/>
    <w:rsid w:val="1D2A49B7"/>
    <w:rsid w:val="1D2B0222"/>
    <w:rsid w:val="1D2D5293"/>
    <w:rsid w:val="1D2F2FB7"/>
    <w:rsid w:val="1D376540"/>
    <w:rsid w:val="1D4B5609"/>
    <w:rsid w:val="1D4E30E0"/>
    <w:rsid w:val="1D4F1A4B"/>
    <w:rsid w:val="1D5305B1"/>
    <w:rsid w:val="1D58430D"/>
    <w:rsid w:val="1D5A03F0"/>
    <w:rsid w:val="1D5B5B91"/>
    <w:rsid w:val="1D65301C"/>
    <w:rsid w:val="1D6B462A"/>
    <w:rsid w:val="1D6C1960"/>
    <w:rsid w:val="1D6F3E9B"/>
    <w:rsid w:val="1D7457D3"/>
    <w:rsid w:val="1D7517E7"/>
    <w:rsid w:val="1D790876"/>
    <w:rsid w:val="1D7B481A"/>
    <w:rsid w:val="1D813BCE"/>
    <w:rsid w:val="1D823D48"/>
    <w:rsid w:val="1D862BB4"/>
    <w:rsid w:val="1D8C3B39"/>
    <w:rsid w:val="1D9B6A3E"/>
    <w:rsid w:val="1D9F5E03"/>
    <w:rsid w:val="1DA4146D"/>
    <w:rsid w:val="1DA51BD7"/>
    <w:rsid w:val="1DA52F17"/>
    <w:rsid w:val="1DBC0763"/>
    <w:rsid w:val="1DC13FCB"/>
    <w:rsid w:val="1DCD0BC2"/>
    <w:rsid w:val="1DCD642E"/>
    <w:rsid w:val="1DD714CA"/>
    <w:rsid w:val="1DDE39C5"/>
    <w:rsid w:val="1DE1641B"/>
    <w:rsid w:val="1DEE1D7B"/>
    <w:rsid w:val="1DF0613F"/>
    <w:rsid w:val="1DF4775D"/>
    <w:rsid w:val="1DFA6CCA"/>
    <w:rsid w:val="1DFF2E17"/>
    <w:rsid w:val="1E0A4DB8"/>
    <w:rsid w:val="1E0D1DFA"/>
    <w:rsid w:val="1E0F4C28"/>
    <w:rsid w:val="1E1172D3"/>
    <w:rsid w:val="1E124E2C"/>
    <w:rsid w:val="1E144269"/>
    <w:rsid w:val="1E1B7B7F"/>
    <w:rsid w:val="1E2076B7"/>
    <w:rsid w:val="1E2A6054"/>
    <w:rsid w:val="1E2E3A39"/>
    <w:rsid w:val="1E3173A3"/>
    <w:rsid w:val="1E370E0A"/>
    <w:rsid w:val="1E390005"/>
    <w:rsid w:val="1E3B3AC0"/>
    <w:rsid w:val="1E3D5D47"/>
    <w:rsid w:val="1E462B8B"/>
    <w:rsid w:val="1E4B4FD8"/>
    <w:rsid w:val="1E5B1F22"/>
    <w:rsid w:val="1E5F1377"/>
    <w:rsid w:val="1E652BA8"/>
    <w:rsid w:val="1E6C3BCE"/>
    <w:rsid w:val="1E7767C7"/>
    <w:rsid w:val="1E797BD7"/>
    <w:rsid w:val="1E86075E"/>
    <w:rsid w:val="1E9A6CF6"/>
    <w:rsid w:val="1E9D0B22"/>
    <w:rsid w:val="1EA638ED"/>
    <w:rsid w:val="1EA93EBF"/>
    <w:rsid w:val="1EB1403F"/>
    <w:rsid w:val="1EB36D9B"/>
    <w:rsid w:val="1EB53569"/>
    <w:rsid w:val="1EB82905"/>
    <w:rsid w:val="1EBF340C"/>
    <w:rsid w:val="1EC9410B"/>
    <w:rsid w:val="1ED43EA9"/>
    <w:rsid w:val="1EE1179C"/>
    <w:rsid w:val="1EE214C0"/>
    <w:rsid w:val="1EF3123C"/>
    <w:rsid w:val="1EF55B62"/>
    <w:rsid w:val="1EF65EF6"/>
    <w:rsid w:val="1F026787"/>
    <w:rsid w:val="1F037D2D"/>
    <w:rsid w:val="1F0979D8"/>
    <w:rsid w:val="1F0B3750"/>
    <w:rsid w:val="1F0B7084"/>
    <w:rsid w:val="1F0B7BF4"/>
    <w:rsid w:val="1F1702FA"/>
    <w:rsid w:val="1F1B4728"/>
    <w:rsid w:val="1F2070D4"/>
    <w:rsid w:val="1F24386A"/>
    <w:rsid w:val="1F262338"/>
    <w:rsid w:val="1F29007A"/>
    <w:rsid w:val="1F2C5FA4"/>
    <w:rsid w:val="1F2E521C"/>
    <w:rsid w:val="1F301408"/>
    <w:rsid w:val="1F360D7E"/>
    <w:rsid w:val="1F36422B"/>
    <w:rsid w:val="1F433D04"/>
    <w:rsid w:val="1F4D0EF4"/>
    <w:rsid w:val="1F552FA7"/>
    <w:rsid w:val="1F574CD6"/>
    <w:rsid w:val="1F5A162C"/>
    <w:rsid w:val="1F617814"/>
    <w:rsid w:val="1F666BD8"/>
    <w:rsid w:val="1F690C77"/>
    <w:rsid w:val="1F737547"/>
    <w:rsid w:val="1F75092B"/>
    <w:rsid w:val="1F784B5D"/>
    <w:rsid w:val="1F8756D4"/>
    <w:rsid w:val="1F9626BE"/>
    <w:rsid w:val="1F976D27"/>
    <w:rsid w:val="1F9B218F"/>
    <w:rsid w:val="1FA00D60"/>
    <w:rsid w:val="1FA344E3"/>
    <w:rsid w:val="1FAA65AA"/>
    <w:rsid w:val="1FB5156C"/>
    <w:rsid w:val="1FB65DB1"/>
    <w:rsid w:val="1FB84222"/>
    <w:rsid w:val="1FB97650"/>
    <w:rsid w:val="1FBA5176"/>
    <w:rsid w:val="1FBD6F82"/>
    <w:rsid w:val="1FC009DE"/>
    <w:rsid w:val="1FC102B2"/>
    <w:rsid w:val="1FC14DBD"/>
    <w:rsid w:val="1FC16504"/>
    <w:rsid w:val="1FC472A5"/>
    <w:rsid w:val="1FC758F5"/>
    <w:rsid w:val="1FC8450F"/>
    <w:rsid w:val="1FCD4EA9"/>
    <w:rsid w:val="1FCD625C"/>
    <w:rsid w:val="1FCE5246"/>
    <w:rsid w:val="1FD004A7"/>
    <w:rsid w:val="1FD53695"/>
    <w:rsid w:val="1FE25089"/>
    <w:rsid w:val="1FE33C5E"/>
    <w:rsid w:val="1FE93F83"/>
    <w:rsid w:val="1FED37B9"/>
    <w:rsid w:val="2012795A"/>
    <w:rsid w:val="20196706"/>
    <w:rsid w:val="201C4365"/>
    <w:rsid w:val="202A56CE"/>
    <w:rsid w:val="202E28ED"/>
    <w:rsid w:val="20311017"/>
    <w:rsid w:val="20317AED"/>
    <w:rsid w:val="203E1903"/>
    <w:rsid w:val="203E74FC"/>
    <w:rsid w:val="20445069"/>
    <w:rsid w:val="20445CF6"/>
    <w:rsid w:val="20452D6E"/>
    <w:rsid w:val="204557E3"/>
    <w:rsid w:val="20457135"/>
    <w:rsid w:val="20463307"/>
    <w:rsid w:val="204721AA"/>
    <w:rsid w:val="20473C1F"/>
    <w:rsid w:val="204A474C"/>
    <w:rsid w:val="20517888"/>
    <w:rsid w:val="205B7CB4"/>
    <w:rsid w:val="20713A86"/>
    <w:rsid w:val="2076401A"/>
    <w:rsid w:val="20783067"/>
    <w:rsid w:val="207B26EE"/>
    <w:rsid w:val="207B3A1F"/>
    <w:rsid w:val="2080206C"/>
    <w:rsid w:val="20814CCB"/>
    <w:rsid w:val="20825957"/>
    <w:rsid w:val="20897B81"/>
    <w:rsid w:val="208A0FEC"/>
    <w:rsid w:val="208A6CE1"/>
    <w:rsid w:val="20930891"/>
    <w:rsid w:val="2096173F"/>
    <w:rsid w:val="209D6898"/>
    <w:rsid w:val="209E05F3"/>
    <w:rsid w:val="20A00118"/>
    <w:rsid w:val="20A43EB9"/>
    <w:rsid w:val="20A63400"/>
    <w:rsid w:val="20A756FA"/>
    <w:rsid w:val="20AD455D"/>
    <w:rsid w:val="20AE57E6"/>
    <w:rsid w:val="20B06AF5"/>
    <w:rsid w:val="20B87907"/>
    <w:rsid w:val="20BD2233"/>
    <w:rsid w:val="20BD3FB9"/>
    <w:rsid w:val="20BE3384"/>
    <w:rsid w:val="20C067BC"/>
    <w:rsid w:val="20C11FAE"/>
    <w:rsid w:val="20D33D76"/>
    <w:rsid w:val="20DB53A4"/>
    <w:rsid w:val="20DC26D0"/>
    <w:rsid w:val="20E805DE"/>
    <w:rsid w:val="20EC0B7F"/>
    <w:rsid w:val="20EE7201"/>
    <w:rsid w:val="20F14BC7"/>
    <w:rsid w:val="20F33B84"/>
    <w:rsid w:val="20F6042F"/>
    <w:rsid w:val="20F84942"/>
    <w:rsid w:val="20FB5A46"/>
    <w:rsid w:val="20FC5411"/>
    <w:rsid w:val="21031E9A"/>
    <w:rsid w:val="21033044"/>
    <w:rsid w:val="21130FE1"/>
    <w:rsid w:val="21335D2F"/>
    <w:rsid w:val="21366A7E"/>
    <w:rsid w:val="21376B82"/>
    <w:rsid w:val="21381B3A"/>
    <w:rsid w:val="213F00CE"/>
    <w:rsid w:val="214178FD"/>
    <w:rsid w:val="21425423"/>
    <w:rsid w:val="21457CBE"/>
    <w:rsid w:val="2147554F"/>
    <w:rsid w:val="215F4A0D"/>
    <w:rsid w:val="21611D4D"/>
    <w:rsid w:val="21676C37"/>
    <w:rsid w:val="216B59E3"/>
    <w:rsid w:val="216F4323"/>
    <w:rsid w:val="216F733B"/>
    <w:rsid w:val="217560B0"/>
    <w:rsid w:val="21771FE5"/>
    <w:rsid w:val="2188552B"/>
    <w:rsid w:val="219D08AB"/>
    <w:rsid w:val="21A00408"/>
    <w:rsid w:val="21B53586"/>
    <w:rsid w:val="21B74211"/>
    <w:rsid w:val="21BA18CA"/>
    <w:rsid w:val="21C00D8A"/>
    <w:rsid w:val="21C10A3D"/>
    <w:rsid w:val="21C34002"/>
    <w:rsid w:val="21C62615"/>
    <w:rsid w:val="21D4266A"/>
    <w:rsid w:val="21D60813"/>
    <w:rsid w:val="21D90BF9"/>
    <w:rsid w:val="21DC50BF"/>
    <w:rsid w:val="21F14FC0"/>
    <w:rsid w:val="22001C9F"/>
    <w:rsid w:val="220A5F40"/>
    <w:rsid w:val="22146DBF"/>
    <w:rsid w:val="221B1A4E"/>
    <w:rsid w:val="223823A3"/>
    <w:rsid w:val="2242283B"/>
    <w:rsid w:val="224372CA"/>
    <w:rsid w:val="22445ECF"/>
    <w:rsid w:val="2261178B"/>
    <w:rsid w:val="22630B62"/>
    <w:rsid w:val="2265586D"/>
    <w:rsid w:val="226D79AE"/>
    <w:rsid w:val="226E1C50"/>
    <w:rsid w:val="226F3030"/>
    <w:rsid w:val="22717EF7"/>
    <w:rsid w:val="227E5C9D"/>
    <w:rsid w:val="229B5F30"/>
    <w:rsid w:val="22A35D77"/>
    <w:rsid w:val="22AA7723"/>
    <w:rsid w:val="22BC3EB7"/>
    <w:rsid w:val="22BD1BBF"/>
    <w:rsid w:val="22BD45D7"/>
    <w:rsid w:val="22C60B71"/>
    <w:rsid w:val="22D05933"/>
    <w:rsid w:val="22DB5B2F"/>
    <w:rsid w:val="22E22A19"/>
    <w:rsid w:val="22EF6E11"/>
    <w:rsid w:val="22F059E5"/>
    <w:rsid w:val="22FC5261"/>
    <w:rsid w:val="22FD5350"/>
    <w:rsid w:val="23007CB8"/>
    <w:rsid w:val="2302130E"/>
    <w:rsid w:val="230706D2"/>
    <w:rsid w:val="23134E96"/>
    <w:rsid w:val="23194D81"/>
    <w:rsid w:val="231A6657"/>
    <w:rsid w:val="23241284"/>
    <w:rsid w:val="23362D65"/>
    <w:rsid w:val="23393A5D"/>
    <w:rsid w:val="233A6758"/>
    <w:rsid w:val="23411E36"/>
    <w:rsid w:val="234436D4"/>
    <w:rsid w:val="23486C01"/>
    <w:rsid w:val="23556570"/>
    <w:rsid w:val="235A7056"/>
    <w:rsid w:val="23616034"/>
    <w:rsid w:val="23621DAC"/>
    <w:rsid w:val="23645B24"/>
    <w:rsid w:val="23672C8A"/>
    <w:rsid w:val="236773C3"/>
    <w:rsid w:val="237613B4"/>
    <w:rsid w:val="237C0F3C"/>
    <w:rsid w:val="23865A9B"/>
    <w:rsid w:val="238B30B1"/>
    <w:rsid w:val="23904D06"/>
    <w:rsid w:val="23906919"/>
    <w:rsid w:val="23A300A3"/>
    <w:rsid w:val="23A3212E"/>
    <w:rsid w:val="23A45F21"/>
    <w:rsid w:val="23A756FE"/>
    <w:rsid w:val="23AE4F4C"/>
    <w:rsid w:val="23BA3EF6"/>
    <w:rsid w:val="23C640E9"/>
    <w:rsid w:val="23CC35A5"/>
    <w:rsid w:val="23D06D16"/>
    <w:rsid w:val="23D902C0"/>
    <w:rsid w:val="23D9206E"/>
    <w:rsid w:val="23DD0BFC"/>
    <w:rsid w:val="23DF2FA8"/>
    <w:rsid w:val="23E00EE5"/>
    <w:rsid w:val="23E7405F"/>
    <w:rsid w:val="23EE5821"/>
    <w:rsid w:val="23F231AE"/>
    <w:rsid w:val="23F821FE"/>
    <w:rsid w:val="23FD23D3"/>
    <w:rsid w:val="23FF1D1D"/>
    <w:rsid w:val="24042E63"/>
    <w:rsid w:val="240B71A5"/>
    <w:rsid w:val="24150A21"/>
    <w:rsid w:val="241C63FF"/>
    <w:rsid w:val="24266E50"/>
    <w:rsid w:val="24305BD3"/>
    <w:rsid w:val="243204A7"/>
    <w:rsid w:val="24390235"/>
    <w:rsid w:val="24391C07"/>
    <w:rsid w:val="243F083D"/>
    <w:rsid w:val="2446776E"/>
    <w:rsid w:val="2449696F"/>
    <w:rsid w:val="2450029A"/>
    <w:rsid w:val="2455334D"/>
    <w:rsid w:val="24577437"/>
    <w:rsid w:val="245A2A83"/>
    <w:rsid w:val="245C67FB"/>
    <w:rsid w:val="24695B13"/>
    <w:rsid w:val="246A1D00"/>
    <w:rsid w:val="24772B22"/>
    <w:rsid w:val="247C0C4C"/>
    <w:rsid w:val="247E5135"/>
    <w:rsid w:val="2481129D"/>
    <w:rsid w:val="24831FDA"/>
    <w:rsid w:val="2485604C"/>
    <w:rsid w:val="24883A94"/>
    <w:rsid w:val="248A0A7D"/>
    <w:rsid w:val="24967F5F"/>
    <w:rsid w:val="249D60D3"/>
    <w:rsid w:val="24A65CC9"/>
    <w:rsid w:val="24A96539"/>
    <w:rsid w:val="24BA66F7"/>
    <w:rsid w:val="24BF61EC"/>
    <w:rsid w:val="24C22047"/>
    <w:rsid w:val="24C46654"/>
    <w:rsid w:val="24D9609E"/>
    <w:rsid w:val="24E3729E"/>
    <w:rsid w:val="24EA2059"/>
    <w:rsid w:val="24ED6B54"/>
    <w:rsid w:val="2504136D"/>
    <w:rsid w:val="25071B35"/>
    <w:rsid w:val="250A07C3"/>
    <w:rsid w:val="25294591"/>
    <w:rsid w:val="25317C88"/>
    <w:rsid w:val="253C0A50"/>
    <w:rsid w:val="253D3D04"/>
    <w:rsid w:val="253D487F"/>
    <w:rsid w:val="25407646"/>
    <w:rsid w:val="25423C43"/>
    <w:rsid w:val="254A073A"/>
    <w:rsid w:val="254B6F9C"/>
    <w:rsid w:val="255E550E"/>
    <w:rsid w:val="256162F1"/>
    <w:rsid w:val="25644CD9"/>
    <w:rsid w:val="25653D07"/>
    <w:rsid w:val="25694D45"/>
    <w:rsid w:val="257F27A2"/>
    <w:rsid w:val="2580098D"/>
    <w:rsid w:val="2580476C"/>
    <w:rsid w:val="258B7119"/>
    <w:rsid w:val="258C1362"/>
    <w:rsid w:val="258E6E89"/>
    <w:rsid w:val="2591184A"/>
    <w:rsid w:val="25951FC5"/>
    <w:rsid w:val="259C15A5"/>
    <w:rsid w:val="25AD2225"/>
    <w:rsid w:val="25AD4AD5"/>
    <w:rsid w:val="25AF7C37"/>
    <w:rsid w:val="25B20291"/>
    <w:rsid w:val="25B52AD9"/>
    <w:rsid w:val="25B636AB"/>
    <w:rsid w:val="25B92D29"/>
    <w:rsid w:val="25BD776E"/>
    <w:rsid w:val="25C24D84"/>
    <w:rsid w:val="25D626A7"/>
    <w:rsid w:val="25D710E1"/>
    <w:rsid w:val="25D92344"/>
    <w:rsid w:val="25DC4098"/>
    <w:rsid w:val="25E46AA9"/>
    <w:rsid w:val="25E602E6"/>
    <w:rsid w:val="25E60772"/>
    <w:rsid w:val="25F0369F"/>
    <w:rsid w:val="25F03E08"/>
    <w:rsid w:val="25F653DC"/>
    <w:rsid w:val="25F924A7"/>
    <w:rsid w:val="25F9324C"/>
    <w:rsid w:val="26041520"/>
    <w:rsid w:val="26103D41"/>
    <w:rsid w:val="262477ED"/>
    <w:rsid w:val="26263565"/>
    <w:rsid w:val="262F0073"/>
    <w:rsid w:val="26307F40"/>
    <w:rsid w:val="263537A8"/>
    <w:rsid w:val="26355556"/>
    <w:rsid w:val="264834DB"/>
    <w:rsid w:val="265005E2"/>
    <w:rsid w:val="26561E20"/>
    <w:rsid w:val="265754CC"/>
    <w:rsid w:val="265956E8"/>
    <w:rsid w:val="265B5C80"/>
    <w:rsid w:val="265C4DF4"/>
    <w:rsid w:val="26600825"/>
    <w:rsid w:val="26661BB3"/>
    <w:rsid w:val="2669133F"/>
    <w:rsid w:val="26741FA5"/>
    <w:rsid w:val="267C5E66"/>
    <w:rsid w:val="26851904"/>
    <w:rsid w:val="26864004"/>
    <w:rsid w:val="268C1088"/>
    <w:rsid w:val="268E11BD"/>
    <w:rsid w:val="268F41C1"/>
    <w:rsid w:val="26907874"/>
    <w:rsid w:val="269A673C"/>
    <w:rsid w:val="26A050C5"/>
    <w:rsid w:val="26AF38E8"/>
    <w:rsid w:val="26B61F36"/>
    <w:rsid w:val="26BB44D0"/>
    <w:rsid w:val="26BD4B30"/>
    <w:rsid w:val="26C27698"/>
    <w:rsid w:val="26C568DA"/>
    <w:rsid w:val="26C74B1D"/>
    <w:rsid w:val="26C8226C"/>
    <w:rsid w:val="26C827B3"/>
    <w:rsid w:val="26CA7D26"/>
    <w:rsid w:val="26CF1A96"/>
    <w:rsid w:val="26CF2C7F"/>
    <w:rsid w:val="26D905D7"/>
    <w:rsid w:val="26DE5BEE"/>
    <w:rsid w:val="26E038BD"/>
    <w:rsid w:val="26E26D33"/>
    <w:rsid w:val="26E53757"/>
    <w:rsid w:val="26EA49F0"/>
    <w:rsid w:val="26EA6341"/>
    <w:rsid w:val="26FB22FC"/>
    <w:rsid w:val="26FC437E"/>
    <w:rsid w:val="26FD42C6"/>
    <w:rsid w:val="2702368A"/>
    <w:rsid w:val="27096C04"/>
    <w:rsid w:val="270E64D3"/>
    <w:rsid w:val="27121405"/>
    <w:rsid w:val="2712523F"/>
    <w:rsid w:val="27181100"/>
    <w:rsid w:val="27195750"/>
    <w:rsid w:val="27206206"/>
    <w:rsid w:val="27263487"/>
    <w:rsid w:val="27457A1B"/>
    <w:rsid w:val="27475258"/>
    <w:rsid w:val="27491CE2"/>
    <w:rsid w:val="27497346"/>
    <w:rsid w:val="274C00E7"/>
    <w:rsid w:val="274E4B21"/>
    <w:rsid w:val="27526510"/>
    <w:rsid w:val="27554346"/>
    <w:rsid w:val="275E4EAC"/>
    <w:rsid w:val="276B0173"/>
    <w:rsid w:val="27736336"/>
    <w:rsid w:val="277F74D6"/>
    <w:rsid w:val="27893DAB"/>
    <w:rsid w:val="27895B59"/>
    <w:rsid w:val="278A2ACD"/>
    <w:rsid w:val="278C73F8"/>
    <w:rsid w:val="27930DA0"/>
    <w:rsid w:val="2793660C"/>
    <w:rsid w:val="27983FEE"/>
    <w:rsid w:val="2799071E"/>
    <w:rsid w:val="279A12BC"/>
    <w:rsid w:val="279B2B20"/>
    <w:rsid w:val="279D281D"/>
    <w:rsid w:val="27BA50C6"/>
    <w:rsid w:val="27C110E8"/>
    <w:rsid w:val="27C2589A"/>
    <w:rsid w:val="27C608B1"/>
    <w:rsid w:val="27CB2BC4"/>
    <w:rsid w:val="27CB2C5E"/>
    <w:rsid w:val="27CF033D"/>
    <w:rsid w:val="27D008CD"/>
    <w:rsid w:val="27D24728"/>
    <w:rsid w:val="27D46535"/>
    <w:rsid w:val="27D74B17"/>
    <w:rsid w:val="27DA63B5"/>
    <w:rsid w:val="27DB0851"/>
    <w:rsid w:val="27E84793"/>
    <w:rsid w:val="27EB3F28"/>
    <w:rsid w:val="28017DE6"/>
    <w:rsid w:val="280E5870"/>
    <w:rsid w:val="28173D98"/>
    <w:rsid w:val="281B6B3C"/>
    <w:rsid w:val="281E2746"/>
    <w:rsid w:val="28250CC6"/>
    <w:rsid w:val="28251E9F"/>
    <w:rsid w:val="28285372"/>
    <w:rsid w:val="2829733C"/>
    <w:rsid w:val="283054AC"/>
    <w:rsid w:val="283A4B96"/>
    <w:rsid w:val="283D4E2D"/>
    <w:rsid w:val="284952E9"/>
    <w:rsid w:val="284B190C"/>
    <w:rsid w:val="28527737"/>
    <w:rsid w:val="2854351E"/>
    <w:rsid w:val="285C547F"/>
    <w:rsid w:val="285D1471"/>
    <w:rsid w:val="28606245"/>
    <w:rsid w:val="28620159"/>
    <w:rsid w:val="28645791"/>
    <w:rsid w:val="286B1703"/>
    <w:rsid w:val="286D0FD7"/>
    <w:rsid w:val="287B0F24"/>
    <w:rsid w:val="287D2AE8"/>
    <w:rsid w:val="28810F26"/>
    <w:rsid w:val="2887059C"/>
    <w:rsid w:val="288753C6"/>
    <w:rsid w:val="28893937"/>
    <w:rsid w:val="288A5FB2"/>
    <w:rsid w:val="288B58A3"/>
    <w:rsid w:val="28962934"/>
    <w:rsid w:val="289E0A26"/>
    <w:rsid w:val="28A138D1"/>
    <w:rsid w:val="28A32C4B"/>
    <w:rsid w:val="28A36707"/>
    <w:rsid w:val="28A71382"/>
    <w:rsid w:val="28AF35C6"/>
    <w:rsid w:val="28B06FF1"/>
    <w:rsid w:val="28B90FF5"/>
    <w:rsid w:val="28BC1F5F"/>
    <w:rsid w:val="28C52BC1"/>
    <w:rsid w:val="28C57065"/>
    <w:rsid w:val="28C82C67"/>
    <w:rsid w:val="28D15A0A"/>
    <w:rsid w:val="28D37A3B"/>
    <w:rsid w:val="28DC43AF"/>
    <w:rsid w:val="28E21187"/>
    <w:rsid w:val="28E846AB"/>
    <w:rsid w:val="28F11C08"/>
    <w:rsid w:val="28FC7098"/>
    <w:rsid w:val="28FE60D3"/>
    <w:rsid w:val="2900507C"/>
    <w:rsid w:val="290731DA"/>
    <w:rsid w:val="290D0E0E"/>
    <w:rsid w:val="291122AA"/>
    <w:rsid w:val="29171045"/>
    <w:rsid w:val="29220014"/>
    <w:rsid w:val="292A2231"/>
    <w:rsid w:val="292B0F16"/>
    <w:rsid w:val="293748C1"/>
    <w:rsid w:val="293935AF"/>
    <w:rsid w:val="29580D07"/>
    <w:rsid w:val="295B1778"/>
    <w:rsid w:val="295D54F0"/>
    <w:rsid w:val="29606D8E"/>
    <w:rsid w:val="296350A7"/>
    <w:rsid w:val="29653242"/>
    <w:rsid w:val="296C5604"/>
    <w:rsid w:val="297939AC"/>
    <w:rsid w:val="298939FC"/>
    <w:rsid w:val="298C3CA4"/>
    <w:rsid w:val="298D37D0"/>
    <w:rsid w:val="299130E9"/>
    <w:rsid w:val="29930F11"/>
    <w:rsid w:val="2994513B"/>
    <w:rsid w:val="2996455E"/>
    <w:rsid w:val="299B1B74"/>
    <w:rsid w:val="29A97F8A"/>
    <w:rsid w:val="29AC5B2F"/>
    <w:rsid w:val="29AD778D"/>
    <w:rsid w:val="29B47173"/>
    <w:rsid w:val="29BA649E"/>
    <w:rsid w:val="29BB1BAC"/>
    <w:rsid w:val="29C2692C"/>
    <w:rsid w:val="29C410CB"/>
    <w:rsid w:val="29C87D11"/>
    <w:rsid w:val="29D05CC2"/>
    <w:rsid w:val="29D15596"/>
    <w:rsid w:val="29DE07BC"/>
    <w:rsid w:val="29DF7CB3"/>
    <w:rsid w:val="29E057D9"/>
    <w:rsid w:val="29E1421C"/>
    <w:rsid w:val="29E4176D"/>
    <w:rsid w:val="29E6570E"/>
    <w:rsid w:val="29E94B0F"/>
    <w:rsid w:val="29EC61E5"/>
    <w:rsid w:val="29ED6C5C"/>
    <w:rsid w:val="29FD2C93"/>
    <w:rsid w:val="2A0911D4"/>
    <w:rsid w:val="2A190AFA"/>
    <w:rsid w:val="2A1F09F7"/>
    <w:rsid w:val="2A2949AD"/>
    <w:rsid w:val="2A3049B2"/>
    <w:rsid w:val="2A331DAD"/>
    <w:rsid w:val="2A3527AE"/>
    <w:rsid w:val="2A3D6440"/>
    <w:rsid w:val="2A4B5348"/>
    <w:rsid w:val="2A4B5EB3"/>
    <w:rsid w:val="2A571F3F"/>
    <w:rsid w:val="2A5834F1"/>
    <w:rsid w:val="2A5A1A2F"/>
    <w:rsid w:val="2A5F0DF4"/>
    <w:rsid w:val="2A5F5BA1"/>
    <w:rsid w:val="2A622692"/>
    <w:rsid w:val="2A656CB8"/>
    <w:rsid w:val="2A701253"/>
    <w:rsid w:val="2A765DEA"/>
    <w:rsid w:val="2A854FC4"/>
    <w:rsid w:val="2A872FE8"/>
    <w:rsid w:val="2A9211C9"/>
    <w:rsid w:val="2A932085"/>
    <w:rsid w:val="2A9413C9"/>
    <w:rsid w:val="2A944F41"/>
    <w:rsid w:val="2A9D36CA"/>
    <w:rsid w:val="2A9E191C"/>
    <w:rsid w:val="2AA42411"/>
    <w:rsid w:val="2AAD2577"/>
    <w:rsid w:val="2AB056E9"/>
    <w:rsid w:val="2AB34501"/>
    <w:rsid w:val="2AB411F2"/>
    <w:rsid w:val="2ABB0C08"/>
    <w:rsid w:val="2ABC535A"/>
    <w:rsid w:val="2AC1560A"/>
    <w:rsid w:val="2AD03A9F"/>
    <w:rsid w:val="2AD16F39"/>
    <w:rsid w:val="2AD25A69"/>
    <w:rsid w:val="2AD27817"/>
    <w:rsid w:val="2AD30686"/>
    <w:rsid w:val="2AD57308"/>
    <w:rsid w:val="2AD838DF"/>
    <w:rsid w:val="2ADD0128"/>
    <w:rsid w:val="2AEA268E"/>
    <w:rsid w:val="2AEB752E"/>
    <w:rsid w:val="2AF91248"/>
    <w:rsid w:val="2AFE498C"/>
    <w:rsid w:val="2B0261C7"/>
    <w:rsid w:val="2B14199B"/>
    <w:rsid w:val="2B1616C0"/>
    <w:rsid w:val="2B1C6CE5"/>
    <w:rsid w:val="2B2008F3"/>
    <w:rsid w:val="2B2067D5"/>
    <w:rsid w:val="2B2160A9"/>
    <w:rsid w:val="2B23121A"/>
    <w:rsid w:val="2B277B63"/>
    <w:rsid w:val="2B2C172A"/>
    <w:rsid w:val="2B2D2CA0"/>
    <w:rsid w:val="2B3109E2"/>
    <w:rsid w:val="2B375A80"/>
    <w:rsid w:val="2B3F72B2"/>
    <w:rsid w:val="2B421E23"/>
    <w:rsid w:val="2B4326B6"/>
    <w:rsid w:val="2B536BAA"/>
    <w:rsid w:val="2B5618EA"/>
    <w:rsid w:val="2B5D4325"/>
    <w:rsid w:val="2B5E554F"/>
    <w:rsid w:val="2B620B9B"/>
    <w:rsid w:val="2B6A60AE"/>
    <w:rsid w:val="2B747BBA"/>
    <w:rsid w:val="2B801021"/>
    <w:rsid w:val="2B810FEA"/>
    <w:rsid w:val="2B886128"/>
    <w:rsid w:val="2B8A1EA0"/>
    <w:rsid w:val="2B971695"/>
    <w:rsid w:val="2B976789"/>
    <w:rsid w:val="2B9F0531"/>
    <w:rsid w:val="2B9F27E9"/>
    <w:rsid w:val="2B9F77CC"/>
    <w:rsid w:val="2BAE0029"/>
    <w:rsid w:val="2BAE3DE1"/>
    <w:rsid w:val="2BAF21A8"/>
    <w:rsid w:val="2BB12FF2"/>
    <w:rsid w:val="2BB60EE7"/>
    <w:rsid w:val="2BB67139"/>
    <w:rsid w:val="2BBA1C2C"/>
    <w:rsid w:val="2BBD5E27"/>
    <w:rsid w:val="2BC3094D"/>
    <w:rsid w:val="2BC43604"/>
    <w:rsid w:val="2BC659C1"/>
    <w:rsid w:val="2BDD46C6"/>
    <w:rsid w:val="2BE22220"/>
    <w:rsid w:val="2BEF61A7"/>
    <w:rsid w:val="2C0313A8"/>
    <w:rsid w:val="2C064ECB"/>
    <w:rsid w:val="2C0734F1"/>
    <w:rsid w:val="2C104E0B"/>
    <w:rsid w:val="2C155C0E"/>
    <w:rsid w:val="2C1856FE"/>
    <w:rsid w:val="2C1B0FB3"/>
    <w:rsid w:val="2C230890"/>
    <w:rsid w:val="2C275E71"/>
    <w:rsid w:val="2C29790B"/>
    <w:rsid w:val="2C2C11A9"/>
    <w:rsid w:val="2C2C6236"/>
    <w:rsid w:val="2C33078A"/>
    <w:rsid w:val="2C387B4E"/>
    <w:rsid w:val="2C390A42"/>
    <w:rsid w:val="2C4732BE"/>
    <w:rsid w:val="2C4A2D94"/>
    <w:rsid w:val="2C4B7881"/>
    <w:rsid w:val="2C506C46"/>
    <w:rsid w:val="2C5A208D"/>
    <w:rsid w:val="2C5F332D"/>
    <w:rsid w:val="2C603C73"/>
    <w:rsid w:val="2C675C97"/>
    <w:rsid w:val="2C696B54"/>
    <w:rsid w:val="2C6B4044"/>
    <w:rsid w:val="2C705659"/>
    <w:rsid w:val="2C7D2489"/>
    <w:rsid w:val="2C7E7C57"/>
    <w:rsid w:val="2C854E8D"/>
    <w:rsid w:val="2C8B2374"/>
    <w:rsid w:val="2C8B5ED0"/>
    <w:rsid w:val="2C8F1FCA"/>
    <w:rsid w:val="2C9A4C4D"/>
    <w:rsid w:val="2CA90A4C"/>
    <w:rsid w:val="2CAA478A"/>
    <w:rsid w:val="2CAF44FC"/>
    <w:rsid w:val="2CB7324A"/>
    <w:rsid w:val="2CBC077F"/>
    <w:rsid w:val="2CC12362"/>
    <w:rsid w:val="2CC1332A"/>
    <w:rsid w:val="2CC460EE"/>
    <w:rsid w:val="2CC55886"/>
    <w:rsid w:val="2CC94C4A"/>
    <w:rsid w:val="2CCB451E"/>
    <w:rsid w:val="2CCD4076"/>
    <w:rsid w:val="2CD31625"/>
    <w:rsid w:val="2CD60A6C"/>
    <w:rsid w:val="2CDB5B13"/>
    <w:rsid w:val="2CDC2BCF"/>
    <w:rsid w:val="2CDC7EC4"/>
    <w:rsid w:val="2CE13E0E"/>
    <w:rsid w:val="2CEB03C6"/>
    <w:rsid w:val="2CF50BA2"/>
    <w:rsid w:val="2CF55A3F"/>
    <w:rsid w:val="2D034EA5"/>
    <w:rsid w:val="2D1057CD"/>
    <w:rsid w:val="2D157E8F"/>
    <w:rsid w:val="2D1C4D7A"/>
    <w:rsid w:val="2D2307FE"/>
    <w:rsid w:val="2D2B1461"/>
    <w:rsid w:val="2D2B7629"/>
    <w:rsid w:val="2D2D2CF0"/>
    <w:rsid w:val="2D2F7EFE"/>
    <w:rsid w:val="2D307726"/>
    <w:rsid w:val="2D380019"/>
    <w:rsid w:val="2D3E1194"/>
    <w:rsid w:val="2D464494"/>
    <w:rsid w:val="2D4A5D8B"/>
    <w:rsid w:val="2D4F15F3"/>
    <w:rsid w:val="2D525F67"/>
    <w:rsid w:val="2D553BAD"/>
    <w:rsid w:val="2D5573EF"/>
    <w:rsid w:val="2D5663E5"/>
    <w:rsid w:val="2D5704A8"/>
    <w:rsid w:val="2D5B79F0"/>
    <w:rsid w:val="2D5C59D6"/>
    <w:rsid w:val="2D5E4CD1"/>
    <w:rsid w:val="2D727090"/>
    <w:rsid w:val="2D7746A6"/>
    <w:rsid w:val="2D852054"/>
    <w:rsid w:val="2D872595"/>
    <w:rsid w:val="2D9066E8"/>
    <w:rsid w:val="2D980FF2"/>
    <w:rsid w:val="2D9D3677"/>
    <w:rsid w:val="2DA239F0"/>
    <w:rsid w:val="2DA501F3"/>
    <w:rsid w:val="2DA52FC1"/>
    <w:rsid w:val="2DA53476"/>
    <w:rsid w:val="2DAB444D"/>
    <w:rsid w:val="2DAD00C8"/>
    <w:rsid w:val="2DB245D8"/>
    <w:rsid w:val="2DB6793F"/>
    <w:rsid w:val="2DB96B52"/>
    <w:rsid w:val="2DBB4593"/>
    <w:rsid w:val="2DC0323D"/>
    <w:rsid w:val="2DC0604D"/>
    <w:rsid w:val="2DC378EB"/>
    <w:rsid w:val="2DC45B3D"/>
    <w:rsid w:val="2DC515B0"/>
    <w:rsid w:val="2DC729FE"/>
    <w:rsid w:val="2DC77DCA"/>
    <w:rsid w:val="2DCC49F2"/>
    <w:rsid w:val="2DCD403A"/>
    <w:rsid w:val="2DE63220"/>
    <w:rsid w:val="2DEA387E"/>
    <w:rsid w:val="2DF552BE"/>
    <w:rsid w:val="2DFB0D3B"/>
    <w:rsid w:val="2DFE297D"/>
    <w:rsid w:val="2E0208DD"/>
    <w:rsid w:val="2E073CE1"/>
    <w:rsid w:val="2E0A444D"/>
    <w:rsid w:val="2E0B3337"/>
    <w:rsid w:val="2E0C6AD8"/>
    <w:rsid w:val="2E0E2DE1"/>
    <w:rsid w:val="2E114AFB"/>
    <w:rsid w:val="2E1344DC"/>
    <w:rsid w:val="2E20085E"/>
    <w:rsid w:val="2E234885"/>
    <w:rsid w:val="2E286A42"/>
    <w:rsid w:val="2E426A62"/>
    <w:rsid w:val="2E472DE0"/>
    <w:rsid w:val="2E4E18AB"/>
    <w:rsid w:val="2E5311BD"/>
    <w:rsid w:val="2E55192F"/>
    <w:rsid w:val="2E5A3DAC"/>
    <w:rsid w:val="2E6021BF"/>
    <w:rsid w:val="2E60513A"/>
    <w:rsid w:val="2E607A11"/>
    <w:rsid w:val="2E69625B"/>
    <w:rsid w:val="2E7133BC"/>
    <w:rsid w:val="2E7D18A1"/>
    <w:rsid w:val="2E7E255B"/>
    <w:rsid w:val="2E7F3812"/>
    <w:rsid w:val="2E8B0409"/>
    <w:rsid w:val="2E903C71"/>
    <w:rsid w:val="2E9E2638"/>
    <w:rsid w:val="2EA446A8"/>
    <w:rsid w:val="2EB01C1E"/>
    <w:rsid w:val="2EB46A04"/>
    <w:rsid w:val="2EB711FE"/>
    <w:rsid w:val="2ECD362D"/>
    <w:rsid w:val="2EE13415"/>
    <w:rsid w:val="2EE20771"/>
    <w:rsid w:val="2EE962FC"/>
    <w:rsid w:val="2EED0359"/>
    <w:rsid w:val="2EF22236"/>
    <w:rsid w:val="2EF37D5C"/>
    <w:rsid w:val="2EF6514A"/>
    <w:rsid w:val="2EFC4E63"/>
    <w:rsid w:val="2F014B01"/>
    <w:rsid w:val="2F0247C0"/>
    <w:rsid w:val="2F0A1F46"/>
    <w:rsid w:val="2F0B32F8"/>
    <w:rsid w:val="2F0C63BC"/>
    <w:rsid w:val="2F141D40"/>
    <w:rsid w:val="2F191A56"/>
    <w:rsid w:val="2F1C3757"/>
    <w:rsid w:val="2F21503B"/>
    <w:rsid w:val="2F257C3B"/>
    <w:rsid w:val="2F2B28F9"/>
    <w:rsid w:val="2F363DB4"/>
    <w:rsid w:val="2F3960B7"/>
    <w:rsid w:val="2F446CE9"/>
    <w:rsid w:val="2F4D3910"/>
    <w:rsid w:val="2F516105"/>
    <w:rsid w:val="2F533148"/>
    <w:rsid w:val="2F5D6701"/>
    <w:rsid w:val="2F6A03D2"/>
    <w:rsid w:val="2F6B34DA"/>
    <w:rsid w:val="2F722054"/>
    <w:rsid w:val="2F723377"/>
    <w:rsid w:val="2F754C15"/>
    <w:rsid w:val="2F776BDF"/>
    <w:rsid w:val="2F787D25"/>
    <w:rsid w:val="2F7D09D9"/>
    <w:rsid w:val="2F8A246F"/>
    <w:rsid w:val="2F9316C0"/>
    <w:rsid w:val="2F962126"/>
    <w:rsid w:val="2F9966D9"/>
    <w:rsid w:val="2F9E1DDD"/>
    <w:rsid w:val="2FA26362"/>
    <w:rsid w:val="2FA379D4"/>
    <w:rsid w:val="2FB62D97"/>
    <w:rsid w:val="2FBA48F0"/>
    <w:rsid w:val="2FC10CAA"/>
    <w:rsid w:val="2FC242FE"/>
    <w:rsid w:val="2FC50263"/>
    <w:rsid w:val="2FD054DB"/>
    <w:rsid w:val="2FD06C0B"/>
    <w:rsid w:val="2FD271D9"/>
    <w:rsid w:val="2FD42EE9"/>
    <w:rsid w:val="2FD808A9"/>
    <w:rsid w:val="2FDB1E72"/>
    <w:rsid w:val="2FE26EB8"/>
    <w:rsid w:val="2FE37DD1"/>
    <w:rsid w:val="2FF41FDE"/>
    <w:rsid w:val="2FF81E0E"/>
    <w:rsid w:val="2FFB2DCC"/>
    <w:rsid w:val="2FFD65A9"/>
    <w:rsid w:val="300E12F2"/>
    <w:rsid w:val="301B6D6D"/>
    <w:rsid w:val="301C6CAC"/>
    <w:rsid w:val="30316D8E"/>
    <w:rsid w:val="30336FAA"/>
    <w:rsid w:val="303650C3"/>
    <w:rsid w:val="30367A6B"/>
    <w:rsid w:val="303A5707"/>
    <w:rsid w:val="304765B2"/>
    <w:rsid w:val="304A7E50"/>
    <w:rsid w:val="304E16EE"/>
    <w:rsid w:val="304F5466"/>
    <w:rsid w:val="30504D60"/>
    <w:rsid w:val="305553AF"/>
    <w:rsid w:val="306301D5"/>
    <w:rsid w:val="30662EDC"/>
    <w:rsid w:val="306C426A"/>
    <w:rsid w:val="307153DD"/>
    <w:rsid w:val="307C003B"/>
    <w:rsid w:val="307E6DB2"/>
    <w:rsid w:val="308059F2"/>
    <w:rsid w:val="30883269"/>
    <w:rsid w:val="30991074"/>
    <w:rsid w:val="30A36FF1"/>
    <w:rsid w:val="30C21DFA"/>
    <w:rsid w:val="30C23E8A"/>
    <w:rsid w:val="30C9346B"/>
    <w:rsid w:val="30C95219"/>
    <w:rsid w:val="30CB2D3F"/>
    <w:rsid w:val="30CC6AB7"/>
    <w:rsid w:val="30CC6F7E"/>
    <w:rsid w:val="30D23F36"/>
    <w:rsid w:val="30D75B88"/>
    <w:rsid w:val="30DD197C"/>
    <w:rsid w:val="30DD6F16"/>
    <w:rsid w:val="30EC0F07"/>
    <w:rsid w:val="30EE2ED1"/>
    <w:rsid w:val="30EE3F00"/>
    <w:rsid w:val="30EF1D20"/>
    <w:rsid w:val="30F779FC"/>
    <w:rsid w:val="30FA12BF"/>
    <w:rsid w:val="3103770B"/>
    <w:rsid w:val="31210BB1"/>
    <w:rsid w:val="312E5247"/>
    <w:rsid w:val="3134032E"/>
    <w:rsid w:val="31363E4E"/>
    <w:rsid w:val="3138414C"/>
    <w:rsid w:val="313A6116"/>
    <w:rsid w:val="313B179E"/>
    <w:rsid w:val="31476416"/>
    <w:rsid w:val="314A7BDF"/>
    <w:rsid w:val="314B289F"/>
    <w:rsid w:val="314D409C"/>
    <w:rsid w:val="314F750B"/>
    <w:rsid w:val="315159AC"/>
    <w:rsid w:val="3153463F"/>
    <w:rsid w:val="31566970"/>
    <w:rsid w:val="31580624"/>
    <w:rsid w:val="315B5C24"/>
    <w:rsid w:val="315E7B1E"/>
    <w:rsid w:val="31731494"/>
    <w:rsid w:val="317D314F"/>
    <w:rsid w:val="317D7EBB"/>
    <w:rsid w:val="317F6A68"/>
    <w:rsid w:val="31876369"/>
    <w:rsid w:val="318D450C"/>
    <w:rsid w:val="31903F88"/>
    <w:rsid w:val="319F0024"/>
    <w:rsid w:val="31A812D2"/>
    <w:rsid w:val="31AA329C"/>
    <w:rsid w:val="31AB2DAB"/>
    <w:rsid w:val="31B25476"/>
    <w:rsid w:val="31B71515"/>
    <w:rsid w:val="31B959C7"/>
    <w:rsid w:val="31BD550A"/>
    <w:rsid w:val="31C3435E"/>
    <w:rsid w:val="31CC3212"/>
    <w:rsid w:val="31CF465E"/>
    <w:rsid w:val="31D40319"/>
    <w:rsid w:val="31D65860"/>
    <w:rsid w:val="31DF2946"/>
    <w:rsid w:val="31E77E49"/>
    <w:rsid w:val="31ED3189"/>
    <w:rsid w:val="31ED5A4E"/>
    <w:rsid w:val="31EE10DC"/>
    <w:rsid w:val="31F27808"/>
    <w:rsid w:val="31F724B8"/>
    <w:rsid w:val="31F81AD3"/>
    <w:rsid w:val="32056724"/>
    <w:rsid w:val="32110C25"/>
    <w:rsid w:val="321142D8"/>
    <w:rsid w:val="32145E29"/>
    <w:rsid w:val="321B644E"/>
    <w:rsid w:val="3221513D"/>
    <w:rsid w:val="322409E9"/>
    <w:rsid w:val="322B489E"/>
    <w:rsid w:val="32317484"/>
    <w:rsid w:val="323647E0"/>
    <w:rsid w:val="323808A8"/>
    <w:rsid w:val="3239017C"/>
    <w:rsid w:val="32431AD0"/>
    <w:rsid w:val="32530340"/>
    <w:rsid w:val="325A3421"/>
    <w:rsid w:val="325E5C02"/>
    <w:rsid w:val="32607DFF"/>
    <w:rsid w:val="326501D5"/>
    <w:rsid w:val="326571C3"/>
    <w:rsid w:val="326E03CD"/>
    <w:rsid w:val="32713795"/>
    <w:rsid w:val="32716E51"/>
    <w:rsid w:val="32737B32"/>
    <w:rsid w:val="32793FAC"/>
    <w:rsid w:val="327A71D0"/>
    <w:rsid w:val="3282040F"/>
    <w:rsid w:val="32821FC4"/>
    <w:rsid w:val="328E2CF1"/>
    <w:rsid w:val="32977498"/>
    <w:rsid w:val="329B2BE5"/>
    <w:rsid w:val="32A11B7A"/>
    <w:rsid w:val="32A55B5B"/>
    <w:rsid w:val="32AB22E8"/>
    <w:rsid w:val="32B04DB2"/>
    <w:rsid w:val="32C35685"/>
    <w:rsid w:val="32C4034C"/>
    <w:rsid w:val="32C569FF"/>
    <w:rsid w:val="32CA473F"/>
    <w:rsid w:val="32CD3487"/>
    <w:rsid w:val="32CE4D68"/>
    <w:rsid w:val="32CF2B72"/>
    <w:rsid w:val="32D03638"/>
    <w:rsid w:val="32D50524"/>
    <w:rsid w:val="32D81743"/>
    <w:rsid w:val="32E13A5F"/>
    <w:rsid w:val="32E3352E"/>
    <w:rsid w:val="32E53A10"/>
    <w:rsid w:val="32EC5A11"/>
    <w:rsid w:val="32F42D71"/>
    <w:rsid w:val="32F50547"/>
    <w:rsid w:val="32FA3431"/>
    <w:rsid w:val="3306616E"/>
    <w:rsid w:val="330662B0"/>
    <w:rsid w:val="332350B4"/>
    <w:rsid w:val="33271199"/>
    <w:rsid w:val="333A389D"/>
    <w:rsid w:val="33545A64"/>
    <w:rsid w:val="336F3663"/>
    <w:rsid w:val="337554A3"/>
    <w:rsid w:val="337B0E24"/>
    <w:rsid w:val="338401D6"/>
    <w:rsid w:val="338C030E"/>
    <w:rsid w:val="339064C2"/>
    <w:rsid w:val="33925D96"/>
    <w:rsid w:val="33A45AC9"/>
    <w:rsid w:val="33A51F6D"/>
    <w:rsid w:val="33A97DA2"/>
    <w:rsid w:val="33B053AF"/>
    <w:rsid w:val="33B158EA"/>
    <w:rsid w:val="33B43F5E"/>
    <w:rsid w:val="33B7681F"/>
    <w:rsid w:val="33C0222F"/>
    <w:rsid w:val="33C61EE3"/>
    <w:rsid w:val="33CA4D76"/>
    <w:rsid w:val="33CF5015"/>
    <w:rsid w:val="33D041B0"/>
    <w:rsid w:val="33D34C0B"/>
    <w:rsid w:val="33D62126"/>
    <w:rsid w:val="33E011C1"/>
    <w:rsid w:val="33E0347F"/>
    <w:rsid w:val="33E16D1D"/>
    <w:rsid w:val="33E660E2"/>
    <w:rsid w:val="33EB286E"/>
    <w:rsid w:val="33F95E15"/>
    <w:rsid w:val="33FE6CD1"/>
    <w:rsid w:val="34000F51"/>
    <w:rsid w:val="34091EBE"/>
    <w:rsid w:val="34094833"/>
    <w:rsid w:val="34096718"/>
    <w:rsid w:val="34162F23"/>
    <w:rsid w:val="34210CAE"/>
    <w:rsid w:val="34257CAC"/>
    <w:rsid w:val="342B1D46"/>
    <w:rsid w:val="343230D5"/>
    <w:rsid w:val="3437693D"/>
    <w:rsid w:val="343819DA"/>
    <w:rsid w:val="344008D1"/>
    <w:rsid w:val="344572AC"/>
    <w:rsid w:val="34495444"/>
    <w:rsid w:val="345B3646"/>
    <w:rsid w:val="345E1E65"/>
    <w:rsid w:val="346051D7"/>
    <w:rsid w:val="3465632F"/>
    <w:rsid w:val="348002E4"/>
    <w:rsid w:val="34802708"/>
    <w:rsid w:val="3482348D"/>
    <w:rsid w:val="34847DD4"/>
    <w:rsid w:val="3485461B"/>
    <w:rsid w:val="34874041"/>
    <w:rsid w:val="34925255"/>
    <w:rsid w:val="349721D9"/>
    <w:rsid w:val="349D69F2"/>
    <w:rsid w:val="34AA710F"/>
    <w:rsid w:val="34BE489F"/>
    <w:rsid w:val="34C5219B"/>
    <w:rsid w:val="34CA77B1"/>
    <w:rsid w:val="34D10B40"/>
    <w:rsid w:val="34D661A3"/>
    <w:rsid w:val="34D7676C"/>
    <w:rsid w:val="34D81ECE"/>
    <w:rsid w:val="34EB2CDD"/>
    <w:rsid w:val="34EB7302"/>
    <w:rsid w:val="34EC2EB9"/>
    <w:rsid w:val="34EE524E"/>
    <w:rsid w:val="34EE74E4"/>
    <w:rsid w:val="35002E80"/>
    <w:rsid w:val="3504664D"/>
    <w:rsid w:val="350F40EB"/>
    <w:rsid w:val="35121C80"/>
    <w:rsid w:val="35156C7E"/>
    <w:rsid w:val="351849C1"/>
    <w:rsid w:val="351E091F"/>
    <w:rsid w:val="351F0FAC"/>
    <w:rsid w:val="35210197"/>
    <w:rsid w:val="352260F8"/>
    <w:rsid w:val="352A4256"/>
    <w:rsid w:val="353460FF"/>
    <w:rsid w:val="353D61D5"/>
    <w:rsid w:val="3542559A"/>
    <w:rsid w:val="35431424"/>
    <w:rsid w:val="35474AB0"/>
    <w:rsid w:val="3547515D"/>
    <w:rsid w:val="35480CF6"/>
    <w:rsid w:val="354E3E1E"/>
    <w:rsid w:val="355D069A"/>
    <w:rsid w:val="35646B82"/>
    <w:rsid w:val="356B50D9"/>
    <w:rsid w:val="356C58AD"/>
    <w:rsid w:val="357065AB"/>
    <w:rsid w:val="35774AB9"/>
    <w:rsid w:val="357E2A76"/>
    <w:rsid w:val="358335C2"/>
    <w:rsid w:val="3587366D"/>
    <w:rsid w:val="359C114E"/>
    <w:rsid w:val="359F29EC"/>
    <w:rsid w:val="35A16F73"/>
    <w:rsid w:val="35A27F45"/>
    <w:rsid w:val="35A3641B"/>
    <w:rsid w:val="35A41DB0"/>
    <w:rsid w:val="35A46254"/>
    <w:rsid w:val="35A470AE"/>
    <w:rsid w:val="35B277CF"/>
    <w:rsid w:val="35B33B03"/>
    <w:rsid w:val="35BA5E1A"/>
    <w:rsid w:val="35C366DA"/>
    <w:rsid w:val="35C84690"/>
    <w:rsid w:val="35CA7988"/>
    <w:rsid w:val="35DB6CDC"/>
    <w:rsid w:val="35E054DE"/>
    <w:rsid w:val="35E47D46"/>
    <w:rsid w:val="35ED6B48"/>
    <w:rsid w:val="35F45E8B"/>
    <w:rsid w:val="35FB5B03"/>
    <w:rsid w:val="36005E25"/>
    <w:rsid w:val="36056CF3"/>
    <w:rsid w:val="360C62D3"/>
    <w:rsid w:val="360F7B72"/>
    <w:rsid w:val="36154A5C"/>
    <w:rsid w:val="361707D4"/>
    <w:rsid w:val="36241293"/>
    <w:rsid w:val="36257395"/>
    <w:rsid w:val="363475D8"/>
    <w:rsid w:val="36411F77"/>
    <w:rsid w:val="365365D2"/>
    <w:rsid w:val="36583083"/>
    <w:rsid w:val="365A33B7"/>
    <w:rsid w:val="366D23E9"/>
    <w:rsid w:val="366E276C"/>
    <w:rsid w:val="366E50DA"/>
    <w:rsid w:val="36703A01"/>
    <w:rsid w:val="36755FDE"/>
    <w:rsid w:val="36832A4B"/>
    <w:rsid w:val="368340BC"/>
    <w:rsid w:val="36881445"/>
    <w:rsid w:val="368A292D"/>
    <w:rsid w:val="368A594B"/>
    <w:rsid w:val="368A71F8"/>
    <w:rsid w:val="368C1783"/>
    <w:rsid w:val="368F7238"/>
    <w:rsid w:val="36932551"/>
    <w:rsid w:val="36AA4451"/>
    <w:rsid w:val="36AD5761"/>
    <w:rsid w:val="36B008D8"/>
    <w:rsid w:val="36B10C29"/>
    <w:rsid w:val="36B83D65"/>
    <w:rsid w:val="36BC2851"/>
    <w:rsid w:val="36D46EA0"/>
    <w:rsid w:val="36D96DD9"/>
    <w:rsid w:val="36DD1A1E"/>
    <w:rsid w:val="36E42DAC"/>
    <w:rsid w:val="36E66C40"/>
    <w:rsid w:val="36F10990"/>
    <w:rsid w:val="370D26A3"/>
    <w:rsid w:val="371F2036"/>
    <w:rsid w:val="37201095"/>
    <w:rsid w:val="372235BD"/>
    <w:rsid w:val="37227431"/>
    <w:rsid w:val="37252C7D"/>
    <w:rsid w:val="373309DC"/>
    <w:rsid w:val="373A08FC"/>
    <w:rsid w:val="373C4996"/>
    <w:rsid w:val="373D24BC"/>
    <w:rsid w:val="3740649B"/>
    <w:rsid w:val="37520247"/>
    <w:rsid w:val="37557806"/>
    <w:rsid w:val="375665FE"/>
    <w:rsid w:val="375A71E6"/>
    <w:rsid w:val="376215F9"/>
    <w:rsid w:val="376C68FE"/>
    <w:rsid w:val="376E70A4"/>
    <w:rsid w:val="37753A04"/>
    <w:rsid w:val="377719EF"/>
    <w:rsid w:val="377C1237"/>
    <w:rsid w:val="378679C0"/>
    <w:rsid w:val="37885B03"/>
    <w:rsid w:val="37887BDC"/>
    <w:rsid w:val="379A16BD"/>
    <w:rsid w:val="37A3555E"/>
    <w:rsid w:val="37A434A3"/>
    <w:rsid w:val="37A920BC"/>
    <w:rsid w:val="37AC7AD3"/>
    <w:rsid w:val="37B01116"/>
    <w:rsid w:val="37B01EA4"/>
    <w:rsid w:val="37C4498C"/>
    <w:rsid w:val="37C5495D"/>
    <w:rsid w:val="37E341DA"/>
    <w:rsid w:val="37E34E12"/>
    <w:rsid w:val="37EA43F2"/>
    <w:rsid w:val="37EC5F7B"/>
    <w:rsid w:val="37F0694A"/>
    <w:rsid w:val="37F14165"/>
    <w:rsid w:val="37FE1C4C"/>
    <w:rsid w:val="3802344A"/>
    <w:rsid w:val="380600E0"/>
    <w:rsid w:val="380A1128"/>
    <w:rsid w:val="380C7EA0"/>
    <w:rsid w:val="381257AF"/>
    <w:rsid w:val="381450F7"/>
    <w:rsid w:val="381979D3"/>
    <w:rsid w:val="381C36B0"/>
    <w:rsid w:val="3824244F"/>
    <w:rsid w:val="38270896"/>
    <w:rsid w:val="38276324"/>
    <w:rsid w:val="382947EF"/>
    <w:rsid w:val="3837600C"/>
    <w:rsid w:val="38433B03"/>
    <w:rsid w:val="38441E4A"/>
    <w:rsid w:val="384B5359"/>
    <w:rsid w:val="38581D94"/>
    <w:rsid w:val="38635F53"/>
    <w:rsid w:val="386C12AB"/>
    <w:rsid w:val="386D1B9B"/>
    <w:rsid w:val="38703520"/>
    <w:rsid w:val="387442BD"/>
    <w:rsid w:val="38792D0F"/>
    <w:rsid w:val="387A5AF6"/>
    <w:rsid w:val="387A74C6"/>
    <w:rsid w:val="387E4B3B"/>
    <w:rsid w:val="3881462B"/>
    <w:rsid w:val="38824FEC"/>
    <w:rsid w:val="388365F5"/>
    <w:rsid w:val="389175E4"/>
    <w:rsid w:val="38961E84"/>
    <w:rsid w:val="389B74EC"/>
    <w:rsid w:val="389E342F"/>
    <w:rsid w:val="38A2163C"/>
    <w:rsid w:val="38B10CD7"/>
    <w:rsid w:val="38B371E2"/>
    <w:rsid w:val="38B84BBB"/>
    <w:rsid w:val="38BC484B"/>
    <w:rsid w:val="38BF1A11"/>
    <w:rsid w:val="38C01848"/>
    <w:rsid w:val="38C21810"/>
    <w:rsid w:val="38D8647F"/>
    <w:rsid w:val="38DD7AB3"/>
    <w:rsid w:val="38E758FC"/>
    <w:rsid w:val="38E946AA"/>
    <w:rsid w:val="38ED6A84"/>
    <w:rsid w:val="38F51C6A"/>
    <w:rsid w:val="390115DC"/>
    <w:rsid w:val="39111C5F"/>
    <w:rsid w:val="39142431"/>
    <w:rsid w:val="39186D3D"/>
    <w:rsid w:val="391A482A"/>
    <w:rsid w:val="39204A69"/>
    <w:rsid w:val="39227BBC"/>
    <w:rsid w:val="3925145A"/>
    <w:rsid w:val="392C7748"/>
    <w:rsid w:val="39317DFF"/>
    <w:rsid w:val="39391637"/>
    <w:rsid w:val="393A67E2"/>
    <w:rsid w:val="394B5125"/>
    <w:rsid w:val="39535396"/>
    <w:rsid w:val="39640917"/>
    <w:rsid w:val="39651C68"/>
    <w:rsid w:val="396C6F56"/>
    <w:rsid w:val="397E1D34"/>
    <w:rsid w:val="398828FC"/>
    <w:rsid w:val="39985DC1"/>
    <w:rsid w:val="399E7355"/>
    <w:rsid w:val="39B13948"/>
    <w:rsid w:val="39BA4298"/>
    <w:rsid w:val="39BD24A1"/>
    <w:rsid w:val="39C84BD3"/>
    <w:rsid w:val="39CB1EC6"/>
    <w:rsid w:val="39CD7B28"/>
    <w:rsid w:val="39D23088"/>
    <w:rsid w:val="39D23C11"/>
    <w:rsid w:val="39D55FEB"/>
    <w:rsid w:val="39D63BC2"/>
    <w:rsid w:val="39DF3CFF"/>
    <w:rsid w:val="39E92488"/>
    <w:rsid w:val="39EC3D26"/>
    <w:rsid w:val="39ED1F78"/>
    <w:rsid w:val="39F03816"/>
    <w:rsid w:val="39F1794B"/>
    <w:rsid w:val="39F24786"/>
    <w:rsid w:val="39FD5F33"/>
    <w:rsid w:val="3A0215EB"/>
    <w:rsid w:val="3A0B4AF4"/>
    <w:rsid w:val="3A0D1341"/>
    <w:rsid w:val="3A19697C"/>
    <w:rsid w:val="3A1F0B75"/>
    <w:rsid w:val="3A221A8C"/>
    <w:rsid w:val="3A241712"/>
    <w:rsid w:val="3A273C2E"/>
    <w:rsid w:val="3A275664"/>
    <w:rsid w:val="3A296A5E"/>
    <w:rsid w:val="3A305611"/>
    <w:rsid w:val="3A396F6B"/>
    <w:rsid w:val="3A3F0FB4"/>
    <w:rsid w:val="3A451DB4"/>
    <w:rsid w:val="3A483652"/>
    <w:rsid w:val="3A4B6EC2"/>
    <w:rsid w:val="3A4D20AB"/>
    <w:rsid w:val="3A4F0AA8"/>
    <w:rsid w:val="3A555D6F"/>
    <w:rsid w:val="3A672285"/>
    <w:rsid w:val="3A72247D"/>
    <w:rsid w:val="3A73258B"/>
    <w:rsid w:val="3A740FA3"/>
    <w:rsid w:val="3A744447"/>
    <w:rsid w:val="3A773F37"/>
    <w:rsid w:val="3A94332A"/>
    <w:rsid w:val="3A99047D"/>
    <w:rsid w:val="3A9A69CA"/>
    <w:rsid w:val="3AAD1707"/>
    <w:rsid w:val="3AB65411"/>
    <w:rsid w:val="3AB7338B"/>
    <w:rsid w:val="3ABB4F90"/>
    <w:rsid w:val="3AC07695"/>
    <w:rsid w:val="3AC54CA3"/>
    <w:rsid w:val="3AD06FC2"/>
    <w:rsid w:val="3ADF71D3"/>
    <w:rsid w:val="3AFC1592"/>
    <w:rsid w:val="3B0A473E"/>
    <w:rsid w:val="3B0B3494"/>
    <w:rsid w:val="3B0B50DD"/>
    <w:rsid w:val="3B0C4DA2"/>
    <w:rsid w:val="3B174F09"/>
    <w:rsid w:val="3B176016"/>
    <w:rsid w:val="3B1B2B15"/>
    <w:rsid w:val="3B2641D4"/>
    <w:rsid w:val="3B3132FD"/>
    <w:rsid w:val="3B3754FB"/>
    <w:rsid w:val="3B3D2A8B"/>
    <w:rsid w:val="3B421FAF"/>
    <w:rsid w:val="3B424B80"/>
    <w:rsid w:val="3B4267A7"/>
    <w:rsid w:val="3B436010"/>
    <w:rsid w:val="3B48382E"/>
    <w:rsid w:val="3B4B164C"/>
    <w:rsid w:val="3B547DD5"/>
    <w:rsid w:val="3B5851E9"/>
    <w:rsid w:val="3B5A1C91"/>
    <w:rsid w:val="3B5C7645"/>
    <w:rsid w:val="3B5E3171"/>
    <w:rsid w:val="3B5F38BE"/>
    <w:rsid w:val="3B707C26"/>
    <w:rsid w:val="3B7172BA"/>
    <w:rsid w:val="3B794422"/>
    <w:rsid w:val="3B7E2BAF"/>
    <w:rsid w:val="3B892174"/>
    <w:rsid w:val="3B8C756F"/>
    <w:rsid w:val="3B91709A"/>
    <w:rsid w:val="3BB23E5F"/>
    <w:rsid w:val="3BB7024A"/>
    <w:rsid w:val="3BBA40DC"/>
    <w:rsid w:val="3BC7691B"/>
    <w:rsid w:val="3BDA4E51"/>
    <w:rsid w:val="3BDB2906"/>
    <w:rsid w:val="3BE41159"/>
    <w:rsid w:val="3BEC3676"/>
    <w:rsid w:val="3BEE0229"/>
    <w:rsid w:val="3BEF7DD6"/>
    <w:rsid w:val="3BF66E77"/>
    <w:rsid w:val="3BF82EB3"/>
    <w:rsid w:val="3BFD12B9"/>
    <w:rsid w:val="3C011D0B"/>
    <w:rsid w:val="3C0165D0"/>
    <w:rsid w:val="3C0D1A01"/>
    <w:rsid w:val="3C0D4B53"/>
    <w:rsid w:val="3C1832DF"/>
    <w:rsid w:val="3C1D7D04"/>
    <w:rsid w:val="3C24099A"/>
    <w:rsid w:val="3C2551DB"/>
    <w:rsid w:val="3C291261"/>
    <w:rsid w:val="3C2F4ACA"/>
    <w:rsid w:val="3C303181"/>
    <w:rsid w:val="3C335C3C"/>
    <w:rsid w:val="3C353F33"/>
    <w:rsid w:val="3C3A7F27"/>
    <w:rsid w:val="3C413397"/>
    <w:rsid w:val="3C4D31A2"/>
    <w:rsid w:val="3C58684F"/>
    <w:rsid w:val="3C5C33E5"/>
    <w:rsid w:val="3C5D3C4F"/>
    <w:rsid w:val="3C5F0E2E"/>
    <w:rsid w:val="3C5F3DC8"/>
    <w:rsid w:val="3C65366B"/>
    <w:rsid w:val="3C746DFB"/>
    <w:rsid w:val="3C776471"/>
    <w:rsid w:val="3C86605C"/>
    <w:rsid w:val="3C8E046F"/>
    <w:rsid w:val="3C931337"/>
    <w:rsid w:val="3C973023"/>
    <w:rsid w:val="3C9E65CD"/>
    <w:rsid w:val="3CA7031E"/>
    <w:rsid w:val="3CB672CA"/>
    <w:rsid w:val="3CC0462F"/>
    <w:rsid w:val="3CC138F6"/>
    <w:rsid w:val="3CC2593E"/>
    <w:rsid w:val="3CCF0F6E"/>
    <w:rsid w:val="3CDA3B31"/>
    <w:rsid w:val="3CDC7007"/>
    <w:rsid w:val="3CDD5A81"/>
    <w:rsid w:val="3CE55646"/>
    <w:rsid w:val="3CEA09F1"/>
    <w:rsid w:val="3CEF368A"/>
    <w:rsid w:val="3D1230BD"/>
    <w:rsid w:val="3D136EFB"/>
    <w:rsid w:val="3D154912"/>
    <w:rsid w:val="3D1A5448"/>
    <w:rsid w:val="3D217DF3"/>
    <w:rsid w:val="3D2C2B7F"/>
    <w:rsid w:val="3D2D7B8E"/>
    <w:rsid w:val="3D2F0740"/>
    <w:rsid w:val="3D324146"/>
    <w:rsid w:val="3D3659E4"/>
    <w:rsid w:val="3D404AB5"/>
    <w:rsid w:val="3D464B66"/>
    <w:rsid w:val="3D474095"/>
    <w:rsid w:val="3D5A0B77"/>
    <w:rsid w:val="3D5B544A"/>
    <w:rsid w:val="3D5F13DF"/>
    <w:rsid w:val="3D6213C4"/>
    <w:rsid w:val="3D6267D9"/>
    <w:rsid w:val="3D6A1B31"/>
    <w:rsid w:val="3D6D517E"/>
    <w:rsid w:val="3D7442A2"/>
    <w:rsid w:val="3D780746"/>
    <w:rsid w:val="3D793B23"/>
    <w:rsid w:val="3D7A6218"/>
    <w:rsid w:val="3D7A7FC6"/>
    <w:rsid w:val="3D820C29"/>
    <w:rsid w:val="3D8438F5"/>
    <w:rsid w:val="3D864BBD"/>
    <w:rsid w:val="3D891FB8"/>
    <w:rsid w:val="3D8B1624"/>
    <w:rsid w:val="3D8C006D"/>
    <w:rsid w:val="3D8E3A72"/>
    <w:rsid w:val="3D954E00"/>
    <w:rsid w:val="3D97630A"/>
    <w:rsid w:val="3D98044D"/>
    <w:rsid w:val="3D9C3FEF"/>
    <w:rsid w:val="3DA43295"/>
    <w:rsid w:val="3DAE7C70"/>
    <w:rsid w:val="3DB159B2"/>
    <w:rsid w:val="3DB272D8"/>
    <w:rsid w:val="3DBC182E"/>
    <w:rsid w:val="3DBF1E7D"/>
    <w:rsid w:val="3DC2196D"/>
    <w:rsid w:val="3DCE24ED"/>
    <w:rsid w:val="3DD376D7"/>
    <w:rsid w:val="3DDF2B68"/>
    <w:rsid w:val="3DE36705"/>
    <w:rsid w:val="3DE50366"/>
    <w:rsid w:val="3DE5109B"/>
    <w:rsid w:val="3DEB1C8C"/>
    <w:rsid w:val="3DF35ACC"/>
    <w:rsid w:val="3DFE0BF8"/>
    <w:rsid w:val="3DFF127E"/>
    <w:rsid w:val="3E014244"/>
    <w:rsid w:val="3E05072E"/>
    <w:rsid w:val="3E0B2D85"/>
    <w:rsid w:val="3E16206F"/>
    <w:rsid w:val="3E277A87"/>
    <w:rsid w:val="3E2A3D95"/>
    <w:rsid w:val="3E2B7513"/>
    <w:rsid w:val="3E2B7626"/>
    <w:rsid w:val="3E300685"/>
    <w:rsid w:val="3E3208A1"/>
    <w:rsid w:val="3E371A14"/>
    <w:rsid w:val="3E3C108E"/>
    <w:rsid w:val="3E3C10AD"/>
    <w:rsid w:val="3E406979"/>
    <w:rsid w:val="3E4D29DB"/>
    <w:rsid w:val="3E506F79"/>
    <w:rsid w:val="3E5838DD"/>
    <w:rsid w:val="3E5C4AA2"/>
    <w:rsid w:val="3E602718"/>
    <w:rsid w:val="3E614CE2"/>
    <w:rsid w:val="3E726EC9"/>
    <w:rsid w:val="3E75078E"/>
    <w:rsid w:val="3E7675A0"/>
    <w:rsid w:val="3E797040"/>
    <w:rsid w:val="3E831D52"/>
    <w:rsid w:val="3E8E326B"/>
    <w:rsid w:val="3E951889"/>
    <w:rsid w:val="3E9629CF"/>
    <w:rsid w:val="3EA0134A"/>
    <w:rsid w:val="3EA74E8E"/>
    <w:rsid w:val="3EAE0324"/>
    <w:rsid w:val="3EB158B4"/>
    <w:rsid w:val="3EB2553E"/>
    <w:rsid w:val="3EB72B54"/>
    <w:rsid w:val="3EB937FE"/>
    <w:rsid w:val="3EBD6E70"/>
    <w:rsid w:val="3EC3206C"/>
    <w:rsid w:val="3EC55195"/>
    <w:rsid w:val="3ECC7844"/>
    <w:rsid w:val="3ECD00BE"/>
    <w:rsid w:val="3ED96C16"/>
    <w:rsid w:val="3EDF07E5"/>
    <w:rsid w:val="3EE91D44"/>
    <w:rsid w:val="3EEB27FE"/>
    <w:rsid w:val="3EED1E62"/>
    <w:rsid w:val="3EEE2F1C"/>
    <w:rsid w:val="3EF23B8C"/>
    <w:rsid w:val="3EF8449E"/>
    <w:rsid w:val="3EFC7DAE"/>
    <w:rsid w:val="3F010273"/>
    <w:rsid w:val="3F096D0B"/>
    <w:rsid w:val="3F0B7179"/>
    <w:rsid w:val="3F116709"/>
    <w:rsid w:val="3F125FDD"/>
    <w:rsid w:val="3F151574"/>
    <w:rsid w:val="3F163D1F"/>
    <w:rsid w:val="3F1E4289"/>
    <w:rsid w:val="3F1F0C88"/>
    <w:rsid w:val="3F251D7D"/>
    <w:rsid w:val="3F2E1312"/>
    <w:rsid w:val="3F3101D7"/>
    <w:rsid w:val="3F42218F"/>
    <w:rsid w:val="3F4A628E"/>
    <w:rsid w:val="3F514B2D"/>
    <w:rsid w:val="3F557260"/>
    <w:rsid w:val="3F5D1B7A"/>
    <w:rsid w:val="3F60523E"/>
    <w:rsid w:val="3F667372"/>
    <w:rsid w:val="3F6727CC"/>
    <w:rsid w:val="3F6759F5"/>
    <w:rsid w:val="3F6D115F"/>
    <w:rsid w:val="3F724CCD"/>
    <w:rsid w:val="3F7377B0"/>
    <w:rsid w:val="3F7C5873"/>
    <w:rsid w:val="3F8B74A4"/>
    <w:rsid w:val="3F93128E"/>
    <w:rsid w:val="3F9335C1"/>
    <w:rsid w:val="3F984120"/>
    <w:rsid w:val="3FA255B3"/>
    <w:rsid w:val="3FA540B0"/>
    <w:rsid w:val="3FA541A9"/>
    <w:rsid w:val="3FA70E1B"/>
    <w:rsid w:val="3FB53538"/>
    <w:rsid w:val="3FB672B0"/>
    <w:rsid w:val="3FB776F5"/>
    <w:rsid w:val="3FEE76F8"/>
    <w:rsid w:val="400310D8"/>
    <w:rsid w:val="40041DC9"/>
    <w:rsid w:val="40081710"/>
    <w:rsid w:val="40086AA5"/>
    <w:rsid w:val="400B22C6"/>
    <w:rsid w:val="400B2990"/>
    <w:rsid w:val="400E0E9A"/>
    <w:rsid w:val="400E2C48"/>
    <w:rsid w:val="4014562F"/>
    <w:rsid w:val="40160995"/>
    <w:rsid w:val="401D24AF"/>
    <w:rsid w:val="402C78D5"/>
    <w:rsid w:val="40307BC9"/>
    <w:rsid w:val="40356427"/>
    <w:rsid w:val="403A0A27"/>
    <w:rsid w:val="403D28E3"/>
    <w:rsid w:val="403F5E49"/>
    <w:rsid w:val="403F72A5"/>
    <w:rsid w:val="40430493"/>
    <w:rsid w:val="4048768D"/>
    <w:rsid w:val="404B17A6"/>
    <w:rsid w:val="404D19C2"/>
    <w:rsid w:val="404F2865"/>
    <w:rsid w:val="40564EE7"/>
    <w:rsid w:val="40580367"/>
    <w:rsid w:val="405A0CFC"/>
    <w:rsid w:val="405C1C05"/>
    <w:rsid w:val="405E5CCB"/>
    <w:rsid w:val="406E3D2B"/>
    <w:rsid w:val="40714172"/>
    <w:rsid w:val="407F661D"/>
    <w:rsid w:val="408245ED"/>
    <w:rsid w:val="40864295"/>
    <w:rsid w:val="40926379"/>
    <w:rsid w:val="40984D90"/>
    <w:rsid w:val="409F45CB"/>
    <w:rsid w:val="40A67324"/>
    <w:rsid w:val="40AC7A1C"/>
    <w:rsid w:val="40B557B9"/>
    <w:rsid w:val="40B86E7B"/>
    <w:rsid w:val="40B90E06"/>
    <w:rsid w:val="40B94B83"/>
    <w:rsid w:val="40BE466E"/>
    <w:rsid w:val="40C319E2"/>
    <w:rsid w:val="40CD00BD"/>
    <w:rsid w:val="40CD4ED1"/>
    <w:rsid w:val="40D12495"/>
    <w:rsid w:val="40DC0019"/>
    <w:rsid w:val="40E31DD5"/>
    <w:rsid w:val="40E65224"/>
    <w:rsid w:val="40E85247"/>
    <w:rsid w:val="40EC27D7"/>
    <w:rsid w:val="40EF2A79"/>
    <w:rsid w:val="410C127B"/>
    <w:rsid w:val="410C5573"/>
    <w:rsid w:val="41196606"/>
    <w:rsid w:val="411E6EBB"/>
    <w:rsid w:val="411F1B51"/>
    <w:rsid w:val="41242B9C"/>
    <w:rsid w:val="412A1D04"/>
    <w:rsid w:val="413466DE"/>
    <w:rsid w:val="41355614"/>
    <w:rsid w:val="41432DC5"/>
    <w:rsid w:val="41474664"/>
    <w:rsid w:val="41523008"/>
    <w:rsid w:val="415437EE"/>
    <w:rsid w:val="41546B10"/>
    <w:rsid w:val="41562AF9"/>
    <w:rsid w:val="41616C71"/>
    <w:rsid w:val="41676221"/>
    <w:rsid w:val="416C40CA"/>
    <w:rsid w:val="417B1ADC"/>
    <w:rsid w:val="417D6A25"/>
    <w:rsid w:val="41807B75"/>
    <w:rsid w:val="418238EE"/>
    <w:rsid w:val="418577D5"/>
    <w:rsid w:val="419867DB"/>
    <w:rsid w:val="419D4283"/>
    <w:rsid w:val="41A51BAC"/>
    <w:rsid w:val="41A7646C"/>
    <w:rsid w:val="41B17F29"/>
    <w:rsid w:val="41B501A4"/>
    <w:rsid w:val="41B61561"/>
    <w:rsid w:val="41B8730F"/>
    <w:rsid w:val="41BF3BD9"/>
    <w:rsid w:val="41BF4055"/>
    <w:rsid w:val="41BF4A91"/>
    <w:rsid w:val="41C0381B"/>
    <w:rsid w:val="41CB3D94"/>
    <w:rsid w:val="41D614EA"/>
    <w:rsid w:val="41DC36BB"/>
    <w:rsid w:val="41F51BC5"/>
    <w:rsid w:val="41FA3484"/>
    <w:rsid w:val="41FB0356"/>
    <w:rsid w:val="420112F0"/>
    <w:rsid w:val="42022339"/>
    <w:rsid w:val="42132FE7"/>
    <w:rsid w:val="421729DE"/>
    <w:rsid w:val="421B648D"/>
    <w:rsid w:val="4220623E"/>
    <w:rsid w:val="42250FE1"/>
    <w:rsid w:val="4226071D"/>
    <w:rsid w:val="42330CE7"/>
    <w:rsid w:val="423821FE"/>
    <w:rsid w:val="423F533B"/>
    <w:rsid w:val="424C4C09"/>
    <w:rsid w:val="424D3EFC"/>
    <w:rsid w:val="4254392F"/>
    <w:rsid w:val="42556E41"/>
    <w:rsid w:val="425B768F"/>
    <w:rsid w:val="426B3345"/>
    <w:rsid w:val="42701998"/>
    <w:rsid w:val="42772D26"/>
    <w:rsid w:val="42814E9C"/>
    <w:rsid w:val="4286740D"/>
    <w:rsid w:val="42892644"/>
    <w:rsid w:val="428A7B32"/>
    <w:rsid w:val="428B1790"/>
    <w:rsid w:val="429A7093"/>
    <w:rsid w:val="42A76B06"/>
    <w:rsid w:val="42A93909"/>
    <w:rsid w:val="42AD52B2"/>
    <w:rsid w:val="42B32AAD"/>
    <w:rsid w:val="42B71734"/>
    <w:rsid w:val="42B86941"/>
    <w:rsid w:val="42BC698B"/>
    <w:rsid w:val="42BF195C"/>
    <w:rsid w:val="42D02437"/>
    <w:rsid w:val="42D40179"/>
    <w:rsid w:val="42D737C5"/>
    <w:rsid w:val="42DC7863"/>
    <w:rsid w:val="42E278AA"/>
    <w:rsid w:val="42E42D48"/>
    <w:rsid w:val="42E83C24"/>
    <w:rsid w:val="42EB54C2"/>
    <w:rsid w:val="42EF40F7"/>
    <w:rsid w:val="430A7047"/>
    <w:rsid w:val="430F56AE"/>
    <w:rsid w:val="431920F3"/>
    <w:rsid w:val="431A3863"/>
    <w:rsid w:val="43223EC8"/>
    <w:rsid w:val="4329362C"/>
    <w:rsid w:val="433160C7"/>
    <w:rsid w:val="43317379"/>
    <w:rsid w:val="4337496A"/>
    <w:rsid w:val="433C6B81"/>
    <w:rsid w:val="43410F50"/>
    <w:rsid w:val="4341198E"/>
    <w:rsid w:val="43452E25"/>
    <w:rsid w:val="434E1DB1"/>
    <w:rsid w:val="43536554"/>
    <w:rsid w:val="43537B5E"/>
    <w:rsid w:val="43556CA5"/>
    <w:rsid w:val="4356618F"/>
    <w:rsid w:val="4359242C"/>
    <w:rsid w:val="43657023"/>
    <w:rsid w:val="436C76AE"/>
    <w:rsid w:val="43710B5F"/>
    <w:rsid w:val="437F411E"/>
    <w:rsid w:val="43853221"/>
    <w:rsid w:val="43864C8C"/>
    <w:rsid w:val="438A541B"/>
    <w:rsid w:val="438D0328"/>
    <w:rsid w:val="438F7452"/>
    <w:rsid w:val="43903286"/>
    <w:rsid w:val="43972F54"/>
    <w:rsid w:val="43A075A0"/>
    <w:rsid w:val="43A32A80"/>
    <w:rsid w:val="43AA2D86"/>
    <w:rsid w:val="43AC169B"/>
    <w:rsid w:val="43AD1BA2"/>
    <w:rsid w:val="43B03AF0"/>
    <w:rsid w:val="43B3273D"/>
    <w:rsid w:val="43BA62BC"/>
    <w:rsid w:val="43C05056"/>
    <w:rsid w:val="43C16534"/>
    <w:rsid w:val="43C43746"/>
    <w:rsid w:val="43D16C6D"/>
    <w:rsid w:val="43DA696C"/>
    <w:rsid w:val="43E85F2B"/>
    <w:rsid w:val="43F172DD"/>
    <w:rsid w:val="43F30C80"/>
    <w:rsid w:val="43F32881"/>
    <w:rsid w:val="43F45810"/>
    <w:rsid w:val="43F477B8"/>
    <w:rsid w:val="43F6778C"/>
    <w:rsid w:val="43F955DA"/>
    <w:rsid w:val="440452E5"/>
    <w:rsid w:val="440933B5"/>
    <w:rsid w:val="440E7AB1"/>
    <w:rsid w:val="441A4AF2"/>
    <w:rsid w:val="441C7133"/>
    <w:rsid w:val="4439400C"/>
    <w:rsid w:val="443F79A1"/>
    <w:rsid w:val="44410337"/>
    <w:rsid w:val="444C0775"/>
    <w:rsid w:val="44503350"/>
    <w:rsid w:val="44533614"/>
    <w:rsid w:val="446B0669"/>
    <w:rsid w:val="44727C49"/>
    <w:rsid w:val="44746C5F"/>
    <w:rsid w:val="44753296"/>
    <w:rsid w:val="44776BD6"/>
    <w:rsid w:val="44784B34"/>
    <w:rsid w:val="447A5F85"/>
    <w:rsid w:val="44801914"/>
    <w:rsid w:val="44855C27"/>
    <w:rsid w:val="448E6105"/>
    <w:rsid w:val="4491249F"/>
    <w:rsid w:val="44917E58"/>
    <w:rsid w:val="44933678"/>
    <w:rsid w:val="4494321F"/>
    <w:rsid w:val="449A7A08"/>
    <w:rsid w:val="44A26055"/>
    <w:rsid w:val="44B00772"/>
    <w:rsid w:val="44B71B00"/>
    <w:rsid w:val="44B94074"/>
    <w:rsid w:val="44CC3666"/>
    <w:rsid w:val="44EB114B"/>
    <w:rsid w:val="44EB7ADD"/>
    <w:rsid w:val="44F10492"/>
    <w:rsid w:val="44F370A9"/>
    <w:rsid w:val="44F468B0"/>
    <w:rsid w:val="44F6398F"/>
    <w:rsid w:val="44FC39B7"/>
    <w:rsid w:val="44FC7513"/>
    <w:rsid w:val="44FD328B"/>
    <w:rsid w:val="4508410A"/>
    <w:rsid w:val="450B1B4F"/>
    <w:rsid w:val="45101210"/>
    <w:rsid w:val="45121B01"/>
    <w:rsid w:val="45144E13"/>
    <w:rsid w:val="45154A79"/>
    <w:rsid w:val="451B0C14"/>
    <w:rsid w:val="451E1B7F"/>
    <w:rsid w:val="451F4814"/>
    <w:rsid w:val="45322415"/>
    <w:rsid w:val="45343151"/>
    <w:rsid w:val="453D27DA"/>
    <w:rsid w:val="453F6E28"/>
    <w:rsid w:val="45482F06"/>
    <w:rsid w:val="45565EE6"/>
    <w:rsid w:val="45566CB6"/>
    <w:rsid w:val="45612761"/>
    <w:rsid w:val="4565155C"/>
    <w:rsid w:val="456926CF"/>
    <w:rsid w:val="456D298D"/>
    <w:rsid w:val="456F4189"/>
    <w:rsid w:val="456F5F37"/>
    <w:rsid w:val="45715A81"/>
    <w:rsid w:val="458614D2"/>
    <w:rsid w:val="458F0387"/>
    <w:rsid w:val="458F3DA1"/>
    <w:rsid w:val="45912351"/>
    <w:rsid w:val="45943BEF"/>
    <w:rsid w:val="45957044"/>
    <w:rsid w:val="45962409"/>
    <w:rsid w:val="45965BB9"/>
    <w:rsid w:val="45981F3C"/>
    <w:rsid w:val="45991206"/>
    <w:rsid w:val="459B5059"/>
    <w:rsid w:val="45A03F59"/>
    <w:rsid w:val="45A645B6"/>
    <w:rsid w:val="45A831F7"/>
    <w:rsid w:val="45B34405"/>
    <w:rsid w:val="45C07A37"/>
    <w:rsid w:val="45C85647"/>
    <w:rsid w:val="45CD7101"/>
    <w:rsid w:val="45D160A9"/>
    <w:rsid w:val="45D22ABE"/>
    <w:rsid w:val="45D87924"/>
    <w:rsid w:val="45EC6CE6"/>
    <w:rsid w:val="45EE1552"/>
    <w:rsid w:val="45EE30CE"/>
    <w:rsid w:val="460A4BD7"/>
    <w:rsid w:val="461D64FB"/>
    <w:rsid w:val="46274A64"/>
    <w:rsid w:val="463648E9"/>
    <w:rsid w:val="463B22BD"/>
    <w:rsid w:val="463B7048"/>
    <w:rsid w:val="464253F9"/>
    <w:rsid w:val="46491939"/>
    <w:rsid w:val="46535859"/>
    <w:rsid w:val="46607F75"/>
    <w:rsid w:val="466247F2"/>
    <w:rsid w:val="46696E2A"/>
    <w:rsid w:val="46714CA3"/>
    <w:rsid w:val="46790ADF"/>
    <w:rsid w:val="467D3FE1"/>
    <w:rsid w:val="46873754"/>
    <w:rsid w:val="468A6DA0"/>
    <w:rsid w:val="469203F9"/>
    <w:rsid w:val="469A3487"/>
    <w:rsid w:val="46A00372"/>
    <w:rsid w:val="46A51334"/>
    <w:rsid w:val="46A9225B"/>
    <w:rsid w:val="46AC4F69"/>
    <w:rsid w:val="46BC781A"/>
    <w:rsid w:val="46C866D0"/>
    <w:rsid w:val="46C92EF6"/>
    <w:rsid w:val="46CA5F1E"/>
    <w:rsid w:val="46CE23DF"/>
    <w:rsid w:val="46D67F50"/>
    <w:rsid w:val="46E62384"/>
    <w:rsid w:val="46E7395C"/>
    <w:rsid w:val="46F16FC5"/>
    <w:rsid w:val="46F93FAB"/>
    <w:rsid w:val="46FF481C"/>
    <w:rsid w:val="47037071"/>
    <w:rsid w:val="47062500"/>
    <w:rsid w:val="47072195"/>
    <w:rsid w:val="4707219F"/>
    <w:rsid w:val="470E1780"/>
    <w:rsid w:val="47166879"/>
    <w:rsid w:val="471741F3"/>
    <w:rsid w:val="4717516D"/>
    <w:rsid w:val="47186BFB"/>
    <w:rsid w:val="47207C7B"/>
    <w:rsid w:val="472E6063"/>
    <w:rsid w:val="472F533E"/>
    <w:rsid w:val="473016F6"/>
    <w:rsid w:val="4732546E"/>
    <w:rsid w:val="473731F8"/>
    <w:rsid w:val="475950F1"/>
    <w:rsid w:val="47595427"/>
    <w:rsid w:val="475A0F43"/>
    <w:rsid w:val="475E6263"/>
    <w:rsid w:val="4760647F"/>
    <w:rsid w:val="47685B93"/>
    <w:rsid w:val="476C2789"/>
    <w:rsid w:val="476D294A"/>
    <w:rsid w:val="477261B2"/>
    <w:rsid w:val="47762884"/>
    <w:rsid w:val="477A0BC3"/>
    <w:rsid w:val="477F19A8"/>
    <w:rsid w:val="47836C2B"/>
    <w:rsid w:val="478B1B1F"/>
    <w:rsid w:val="47906312"/>
    <w:rsid w:val="47906DCF"/>
    <w:rsid w:val="479641CD"/>
    <w:rsid w:val="47A12458"/>
    <w:rsid w:val="47AE7E19"/>
    <w:rsid w:val="47B17848"/>
    <w:rsid w:val="47C46F79"/>
    <w:rsid w:val="47D1249A"/>
    <w:rsid w:val="47D14E3C"/>
    <w:rsid w:val="47E164DE"/>
    <w:rsid w:val="47E30228"/>
    <w:rsid w:val="47E8201B"/>
    <w:rsid w:val="480A63EB"/>
    <w:rsid w:val="48142DC6"/>
    <w:rsid w:val="48151DFF"/>
    <w:rsid w:val="481E3C44"/>
    <w:rsid w:val="48230E62"/>
    <w:rsid w:val="48240F71"/>
    <w:rsid w:val="48254FD3"/>
    <w:rsid w:val="482A25E9"/>
    <w:rsid w:val="482A4397"/>
    <w:rsid w:val="48383643"/>
    <w:rsid w:val="483B2A48"/>
    <w:rsid w:val="484359E3"/>
    <w:rsid w:val="48457423"/>
    <w:rsid w:val="48463DC2"/>
    <w:rsid w:val="48482514"/>
    <w:rsid w:val="484A1B4B"/>
    <w:rsid w:val="484C255F"/>
    <w:rsid w:val="485737AE"/>
    <w:rsid w:val="48604DA3"/>
    <w:rsid w:val="486050DE"/>
    <w:rsid w:val="486176F0"/>
    <w:rsid w:val="48650A8D"/>
    <w:rsid w:val="48691363"/>
    <w:rsid w:val="48701EA5"/>
    <w:rsid w:val="487A6E4A"/>
    <w:rsid w:val="487F6A9B"/>
    <w:rsid w:val="4888027D"/>
    <w:rsid w:val="48895562"/>
    <w:rsid w:val="48907EB9"/>
    <w:rsid w:val="48947BBD"/>
    <w:rsid w:val="489850F6"/>
    <w:rsid w:val="489B27C5"/>
    <w:rsid w:val="48A203D1"/>
    <w:rsid w:val="48A25E13"/>
    <w:rsid w:val="48A71E8C"/>
    <w:rsid w:val="48A91760"/>
    <w:rsid w:val="48AE6D76"/>
    <w:rsid w:val="48AF018B"/>
    <w:rsid w:val="48B523EF"/>
    <w:rsid w:val="48B56F6C"/>
    <w:rsid w:val="48B87AB8"/>
    <w:rsid w:val="48BB132D"/>
    <w:rsid w:val="48BC31D4"/>
    <w:rsid w:val="48BF3E0A"/>
    <w:rsid w:val="48BF5427"/>
    <w:rsid w:val="48C2431F"/>
    <w:rsid w:val="48CA52B0"/>
    <w:rsid w:val="48CB4577"/>
    <w:rsid w:val="48CD641C"/>
    <w:rsid w:val="48CD674E"/>
    <w:rsid w:val="48DD3AFF"/>
    <w:rsid w:val="48DD7B03"/>
    <w:rsid w:val="48E62612"/>
    <w:rsid w:val="48E629B4"/>
    <w:rsid w:val="48E828E7"/>
    <w:rsid w:val="48EA5BC1"/>
    <w:rsid w:val="48F212BE"/>
    <w:rsid w:val="48F22724"/>
    <w:rsid w:val="48F42E29"/>
    <w:rsid w:val="48F6071D"/>
    <w:rsid w:val="48FF3FE4"/>
    <w:rsid w:val="490648C8"/>
    <w:rsid w:val="49080B7C"/>
    <w:rsid w:val="490F1EEF"/>
    <w:rsid w:val="49180A9B"/>
    <w:rsid w:val="491C2C2F"/>
    <w:rsid w:val="492536E8"/>
    <w:rsid w:val="49276855"/>
    <w:rsid w:val="4929464F"/>
    <w:rsid w:val="492E7EB7"/>
    <w:rsid w:val="493556E9"/>
    <w:rsid w:val="49382AE4"/>
    <w:rsid w:val="493B5ECA"/>
    <w:rsid w:val="493F20C4"/>
    <w:rsid w:val="49423962"/>
    <w:rsid w:val="49482783"/>
    <w:rsid w:val="494F3168"/>
    <w:rsid w:val="49501A46"/>
    <w:rsid w:val="49554BE1"/>
    <w:rsid w:val="49580552"/>
    <w:rsid w:val="49695393"/>
    <w:rsid w:val="496A6BED"/>
    <w:rsid w:val="496B2C2B"/>
    <w:rsid w:val="496C1724"/>
    <w:rsid w:val="49710949"/>
    <w:rsid w:val="49731BCB"/>
    <w:rsid w:val="497467A8"/>
    <w:rsid w:val="49811526"/>
    <w:rsid w:val="49843E14"/>
    <w:rsid w:val="49845D29"/>
    <w:rsid w:val="49877D17"/>
    <w:rsid w:val="49A0596B"/>
    <w:rsid w:val="49AA0075"/>
    <w:rsid w:val="49B37092"/>
    <w:rsid w:val="49C27C4A"/>
    <w:rsid w:val="49C65640"/>
    <w:rsid w:val="49C9493B"/>
    <w:rsid w:val="49D00DC5"/>
    <w:rsid w:val="49D97E23"/>
    <w:rsid w:val="49E30CA1"/>
    <w:rsid w:val="49E52C6C"/>
    <w:rsid w:val="49E62540"/>
    <w:rsid w:val="49EC7A1D"/>
    <w:rsid w:val="49F27137"/>
    <w:rsid w:val="49F570D9"/>
    <w:rsid w:val="49F66C27"/>
    <w:rsid w:val="49FC7FB5"/>
    <w:rsid w:val="4A003601"/>
    <w:rsid w:val="4A0062BB"/>
    <w:rsid w:val="4A117D9D"/>
    <w:rsid w:val="4A121587"/>
    <w:rsid w:val="4A162E25"/>
    <w:rsid w:val="4A196E79"/>
    <w:rsid w:val="4A235A4E"/>
    <w:rsid w:val="4A24383D"/>
    <w:rsid w:val="4A2F038B"/>
    <w:rsid w:val="4A3140D8"/>
    <w:rsid w:val="4A3459D1"/>
    <w:rsid w:val="4A4200BE"/>
    <w:rsid w:val="4A464412"/>
    <w:rsid w:val="4A482FDB"/>
    <w:rsid w:val="4A4A0D22"/>
    <w:rsid w:val="4A535A86"/>
    <w:rsid w:val="4A54703F"/>
    <w:rsid w:val="4A5804B6"/>
    <w:rsid w:val="4A5B3A9F"/>
    <w:rsid w:val="4A5E2A1E"/>
    <w:rsid w:val="4A646AF9"/>
    <w:rsid w:val="4A677F4D"/>
    <w:rsid w:val="4A6D7FA4"/>
    <w:rsid w:val="4A954692"/>
    <w:rsid w:val="4A9B05A9"/>
    <w:rsid w:val="4AA448D5"/>
    <w:rsid w:val="4AB34B18"/>
    <w:rsid w:val="4AB44216"/>
    <w:rsid w:val="4AB84FEA"/>
    <w:rsid w:val="4ABA448F"/>
    <w:rsid w:val="4ABC61FC"/>
    <w:rsid w:val="4AC34A65"/>
    <w:rsid w:val="4AC565F9"/>
    <w:rsid w:val="4ACA61C7"/>
    <w:rsid w:val="4AD07993"/>
    <w:rsid w:val="4AD55B10"/>
    <w:rsid w:val="4AD8632C"/>
    <w:rsid w:val="4AEC1DD8"/>
    <w:rsid w:val="4AEE55F3"/>
    <w:rsid w:val="4AEF09B8"/>
    <w:rsid w:val="4AF74ADD"/>
    <w:rsid w:val="4B0F6F4D"/>
    <w:rsid w:val="4B1923E5"/>
    <w:rsid w:val="4B1B7074"/>
    <w:rsid w:val="4B1C435F"/>
    <w:rsid w:val="4B3454E4"/>
    <w:rsid w:val="4B377676"/>
    <w:rsid w:val="4B3C29B6"/>
    <w:rsid w:val="4B3F79B7"/>
    <w:rsid w:val="4B423440"/>
    <w:rsid w:val="4B50094F"/>
    <w:rsid w:val="4B555C31"/>
    <w:rsid w:val="4B5861CE"/>
    <w:rsid w:val="4B5C51AF"/>
    <w:rsid w:val="4B6202EC"/>
    <w:rsid w:val="4B682440"/>
    <w:rsid w:val="4B6A1BE3"/>
    <w:rsid w:val="4B7C13AE"/>
    <w:rsid w:val="4B7E7695"/>
    <w:rsid w:val="4B862E41"/>
    <w:rsid w:val="4B882F10"/>
    <w:rsid w:val="4B8926B1"/>
    <w:rsid w:val="4B8A2BD1"/>
    <w:rsid w:val="4B8B4870"/>
    <w:rsid w:val="4B8D20F8"/>
    <w:rsid w:val="4B9C45C1"/>
    <w:rsid w:val="4B9D5C0C"/>
    <w:rsid w:val="4BA72512"/>
    <w:rsid w:val="4BA742CF"/>
    <w:rsid w:val="4BAF1783"/>
    <w:rsid w:val="4BB31D91"/>
    <w:rsid w:val="4BB5041C"/>
    <w:rsid w:val="4BB63951"/>
    <w:rsid w:val="4BB80288"/>
    <w:rsid w:val="4BB943B0"/>
    <w:rsid w:val="4BBC5AC7"/>
    <w:rsid w:val="4BC3109F"/>
    <w:rsid w:val="4BC36FDC"/>
    <w:rsid w:val="4BC44E0D"/>
    <w:rsid w:val="4BC66ACD"/>
    <w:rsid w:val="4BD034A7"/>
    <w:rsid w:val="4BD048BE"/>
    <w:rsid w:val="4BD21BD6"/>
    <w:rsid w:val="4BE156B5"/>
    <w:rsid w:val="4BE74BEC"/>
    <w:rsid w:val="4BE965B6"/>
    <w:rsid w:val="4BEE3EE1"/>
    <w:rsid w:val="4BF03B4A"/>
    <w:rsid w:val="4BF37E67"/>
    <w:rsid w:val="4BF5144B"/>
    <w:rsid w:val="4BFF0BB9"/>
    <w:rsid w:val="4C047AC6"/>
    <w:rsid w:val="4C080E93"/>
    <w:rsid w:val="4C0B2731"/>
    <w:rsid w:val="4C156BCA"/>
    <w:rsid w:val="4C213D03"/>
    <w:rsid w:val="4C2B3759"/>
    <w:rsid w:val="4C4F6AC2"/>
    <w:rsid w:val="4C581C45"/>
    <w:rsid w:val="4C623ADB"/>
    <w:rsid w:val="4C6961C6"/>
    <w:rsid w:val="4C6C22FC"/>
    <w:rsid w:val="4C6D5A2A"/>
    <w:rsid w:val="4C6E596B"/>
    <w:rsid w:val="4C6E68AE"/>
    <w:rsid w:val="4C767B34"/>
    <w:rsid w:val="4C7A1154"/>
    <w:rsid w:val="4C7B3413"/>
    <w:rsid w:val="4C7C31EA"/>
    <w:rsid w:val="4C7D362F"/>
    <w:rsid w:val="4C7E1155"/>
    <w:rsid w:val="4C7E73A7"/>
    <w:rsid w:val="4C804ECE"/>
    <w:rsid w:val="4C8554DD"/>
    <w:rsid w:val="4C88285A"/>
    <w:rsid w:val="4C8C5620"/>
    <w:rsid w:val="4C942475"/>
    <w:rsid w:val="4C9C159D"/>
    <w:rsid w:val="4CA2142F"/>
    <w:rsid w:val="4CA57635"/>
    <w:rsid w:val="4CB4740C"/>
    <w:rsid w:val="4CB6655C"/>
    <w:rsid w:val="4CB73E4F"/>
    <w:rsid w:val="4CC329A2"/>
    <w:rsid w:val="4CC96874"/>
    <w:rsid w:val="4CD51FE1"/>
    <w:rsid w:val="4CD9638C"/>
    <w:rsid w:val="4CDA4FCF"/>
    <w:rsid w:val="4CE44D9F"/>
    <w:rsid w:val="4CE960BB"/>
    <w:rsid w:val="4CEA5226"/>
    <w:rsid w:val="4CF17B79"/>
    <w:rsid w:val="4D016156"/>
    <w:rsid w:val="4D0258E3"/>
    <w:rsid w:val="4D04165B"/>
    <w:rsid w:val="4D0653CA"/>
    <w:rsid w:val="4D0D0E37"/>
    <w:rsid w:val="4D0D695E"/>
    <w:rsid w:val="4D113D78"/>
    <w:rsid w:val="4D14442F"/>
    <w:rsid w:val="4D16603F"/>
    <w:rsid w:val="4D1D16ED"/>
    <w:rsid w:val="4D205177"/>
    <w:rsid w:val="4D331F40"/>
    <w:rsid w:val="4D36558C"/>
    <w:rsid w:val="4D493511"/>
    <w:rsid w:val="4D4952BF"/>
    <w:rsid w:val="4D4B227E"/>
    <w:rsid w:val="4D4D338A"/>
    <w:rsid w:val="4D4D6F1E"/>
    <w:rsid w:val="4D4E6D7A"/>
    <w:rsid w:val="4D5C1497"/>
    <w:rsid w:val="4D5E4583"/>
    <w:rsid w:val="4D6B3488"/>
    <w:rsid w:val="4D721F65"/>
    <w:rsid w:val="4D73771A"/>
    <w:rsid w:val="4D783DF7"/>
    <w:rsid w:val="4D7A21FD"/>
    <w:rsid w:val="4D82460E"/>
    <w:rsid w:val="4D866514"/>
    <w:rsid w:val="4D8D78A2"/>
    <w:rsid w:val="4D9146B3"/>
    <w:rsid w:val="4D9549A9"/>
    <w:rsid w:val="4D97249F"/>
    <w:rsid w:val="4DA35BE5"/>
    <w:rsid w:val="4DA46948"/>
    <w:rsid w:val="4DAC62C6"/>
    <w:rsid w:val="4DBB187B"/>
    <w:rsid w:val="4DD612AC"/>
    <w:rsid w:val="4DDE3611"/>
    <w:rsid w:val="4DDE36D5"/>
    <w:rsid w:val="4DDE46EF"/>
    <w:rsid w:val="4DED0341"/>
    <w:rsid w:val="4DEF5FB2"/>
    <w:rsid w:val="4DF27608"/>
    <w:rsid w:val="4DF416CF"/>
    <w:rsid w:val="4E0840B5"/>
    <w:rsid w:val="4E121D51"/>
    <w:rsid w:val="4E121FED"/>
    <w:rsid w:val="4E131F3A"/>
    <w:rsid w:val="4E143B1F"/>
    <w:rsid w:val="4E1C7C1C"/>
    <w:rsid w:val="4E241749"/>
    <w:rsid w:val="4E2F3073"/>
    <w:rsid w:val="4E331A18"/>
    <w:rsid w:val="4E375A60"/>
    <w:rsid w:val="4E37780E"/>
    <w:rsid w:val="4E3A10AC"/>
    <w:rsid w:val="4E3A6962"/>
    <w:rsid w:val="4E4F0F85"/>
    <w:rsid w:val="4E537920"/>
    <w:rsid w:val="4E555954"/>
    <w:rsid w:val="4E561001"/>
    <w:rsid w:val="4E721B60"/>
    <w:rsid w:val="4E734F8F"/>
    <w:rsid w:val="4E772300"/>
    <w:rsid w:val="4E7B704D"/>
    <w:rsid w:val="4E821769"/>
    <w:rsid w:val="4E8B6898"/>
    <w:rsid w:val="4E8D38D2"/>
    <w:rsid w:val="4E931D00"/>
    <w:rsid w:val="4E9327BD"/>
    <w:rsid w:val="4EA67795"/>
    <w:rsid w:val="4EAF48AA"/>
    <w:rsid w:val="4EB6433D"/>
    <w:rsid w:val="4EC015B1"/>
    <w:rsid w:val="4EC12182"/>
    <w:rsid w:val="4ECD69CE"/>
    <w:rsid w:val="4EDA5E36"/>
    <w:rsid w:val="4EEE723C"/>
    <w:rsid w:val="4EF320A0"/>
    <w:rsid w:val="4F087956"/>
    <w:rsid w:val="4F094A9E"/>
    <w:rsid w:val="4F0A4F22"/>
    <w:rsid w:val="4F1212A3"/>
    <w:rsid w:val="4F1D57EB"/>
    <w:rsid w:val="4F241C7C"/>
    <w:rsid w:val="4F2A39EC"/>
    <w:rsid w:val="4F310701"/>
    <w:rsid w:val="4F311B14"/>
    <w:rsid w:val="4F321354"/>
    <w:rsid w:val="4F327331"/>
    <w:rsid w:val="4F351F9F"/>
    <w:rsid w:val="4F381A8F"/>
    <w:rsid w:val="4F532C59"/>
    <w:rsid w:val="4F5368C9"/>
    <w:rsid w:val="4F5979CB"/>
    <w:rsid w:val="4F5F49C4"/>
    <w:rsid w:val="4F622668"/>
    <w:rsid w:val="4F6C34E7"/>
    <w:rsid w:val="4F744081"/>
    <w:rsid w:val="4F766114"/>
    <w:rsid w:val="4F7C39A7"/>
    <w:rsid w:val="4F7F76BE"/>
    <w:rsid w:val="4F80727E"/>
    <w:rsid w:val="4F8E136D"/>
    <w:rsid w:val="4F920444"/>
    <w:rsid w:val="4F950B0E"/>
    <w:rsid w:val="4F9E4811"/>
    <w:rsid w:val="4FA51312"/>
    <w:rsid w:val="4FA7451F"/>
    <w:rsid w:val="4FB31116"/>
    <w:rsid w:val="4FB47FD6"/>
    <w:rsid w:val="4FBA5581"/>
    <w:rsid w:val="4FBA60A3"/>
    <w:rsid w:val="4FBD3074"/>
    <w:rsid w:val="4FC3320E"/>
    <w:rsid w:val="4FC3725F"/>
    <w:rsid w:val="4FC864A4"/>
    <w:rsid w:val="4FC9420B"/>
    <w:rsid w:val="4FCB0034"/>
    <w:rsid w:val="4FDE13FD"/>
    <w:rsid w:val="4FE5239D"/>
    <w:rsid w:val="4FE6773D"/>
    <w:rsid w:val="4FEA269F"/>
    <w:rsid w:val="4FF0487B"/>
    <w:rsid w:val="4FF25FC4"/>
    <w:rsid w:val="4FF260E2"/>
    <w:rsid w:val="4FF43C08"/>
    <w:rsid w:val="5001208D"/>
    <w:rsid w:val="5003644E"/>
    <w:rsid w:val="5004520D"/>
    <w:rsid w:val="50067238"/>
    <w:rsid w:val="500D6A78"/>
    <w:rsid w:val="50103002"/>
    <w:rsid w:val="50106568"/>
    <w:rsid w:val="50130483"/>
    <w:rsid w:val="50157ED0"/>
    <w:rsid w:val="50206009"/>
    <w:rsid w:val="50234336"/>
    <w:rsid w:val="502A714C"/>
    <w:rsid w:val="502B33A2"/>
    <w:rsid w:val="502C6F7C"/>
    <w:rsid w:val="50357D7D"/>
    <w:rsid w:val="50377F99"/>
    <w:rsid w:val="5044508F"/>
    <w:rsid w:val="50521378"/>
    <w:rsid w:val="50534132"/>
    <w:rsid w:val="505722FA"/>
    <w:rsid w:val="505E5526"/>
    <w:rsid w:val="50616DC4"/>
    <w:rsid w:val="50665C75"/>
    <w:rsid w:val="506D5769"/>
    <w:rsid w:val="50700DB5"/>
    <w:rsid w:val="50707269"/>
    <w:rsid w:val="50800883"/>
    <w:rsid w:val="50811214"/>
    <w:rsid w:val="50852AB2"/>
    <w:rsid w:val="508710FB"/>
    <w:rsid w:val="508F7B0E"/>
    <w:rsid w:val="50A02428"/>
    <w:rsid w:val="50A218B6"/>
    <w:rsid w:val="50A310A9"/>
    <w:rsid w:val="50A33BAD"/>
    <w:rsid w:val="50A373DC"/>
    <w:rsid w:val="50A62359"/>
    <w:rsid w:val="50C80BF1"/>
    <w:rsid w:val="50CC3A85"/>
    <w:rsid w:val="50CF3D2E"/>
    <w:rsid w:val="50D15CF8"/>
    <w:rsid w:val="50D457E8"/>
    <w:rsid w:val="50D66039"/>
    <w:rsid w:val="50E517A3"/>
    <w:rsid w:val="50E82ABB"/>
    <w:rsid w:val="50F051B9"/>
    <w:rsid w:val="50F33EC0"/>
    <w:rsid w:val="50F43794"/>
    <w:rsid w:val="50FF48D0"/>
    <w:rsid w:val="51051E45"/>
    <w:rsid w:val="510559A1"/>
    <w:rsid w:val="5116195C"/>
    <w:rsid w:val="5116435B"/>
    <w:rsid w:val="5119144D"/>
    <w:rsid w:val="511F5F83"/>
    <w:rsid w:val="51260B6A"/>
    <w:rsid w:val="513A2283"/>
    <w:rsid w:val="51422751"/>
    <w:rsid w:val="514324CE"/>
    <w:rsid w:val="514B3F6A"/>
    <w:rsid w:val="5150517C"/>
    <w:rsid w:val="515626A1"/>
    <w:rsid w:val="515669E7"/>
    <w:rsid w:val="51596E8C"/>
    <w:rsid w:val="5160707C"/>
    <w:rsid w:val="5167040A"/>
    <w:rsid w:val="516A4ADC"/>
    <w:rsid w:val="5172656E"/>
    <w:rsid w:val="51730B5D"/>
    <w:rsid w:val="51810005"/>
    <w:rsid w:val="51825244"/>
    <w:rsid w:val="51880507"/>
    <w:rsid w:val="518813FC"/>
    <w:rsid w:val="519061B9"/>
    <w:rsid w:val="519A07DF"/>
    <w:rsid w:val="519F2884"/>
    <w:rsid w:val="51A53C9E"/>
    <w:rsid w:val="51A62D85"/>
    <w:rsid w:val="51AA5240"/>
    <w:rsid w:val="51B855E6"/>
    <w:rsid w:val="51B92CCF"/>
    <w:rsid w:val="51BA263B"/>
    <w:rsid w:val="51C4447B"/>
    <w:rsid w:val="51C92E73"/>
    <w:rsid w:val="51CC64BF"/>
    <w:rsid w:val="51DA0BDC"/>
    <w:rsid w:val="51DA64ED"/>
    <w:rsid w:val="51DB7F4F"/>
    <w:rsid w:val="51DD247A"/>
    <w:rsid w:val="51DE160C"/>
    <w:rsid w:val="51E8486B"/>
    <w:rsid w:val="51EC090F"/>
    <w:rsid w:val="51EF6702"/>
    <w:rsid w:val="51F21DCD"/>
    <w:rsid w:val="51F67DA1"/>
    <w:rsid w:val="51FD0BB6"/>
    <w:rsid w:val="520818B6"/>
    <w:rsid w:val="520A6C76"/>
    <w:rsid w:val="520C5713"/>
    <w:rsid w:val="521E31BF"/>
    <w:rsid w:val="521F0CE5"/>
    <w:rsid w:val="5224454D"/>
    <w:rsid w:val="5227192A"/>
    <w:rsid w:val="522D3402"/>
    <w:rsid w:val="52320A18"/>
    <w:rsid w:val="52351A7E"/>
    <w:rsid w:val="52391DB4"/>
    <w:rsid w:val="523B771C"/>
    <w:rsid w:val="523F4EE3"/>
    <w:rsid w:val="524546A2"/>
    <w:rsid w:val="5247354A"/>
    <w:rsid w:val="526A01B2"/>
    <w:rsid w:val="526A11AC"/>
    <w:rsid w:val="526B7928"/>
    <w:rsid w:val="526D6907"/>
    <w:rsid w:val="527C6137"/>
    <w:rsid w:val="527C758B"/>
    <w:rsid w:val="527D7680"/>
    <w:rsid w:val="527E556C"/>
    <w:rsid w:val="529C0587"/>
    <w:rsid w:val="52A01E26"/>
    <w:rsid w:val="52A15B9E"/>
    <w:rsid w:val="52AD718C"/>
    <w:rsid w:val="52AE78A0"/>
    <w:rsid w:val="52B96A43"/>
    <w:rsid w:val="52C02D79"/>
    <w:rsid w:val="52CE17AF"/>
    <w:rsid w:val="52D41ACF"/>
    <w:rsid w:val="52DC6BD6"/>
    <w:rsid w:val="52E431D7"/>
    <w:rsid w:val="52E502A3"/>
    <w:rsid w:val="52E63A37"/>
    <w:rsid w:val="52EB483D"/>
    <w:rsid w:val="52ED6537"/>
    <w:rsid w:val="52EF3D6F"/>
    <w:rsid w:val="52EF4B5B"/>
    <w:rsid w:val="52F15371"/>
    <w:rsid w:val="52F537F4"/>
    <w:rsid w:val="52F60A01"/>
    <w:rsid w:val="52F932E4"/>
    <w:rsid w:val="52FA615D"/>
    <w:rsid w:val="52FE35FA"/>
    <w:rsid w:val="5300759F"/>
    <w:rsid w:val="530321A3"/>
    <w:rsid w:val="53086C68"/>
    <w:rsid w:val="530A48DD"/>
    <w:rsid w:val="53116579"/>
    <w:rsid w:val="531A55EE"/>
    <w:rsid w:val="531B14AC"/>
    <w:rsid w:val="531C00D0"/>
    <w:rsid w:val="53206076"/>
    <w:rsid w:val="53226CDE"/>
    <w:rsid w:val="53271025"/>
    <w:rsid w:val="532C1654"/>
    <w:rsid w:val="53353F57"/>
    <w:rsid w:val="53364538"/>
    <w:rsid w:val="53380FA9"/>
    <w:rsid w:val="533A4B08"/>
    <w:rsid w:val="534053B7"/>
    <w:rsid w:val="53486019"/>
    <w:rsid w:val="535022B4"/>
    <w:rsid w:val="535075B2"/>
    <w:rsid w:val="5351172B"/>
    <w:rsid w:val="53536636"/>
    <w:rsid w:val="535A55E1"/>
    <w:rsid w:val="535C1828"/>
    <w:rsid w:val="53603363"/>
    <w:rsid w:val="536A41E2"/>
    <w:rsid w:val="536C0605"/>
    <w:rsid w:val="536E636E"/>
    <w:rsid w:val="536F35A6"/>
    <w:rsid w:val="53794684"/>
    <w:rsid w:val="537B019D"/>
    <w:rsid w:val="537C1E10"/>
    <w:rsid w:val="537D1A12"/>
    <w:rsid w:val="538E7ED0"/>
    <w:rsid w:val="53913AFC"/>
    <w:rsid w:val="539354E6"/>
    <w:rsid w:val="53AC7737"/>
    <w:rsid w:val="53B631FA"/>
    <w:rsid w:val="53BB19B4"/>
    <w:rsid w:val="53C11F3C"/>
    <w:rsid w:val="53C769DE"/>
    <w:rsid w:val="53C77352"/>
    <w:rsid w:val="53CB5A7A"/>
    <w:rsid w:val="53D37FD9"/>
    <w:rsid w:val="53D77DB9"/>
    <w:rsid w:val="53DC2199"/>
    <w:rsid w:val="53E2599D"/>
    <w:rsid w:val="53EB7D0C"/>
    <w:rsid w:val="53F549F0"/>
    <w:rsid w:val="53F8359B"/>
    <w:rsid w:val="53FA5565"/>
    <w:rsid w:val="54103A28"/>
    <w:rsid w:val="541C1A6F"/>
    <w:rsid w:val="541D1254"/>
    <w:rsid w:val="54206BAB"/>
    <w:rsid w:val="54222492"/>
    <w:rsid w:val="542757CF"/>
    <w:rsid w:val="54284497"/>
    <w:rsid w:val="542B571F"/>
    <w:rsid w:val="542C6F5C"/>
    <w:rsid w:val="542D3B70"/>
    <w:rsid w:val="543433F6"/>
    <w:rsid w:val="5439467A"/>
    <w:rsid w:val="543A32AD"/>
    <w:rsid w:val="544037FB"/>
    <w:rsid w:val="5445347D"/>
    <w:rsid w:val="5445601B"/>
    <w:rsid w:val="54525277"/>
    <w:rsid w:val="545709BF"/>
    <w:rsid w:val="54624EB9"/>
    <w:rsid w:val="54661FA6"/>
    <w:rsid w:val="54692B85"/>
    <w:rsid w:val="546B4888"/>
    <w:rsid w:val="546C31A2"/>
    <w:rsid w:val="54780C2F"/>
    <w:rsid w:val="548573BB"/>
    <w:rsid w:val="54877909"/>
    <w:rsid w:val="548E627B"/>
    <w:rsid w:val="549332C4"/>
    <w:rsid w:val="54957CEE"/>
    <w:rsid w:val="549C03CB"/>
    <w:rsid w:val="54A53D7C"/>
    <w:rsid w:val="54A6280A"/>
    <w:rsid w:val="54C14E3F"/>
    <w:rsid w:val="54C806BA"/>
    <w:rsid w:val="54CC7AC8"/>
    <w:rsid w:val="54D827E0"/>
    <w:rsid w:val="54DA272A"/>
    <w:rsid w:val="54DB06F3"/>
    <w:rsid w:val="54EA7EC3"/>
    <w:rsid w:val="54F1026B"/>
    <w:rsid w:val="54F1103D"/>
    <w:rsid w:val="54F25C8B"/>
    <w:rsid w:val="54FE4633"/>
    <w:rsid w:val="55036E3C"/>
    <w:rsid w:val="55045144"/>
    <w:rsid w:val="55055F70"/>
    <w:rsid w:val="55166762"/>
    <w:rsid w:val="552F56E3"/>
    <w:rsid w:val="5532240D"/>
    <w:rsid w:val="553739C0"/>
    <w:rsid w:val="55421934"/>
    <w:rsid w:val="55450A62"/>
    <w:rsid w:val="554A0C9E"/>
    <w:rsid w:val="554F1507"/>
    <w:rsid w:val="554F1BF3"/>
    <w:rsid w:val="55560EC1"/>
    <w:rsid w:val="55582538"/>
    <w:rsid w:val="555962BC"/>
    <w:rsid w:val="555F65A5"/>
    <w:rsid w:val="5564034E"/>
    <w:rsid w:val="5565489D"/>
    <w:rsid w:val="55676060"/>
    <w:rsid w:val="556A56B6"/>
    <w:rsid w:val="556E5D90"/>
    <w:rsid w:val="557E6181"/>
    <w:rsid w:val="5588094F"/>
    <w:rsid w:val="559430BC"/>
    <w:rsid w:val="559460CF"/>
    <w:rsid w:val="55A02195"/>
    <w:rsid w:val="55A41C2D"/>
    <w:rsid w:val="55A75279"/>
    <w:rsid w:val="55A81B76"/>
    <w:rsid w:val="55AE4624"/>
    <w:rsid w:val="55B00195"/>
    <w:rsid w:val="55B31E70"/>
    <w:rsid w:val="55B94FAC"/>
    <w:rsid w:val="55BF3799"/>
    <w:rsid w:val="55C36183"/>
    <w:rsid w:val="55C73193"/>
    <w:rsid w:val="55C7591B"/>
    <w:rsid w:val="55C76818"/>
    <w:rsid w:val="55C961B4"/>
    <w:rsid w:val="55CC6F60"/>
    <w:rsid w:val="55D22AF2"/>
    <w:rsid w:val="55D2625E"/>
    <w:rsid w:val="55DA38A0"/>
    <w:rsid w:val="55DB13C7"/>
    <w:rsid w:val="55DD79D2"/>
    <w:rsid w:val="55EA33B8"/>
    <w:rsid w:val="55F14746"/>
    <w:rsid w:val="55F221C8"/>
    <w:rsid w:val="55F2604B"/>
    <w:rsid w:val="55F7482D"/>
    <w:rsid w:val="55F74830"/>
    <w:rsid w:val="56026953"/>
    <w:rsid w:val="560468F6"/>
    <w:rsid w:val="560B1CAC"/>
    <w:rsid w:val="56113843"/>
    <w:rsid w:val="56144780"/>
    <w:rsid w:val="561F15E3"/>
    <w:rsid w:val="5622420A"/>
    <w:rsid w:val="56250D86"/>
    <w:rsid w:val="562A0BF1"/>
    <w:rsid w:val="562B7C58"/>
    <w:rsid w:val="562D6668"/>
    <w:rsid w:val="56312D95"/>
    <w:rsid w:val="5637264E"/>
    <w:rsid w:val="563945B3"/>
    <w:rsid w:val="563D7950"/>
    <w:rsid w:val="563F0D72"/>
    <w:rsid w:val="56444AB4"/>
    <w:rsid w:val="56452BCB"/>
    <w:rsid w:val="566025B8"/>
    <w:rsid w:val="56603417"/>
    <w:rsid w:val="566118CC"/>
    <w:rsid w:val="566748DD"/>
    <w:rsid w:val="56785D5C"/>
    <w:rsid w:val="56837A94"/>
    <w:rsid w:val="568455BA"/>
    <w:rsid w:val="568836AC"/>
    <w:rsid w:val="56921A85"/>
    <w:rsid w:val="569C2AFB"/>
    <w:rsid w:val="56AB6D07"/>
    <w:rsid w:val="56AD2D63"/>
    <w:rsid w:val="56B07613"/>
    <w:rsid w:val="56B229D1"/>
    <w:rsid w:val="56BA0FDC"/>
    <w:rsid w:val="56D227CA"/>
    <w:rsid w:val="56D269BF"/>
    <w:rsid w:val="56D402F0"/>
    <w:rsid w:val="56D94391"/>
    <w:rsid w:val="56E01FD3"/>
    <w:rsid w:val="56F52014"/>
    <w:rsid w:val="56F72ACE"/>
    <w:rsid w:val="56F83D23"/>
    <w:rsid w:val="56F93226"/>
    <w:rsid w:val="56FB1D20"/>
    <w:rsid w:val="56FB4CB8"/>
    <w:rsid w:val="57041072"/>
    <w:rsid w:val="570C4656"/>
    <w:rsid w:val="57154464"/>
    <w:rsid w:val="57174680"/>
    <w:rsid w:val="57241D88"/>
    <w:rsid w:val="572A43B4"/>
    <w:rsid w:val="57347A2F"/>
    <w:rsid w:val="5735698D"/>
    <w:rsid w:val="57361164"/>
    <w:rsid w:val="5737262D"/>
    <w:rsid w:val="573F088A"/>
    <w:rsid w:val="573F1A51"/>
    <w:rsid w:val="57481DED"/>
    <w:rsid w:val="574A5743"/>
    <w:rsid w:val="574E4D83"/>
    <w:rsid w:val="575578BF"/>
    <w:rsid w:val="575651A9"/>
    <w:rsid w:val="575718DC"/>
    <w:rsid w:val="57574A7D"/>
    <w:rsid w:val="5767399C"/>
    <w:rsid w:val="57694C35"/>
    <w:rsid w:val="576D0483"/>
    <w:rsid w:val="5774402B"/>
    <w:rsid w:val="57787224"/>
    <w:rsid w:val="577F4CE4"/>
    <w:rsid w:val="57814294"/>
    <w:rsid w:val="57902C01"/>
    <w:rsid w:val="57945CD1"/>
    <w:rsid w:val="579542E2"/>
    <w:rsid w:val="57A05711"/>
    <w:rsid w:val="57A16CEB"/>
    <w:rsid w:val="57A9177C"/>
    <w:rsid w:val="57AB105E"/>
    <w:rsid w:val="57B30B8C"/>
    <w:rsid w:val="57B65C47"/>
    <w:rsid w:val="57B679F5"/>
    <w:rsid w:val="57B87ECB"/>
    <w:rsid w:val="57C00175"/>
    <w:rsid w:val="57C33EC0"/>
    <w:rsid w:val="57D8796C"/>
    <w:rsid w:val="57DB5B54"/>
    <w:rsid w:val="57E15E8A"/>
    <w:rsid w:val="57E5652D"/>
    <w:rsid w:val="57EF14B5"/>
    <w:rsid w:val="57F10A2D"/>
    <w:rsid w:val="58005114"/>
    <w:rsid w:val="580A7D41"/>
    <w:rsid w:val="58164938"/>
    <w:rsid w:val="58170A85"/>
    <w:rsid w:val="581D5CC6"/>
    <w:rsid w:val="582818A8"/>
    <w:rsid w:val="5830221D"/>
    <w:rsid w:val="583161A3"/>
    <w:rsid w:val="58337D56"/>
    <w:rsid w:val="583B614D"/>
    <w:rsid w:val="583E2172"/>
    <w:rsid w:val="58496361"/>
    <w:rsid w:val="584A3CB1"/>
    <w:rsid w:val="584E40D2"/>
    <w:rsid w:val="5853793A"/>
    <w:rsid w:val="585A69C8"/>
    <w:rsid w:val="586105B1"/>
    <w:rsid w:val="586466E1"/>
    <w:rsid w:val="586618D3"/>
    <w:rsid w:val="58675193"/>
    <w:rsid w:val="586B4C84"/>
    <w:rsid w:val="58746BD9"/>
    <w:rsid w:val="587F24DD"/>
    <w:rsid w:val="58841452"/>
    <w:rsid w:val="588E2720"/>
    <w:rsid w:val="58913FBE"/>
    <w:rsid w:val="58922210"/>
    <w:rsid w:val="58977827"/>
    <w:rsid w:val="589A22B3"/>
    <w:rsid w:val="589B4229"/>
    <w:rsid w:val="58A531EB"/>
    <w:rsid w:val="58AD53C5"/>
    <w:rsid w:val="58B531C5"/>
    <w:rsid w:val="58BC5126"/>
    <w:rsid w:val="58BD6086"/>
    <w:rsid w:val="58C47EF0"/>
    <w:rsid w:val="58CE6FC1"/>
    <w:rsid w:val="58DB6D15"/>
    <w:rsid w:val="58E70023"/>
    <w:rsid w:val="58E81E30"/>
    <w:rsid w:val="58FF22DB"/>
    <w:rsid w:val="590824D3"/>
    <w:rsid w:val="590A2C81"/>
    <w:rsid w:val="590B7C9C"/>
    <w:rsid w:val="59112B22"/>
    <w:rsid w:val="5915074C"/>
    <w:rsid w:val="591946E0"/>
    <w:rsid w:val="59195665"/>
    <w:rsid w:val="591A49CA"/>
    <w:rsid w:val="59257140"/>
    <w:rsid w:val="592738E1"/>
    <w:rsid w:val="592F6365"/>
    <w:rsid w:val="59305585"/>
    <w:rsid w:val="59361550"/>
    <w:rsid w:val="5947124D"/>
    <w:rsid w:val="59545718"/>
    <w:rsid w:val="595C637A"/>
    <w:rsid w:val="59653481"/>
    <w:rsid w:val="59657925"/>
    <w:rsid w:val="59693390"/>
    <w:rsid w:val="59710078"/>
    <w:rsid w:val="5973527B"/>
    <w:rsid w:val="597436C4"/>
    <w:rsid w:val="59753252"/>
    <w:rsid w:val="59786A09"/>
    <w:rsid w:val="597914B4"/>
    <w:rsid w:val="5980290A"/>
    <w:rsid w:val="598729A5"/>
    <w:rsid w:val="598A2EE8"/>
    <w:rsid w:val="598A35B0"/>
    <w:rsid w:val="598E6BE8"/>
    <w:rsid w:val="599124C8"/>
    <w:rsid w:val="599B3347"/>
    <w:rsid w:val="599D1487"/>
    <w:rsid w:val="59A01D23"/>
    <w:rsid w:val="59A12B57"/>
    <w:rsid w:val="59A87D08"/>
    <w:rsid w:val="59B17140"/>
    <w:rsid w:val="59B43525"/>
    <w:rsid w:val="59B611D6"/>
    <w:rsid w:val="59B678AD"/>
    <w:rsid w:val="59BA0642"/>
    <w:rsid w:val="59BA4AC3"/>
    <w:rsid w:val="59BA76B2"/>
    <w:rsid w:val="59C33FA5"/>
    <w:rsid w:val="59C356A8"/>
    <w:rsid w:val="59C61D34"/>
    <w:rsid w:val="59CF1242"/>
    <w:rsid w:val="59E91753"/>
    <w:rsid w:val="59F1740B"/>
    <w:rsid w:val="59F94AC0"/>
    <w:rsid w:val="59FE6DC7"/>
    <w:rsid w:val="5A013D74"/>
    <w:rsid w:val="5A0802B0"/>
    <w:rsid w:val="5A0C1B4F"/>
    <w:rsid w:val="5A0F6902"/>
    <w:rsid w:val="5A0F707A"/>
    <w:rsid w:val="5A137B38"/>
    <w:rsid w:val="5A1B4488"/>
    <w:rsid w:val="5A1E1882"/>
    <w:rsid w:val="5A221372"/>
    <w:rsid w:val="5A3022F6"/>
    <w:rsid w:val="5A35111C"/>
    <w:rsid w:val="5A357F97"/>
    <w:rsid w:val="5A3B5FA0"/>
    <w:rsid w:val="5A427B73"/>
    <w:rsid w:val="5A47702B"/>
    <w:rsid w:val="5A4F5EDF"/>
    <w:rsid w:val="5A5217AD"/>
    <w:rsid w:val="5A550787"/>
    <w:rsid w:val="5A5906B0"/>
    <w:rsid w:val="5A5D0617"/>
    <w:rsid w:val="5A7029DE"/>
    <w:rsid w:val="5A764DB1"/>
    <w:rsid w:val="5A79768C"/>
    <w:rsid w:val="5A7B0A82"/>
    <w:rsid w:val="5A7D778E"/>
    <w:rsid w:val="5A830771"/>
    <w:rsid w:val="5A8A4D39"/>
    <w:rsid w:val="5A8D5B3C"/>
    <w:rsid w:val="5A900A91"/>
    <w:rsid w:val="5A911684"/>
    <w:rsid w:val="5A9543EF"/>
    <w:rsid w:val="5A955FE8"/>
    <w:rsid w:val="5A971D60"/>
    <w:rsid w:val="5A987886"/>
    <w:rsid w:val="5AA71877"/>
    <w:rsid w:val="5AAB2214"/>
    <w:rsid w:val="5AAC5656"/>
    <w:rsid w:val="5AAC58EC"/>
    <w:rsid w:val="5AAE0E58"/>
    <w:rsid w:val="5AAE2C06"/>
    <w:rsid w:val="5AB61502"/>
    <w:rsid w:val="5AB660D5"/>
    <w:rsid w:val="5ABA3DEA"/>
    <w:rsid w:val="5ABC1175"/>
    <w:rsid w:val="5AC762F1"/>
    <w:rsid w:val="5ACB5EDD"/>
    <w:rsid w:val="5AD408F1"/>
    <w:rsid w:val="5AD572B3"/>
    <w:rsid w:val="5ADC59C5"/>
    <w:rsid w:val="5AE76118"/>
    <w:rsid w:val="5AEB6539"/>
    <w:rsid w:val="5AF341FE"/>
    <w:rsid w:val="5AF34ABD"/>
    <w:rsid w:val="5AF56B7C"/>
    <w:rsid w:val="5B026770"/>
    <w:rsid w:val="5B0E7B10"/>
    <w:rsid w:val="5B101A24"/>
    <w:rsid w:val="5B1213E7"/>
    <w:rsid w:val="5B14445E"/>
    <w:rsid w:val="5B162D21"/>
    <w:rsid w:val="5B302596"/>
    <w:rsid w:val="5B3A6B8F"/>
    <w:rsid w:val="5B4041A6"/>
    <w:rsid w:val="5B466CB4"/>
    <w:rsid w:val="5B473D72"/>
    <w:rsid w:val="5B52424E"/>
    <w:rsid w:val="5B547C51"/>
    <w:rsid w:val="5B5714EF"/>
    <w:rsid w:val="5B607464"/>
    <w:rsid w:val="5B6836FC"/>
    <w:rsid w:val="5B772776"/>
    <w:rsid w:val="5B8B5DF2"/>
    <w:rsid w:val="5B935248"/>
    <w:rsid w:val="5B94004E"/>
    <w:rsid w:val="5B962018"/>
    <w:rsid w:val="5B9938B6"/>
    <w:rsid w:val="5B9B5880"/>
    <w:rsid w:val="5BBB1A7E"/>
    <w:rsid w:val="5BC20A0D"/>
    <w:rsid w:val="5BCD355F"/>
    <w:rsid w:val="5BCE5E90"/>
    <w:rsid w:val="5BDE5E3D"/>
    <w:rsid w:val="5BEA7864"/>
    <w:rsid w:val="5BED775E"/>
    <w:rsid w:val="5BF127C1"/>
    <w:rsid w:val="5BF12EF0"/>
    <w:rsid w:val="5BF5277C"/>
    <w:rsid w:val="5BFA12D2"/>
    <w:rsid w:val="5BFE196B"/>
    <w:rsid w:val="5C0351D3"/>
    <w:rsid w:val="5C036F81"/>
    <w:rsid w:val="5C050F4B"/>
    <w:rsid w:val="5C05719D"/>
    <w:rsid w:val="5C0E0F8B"/>
    <w:rsid w:val="5C0E6052"/>
    <w:rsid w:val="5C1318BA"/>
    <w:rsid w:val="5C180C7F"/>
    <w:rsid w:val="5C2102D0"/>
    <w:rsid w:val="5C2E04A2"/>
    <w:rsid w:val="5C304591"/>
    <w:rsid w:val="5C356C4B"/>
    <w:rsid w:val="5C3706D2"/>
    <w:rsid w:val="5C384E7D"/>
    <w:rsid w:val="5C3977B6"/>
    <w:rsid w:val="5C3A119E"/>
    <w:rsid w:val="5C42409E"/>
    <w:rsid w:val="5C4F2412"/>
    <w:rsid w:val="5C525071"/>
    <w:rsid w:val="5C583771"/>
    <w:rsid w:val="5C593AC2"/>
    <w:rsid w:val="5C685E55"/>
    <w:rsid w:val="5C6A7000"/>
    <w:rsid w:val="5C704E57"/>
    <w:rsid w:val="5C7834CB"/>
    <w:rsid w:val="5C7D454D"/>
    <w:rsid w:val="5C7F7D8A"/>
    <w:rsid w:val="5C82259C"/>
    <w:rsid w:val="5C862360"/>
    <w:rsid w:val="5C98714B"/>
    <w:rsid w:val="5C9B540C"/>
    <w:rsid w:val="5C9C1945"/>
    <w:rsid w:val="5C9D2289"/>
    <w:rsid w:val="5CA415FB"/>
    <w:rsid w:val="5CA83399"/>
    <w:rsid w:val="5CB8347C"/>
    <w:rsid w:val="5CC23BA2"/>
    <w:rsid w:val="5CCC0FA4"/>
    <w:rsid w:val="5CD0702B"/>
    <w:rsid w:val="5CD64696"/>
    <w:rsid w:val="5CDF3213"/>
    <w:rsid w:val="5CE1177F"/>
    <w:rsid w:val="5CE15956"/>
    <w:rsid w:val="5CE17B0A"/>
    <w:rsid w:val="5CF3349A"/>
    <w:rsid w:val="5CF44AE0"/>
    <w:rsid w:val="5CFA0384"/>
    <w:rsid w:val="5D0531AA"/>
    <w:rsid w:val="5D0D6309"/>
    <w:rsid w:val="5D104520"/>
    <w:rsid w:val="5D13446D"/>
    <w:rsid w:val="5D1458EA"/>
    <w:rsid w:val="5D235B2D"/>
    <w:rsid w:val="5D2672BC"/>
    <w:rsid w:val="5D27532B"/>
    <w:rsid w:val="5D301260"/>
    <w:rsid w:val="5D327B1E"/>
    <w:rsid w:val="5D3B6F2A"/>
    <w:rsid w:val="5D3E051F"/>
    <w:rsid w:val="5D441E39"/>
    <w:rsid w:val="5D4565AF"/>
    <w:rsid w:val="5D55380D"/>
    <w:rsid w:val="5D584A99"/>
    <w:rsid w:val="5D5C4B9B"/>
    <w:rsid w:val="5D613BCB"/>
    <w:rsid w:val="5D6250B4"/>
    <w:rsid w:val="5D631084"/>
    <w:rsid w:val="5D7E0E10"/>
    <w:rsid w:val="5D820D7F"/>
    <w:rsid w:val="5D8451DF"/>
    <w:rsid w:val="5D876A04"/>
    <w:rsid w:val="5D884E5F"/>
    <w:rsid w:val="5D8F289A"/>
    <w:rsid w:val="5D9123A6"/>
    <w:rsid w:val="5D9216EA"/>
    <w:rsid w:val="5D943DC1"/>
    <w:rsid w:val="5DA34FE8"/>
    <w:rsid w:val="5DA87DE0"/>
    <w:rsid w:val="5DAC0B1E"/>
    <w:rsid w:val="5DAF3EB2"/>
    <w:rsid w:val="5DB4354B"/>
    <w:rsid w:val="5DBE13B2"/>
    <w:rsid w:val="5DC03100"/>
    <w:rsid w:val="5DC15346"/>
    <w:rsid w:val="5DC170F4"/>
    <w:rsid w:val="5DC7223B"/>
    <w:rsid w:val="5DD24E5D"/>
    <w:rsid w:val="5DDC146F"/>
    <w:rsid w:val="5DE22614"/>
    <w:rsid w:val="5DE94275"/>
    <w:rsid w:val="5DF23751"/>
    <w:rsid w:val="5DF272AD"/>
    <w:rsid w:val="5DFD07C0"/>
    <w:rsid w:val="5E006E0E"/>
    <w:rsid w:val="5E041FD8"/>
    <w:rsid w:val="5E0764B7"/>
    <w:rsid w:val="5E1010F4"/>
    <w:rsid w:val="5E127071"/>
    <w:rsid w:val="5E1611EE"/>
    <w:rsid w:val="5E1704AA"/>
    <w:rsid w:val="5E18474A"/>
    <w:rsid w:val="5E1E3878"/>
    <w:rsid w:val="5E282CCF"/>
    <w:rsid w:val="5E2A6A47"/>
    <w:rsid w:val="5E2F35DF"/>
    <w:rsid w:val="5E345B18"/>
    <w:rsid w:val="5E427006"/>
    <w:rsid w:val="5E4A3516"/>
    <w:rsid w:val="5E4C4C10"/>
    <w:rsid w:val="5E4C6BBC"/>
    <w:rsid w:val="5E4F1CDA"/>
    <w:rsid w:val="5E4F39A5"/>
    <w:rsid w:val="5E5166CA"/>
    <w:rsid w:val="5E536942"/>
    <w:rsid w:val="5E545207"/>
    <w:rsid w:val="5E5810F8"/>
    <w:rsid w:val="5E5B12F6"/>
    <w:rsid w:val="5E5E2B95"/>
    <w:rsid w:val="5E60047B"/>
    <w:rsid w:val="5E6155FE"/>
    <w:rsid w:val="5E741D96"/>
    <w:rsid w:val="5E79352B"/>
    <w:rsid w:val="5E7C38CA"/>
    <w:rsid w:val="5E8124A0"/>
    <w:rsid w:val="5E8E26A4"/>
    <w:rsid w:val="5E966CFA"/>
    <w:rsid w:val="5EAB402C"/>
    <w:rsid w:val="5EAE7678"/>
    <w:rsid w:val="5EAF6076"/>
    <w:rsid w:val="5EB2314A"/>
    <w:rsid w:val="5EB56C59"/>
    <w:rsid w:val="5EC450EE"/>
    <w:rsid w:val="5EC475A0"/>
    <w:rsid w:val="5EC56770"/>
    <w:rsid w:val="5EC648CD"/>
    <w:rsid w:val="5EC809F4"/>
    <w:rsid w:val="5EE20946"/>
    <w:rsid w:val="5EFA18BB"/>
    <w:rsid w:val="5EFF1C82"/>
    <w:rsid w:val="5F0140EF"/>
    <w:rsid w:val="5F014F67"/>
    <w:rsid w:val="5F03515E"/>
    <w:rsid w:val="5F0D1098"/>
    <w:rsid w:val="5F0E45BB"/>
    <w:rsid w:val="5F0F19B8"/>
    <w:rsid w:val="5F1576F7"/>
    <w:rsid w:val="5F27521E"/>
    <w:rsid w:val="5F2E60FA"/>
    <w:rsid w:val="5F344365"/>
    <w:rsid w:val="5F3608F5"/>
    <w:rsid w:val="5F3D00E1"/>
    <w:rsid w:val="5F3D3985"/>
    <w:rsid w:val="5F4640DD"/>
    <w:rsid w:val="5F477C2A"/>
    <w:rsid w:val="5F49114F"/>
    <w:rsid w:val="5F561124"/>
    <w:rsid w:val="5F5D0D5A"/>
    <w:rsid w:val="5F5E28DD"/>
    <w:rsid w:val="5F5F2560"/>
    <w:rsid w:val="5F6076AF"/>
    <w:rsid w:val="5F795F2D"/>
    <w:rsid w:val="5F7F7F09"/>
    <w:rsid w:val="5F814D8D"/>
    <w:rsid w:val="5F8613F6"/>
    <w:rsid w:val="5F8B1768"/>
    <w:rsid w:val="5F8D1984"/>
    <w:rsid w:val="5F922535"/>
    <w:rsid w:val="5F933BD1"/>
    <w:rsid w:val="5F973A30"/>
    <w:rsid w:val="5FA01B9B"/>
    <w:rsid w:val="5FA865BC"/>
    <w:rsid w:val="5FAF52EE"/>
    <w:rsid w:val="5FB4701C"/>
    <w:rsid w:val="5FB54A36"/>
    <w:rsid w:val="5FB55904"/>
    <w:rsid w:val="5FB707AE"/>
    <w:rsid w:val="5FC34143"/>
    <w:rsid w:val="5FCB4CE9"/>
    <w:rsid w:val="5FDA624B"/>
    <w:rsid w:val="5FED5F7E"/>
    <w:rsid w:val="5FEF48C7"/>
    <w:rsid w:val="5FF078FF"/>
    <w:rsid w:val="5FF13CC0"/>
    <w:rsid w:val="5FF4555F"/>
    <w:rsid w:val="5FF92B75"/>
    <w:rsid w:val="60097D62"/>
    <w:rsid w:val="60136F65"/>
    <w:rsid w:val="601F4A3C"/>
    <w:rsid w:val="6025396A"/>
    <w:rsid w:val="602A5424"/>
    <w:rsid w:val="602B3912"/>
    <w:rsid w:val="602C265E"/>
    <w:rsid w:val="60341DFF"/>
    <w:rsid w:val="60352AAC"/>
    <w:rsid w:val="60402552"/>
    <w:rsid w:val="60411AA3"/>
    <w:rsid w:val="60491A92"/>
    <w:rsid w:val="60494C8A"/>
    <w:rsid w:val="604E49FD"/>
    <w:rsid w:val="60580360"/>
    <w:rsid w:val="60624553"/>
    <w:rsid w:val="606359E6"/>
    <w:rsid w:val="60636240"/>
    <w:rsid w:val="606964C9"/>
    <w:rsid w:val="606E745A"/>
    <w:rsid w:val="607526B4"/>
    <w:rsid w:val="6084377A"/>
    <w:rsid w:val="609C6890"/>
    <w:rsid w:val="60A13198"/>
    <w:rsid w:val="60A24FBB"/>
    <w:rsid w:val="60A521A0"/>
    <w:rsid w:val="60BB348D"/>
    <w:rsid w:val="60BD2AB5"/>
    <w:rsid w:val="60BE4E23"/>
    <w:rsid w:val="60C33FC4"/>
    <w:rsid w:val="60C465E3"/>
    <w:rsid w:val="60C72C73"/>
    <w:rsid w:val="60CE7B5E"/>
    <w:rsid w:val="60D63B2E"/>
    <w:rsid w:val="60D809DC"/>
    <w:rsid w:val="60DF1D6B"/>
    <w:rsid w:val="60E277A8"/>
    <w:rsid w:val="60E65FC9"/>
    <w:rsid w:val="60E82ABD"/>
    <w:rsid w:val="60EA66DE"/>
    <w:rsid w:val="61050A04"/>
    <w:rsid w:val="61066AA3"/>
    <w:rsid w:val="61113EEE"/>
    <w:rsid w:val="61177312"/>
    <w:rsid w:val="61377DF9"/>
    <w:rsid w:val="613A3445"/>
    <w:rsid w:val="614147D4"/>
    <w:rsid w:val="61444683"/>
    <w:rsid w:val="6145155F"/>
    <w:rsid w:val="6149117D"/>
    <w:rsid w:val="614B7400"/>
    <w:rsid w:val="614E0C9F"/>
    <w:rsid w:val="61520175"/>
    <w:rsid w:val="61563B00"/>
    <w:rsid w:val="61614E76"/>
    <w:rsid w:val="61627EF2"/>
    <w:rsid w:val="616404C2"/>
    <w:rsid w:val="616561FC"/>
    <w:rsid w:val="61690897"/>
    <w:rsid w:val="61694115"/>
    <w:rsid w:val="61696F28"/>
    <w:rsid w:val="617B5F04"/>
    <w:rsid w:val="61840B64"/>
    <w:rsid w:val="619F774C"/>
    <w:rsid w:val="61A30A46"/>
    <w:rsid w:val="61AD67D9"/>
    <w:rsid w:val="61B455FB"/>
    <w:rsid w:val="61BD42A9"/>
    <w:rsid w:val="61BE00C7"/>
    <w:rsid w:val="61C667E4"/>
    <w:rsid w:val="61D05715"/>
    <w:rsid w:val="61DB43ED"/>
    <w:rsid w:val="61E1276F"/>
    <w:rsid w:val="61E84C4F"/>
    <w:rsid w:val="61E961F7"/>
    <w:rsid w:val="61F24E65"/>
    <w:rsid w:val="61FC6B54"/>
    <w:rsid w:val="6208709F"/>
    <w:rsid w:val="620C54D3"/>
    <w:rsid w:val="620E0B38"/>
    <w:rsid w:val="621023F8"/>
    <w:rsid w:val="62132AC5"/>
    <w:rsid w:val="622112F5"/>
    <w:rsid w:val="62257C51"/>
    <w:rsid w:val="622A102E"/>
    <w:rsid w:val="622D7B47"/>
    <w:rsid w:val="62306F99"/>
    <w:rsid w:val="623916BE"/>
    <w:rsid w:val="62402A42"/>
    <w:rsid w:val="62483940"/>
    <w:rsid w:val="624A15E9"/>
    <w:rsid w:val="624E205A"/>
    <w:rsid w:val="62686413"/>
    <w:rsid w:val="626B289A"/>
    <w:rsid w:val="627837C4"/>
    <w:rsid w:val="6283706E"/>
    <w:rsid w:val="62870D02"/>
    <w:rsid w:val="628D57F7"/>
    <w:rsid w:val="628F156F"/>
    <w:rsid w:val="6291178B"/>
    <w:rsid w:val="62937F82"/>
    <w:rsid w:val="629503BF"/>
    <w:rsid w:val="6295776A"/>
    <w:rsid w:val="629B323B"/>
    <w:rsid w:val="629E37E6"/>
    <w:rsid w:val="62A603C6"/>
    <w:rsid w:val="62AE40EB"/>
    <w:rsid w:val="62B00A61"/>
    <w:rsid w:val="62B02E9C"/>
    <w:rsid w:val="62C21463"/>
    <w:rsid w:val="62C25C0C"/>
    <w:rsid w:val="62CF1196"/>
    <w:rsid w:val="62DF0794"/>
    <w:rsid w:val="62E15AE5"/>
    <w:rsid w:val="62E95227"/>
    <w:rsid w:val="62EA2C49"/>
    <w:rsid w:val="62ED7B55"/>
    <w:rsid w:val="62F834F6"/>
    <w:rsid w:val="62FA0AFC"/>
    <w:rsid w:val="63077F65"/>
    <w:rsid w:val="630930CF"/>
    <w:rsid w:val="63232C71"/>
    <w:rsid w:val="63291928"/>
    <w:rsid w:val="63301343"/>
    <w:rsid w:val="63332842"/>
    <w:rsid w:val="633C694F"/>
    <w:rsid w:val="633D721D"/>
    <w:rsid w:val="633E4E82"/>
    <w:rsid w:val="633F11E7"/>
    <w:rsid w:val="63447CA3"/>
    <w:rsid w:val="6347009B"/>
    <w:rsid w:val="635025C8"/>
    <w:rsid w:val="635051A2"/>
    <w:rsid w:val="63552E8A"/>
    <w:rsid w:val="635B4CC7"/>
    <w:rsid w:val="636130E0"/>
    <w:rsid w:val="63666773"/>
    <w:rsid w:val="636A6886"/>
    <w:rsid w:val="636E564F"/>
    <w:rsid w:val="637349EC"/>
    <w:rsid w:val="637372C1"/>
    <w:rsid w:val="637D075E"/>
    <w:rsid w:val="63891F1F"/>
    <w:rsid w:val="638D1F52"/>
    <w:rsid w:val="63950C34"/>
    <w:rsid w:val="63A45B72"/>
    <w:rsid w:val="63A53508"/>
    <w:rsid w:val="63AA1BCD"/>
    <w:rsid w:val="63AA3121"/>
    <w:rsid w:val="63AE1B9F"/>
    <w:rsid w:val="63B06793"/>
    <w:rsid w:val="63B079EF"/>
    <w:rsid w:val="63B53257"/>
    <w:rsid w:val="63BA261B"/>
    <w:rsid w:val="63C0668C"/>
    <w:rsid w:val="63C51931"/>
    <w:rsid w:val="63CF3EF5"/>
    <w:rsid w:val="63D00091"/>
    <w:rsid w:val="63D30DBC"/>
    <w:rsid w:val="63D62269"/>
    <w:rsid w:val="63D758FF"/>
    <w:rsid w:val="63DA4A6C"/>
    <w:rsid w:val="63DB4576"/>
    <w:rsid w:val="63E034FC"/>
    <w:rsid w:val="63E43B3C"/>
    <w:rsid w:val="63E86948"/>
    <w:rsid w:val="63F7561D"/>
    <w:rsid w:val="63FB5C60"/>
    <w:rsid w:val="64037F24"/>
    <w:rsid w:val="64046278"/>
    <w:rsid w:val="640504A4"/>
    <w:rsid w:val="64077659"/>
    <w:rsid w:val="640A53E9"/>
    <w:rsid w:val="640E2967"/>
    <w:rsid w:val="64142999"/>
    <w:rsid w:val="642C3EEA"/>
    <w:rsid w:val="642C54C7"/>
    <w:rsid w:val="642E7A37"/>
    <w:rsid w:val="643237A5"/>
    <w:rsid w:val="64346872"/>
    <w:rsid w:val="643855FF"/>
    <w:rsid w:val="643A21BF"/>
    <w:rsid w:val="64414AEB"/>
    <w:rsid w:val="64484B87"/>
    <w:rsid w:val="644B7576"/>
    <w:rsid w:val="644F5459"/>
    <w:rsid w:val="64607667"/>
    <w:rsid w:val="646144B1"/>
    <w:rsid w:val="64626A30"/>
    <w:rsid w:val="646F3406"/>
    <w:rsid w:val="64805613"/>
    <w:rsid w:val="64882719"/>
    <w:rsid w:val="64886EB0"/>
    <w:rsid w:val="648D7D30"/>
    <w:rsid w:val="649E1F3D"/>
    <w:rsid w:val="64B04BF4"/>
    <w:rsid w:val="64B976B2"/>
    <w:rsid w:val="64BC50A8"/>
    <w:rsid w:val="64C255D8"/>
    <w:rsid w:val="64CE2822"/>
    <w:rsid w:val="64D140C0"/>
    <w:rsid w:val="64D502BE"/>
    <w:rsid w:val="64D704F4"/>
    <w:rsid w:val="64DB0A9B"/>
    <w:rsid w:val="64DC78B8"/>
    <w:rsid w:val="64DF6B47"/>
    <w:rsid w:val="64E030DF"/>
    <w:rsid w:val="64E1336B"/>
    <w:rsid w:val="64E40E6A"/>
    <w:rsid w:val="64EA5A43"/>
    <w:rsid w:val="64EB4CCD"/>
    <w:rsid w:val="64EF09EB"/>
    <w:rsid w:val="64F54AB1"/>
    <w:rsid w:val="64F664FA"/>
    <w:rsid w:val="64FE4ED3"/>
    <w:rsid w:val="65002528"/>
    <w:rsid w:val="65064C01"/>
    <w:rsid w:val="65065370"/>
    <w:rsid w:val="6509385A"/>
    <w:rsid w:val="651135B3"/>
    <w:rsid w:val="651A0578"/>
    <w:rsid w:val="651B358E"/>
    <w:rsid w:val="6521758C"/>
    <w:rsid w:val="6522491C"/>
    <w:rsid w:val="65230D6E"/>
    <w:rsid w:val="6525440C"/>
    <w:rsid w:val="652B0517"/>
    <w:rsid w:val="652B4D81"/>
    <w:rsid w:val="652C2DFC"/>
    <w:rsid w:val="652E32C1"/>
    <w:rsid w:val="6531690D"/>
    <w:rsid w:val="653F294D"/>
    <w:rsid w:val="65440F0D"/>
    <w:rsid w:val="654A0785"/>
    <w:rsid w:val="654C2076"/>
    <w:rsid w:val="654C3747"/>
    <w:rsid w:val="654C747E"/>
    <w:rsid w:val="65515201"/>
    <w:rsid w:val="6552134C"/>
    <w:rsid w:val="6553078D"/>
    <w:rsid w:val="656A42D9"/>
    <w:rsid w:val="656F3DC7"/>
    <w:rsid w:val="6579736B"/>
    <w:rsid w:val="657D1B52"/>
    <w:rsid w:val="65841133"/>
    <w:rsid w:val="658730AF"/>
    <w:rsid w:val="65876E75"/>
    <w:rsid w:val="65882D0B"/>
    <w:rsid w:val="65892A2A"/>
    <w:rsid w:val="659059BC"/>
    <w:rsid w:val="65943D2E"/>
    <w:rsid w:val="65994698"/>
    <w:rsid w:val="659D3FA3"/>
    <w:rsid w:val="65AA24B1"/>
    <w:rsid w:val="65AE4402"/>
    <w:rsid w:val="65B141EA"/>
    <w:rsid w:val="65B337C6"/>
    <w:rsid w:val="65B55790"/>
    <w:rsid w:val="65B923E3"/>
    <w:rsid w:val="65BE6761"/>
    <w:rsid w:val="65C32A3D"/>
    <w:rsid w:val="65C50D1A"/>
    <w:rsid w:val="65D21DE8"/>
    <w:rsid w:val="65D315FF"/>
    <w:rsid w:val="65D5605E"/>
    <w:rsid w:val="65DA51F7"/>
    <w:rsid w:val="65E6594A"/>
    <w:rsid w:val="65E76CC4"/>
    <w:rsid w:val="65F14EBD"/>
    <w:rsid w:val="65F917A1"/>
    <w:rsid w:val="660C3AF8"/>
    <w:rsid w:val="660D2ED6"/>
    <w:rsid w:val="660D7B9C"/>
    <w:rsid w:val="660F50CF"/>
    <w:rsid w:val="66141D57"/>
    <w:rsid w:val="66187ACD"/>
    <w:rsid w:val="661E50E3"/>
    <w:rsid w:val="6620359F"/>
    <w:rsid w:val="662841B4"/>
    <w:rsid w:val="662D11E6"/>
    <w:rsid w:val="662E7273"/>
    <w:rsid w:val="66365D84"/>
    <w:rsid w:val="66391F1D"/>
    <w:rsid w:val="663C7C5F"/>
    <w:rsid w:val="663D7E90"/>
    <w:rsid w:val="66404F26"/>
    <w:rsid w:val="664408C2"/>
    <w:rsid w:val="66527571"/>
    <w:rsid w:val="66540B05"/>
    <w:rsid w:val="6659436D"/>
    <w:rsid w:val="665D3D8F"/>
    <w:rsid w:val="66602BC7"/>
    <w:rsid w:val="6672542F"/>
    <w:rsid w:val="667A512E"/>
    <w:rsid w:val="667E42FD"/>
    <w:rsid w:val="66876081"/>
    <w:rsid w:val="668A4527"/>
    <w:rsid w:val="668E78CD"/>
    <w:rsid w:val="66981404"/>
    <w:rsid w:val="66996E60"/>
    <w:rsid w:val="669B5028"/>
    <w:rsid w:val="669C06FE"/>
    <w:rsid w:val="669C293B"/>
    <w:rsid w:val="66A7076B"/>
    <w:rsid w:val="66AC29D5"/>
    <w:rsid w:val="66AD46B9"/>
    <w:rsid w:val="66AE6350"/>
    <w:rsid w:val="66C0263F"/>
    <w:rsid w:val="66C97241"/>
    <w:rsid w:val="66D33235"/>
    <w:rsid w:val="66DB485A"/>
    <w:rsid w:val="66DC3E2C"/>
    <w:rsid w:val="66E02E1B"/>
    <w:rsid w:val="66E0352A"/>
    <w:rsid w:val="66ED7FC0"/>
    <w:rsid w:val="66EF6D88"/>
    <w:rsid w:val="66F26570"/>
    <w:rsid w:val="66F6264B"/>
    <w:rsid w:val="66F756B2"/>
    <w:rsid w:val="66F75934"/>
    <w:rsid w:val="66FD119D"/>
    <w:rsid w:val="67030A4B"/>
    <w:rsid w:val="6703521B"/>
    <w:rsid w:val="6705639B"/>
    <w:rsid w:val="6712451C"/>
    <w:rsid w:val="671C6AEB"/>
    <w:rsid w:val="672030DD"/>
    <w:rsid w:val="67204E8B"/>
    <w:rsid w:val="67300A7E"/>
    <w:rsid w:val="673C265D"/>
    <w:rsid w:val="674509F6"/>
    <w:rsid w:val="674F0CAD"/>
    <w:rsid w:val="67582877"/>
    <w:rsid w:val="67595090"/>
    <w:rsid w:val="675C40F8"/>
    <w:rsid w:val="675F03F6"/>
    <w:rsid w:val="676034DA"/>
    <w:rsid w:val="676077D1"/>
    <w:rsid w:val="676147DC"/>
    <w:rsid w:val="676254A4"/>
    <w:rsid w:val="67627252"/>
    <w:rsid w:val="6764746E"/>
    <w:rsid w:val="67672ABA"/>
    <w:rsid w:val="67676273"/>
    <w:rsid w:val="676B171D"/>
    <w:rsid w:val="676C5483"/>
    <w:rsid w:val="67746F85"/>
    <w:rsid w:val="6778101E"/>
    <w:rsid w:val="677A0A3F"/>
    <w:rsid w:val="677D22DE"/>
    <w:rsid w:val="677D408C"/>
    <w:rsid w:val="678371C8"/>
    <w:rsid w:val="6787202D"/>
    <w:rsid w:val="67896ED4"/>
    <w:rsid w:val="678B6DB9"/>
    <w:rsid w:val="679061BB"/>
    <w:rsid w:val="67916DB0"/>
    <w:rsid w:val="6794091E"/>
    <w:rsid w:val="679B09B6"/>
    <w:rsid w:val="67B0620F"/>
    <w:rsid w:val="67B54917"/>
    <w:rsid w:val="67B81568"/>
    <w:rsid w:val="67BD76E1"/>
    <w:rsid w:val="67CD5371"/>
    <w:rsid w:val="67D57A24"/>
    <w:rsid w:val="67E10ABE"/>
    <w:rsid w:val="67E72967"/>
    <w:rsid w:val="67EC1211"/>
    <w:rsid w:val="67F21EBE"/>
    <w:rsid w:val="67F3434E"/>
    <w:rsid w:val="67FC60B7"/>
    <w:rsid w:val="681A18DB"/>
    <w:rsid w:val="681B213F"/>
    <w:rsid w:val="681C56E8"/>
    <w:rsid w:val="68232E85"/>
    <w:rsid w:val="6825719C"/>
    <w:rsid w:val="68264723"/>
    <w:rsid w:val="68282249"/>
    <w:rsid w:val="68297D70"/>
    <w:rsid w:val="68336E40"/>
    <w:rsid w:val="6835587A"/>
    <w:rsid w:val="68403AFD"/>
    <w:rsid w:val="684C37A9"/>
    <w:rsid w:val="685272C6"/>
    <w:rsid w:val="68541290"/>
    <w:rsid w:val="686113BA"/>
    <w:rsid w:val="68620649"/>
    <w:rsid w:val="68630D3F"/>
    <w:rsid w:val="68690E30"/>
    <w:rsid w:val="68721DB3"/>
    <w:rsid w:val="68727968"/>
    <w:rsid w:val="687C4343"/>
    <w:rsid w:val="687D5A18"/>
    <w:rsid w:val="68803E14"/>
    <w:rsid w:val="688731D3"/>
    <w:rsid w:val="68980099"/>
    <w:rsid w:val="689D3FFD"/>
    <w:rsid w:val="689D5D3E"/>
    <w:rsid w:val="68A65864"/>
    <w:rsid w:val="68AE7647"/>
    <w:rsid w:val="68B27FE5"/>
    <w:rsid w:val="68B33CBC"/>
    <w:rsid w:val="68BB130F"/>
    <w:rsid w:val="68C05073"/>
    <w:rsid w:val="68C301C4"/>
    <w:rsid w:val="68C47FF7"/>
    <w:rsid w:val="68CC0D03"/>
    <w:rsid w:val="68D423D1"/>
    <w:rsid w:val="68E52BC5"/>
    <w:rsid w:val="68E71B98"/>
    <w:rsid w:val="68ED3493"/>
    <w:rsid w:val="68F63FD0"/>
    <w:rsid w:val="68F951EB"/>
    <w:rsid w:val="68FA0D09"/>
    <w:rsid w:val="68FA59C2"/>
    <w:rsid w:val="690507DD"/>
    <w:rsid w:val="690518E3"/>
    <w:rsid w:val="69074555"/>
    <w:rsid w:val="69090935"/>
    <w:rsid w:val="690A7BA1"/>
    <w:rsid w:val="6913778D"/>
    <w:rsid w:val="692216E4"/>
    <w:rsid w:val="692349A9"/>
    <w:rsid w:val="6927100D"/>
    <w:rsid w:val="692844CB"/>
    <w:rsid w:val="692D47C9"/>
    <w:rsid w:val="6935729D"/>
    <w:rsid w:val="69433CAC"/>
    <w:rsid w:val="69434E61"/>
    <w:rsid w:val="694A2693"/>
    <w:rsid w:val="69647910"/>
    <w:rsid w:val="69685470"/>
    <w:rsid w:val="697E2410"/>
    <w:rsid w:val="69852A6B"/>
    <w:rsid w:val="698612A5"/>
    <w:rsid w:val="69872CF3"/>
    <w:rsid w:val="698C2CAC"/>
    <w:rsid w:val="699157A6"/>
    <w:rsid w:val="69935DE8"/>
    <w:rsid w:val="69A82381"/>
    <w:rsid w:val="69AC0A3C"/>
    <w:rsid w:val="69AC2A06"/>
    <w:rsid w:val="69AE43A7"/>
    <w:rsid w:val="69AE7BC5"/>
    <w:rsid w:val="69AF0748"/>
    <w:rsid w:val="69B67D29"/>
    <w:rsid w:val="69CB6DA4"/>
    <w:rsid w:val="69CD6811"/>
    <w:rsid w:val="69D11FEA"/>
    <w:rsid w:val="69D81A4D"/>
    <w:rsid w:val="69E42DF0"/>
    <w:rsid w:val="69E71C2E"/>
    <w:rsid w:val="69E95A08"/>
    <w:rsid w:val="6A0202FD"/>
    <w:rsid w:val="6A0518F8"/>
    <w:rsid w:val="6A0D5208"/>
    <w:rsid w:val="6A0F1269"/>
    <w:rsid w:val="6A107439"/>
    <w:rsid w:val="6A1679FB"/>
    <w:rsid w:val="6A203E12"/>
    <w:rsid w:val="6A2627B9"/>
    <w:rsid w:val="6A2922A9"/>
    <w:rsid w:val="6A372C18"/>
    <w:rsid w:val="6A4C6CBB"/>
    <w:rsid w:val="6A5E0111"/>
    <w:rsid w:val="6A6F316D"/>
    <w:rsid w:val="6A7C062B"/>
    <w:rsid w:val="6A912DE0"/>
    <w:rsid w:val="6A943F85"/>
    <w:rsid w:val="6A9B5332"/>
    <w:rsid w:val="6A9E2C97"/>
    <w:rsid w:val="6A9F07BD"/>
    <w:rsid w:val="6AAC487C"/>
    <w:rsid w:val="6AAD3143"/>
    <w:rsid w:val="6AAF3E38"/>
    <w:rsid w:val="6AB029CA"/>
    <w:rsid w:val="6ABC4ECB"/>
    <w:rsid w:val="6AC2152D"/>
    <w:rsid w:val="6AD466B8"/>
    <w:rsid w:val="6AD54350"/>
    <w:rsid w:val="6ADF0BB9"/>
    <w:rsid w:val="6AE14931"/>
    <w:rsid w:val="6AE61B76"/>
    <w:rsid w:val="6AEF5C50"/>
    <w:rsid w:val="6AF428B7"/>
    <w:rsid w:val="6AF6063A"/>
    <w:rsid w:val="6AF96F3D"/>
    <w:rsid w:val="6B043F03"/>
    <w:rsid w:val="6B080100"/>
    <w:rsid w:val="6B1017A5"/>
    <w:rsid w:val="6B180CA7"/>
    <w:rsid w:val="6B1C57E8"/>
    <w:rsid w:val="6B222A27"/>
    <w:rsid w:val="6B2E35BA"/>
    <w:rsid w:val="6B2F30E7"/>
    <w:rsid w:val="6B3233DF"/>
    <w:rsid w:val="6B3A6E3B"/>
    <w:rsid w:val="6B3D34FE"/>
    <w:rsid w:val="6B453112"/>
    <w:rsid w:val="6B497AD5"/>
    <w:rsid w:val="6B4E448C"/>
    <w:rsid w:val="6B557938"/>
    <w:rsid w:val="6B5A3C35"/>
    <w:rsid w:val="6B5E7564"/>
    <w:rsid w:val="6B611969"/>
    <w:rsid w:val="6B66741E"/>
    <w:rsid w:val="6B67752D"/>
    <w:rsid w:val="6B7010B5"/>
    <w:rsid w:val="6B824366"/>
    <w:rsid w:val="6B87372B"/>
    <w:rsid w:val="6B900117"/>
    <w:rsid w:val="6B96396E"/>
    <w:rsid w:val="6BA72B30"/>
    <w:rsid w:val="6BA86101"/>
    <w:rsid w:val="6BB57E47"/>
    <w:rsid w:val="6BB77B3F"/>
    <w:rsid w:val="6BBD714D"/>
    <w:rsid w:val="6BC03782"/>
    <w:rsid w:val="6BC229B5"/>
    <w:rsid w:val="6BC80F07"/>
    <w:rsid w:val="6BCB40EA"/>
    <w:rsid w:val="6BD149A6"/>
    <w:rsid w:val="6BD44EF8"/>
    <w:rsid w:val="6BD54C99"/>
    <w:rsid w:val="6BD57763"/>
    <w:rsid w:val="6BDC2D4F"/>
    <w:rsid w:val="6BDF1392"/>
    <w:rsid w:val="6BE50451"/>
    <w:rsid w:val="6BE749C8"/>
    <w:rsid w:val="6BEB3756"/>
    <w:rsid w:val="6C040115"/>
    <w:rsid w:val="6C060AF4"/>
    <w:rsid w:val="6C0D4ACE"/>
    <w:rsid w:val="6C1929E0"/>
    <w:rsid w:val="6C1A634D"/>
    <w:rsid w:val="6C225202"/>
    <w:rsid w:val="6C292BE1"/>
    <w:rsid w:val="6C346A47"/>
    <w:rsid w:val="6C393583"/>
    <w:rsid w:val="6C3B762A"/>
    <w:rsid w:val="6C4038DA"/>
    <w:rsid w:val="6C430EC6"/>
    <w:rsid w:val="6C450EF0"/>
    <w:rsid w:val="6C460B8D"/>
    <w:rsid w:val="6C4B6506"/>
    <w:rsid w:val="6C4C4B88"/>
    <w:rsid w:val="6C4E5FF7"/>
    <w:rsid w:val="6C5238F7"/>
    <w:rsid w:val="6C60203D"/>
    <w:rsid w:val="6C604856"/>
    <w:rsid w:val="6C6217A7"/>
    <w:rsid w:val="6C702411"/>
    <w:rsid w:val="6C740C4D"/>
    <w:rsid w:val="6C747D90"/>
    <w:rsid w:val="6C7A6DEC"/>
    <w:rsid w:val="6C860A2C"/>
    <w:rsid w:val="6C88775B"/>
    <w:rsid w:val="6CA00CC7"/>
    <w:rsid w:val="6CA02C98"/>
    <w:rsid w:val="6CA127B4"/>
    <w:rsid w:val="6CA27B74"/>
    <w:rsid w:val="6CA34594"/>
    <w:rsid w:val="6CA67BE1"/>
    <w:rsid w:val="6CAB34E9"/>
    <w:rsid w:val="6CAE2F39"/>
    <w:rsid w:val="6CAE382B"/>
    <w:rsid w:val="6CB00A5F"/>
    <w:rsid w:val="6CB34986"/>
    <w:rsid w:val="6CB55D42"/>
    <w:rsid w:val="6CB74F5B"/>
    <w:rsid w:val="6CB8671C"/>
    <w:rsid w:val="6CB90EA6"/>
    <w:rsid w:val="6CBA7A7E"/>
    <w:rsid w:val="6CBA7B30"/>
    <w:rsid w:val="6CCB5481"/>
    <w:rsid w:val="6CCE5B95"/>
    <w:rsid w:val="6CD01102"/>
    <w:rsid w:val="6CD60E94"/>
    <w:rsid w:val="6CDB5E4B"/>
    <w:rsid w:val="6CF20041"/>
    <w:rsid w:val="6CF36A25"/>
    <w:rsid w:val="6CF43042"/>
    <w:rsid w:val="6CFD1C68"/>
    <w:rsid w:val="6D050DAB"/>
    <w:rsid w:val="6D091F16"/>
    <w:rsid w:val="6D0D4104"/>
    <w:rsid w:val="6D1347EA"/>
    <w:rsid w:val="6D1B2C9B"/>
    <w:rsid w:val="6D2471EB"/>
    <w:rsid w:val="6D294D4C"/>
    <w:rsid w:val="6D321474"/>
    <w:rsid w:val="6D3A4A8D"/>
    <w:rsid w:val="6D3A50DF"/>
    <w:rsid w:val="6D503BE3"/>
    <w:rsid w:val="6D5164B6"/>
    <w:rsid w:val="6D5F318C"/>
    <w:rsid w:val="6D614FFE"/>
    <w:rsid w:val="6D6840E5"/>
    <w:rsid w:val="6D6A21E0"/>
    <w:rsid w:val="6D7427C5"/>
    <w:rsid w:val="6D8223FC"/>
    <w:rsid w:val="6D8707CD"/>
    <w:rsid w:val="6D8819DC"/>
    <w:rsid w:val="6D8E6FF3"/>
    <w:rsid w:val="6D910EB2"/>
    <w:rsid w:val="6D940381"/>
    <w:rsid w:val="6D963072"/>
    <w:rsid w:val="6DA118E1"/>
    <w:rsid w:val="6DA33AB1"/>
    <w:rsid w:val="6DA34120"/>
    <w:rsid w:val="6DA61D89"/>
    <w:rsid w:val="6DAB1855"/>
    <w:rsid w:val="6DB63E53"/>
    <w:rsid w:val="6DCC01D6"/>
    <w:rsid w:val="6DCF3167"/>
    <w:rsid w:val="6DD841D1"/>
    <w:rsid w:val="6DE1112A"/>
    <w:rsid w:val="6DE20811"/>
    <w:rsid w:val="6DE62234"/>
    <w:rsid w:val="6DEE1DA5"/>
    <w:rsid w:val="6DEE5CE3"/>
    <w:rsid w:val="6DF131D9"/>
    <w:rsid w:val="6DF362F1"/>
    <w:rsid w:val="6DFC0A94"/>
    <w:rsid w:val="6E0A419F"/>
    <w:rsid w:val="6E0E7E73"/>
    <w:rsid w:val="6E113780"/>
    <w:rsid w:val="6E163B54"/>
    <w:rsid w:val="6E166FE8"/>
    <w:rsid w:val="6E1F3AB9"/>
    <w:rsid w:val="6E205C8E"/>
    <w:rsid w:val="6E22598D"/>
    <w:rsid w:val="6E2427EA"/>
    <w:rsid w:val="6E273436"/>
    <w:rsid w:val="6E291B51"/>
    <w:rsid w:val="6E2B5B70"/>
    <w:rsid w:val="6E2E2225"/>
    <w:rsid w:val="6E313E22"/>
    <w:rsid w:val="6E3260E0"/>
    <w:rsid w:val="6E391146"/>
    <w:rsid w:val="6E3B189E"/>
    <w:rsid w:val="6E46026B"/>
    <w:rsid w:val="6E5813DE"/>
    <w:rsid w:val="6E5918C5"/>
    <w:rsid w:val="6E5B2C4D"/>
    <w:rsid w:val="6E6F1069"/>
    <w:rsid w:val="6E711FBB"/>
    <w:rsid w:val="6E731CAA"/>
    <w:rsid w:val="6E7D2BC3"/>
    <w:rsid w:val="6E82467D"/>
    <w:rsid w:val="6E8D0A23"/>
    <w:rsid w:val="6E917D94"/>
    <w:rsid w:val="6E95615F"/>
    <w:rsid w:val="6E9879FD"/>
    <w:rsid w:val="6EA77C40"/>
    <w:rsid w:val="6EB4221B"/>
    <w:rsid w:val="6EB97C9A"/>
    <w:rsid w:val="6EBA3EC2"/>
    <w:rsid w:val="6EBF3EC0"/>
    <w:rsid w:val="6EC425A0"/>
    <w:rsid w:val="6ED547AD"/>
    <w:rsid w:val="6ED8429D"/>
    <w:rsid w:val="6ED973FC"/>
    <w:rsid w:val="6EED5F9B"/>
    <w:rsid w:val="6EEF3C2A"/>
    <w:rsid w:val="6EF2535F"/>
    <w:rsid w:val="6EF54E4F"/>
    <w:rsid w:val="6F06705D"/>
    <w:rsid w:val="6F0C365F"/>
    <w:rsid w:val="6F12155D"/>
    <w:rsid w:val="6F174DC6"/>
    <w:rsid w:val="6F1E1894"/>
    <w:rsid w:val="6F23376B"/>
    <w:rsid w:val="6F247027"/>
    <w:rsid w:val="6F265009"/>
    <w:rsid w:val="6F341033"/>
    <w:rsid w:val="6F34735B"/>
    <w:rsid w:val="6F424979"/>
    <w:rsid w:val="6F484F7F"/>
    <w:rsid w:val="6F4E6A14"/>
    <w:rsid w:val="6F5C0A2B"/>
    <w:rsid w:val="6F6135D9"/>
    <w:rsid w:val="6F693749"/>
    <w:rsid w:val="6F6A3147"/>
    <w:rsid w:val="6F7458D1"/>
    <w:rsid w:val="6F8166E3"/>
    <w:rsid w:val="6F8416CF"/>
    <w:rsid w:val="6F857F81"/>
    <w:rsid w:val="6F8F7052"/>
    <w:rsid w:val="6F9D7BE5"/>
    <w:rsid w:val="6F9E7295"/>
    <w:rsid w:val="6F9F2AB4"/>
    <w:rsid w:val="6FA01488"/>
    <w:rsid w:val="6FAD1286"/>
    <w:rsid w:val="6FAD4CF3"/>
    <w:rsid w:val="6FAF14A2"/>
    <w:rsid w:val="6FB645DF"/>
    <w:rsid w:val="6FB77864"/>
    <w:rsid w:val="6FC07FB0"/>
    <w:rsid w:val="6FC17269"/>
    <w:rsid w:val="6FCC75D9"/>
    <w:rsid w:val="6FD11419"/>
    <w:rsid w:val="6FD269A1"/>
    <w:rsid w:val="6FDD0023"/>
    <w:rsid w:val="6FEC6252"/>
    <w:rsid w:val="6FF173C5"/>
    <w:rsid w:val="6FF62C2D"/>
    <w:rsid w:val="700510C2"/>
    <w:rsid w:val="70115BD2"/>
    <w:rsid w:val="701D3990"/>
    <w:rsid w:val="70236185"/>
    <w:rsid w:val="70311EB7"/>
    <w:rsid w:val="70315562"/>
    <w:rsid w:val="703620CB"/>
    <w:rsid w:val="703823E9"/>
    <w:rsid w:val="703D260A"/>
    <w:rsid w:val="703F45D4"/>
    <w:rsid w:val="704240C4"/>
    <w:rsid w:val="70434C25"/>
    <w:rsid w:val="7046362A"/>
    <w:rsid w:val="70511328"/>
    <w:rsid w:val="705A19BC"/>
    <w:rsid w:val="705A27F4"/>
    <w:rsid w:val="705C4791"/>
    <w:rsid w:val="7060062E"/>
    <w:rsid w:val="706338B4"/>
    <w:rsid w:val="70666005"/>
    <w:rsid w:val="70807928"/>
    <w:rsid w:val="70841122"/>
    <w:rsid w:val="70875F7B"/>
    <w:rsid w:val="70891881"/>
    <w:rsid w:val="70904B27"/>
    <w:rsid w:val="709F1517"/>
    <w:rsid w:val="70A00DEB"/>
    <w:rsid w:val="70A24B63"/>
    <w:rsid w:val="70A61135"/>
    <w:rsid w:val="70B477CF"/>
    <w:rsid w:val="70B623BC"/>
    <w:rsid w:val="70B65F8C"/>
    <w:rsid w:val="70B66341"/>
    <w:rsid w:val="70B81788"/>
    <w:rsid w:val="70BE62B2"/>
    <w:rsid w:val="70C456BC"/>
    <w:rsid w:val="70CE7706"/>
    <w:rsid w:val="70D56CE6"/>
    <w:rsid w:val="70D7170B"/>
    <w:rsid w:val="70DF3B22"/>
    <w:rsid w:val="70E233A7"/>
    <w:rsid w:val="70E92792"/>
    <w:rsid w:val="70EB1D07"/>
    <w:rsid w:val="70ED4030"/>
    <w:rsid w:val="70F239A8"/>
    <w:rsid w:val="70F4036A"/>
    <w:rsid w:val="70F829D5"/>
    <w:rsid w:val="70FF26CB"/>
    <w:rsid w:val="71047056"/>
    <w:rsid w:val="71080E6A"/>
    <w:rsid w:val="711315BD"/>
    <w:rsid w:val="71190E82"/>
    <w:rsid w:val="711E3CE1"/>
    <w:rsid w:val="712E4649"/>
    <w:rsid w:val="713438AD"/>
    <w:rsid w:val="713A123F"/>
    <w:rsid w:val="714C1194"/>
    <w:rsid w:val="714C1A59"/>
    <w:rsid w:val="714C59B7"/>
    <w:rsid w:val="71551766"/>
    <w:rsid w:val="71557E27"/>
    <w:rsid w:val="7163703D"/>
    <w:rsid w:val="716772A9"/>
    <w:rsid w:val="717304A3"/>
    <w:rsid w:val="717402AD"/>
    <w:rsid w:val="7175660B"/>
    <w:rsid w:val="717750A4"/>
    <w:rsid w:val="71775FF0"/>
    <w:rsid w:val="71856665"/>
    <w:rsid w:val="71881A6F"/>
    <w:rsid w:val="718A7A50"/>
    <w:rsid w:val="719E4941"/>
    <w:rsid w:val="71A83AF7"/>
    <w:rsid w:val="71A843FB"/>
    <w:rsid w:val="71AD13D4"/>
    <w:rsid w:val="71B57E05"/>
    <w:rsid w:val="71BB412E"/>
    <w:rsid w:val="71BD3A7A"/>
    <w:rsid w:val="71BE3C1E"/>
    <w:rsid w:val="71C56D5B"/>
    <w:rsid w:val="71C64881"/>
    <w:rsid w:val="71C77AE4"/>
    <w:rsid w:val="71D376CA"/>
    <w:rsid w:val="71D47A7F"/>
    <w:rsid w:val="71D85B59"/>
    <w:rsid w:val="71DA06AB"/>
    <w:rsid w:val="71E4203D"/>
    <w:rsid w:val="71E82A49"/>
    <w:rsid w:val="71E926CD"/>
    <w:rsid w:val="71E94F3A"/>
    <w:rsid w:val="71ED62B2"/>
    <w:rsid w:val="71F509A5"/>
    <w:rsid w:val="71FE401B"/>
    <w:rsid w:val="72083B33"/>
    <w:rsid w:val="720B57FE"/>
    <w:rsid w:val="720B62BF"/>
    <w:rsid w:val="720D3D20"/>
    <w:rsid w:val="721D26F3"/>
    <w:rsid w:val="72203F91"/>
    <w:rsid w:val="72216562"/>
    <w:rsid w:val="72277008"/>
    <w:rsid w:val="7229261B"/>
    <w:rsid w:val="722C01C9"/>
    <w:rsid w:val="72304722"/>
    <w:rsid w:val="723657EC"/>
    <w:rsid w:val="723942B7"/>
    <w:rsid w:val="7242215A"/>
    <w:rsid w:val="724A3704"/>
    <w:rsid w:val="724E26A6"/>
    <w:rsid w:val="724E3E15"/>
    <w:rsid w:val="724F5E6C"/>
    <w:rsid w:val="725D1AA0"/>
    <w:rsid w:val="72657495"/>
    <w:rsid w:val="72692740"/>
    <w:rsid w:val="72693B8A"/>
    <w:rsid w:val="726E117A"/>
    <w:rsid w:val="72764326"/>
    <w:rsid w:val="72781F16"/>
    <w:rsid w:val="728032BA"/>
    <w:rsid w:val="728D4FDC"/>
    <w:rsid w:val="72914E8F"/>
    <w:rsid w:val="729A209E"/>
    <w:rsid w:val="729D3834"/>
    <w:rsid w:val="729E390D"/>
    <w:rsid w:val="72A41241"/>
    <w:rsid w:val="72AA78B4"/>
    <w:rsid w:val="72AF11DE"/>
    <w:rsid w:val="72B868C0"/>
    <w:rsid w:val="72BC3359"/>
    <w:rsid w:val="72C40186"/>
    <w:rsid w:val="72C730FE"/>
    <w:rsid w:val="72E34342"/>
    <w:rsid w:val="72E613A6"/>
    <w:rsid w:val="72E8337C"/>
    <w:rsid w:val="72E90827"/>
    <w:rsid w:val="72F434FA"/>
    <w:rsid w:val="72FA2A34"/>
    <w:rsid w:val="7301673F"/>
    <w:rsid w:val="730B2421"/>
    <w:rsid w:val="730B2A5D"/>
    <w:rsid w:val="730D1C62"/>
    <w:rsid w:val="731356C2"/>
    <w:rsid w:val="73151916"/>
    <w:rsid w:val="731755C9"/>
    <w:rsid w:val="73184198"/>
    <w:rsid w:val="731A1328"/>
    <w:rsid w:val="73262E6D"/>
    <w:rsid w:val="732E0930"/>
    <w:rsid w:val="73373C05"/>
    <w:rsid w:val="73394622"/>
    <w:rsid w:val="733F63CB"/>
    <w:rsid w:val="734168B5"/>
    <w:rsid w:val="73490DFC"/>
    <w:rsid w:val="734A5387"/>
    <w:rsid w:val="73555688"/>
    <w:rsid w:val="735C36AA"/>
    <w:rsid w:val="735C549D"/>
    <w:rsid w:val="73682094"/>
    <w:rsid w:val="736C1BDF"/>
    <w:rsid w:val="736E2B3F"/>
    <w:rsid w:val="7370719A"/>
    <w:rsid w:val="73726A6F"/>
    <w:rsid w:val="73754FD7"/>
    <w:rsid w:val="737C7606"/>
    <w:rsid w:val="738E4CE0"/>
    <w:rsid w:val="73994B06"/>
    <w:rsid w:val="739A5FC5"/>
    <w:rsid w:val="73A250DB"/>
    <w:rsid w:val="73A26CD8"/>
    <w:rsid w:val="73AA26AC"/>
    <w:rsid w:val="73B34E42"/>
    <w:rsid w:val="73B76B77"/>
    <w:rsid w:val="73B83040"/>
    <w:rsid w:val="73BA1DA6"/>
    <w:rsid w:val="73BF2DAF"/>
    <w:rsid w:val="73C17A92"/>
    <w:rsid w:val="73CA5289"/>
    <w:rsid w:val="73D2575F"/>
    <w:rsid w:val="73E334C8"/>
    <w:rsid w:val="73E35202"/>
    <w:rsid w:val="73E829D8"/>
    <w:rsid w:val="73EC7414"/>
    <w:rsid w:val="73F161DC"/>
    <w:rsid w:val="73F2112A"/>
    <w:rsid w:val="73F62B37"/>
    <w:rsid w:val="73F94CA3"/>
    <w:rsid w:val="74027161"/>
    <w:rsid w:val="74094E3D"/>
    <w:rsid w:val="740D2C3B"/>
    <w:rsid w:val="7410198C"/>
    <w:rsid w:val="74145D78"/>
    <w:rsid w:val="7416389E"/>
    <w:rsid w:val="7416564C"/>
    <w:rsid w:val="741C1198"/>
    <w:rsid w:val="741F54A2"/>
    <w:rsid w:val="742331AE"/>
    <w:rsid w:val="7428537F"/>
    <w:rsid w:val="742A10F7"/>
    <w:rsid w:val="742F2BB2"/>
    <w:rsid w:val="743553DE"/>
    <w:rsid w:val="74393A30"/>
    <w:rsid w:val="743D0A2B"/>
    <w:rsid w:val="744C3764"/>
    <w:rsid w:val="74551EB3"/>
    <w:rsid w:val="745A0FA0"/>
    <w:rsid w:val="74626AE3"/>
    <w:rsid w:val="74695ADA"/>
    <w:rsid w:val="74797F6C"/>
    <w:rsid w:val="74876A28"/>
    <w:rsid w:val="74884175"/>
    <w:rsid w:val="749132B1"/>
    <w:rsid w:val="749D15EC"/>
    <w:rsid w:val="74A81682"/>
    <w:rsid w:val="74AC6BC6"/>
    <w:rsid w:val="74B64A8D"/>
    <w:rsid w:val="74BD1F6B"/>
    <w:rsid w:val="74D13C69"/>
    <w:rsid w:val="74DF3CDB"/>
    <w:rsid w:val="74E04982"/>
    <w:rsid w:val="74E314C0"/>
    <w:rsid w:val="74F160B9"/>
    <w:rsid w:val="74F236DC"/>
    <w:rsid w:val="750156D5"/>
    <w:rsid w:val="751A5826"/>
    <w:rsid w:val="752129D4"/>
    <w:rsid w:val="752A6815"/>
    <w:rsid w:val="752B5127"/>
    <w:rsid w:val="752C6AB2"/>
    <w:rsid w:val="7530273D"/>
    <w:rsid w:val="75322959"/>
    <w:rsid w:val="7534397E"/>
    <w:rsid w:val="753540AD"/>
    <w:rsid w:val="75355AB1"/>
    <w:rsid w:val="753A35BC"/>
    <w:rsid w:val="753C7334"/>
    <w:rsid w:val="753D30AC"/>
    <w:rsid w:val="7540442C"/>
    <w:rsid w:val="75492994"/>
    <w:rsid w:val="75494AE8"/>
    <w:rsid w:val="754D7793"/>
    <w:rsid w:val="75664928"/>
    <w:rsid w:val="756A2C6E"/>
    <w:rsid w:val="756C5695"/>
    <w:rsid w:val="75720FA8"/>
    <w:rsid w:val="75735A2A"/>
    <w:rsid w:val="75774810"/>
    <w:rsid w:val="757C3BD5"/>
    <w:rsid w:val="75805AAF"/>
    <w:rsid w:val="75826D11"/>
    <w:rsid w:val="75836B45"/>
    <w:rsid w:val="75845947"/>
    <w:rsid w:val="75850468"/>
    <w:rsid w:val="75866BE9"/>
    <w:rsid w:val="758E5037"/>
    <w:rsid w:val="75934F9C"/>
    <w:rsid w:val="759B6003"/>
    <w:rsid w:val="759C32BC"/>
    <w:rsid w:val="75A04F3B"/>
    <w:rsid w:val="75A26BC4"/>
    <w:rsid w:val="75AE59C7"/>
    <w:rsid w:val="75B61842"/>
    <w:rsid w:val="75BC78AF"/>
    <w:rsid w:val="75BF3AC1"/>
    <w:rsid w:val="75C604F3"/>
    <w:rsid w:val="75C97681"/>
    <w:rsid w:val="75CB7BF0"/>
    <w:rsid w:val="75D22390"/>
    <w:rsid w:val="75D43A11"/>
    <w:rsid w:val="75D62BEE"/>
    <w:rsid w:val="75D74EF8"/>
    <w:rsid w:val="75DA132A"/>
    <w:rsid w:val="75DF0C59"/>
    <w:rsid w:val="75E20E90"/>
    <w:rsid w:val="75E27AE1"/>
    <w:rsid w:val="75FE283B"/>
    <w:rsid w:val="76066358"/>
    <w:rsid w:val="760719A1"/>
    <w:rsid w:val="760A52CC"/>
    <w:rsid w:val="760C4ED0"/>
    <w:rsid w:val="760D3186"/>
    <w:rsid w:val="761738FD"/>
    <w:rsid w:val="7621477C"/>
    <w:rsid w:val="76261C26"/>
    <w:rsid w:val="76261D92"/>
    <w:rsid w:val="762F2954"/>
    <w:rsid w:val="76342701"/>
    <w:rsid w:val="76384F46"/>
    <w:rsid w:val="76397D18"/>
    <w:rsid w:val="7646764A"/>
    <w:rsid w:val="764D5571"/>
    <w:rsid w:val="764E1B03"/>
    <w:rsid w:val="764E3BDA"/>
    <w:rsid w:val="765661D4"/>
    <w:rsid w:val="76572242"/>
    <w:rsid w:val="765E152C"/>
    <w:rsid w:val="766703E1"/>
    <w:rsid w:val="76780840"/>
    <w:rsid w:val="767C19B2"/>
    <w:rsid w:val="767E66C8"/>
    <w:rsid w:val="7683069C"/>
    <w:rsid w:val="76891A32"/>
    <w:rsid w:val="76A27DD7"/>
    <w:rsid w:val="76AD15F9"/>
    <w:rsid w:val="76B66D4E"/>
    <w:rsid w:val="76BE4F30"/>
    <w:rsid w:val="76C70E7F"/>
    <w:rsid w:val="76CD451D"/>
    <w:rsid w:val="76D22E2E"/>
    <w:rsid w:val="76DA32A9"/>
    <w:rsid w:val="76DF08BF"/>
    <w:rsid w:val="76EE2591"/>
    <w:rsid w:val="76EF7D2C"/>
    <w:rsid w:val="76F0798D"/>
    <w:rsid w:val="76F53C3E"/>
    <w:rsid w:val="76F87DDA"/>
    <w:rsid w:val="76F93003"/>
    <w:rsid w:val="76F96011"/>
    <w:rsid w:val="770318FD"/>
    <w:rsid w:val="7711659E"/>
    <w:rsid w:val="77146E97"/>
    <w:rsid w:val="771766AF"/>
    <w:rsid w:val="771D558A"/>
    <w:rsid w:val="7726029C"/>
    <w:rsid w:val="772A140E"/>
    <w:rsid w:val="773E26D2"/>
    <w:rsid w:val="77403575"/>
    <w:rsid w:val="774808B4"/>
    <w:rsid w:val="7748368E"/>
    <w:rsid w:val="774F6700"/>
    <w:rsid w:val="77533F2B"/>
    <w:rsid w:val="77543014"/>
    <w:rsid w:val="775517FF"/>
    <w:rsid w:val="776C6C6C"/>
    <w:rsid w:val="777860D8"/>
    <w:rsid w:val="7781501F"/>
    <w:rsid w:val="7792252C"/>
    <w:rsid w:val="77991C3E"/>
    <w:rsid w:val="779A6594"/>
    <w:rsid w:val="77A83CB3"/>
    <w:rsid w:val="77AE7402"/>
    <w:rsid w:val="77B238DE"/>
    <w:rsid w:val="77B533CE"/>
    <w:rsid w:val="77B70EF4"/>
    <w:rsid w:val="77BF5BB1"/>
    <w:rsid w:val="77C33D3D"/>
    <w:rsid w:val="77C56C4E"/>
    <w:rsid w:val="77C87BF6"/>
    <w:rsid w:val="77C96E79"/>
    <w:rsid w:val="77E837A3"/>
    <w:rsid w:val="77F26063"/>
    <w:rsid w:val="77F51A1C"/>
    <w:rsid w:val="780B4A40"/>
    <w:rsid w:val="781223C7"/>
    <w:rsid w:val="781B72AA"/>
    <w:rsid w:val="781C67C3"/>
    <w:rsid w:val="78236589"/>
    <w:rsid w:val="783C2021"/>
    <w:rsid w:val="783E2581"/>
    <w:rsid w:val="783F079D"/>
    <w:rsid w:val="7847671C"/>
    <w:rsid w:val="78533C42"/>
    <w:rsid w:val="78595654"/>
    <w:rsid w:val="785F235F"/>
    <w:rsid w:val="78623A97"/>
    <w:rsid w:val="786A679E"/>
    <w:rsid w:val="7871463B"/>
    <w:rsid w:val="787E207D"/>
    <w:rsid w:val="787E7C64"/>
    <w:rsid w:val="78827754"/>
    <w:rsid w:val="78841D97"/>
    <w:rsid w:val="78872FBC"/>
    <w:rsid w:val="78900078"/>
    <w:rsid w:val="78A56AB5"/>
    <w:rsid w:val="78B35B5F"/>
    <w:rsid w:val="78B813C8"/>
    <w:rsid w:val="78BE4B53"/>
    <w:rsid w:val="78C620B9"/>
    <w:rsid w:val="78C966FA"/>
    <w:rsid w:val="78CB1B99"/>
    <w:rsid w:val="78CE2454"/>
    <w:rsid w:val="78D83818"/>
    <w:rsid w:val="78DC5A8E"/>
    <w:rsid w:val="78DD498A"/>
    <w:rsid w:val="78E8332F"/>
    <w:rsid w:val="78E91F32"/>
    <w:rsid w:val="78F12B57"/>
    <w:rsid w:val="78F66947"/>
    <w:rsid w:val="790463BB"/>
    <w:rsid w:val="79093888"/>
    <w:rsid w:val="790A315A"/>
    <w:rsid w:val="790D6D3D"/>
    <w:rsid w:val="790E7239"/>
    <w:rsid w:val="791648AD"/>
    <w:rsid w:val="79196BEE"/>
    <w:rsid w:val="791F1D70"/>
    <w:rsid w:val="79217712"/>
    <w:rsid w:val="79311193"/>
    <w:rsid w:val="79360258"/>
    <w:rsid w:val="7937681E"/>
    <w:rsid w:val="793F5645"/>
    <w:rsid w:val="794331C4"/>
    <w:rsid w:val="79440AEE"/>
    <w:rsid w:val="794A1A4C"/>
    <w:rsid w:val="795135CA"/>
    <w:rsid w:val="796C31B8"/>
    <w:rsid w:val="796C5D0E"/>
    <w:rsid w:val="797855A3"/>
    <w:rsid w:val="79786DA9"/>
    <w:rsid w:val="797967FE"/>
    <w:rsid w:val="797F1EE5"/>
    <w:rsid w:val="79872276"/>
    <w:rsid w:val="79890FF4"/>
    <w:rsid w:val="7989257D"/>
    <w:rsid w:val="79907C4E"/>
    <w:rsid w:val="79922D97"/>
    <w:rsid w:val="79927E6B"/>
    <w:rsid w:val="799A6D1F"/>
    <w:rsid w:val="79A123DE"/>
    <w:rsid w:val="79A454A8"/>
    <w:rsid w:val="79AA26DF"/>
    <w:rsid w:val="79B70EF8"/>
    <w:rsid w:val="79C15542"/>
    <w:rsid w:val="79C75326"/>
    <w:rsid w:val="79D83DD5"/>
    <w:rsid w:val="79EB497D"/>
    <w:rsid w:val="79F6754E"/>
    <w:rsid w:val="79FB0261"/>
    <w:rsid w:val="79FB2DAF"/>
    <w:rsid w:val="7A087BDF"/>
    <w:rsid w:val="7A0B5527"/>
    <w:rsid w:val="7A0C565C"/>
    <w:rsid w:val="7A1C2352"/>
    <w:rsid w:val="7A1C61A9"/>
    <w:rsid w:val="7A1E7A96"/>
    <w:rsid w:val="7A2B7977"/>
    <w:rsid w:val="7A41719B"/>
    <w:rsid w:val="7A456C8B"/>
    <w:rsid w:val="7A484CAA"/>
    <w:rsid w:val="7A4A24F3"/>
    <w:rsid w:val="7A5001CD"/>
    <w:rsid w:val="7A5173D7"/>
    <w:rsid w:val="7A5E7D4D"/>
    <w:rsid w:val="7A5F3524"/>
    <w:rsid w:val="7A62317A"/>
    <w:rsid w:val="7A6510DB"/>
    <w:rsid w:val="7A6D1D3E"/>
    <w:rsid w:val="7A7A0605"/>
    <w:rsid w:val="7A813A3B"/>
    <w:rsid w:val="7A817172"/>
    <w:rsid w:val="7A864E23"/>
    <w:rsid w:val="7A885FEA"/>
    <w:rsid w:val="7A890F22"/>
    <w:rsid w:val="7A8A6D94"/>
    <w:rsid w:val="7A916DEC"/>
    <w:rsid w:val="7A94551C"/>
    <w:rsid w:val="7A955A03"/>
    <w:rsid w:val="7A9F2CF5"/>
    <w:rsid w:val="7AA23342"/>
    <w:rsid w:val="7AA53BCD"/>
    <w:rsid w:val="7AA60701"/>
    <w:rsid w:val="7AAC0AB8"/>
    <w:rsid w:val="7AAE5C60"/>
    <w:rsid w:val="7ABE4C8F"/>
    <w:rsid w:val="7AC0465B"/>
    <w:rsid w:val="7AC21415"/>
    <w:rsid w:val="7AC322A6"/>
    <w:rsid w:val="7AC926EB"/>
    <w:rsid w:val="7ACA7E7D"/>
    <w:rsid w:val="7ACD6C80"/>
    <w:rsid w:val="7ACE2AB8"/>
    <w:rsid w:val="7AD128A9"/>
    <w:rsid w:val="7AD2187C"/>
    <w:rsid w:val="7ADC456B"/>
    <w:rsid w:val="7AE45DA6"/>
    <w:rsid w:val="7AE621E7"/>
    <w:rsid w:val="7AEA0DF1"/>
    <w:rsid w:val="7AEF309B"/>
    <w:rsid w:val="7AF542EE"/>
    <w:rsid w:val="7AF67F85"/>
    <w:rsid w:val="7AF95CC7"/>
    <w:rsid w:val="7B0546E5"/>
    <w:rsid w:val="7B05488D"/>
    <w:rsid w:val="7B095F0A"/>
    <w:rsid w:val="7B0A06CB"/>
    <w:rsid w:val="7B0D17BE"/>
    <w:rsid w:val="7B14665D"/>
    <w:rsid w:val="7B18614D"/>
    <w:rsid w:val="7B1F0B72"/>
    <w:rsid w:val="7B284E41"/>
    <w:rsid w:val="7B354232"/>
    <w:rsid w:val="7B3C7864"/>
    <w:rsid w:val="7B430CF1"/>
    <w:rsid w:val="7B4754DF"/>
    <w:rsid w:val="7B4E3BEA"/>
    <w:rsid w:val="7B532E03"/>
    <w:rsid w:val="7B55446E"/>
    <w:rsid w:val="7B5B603A"/>
    <w:rsid w:val="7B626231"/>
    <w:rsid w:val="7B647318"/>
    <w:rsid w:val="7B656EB9"/>
    <w:rsid w:val="7B6A54D9"/>
    <w:rsid w:val="7B6F568B"/>
    <w:rsid w:val="7B813614"/>
    <w:rsid w:val="7B8639A2"/>
    <w:rsid w:val="7B8706E0"/>
    <w:rsid w:val="7B8E4662"/>
    <w:rsid w:val="7B931C78"/>
    <w:rsid w:val="7B98728E"/>
    <w:rsid w:val="7B9E4FF6"/>
    <w:rsid w:val="7BA07EF1"/>
    <w:rsid w:val="7BA806C1"/>
    <w:rsid w:val="7BAA2A01"/>
    <w:rsid w:val="7BAD0F8C"/>
    <w:rsid w:val="7BB51BEE"/>
    <w:rsid w:val="7BB526B3"/>
    <w:rsid w:val="7BB75847"/>
    <w:rsid w:val="7BB75966"/>
    <w:rsid w:val="7BB857F2"/>
    <w:rsid w:val="7BC912FA"/>
    <w:rsid w:val="7BD10038"/>
    <w:rsid w:val="7BD302C6"/>
    <w:rsid w:val="7BD71211"/>
    <w:rsid w:val="7BE06574"/>
    <w:rsid w:val="7BE50268"/>
    <w:rsid w:val="7BF07FCB"/>
    <w:rsid w:val="7BF92D4E"/>
    <w:rsid w:val="7BFF730D"/>
    <w:rsid w:val="7C01327F"/>
    <w:rsid w:val="7C014FB3"/>
    <w:rsid w:val="7C0244F2"/>
    <w:rsid w:val="7C181EB2"/>
    <w:rsid w:val="7C1E5D9C"/>
    <w:rsid w:val="7C262AEC"/>
    <w:rsid w:val="7C28731D"/>
    <w:rsid w:val="7C2C5002"/>
    <w:rsid w:val="7C304F8E"/>
    <w:rsid w:val="7C336FB7"/>
    <w:rsid w:val="7C365213"/>
    <w:rsid w:val="7C39281F"/>
    <w:rsid w:val="7C4371FA"/>
    <w:rsid w:val="7C4C370C"/>
    <w:rsid w:val="7C4F089D"/>
    <w:rsid w:val="7C5238E1"/>
    <w:rsid w:val="7C556F2D"/>
    <w:rsid w:val="7C5B73F9"/>
    <w:rsid w:val="7C5D7BDC"/>
    <w:rsid w:val="7C5D7E4F"/>
    <w:rsid w:val="7C605B0C"/>
    <w:rsid w:val="7C630C65"/>
    <w:rsid w:val="7C705B15"/>
    <w:rsid w:val="7C725D31"/>
    <w:rsid w:val="7C740D99"/>
    <w:rsid w:val="7C760599"/>
    <w:rsid w:val="7C766979"/>
    <w:rsid w:val="7C7C5114"/>
    <w:rsid w:val="7C835849"/>
    <w:rsid w:val="7C86578E"/>
    <w:rsid w:val="7C935AB5"/>
    <w:rsid w:val="7CA736C7"/>
    <w:rsid w:val="7CA87E11"/>
    <w:rsid w:val="7CAB5483"/>
    <w:rsid w:val="7CB4634A"/>
    <w:rsid w:val="7CC62D8B"/>
    <w:rsid w:val="7CC7607D"/>
    <w:rsid w:val="7CC852EA"/>
    <w:rsid w:val="7CCA4662"/>
    <w:rsid w:val="7CCF762A"/>
    <w:rsid w:val="7CDD2818"/>
    <w:rsid w:val="7CE04A49"/>
    <w:rsid w:val="7CF60710"/>
    <w:rsid w:val="7D00333D"/>
    <w:rsid w:val="7D040449"/>
    <w:rsid w:val="7D0A5491"/>
    <w:rsid w:val="7D140B97"/>
    <w:rsid w:val="7D1D2D01"/>
    <w:rsid w:val="7D231188"/>
    <w:rsid w:val="7D357EBC"/>
    <w:rsid w:val="7D3E47D3"/>
    <w:rsid w:val="7D435848"/>
    <w:rsid w:val="7D582BD3"/>
    <w:rsid w:val="7D633A67"/>
    <w:rsid w:val="7D6F29AF"/>
    <w:rsid w:val="7D705CBB"/>
    <w:rsid w:val="7D7E3B4B"/>
    <w:rsid w:val="7D8103DB"/>
    <w:rsid w:val="7D817656"/>
    <w:rsid w:val="7D845D1C"/>
    <w:rsid w:val="7D8862B7"/>
    <w:rsid w:val="7D8C71F3"/>
    <w:rsid w:val="7D935E67"/>
    <w:rsid w:val="7D99109C"/>
    <w:rsid w:val="7D9B184A"/>
    <w:rsid w:val="7D9F519D"/>
    <w:rsid w:val="7DA3023D"/>
    <w:rsid w:val="7DA43CC8"/>
    <w:rsid w:val="7DAE0FEB"/>
    <w:rsid w:val="7DAF05D6"/>
    <w:rsid w:val="7DB61C4E"/>
    <w:rsid w:val="7DB71C83"/>
    <w:rsid w:val="7DB84577"/>
    <w:rsid w:val="7DBF5565"/>
    <w:rsid w:val="7DC9372F"/>
    <w:rsid w:val="7DD303DA"/>
    <w:rsid w:val="7DD9273F"/>
    <w:rsid w:val="7DE20C95"/>
    <w:rsid w:val="7DE40F78"/>
    <w:rsid w:val="7DE55565"/>
    <w:rsid w:val="7DE871B4"/>
    <w:rsid w:val="7DEA0341"/>
    <w:rsid w:val="7DEB37E9"/>
    <w:rsid w:val="7DF10ED8"/>
    <w:rsid w:val="7DF64DA9"/>
    <w:rsid w:val="7DF82266"/>
    <w:rsid w:val="7E0751A3"/>
    <w:rsid w:val="7E1150FD"/>
    <w:rsid w:val="7E197282"/>
    <w:rsid w:val="7E1A5C35"/>
    <w:rsid w:val="7E1D3A7B"/>
    <w:rsid w:val="7E2766A8"/>
    <w:rsid w:val="7E297621"/>
    <w:rsid w:val="7E2C4707"/>
    <w:rsid w:val="7E35325C"/>
    <w:rsid w:val="7E393919"/>
    <w:rsid w:val="7E395B7B"/>
    <w:rsid w:val="7E397153"/>
    <w:rsid w:val="7E4A6504"/>
    <w:rsid w:val="7E4D4360"/>
    <w:rsid w:val="7E4E1E86"/>
    <w:rsid w:val="7E536360"/>
    <w:rsid w:val="7E663B60"/>
    <w:rsid w:val="7E6E2528"/>
    <w:rsid w:val="7E786F03"/>
    <w:rsid w:val="7E7E09BD"/>
    <w:rsid w:val="7E845D81"/>
    <w:rsid w:val="7E8813E9"/>
    <w:rsid w:val="7E9E696A"/>
    <w:rsid w:val="7EA96C28"/>
    <w:rsid w:val="7EB97C47"/>
    <w:rsid w:val="7EBF64A4"/>
    <w:rsid w:val="7EC02D84"/>
    <w:rsid w:val="7EC27667"/>
    <w:rsid w:val="7EC62364"/>
    <w:rsid w:val="7ECB606F"/>
    <w:rsid w:val="7ED97EFB"/>
    <w:rsid w:val="7EE328E6"/>
    <w:rsid w:val="7EEC6DDC"/>
    <w:rsid w:val="7EF22037"/>
    <w:rsid w:val="7EF649F8"/>
    <w:rsid w:val="7EF71012"/>
    <w:rsid w:val="7EF77AD5"/>
    <w:rsid w:val="7F0C5FC9"/>
    <w:rsid w:val="7F0D1E11"/>
    <w:rsid w:val="7F1050B8"/>
    <w:rsid w:val="7F1175B5"/>
    <w:rsid w:val="7F121106"/>
    <w:rsid w:val="7F160BF6"/>
    <w:rsid w:val="7F166E48"/>
    <w:rsid w:val="7F1B445E"/>
    <w:rsid w:val="7F261F6C"/>
    <w:rsid w:val="7F2D6C85"/>
    <w:rsid w:val="7F2F74D9"/>
    <w:rsid w:val="7F4B329E"/>
    <w:rsid w:val="7F4B424A"/>
    <w:rsid w:val="7F4D213E"/>
    <w:rsid w:val="7F5867C0"/>
    <w:rsid w:val="7F5A2F41"/>
    <w:rsid w:val="7F664E9D"/>
    <w:rsid w:val="7F691204"/>
    <w:rsid w:val="7F6A59D1"/>
    <w:rsid w:val="7F737DF6"/>
    <w:rsid w:val="7F7A3700"/>
    <w:rsid w:val="7F8042C1"/>
    <w:rsid w:val="7F9014F2"/>
    <w:rsid w:val="7F9020BE"/>
    <w:rsid w:val="7F911291"/>
    <w:rsid w:val="7F945FBF"/>
    <w:rsid w:val="7F963AE5"/>
    <w:rsid w:val="7FB623D9"/>
    <w:rsid w:val="7FC33FFE"/>
    <w:rsid w:val="7FC625E9"/>
    <w:rsid w:val="7FCE57F4"/>
    <w:rsid w:val="7FCE7723"/>
    <w:rsid w:val="7FD5285F"/>
    <w:rsid w:val="7FD64829"/>
    <w:rsid w:val="7FDA25A9"/>
    <w:rsid w:val="7FDE0B57"/>
    <w:rsid w:val="7FE02050"/>
    <w:rsid w:val="7FE2578F"/>
    <w:rsid w:val="7FE52A52"/>
    <w:rsid w:val="7FEB2083"/>
    <w:rsid w:val="7FF13411"/>
    <w:rsid w:val="7FF408E5"/>
    <w:rsid w:val="7FF60A27"/>
    <w:rsid w:val="7FF627D5"/>
    <w:rsid w:val="7FF672E6"/>
    <w:rsid w:val="7FFF5F4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6">
    <w:name w:val="heading 2"/>
    <w:basedOn w:val="1"/>
    <w:next w:val="1"/>
    <w:qFormat/>
    <w:uiPriority w:val="0"/>
    <w:pPr>
      <w:keepNext/>
      <w:keepLines/>
      <w:adjustRightInd w:val="0"/>
      <w:snapToGrid w:val="0"/>
      <w:spacing w:before="156" w:beforeLines="0" w:beforeAutospacing="0" w:line="360" w:lineRule="auto"/>
      <w:outlineLvl w:val="1"/>
    </w:pPr>
    <w:rPr>
      <w:rFonts w:ascii="Times New Roman" w:hAnsi="Times New Roman"/>
      <w:b/>
      <w:sz w:val="24"/>
    </w:rPr>
  </w:style>
  <w:style w:type="paragraph" w:styleId="7">
    <w:name w:val="heading 3"/>
    <w:basedOn w:val="1"/>
    <w:next w:val="1"/>
    <w:qFormat/>
    <w:uiPriority w:val="0"/>
    <w:pPr>
      <w:keepNext/>
      <w:keepLines/>
      <w:spacing w:line="360" w:lineRule="auto"/>
      <w:ind w:left="852"/>
      <w:outlineLvl w:val="2"/>
    </w:pPr>
    <w:rPr>
      <w:rFonts w:ascii="Times New Roman" w:hAnsi="Times New Roman" w:eastAsia="黑体"/>
      <w:b/>
      <w:kern w:val="0"/>
      <w:sz w:val="24"/>
      <w:szCs w:val="24"/>
    </w:rPr>
  </w:style>
  <w:style w:type="paragraph" w:styleId="8">
    <w:name w:val="heading 4"/>
    <w:basedOn w:val="1"/>
    <w:next w:val="1"/>
    <w:qFormat/>
    <w:uiPriority w:val="0"/>
    <w:pPr>
      <w:keepNext/>
      <w:keepLines/>
      <w:spacing w:beforeLines="0" w:beforeAutospacing="0" w:afterLines="0" w:afterAutospacing="0" w:line="360" w:lineRule="auto"/>
      <w:ind w:firstLine="0" w:firstLineChars="0"/>
      <w:outlineLvl w:val="3"/>
    </w:pPr>
    <w:rPr>
      <w:rFonts w:ascii="Times New Roman" w:hAnsi="Times New Roman" w:eastAsia="宋体"/>
      <w:b/>
      <w:sz w:val="24"/>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widowControl w:val="0"/>
      <w:ind w:firstLine="420" w:firstLineChars="200"/>
      <w:jc w:val="both"/>
    </w:pPr>
    <w:rPr>
      <w:kern w:val="2"/>
      <w:sz w:val="21"/>
    </w:rPr>
  </w:style>
  <w:style w:type="paragraph" w:styleId="3">
    <w:name w:val="Body Text First Indent"/>
    <w:basedOn w:val="4"/>
    <w:next w:val="1"/>
    <w:qFormat/>
    <w:uiPriority w:val="0"/>
    <w:pPr>
      <w:ind w:firstLine="420" w:firstLineChars="100"/>
    </w:pPr>
    <w:rPr>
      <w:sz w:val="24"/>
    </w:rPr>
  </w:style>
  <w:style w:type="paragraph" w:styleId="4">
    <w:name w:val="Body Text"/>
    <w:basedOn w:val="1"/>
    <w:next w:val="1"/>
    <w:qFormat/>
    <w:uiPriority w:val="0"/>
    <w:pPr>
      <w:spacing w:after="120"/>
    </w:pPr>
  </w:style>
  <w:style w:type="paragraph" w:styleId="9">
    <w:name w:val="Normal Indent"/>
    <w:basedOn w:val="1"/>
    <w:next w:val="1"/>
    <w:qFormat/>
    <w:uiPriority w:val="0"/>
    <w:pPr>
      <w:ind w:firstLine="420" w:firstLineChars="200"/>
    </w:pPr>
  </w:style>
  <w:style w:type="paragraph" w:styleId="10">
    <w:name w:val="caption"/>
    <w:basedOn w:val="1"/>
    <w:next w:val="1"/>
    <w:qFormat/>
    <w:uiPriority w:val="0"/>
    <w:rPr>
      <w:rFonts w:ascii="Arial" w:hAnsi="Arial" w:eastAsia="黑体" w:cs="Arial"/>
      <w:sz w:val="20"/>
      <w:szCs w:val="20"/>
    </w:rPr>
  </w:style>
  <w:style w:type="paragraph" w:styleId="11">
    <w:name w:val="toa heading"/>
    <w:basedOn w:val="1"/>
    <w:next w:val="1"/>
    <w:unhideWhenUsed/>
    <w:qFormat/>
    <w:uiPriority w:val="99"/>
    <w:pPr>
      <w:spacing w:before="120"/>
    </w:pPr>
    <w:rPr>
      <w:rFonts w:ascii="Cambria" w:hAnsi="Cambria" w:eastAsia="宋体" w:cs="Times New Roman"/>
      <w:sz w:val="24"/>
    </w:rPr>
  </w:style>
  <w:style w:type="paragraph" w:styleId="12">
    <w:name w:val="annotation text"/>
    <w:basedOn w:val="1"/>
    <w:qFormat/>
    <w:uiPriority w:val="0"/>
    <w:pPr>
      <w:jc w:val="left"/>
    </w:pPr>
  </w:style>
  <w:style w:type="paragraph" w:styleId="13">
    <w:name w:val="Salutation"/>
    <w:basedOn w:val="1"/>
    <w:next w:val="1"/>
    <w:qFormat/>
    <w:uiPriority w:val="0"/>
  </w:style>
  <w:style w:type="paragraph" w:styleId="14">
    <w:name w:val="Body Text Indent"/>
    <w:basedOn w:val="1"/>
    <w:next w:val="15"/>
    <w:qFormat/>
    <w:uiPriority w:val="0"/>
    <w:pPr>
      <w:widowControl/>
      <w:spacing w:after="120"/>
      <w:ind w:left="420" w:leftChars="200"/>
      <w:jc w:val="left"/>
    </w:pPr>
    <w:rPr>
      <w:kern w:val="0"/>
      <w:sz w:val="24"/>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index heading"/>
    <w:basedOn w:val="1"/>
    <w:next w:val="17"/>
    <w:qFormat/>
    <w:uiPriority w:val="0"/>
    <w:rPr>
      <w:rFonts w:ascii="Arial" w:hAnsi="Arial"/>
      <w:b/>
    </w:rPr>
  </w:style>
  <w:style w:type="paragraph" w:styleId="17">
    <w:name w:val="index 1"/>
    <w:basedOn w:val="1"/>
    <w:next w:val="1"/>
    <w:semiHidden/>
    <w:qFormat/>
    <w:uiPriority w:val="0"/>
    <w:pPr>
      <w:adjustRightInd w:val="0"/>
      <w:snapToGrid w:val="0"/>
      <w:ind w:firstLine="823" w:firstLineChars="358"/>
      <w:jc w:val="left"/>
    </w:pPr>
    <w:rPr>
      <w:rFonts w:ascii="宋体" w:hAnsi="宋体"/>
      <w:spacing w:val="10"/>
    </w:rPr>
  </w:style>
  <w:style w:type="paragraph" w:styleId="18">
    <w:name w:val="Block Text"/>
    <w:basedOn w:val="1"/>
    <w:qFormat/>
    <w:uiPriority w:val="0"/>
    <w:pPr>
      <w:spacing w:after="120"/>
      <w:ind w:left="1440" w:leftChars="700" w:right="1440" w:rightChars="700"/>
    </w:pPr>
  </w:style>
  <w:style w:type="paragraph" w:styleId="19">
    <w:name w:val="Plain Text"/>
    <w:basedOn w:val="1"/>
    <w:next w:val="1"/>
    <w:qFormat/>
    <w:uiPriority w:val="0"/>
    <w:rPr>
      <w:rFonts w:ascii="宋体" w:hAnsi="Courier New"/>
    </w:rPr>
  </w:style>
  <w:style w:type="paragraph" w:styleId="20">
    <w:name w:val="Date"/>
    <w:basedOn w:val="1"/>
    <w:next w:val="1"/>
    <w:qFormat/>
    <w:uiPriority w:val="0"/>
    <w:rPr>
      <w:sz w:val="24"/>
      <w:szCs w:val="20"/>
    </w:rPr>
  </w:style>
  <w:style w:type="paragraph" w:styleId="21">
    <w:name w:val="Body Text Indent 2"/>
    <w:basedOn w:val="1"/>
    <w:qFormat/>
    <w:uiPriority w:val="0"/>
    <w:pPr>
      <w:spacing w:after="120" w:afterLines="0" w:line="480" w:lineRule="auto"/>
      <w:ind w:leftChars="200"/>
    </w:pPr>
    <w:rPr>
      <w:sz w:val="24"/>
    </w:rPr>
  </w:style>
  <w:style w:type="paragraph" w:styleId="22">
    <w:name w:val="footer"/>
    <w:basedOn w:val="1"/>
    <w:qFormat/>
    <w:uiPriority w:val="99"/>
    <w:pPr>
      <w:tabs>
        <w:tab w:val="center" w:pos="4153"/>
        <w:tab w:val="right" w:pos="8306"/>
      </w:tabs>
      <w:snapToGrid w:val="0"/>
      <w:jc w:val="left"/>
    </w:pPr>
    <w:rPr>
      <w:kern w:val="0"/>
      <w:sz w:val="18"/>
      <w:szCs w:val="20"/>
    </w:rPr>
  </w:style>
  <w:style w:type="paragraph" w:styleId="23">
    <w:name w:val="toc 1"/>
    <w:basedOn w:val="1"/>
    <w:next w:val="1"/>
    <w:qFormat/>
    <w:uiPriority w:val="0"/>
  </w:style>
  <w:style w:type="paragraph" w:styleId="24">
    <w:name w:val="Body Text Indent 3"/>
    <w:basedOn w:val="1"/>
    <w:qFormat/>
    <w:uiPriority w:val="0"/>
    <w:pPr>
      <w:spacing w:after="120" w:afterLines="0"/>
      <w:ind w:left="420" w:leftChars="200"/>
    </w:pPr>
    <w:rPr>
      <w:sz w:val="16"/>
      <w:szCs w:val="16"/>
    </w:rPr>
  </w:style>
  <w:style w:type="paragraph" w:styleId="25">
    <w:name w:val="Body Text 2"/>
    <w:basedOn w:val="1"/>
    <w:qFormat/>
    <w:uiPriority w:val="0"/>
    <w:pPr>
      <w:spacing w:after="120" w:line="480" w:lineRule="auto"/>
    </w:p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555555"/>
      <w:u w:val="none"/>
    </w:rPr>
  </w:style>
  <w:style w:type="character" w:styleId="33">
    <w:name w:val="Emphasis"/>
    <w:qFormat/>
    <w:uiPriority w:val="20"/>
  </w:style>
  <w:style w:type="character" w:styleId="34">
    <w:name w:val="HTML Definition"/>
    <w:basedOn w:val="29"/>
    <w:qFormat/>
    <w:uiPriority w:val="0"/>
  </w:style>
  <w:style w:type="character" w:styleId="35">
    <w:name w:val="HTML Variable"/>
    <w:basedOn w:val="29"/>
    <w:qFormat/>
    <w:uiPriority w:val="0"/>
  </w:style>
  <w:style w:type="character" w:styleId="36">
    <w:name w:val="Hyperlink"/>
    <w:basedOn w:val="29"/>
    <w:qFormat/>
    <w:uiPriority w:val="0"/>
    <w:rPr>
      <w:color w:val="000000"/>
      <w:u w:val="none"/>
    </w:rPr>
  </w:style>
  <w:style w:type="character" w:styleId="37">
    <w:name w:val="HTML Code"/>
    <w:basedOn w:val="29"/>
    <w:qFormat/>
    <w:uiPriority w:val="0"/>
    <w:rPr>
      <w:rFonts w:ascii="Courier New" w:hAnsi="Courier New"/>
      <w:sz w:val="20"/>
    </w:rPr>
  </w:style>
  <w:style w:type="character" w:styleId="38">
    <w:name w:val="annotation reference"/>
    <w:basedOn w:val="29"/>
    <w:qFormat/>
    <w:uiPriority w:val="0"/>
    <w:rPr>
      <w:sz w:val="21"/>
    </w:rPr>
  </w:style>
  <w:style w:type="character" w:styleId="39">
    <w:name w:val="HTML Cite"/>
    <w:basedOn w:val="29"/>
    <w:qFormat/>
    <w:uiPriority w:val="0"/>
  </w:style>
  <w:style w:type="paragraph" w:customStyle="1" w:styleId="40">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41">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样式 标题 1 + 四号 段前: 0 磅 段后: 0 磅 行距: 1.5 倍行距"/>
    <w:basedOn w:val="44"/>
    <w:next w:val="45"/>
    <w:qFormat/>
    <w:uiPriority w:val="0"/>
    <w:pPr>
      <w:spacing w:line="360" w:lineRule="auto"/>
      <w:jc w:val="center"/>
    </w:pPr>
  </w:style>
  <w:style w:type="paragraph" w:customStyle="1" w:styleId="44">
    <w:name w:val="1正文"/>
    <w:basedOn w:val="1"/>
    <w:qFormat/>
    <w:uiPriority w:val="0"/>
    <w:pPr>
      <w:spacing w:line="500" w:lineRule="exact"/>
      <w:ind w:firstLine="588" w:firstLineChars="196"/>
    </w:pPr>
    <w:rPr>
      <w:rFonts w:eastAsia="楷体_GB2312"/>
      <w:sz w:val="30"/>
      <w:szCs w:val="30"/>
    </w:rPr>
  </w:style>
  <w:style w:type="paragraph" w:customStyle="1" w:styleId="45">
    <w:name w:val="文本正文"/>
    <w:basedOn w:val="1"/>
    <w:qFormat/>
    <w:uiPriority w:val="0"/>
    <w:pPr>
      <w:snapToGrid w:val="0"/>
      <w:spacing w:line="360" w:lineRule="auto"/>
      <w:ind w:firstLine="510"/>
      <w:jc w:val="left"/>
    </w:pPr>
    <w:rPr>
      <w:spacing w:val="4"/>
      <w:kern w:val="24"/>
      <w:szCs w:val="24"/>
      <w:lang w:val="zh-CN"/>
    </w:rPr>
  </w:style>
  <w:style w:type="paragraph" w:customStyle="1" w:styleId="46">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47">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8">
    <w:name w:val="表格"/>
    <w:basedOn w:val="9"/>
    <w:next w:val="9"/>
    <w:qFormat/>
    <w:uiPriority w:val="0"/>
    <w:pPr>
      <w:adjustRightInd w:val="0"/>
      <w:snapToGrid w:val="0"/>
      <w:spacing w:beforeLines="10" w:afterLines="10" w:line="259" w:lineRule="auto"/>
      <w:jc w:val="center"/>
    </w:pPr>
    <w:rPr>
      <w:rFonts w:ascii="宋体"/>
      <w:kern w:val="0"/>
      <w:szCs w:val="20"/>
    </w:rPr>
  </w:style>
  <w:style w:type="paragraph" w:customStyle="1" w:styleId="49">
    <w:name w:val="图标题"/>
    <w:basedOn w:val="1"/>
    <w:qFormat/>
    <w:uiPriority w:val="0"/>
    <w:pPr>
      <w:tabs>
        <w:tab w:val="left" w:pos="1035"/>
      </w:tabs>
      <w:spacing w:afterLines="100"/>
      <w:jc w:val="center"/>
    </w:pPr>
    <w:rPr>
      <w:sz w:val="24"/>
    </w:rPr>
  </w:style>
  <w:style w:type="paragraph" w:customStyle="1" w:styleId="50">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51">
    <w:name w:val="p17"/>
    <w:basedOn w:val="1"/>
    <w:qFormat/>
    <w:uiPriority w:val="0"/>
    <w:pPr>
      <w:widowControl/>
      <w:spacing w:after="120" w:afterLines="0"/>
    </w:pPr>
    <w:rPr>
      <w:kern w:val="0"/>
      <w:sz w:val="30"/>
      <w:szCs w:val="30"/>
    </w:rPr>
  </w:style>
  <w:style w:type="paragraph" w:customStyle="1" w:styleId="52">
    <w:name w:val="文本内容"/>
    <w:basedOn w:val="1"/>
    <w:qFormat/>
    <w:uiPriority w:val="0"/>
    <w:pPr>
      <w:adjustRightInd w:val="0"/>
      <w:snapToGrid w:val="0"/>
      <w:spacing w:line="360" w:lineRule="auto"/>
      <w:ind w:firstLine="546" w:firstLineChars="200"/>
    </w:pPr>
    <w:rPr>
      <w:rFonts w:ascii="Calibri" w:hAnsi="Calibri"/>
      <w:sz w:val="28"/>
    </w:rPr>
  </w:style>
  <w:style w:type="character" w:customStyle="1" w:styleId="53">
    <w:name w:val="ggzbt011"/>
    <w:basedOn w:val="29"/>
    <w:qFormat/>
    <w:uiPriority w:val="0"/>
  </w:style>
  <w:style w:type="paragraph" w:customStyle="1" w:styleId="54">
    <w:name w:val="中文报告书样式"/>
    <w:basedOn w:val="1"/>
    <w:qFormat/>
    <w:uiPriority w:val="0"/>
    <w:pPr>
      <w:adjustRightInd w:val="0"/>
      <w:spacing w:line="480" w:lineRule="atLeast"/>
      <w:ind w:firstLine="482"/>
      <w:textAlignment w:val="baseline"/>
    </w:pPr>
    <w:rPr>
      <w:kern w:val="24"/>
      <w:sz w:val="24"/>
      <w:szCs w:val="20"/>
    </w:rPr>
  </w:style>
  <w:style w:type="character" w:customStyle="1" w:styleId="55">
    <w:name w:val="dz1"/>
    <w:qFormat/>
    <w:uiPriority w:val="0"/>
    <w:rPr>
      <w:rFonts w:hint="default" w:ascii="Geneva" w:hAnsi="Geneva"/>
      <w:sz w:val="20"/>
      <w:szCs w:val="20"/>
    </w:rPr>
  </w:style>
  <w:style w:type="paragraph" w:customStyle="1" w:styleId="56">
    <w:name w:val="制表格"/>
    <w:basedOn w:val="1"/>
    <w:qFormat/>
    <w:uiPriority w:val="0"/>
    <w:pPr>
      <w:jc w:val="center"/>
    </w:pPr>
    <w:rPr>
      <w:rFonts w:ascii="Times New Roman" w:hAnsi="Times New Roman"/>
      <w:snapToGrid w:val="0"/>
      <w:kern w:val="0"/>
      <w:szCs w:val="28"/>
    </w:rPr>
  </w:style>
  <w:style w:type="paragraph" w:customStyle="1" w:styleId="57">
    <w:name w:val="环科院正文"/>
    <w:basedOn w:val="1"/>
    <w:qFormat/>
    <w:uiPriority w:val="0"/>
    <w:pPr>
      <w:tabs>
        <w:tab w:val="left" w:pos="5760"/>
      </w:tabs>
      <w:spacing w:line="360" w:lineRule="auto"/>
      <w:ind w:firstLine="480" w:firstLineChars="200"/>
    </w:pPr>
    <w:rPr>
      <w:rFonts w:hAnsi="宋体"/>
      <w:bCs/>
      <w:sz w:val="24"/>
      <w:szCs w:val="20"/>
    </w:rPr>
  </w:style>
  <w:style w:type="paragraph" w:customStyle="1" w:styleId="58">
    <w:name w:val="11"/>
    <w:basedOn w:val="4"/>
    <w:next w:val="18"/>
    <w:qFormat/>
    <w:uiPriority w:val="0"/>
    <w:pPr>
      <w:autoSpaceDE w:val="0"/>
      <w:autoSpaceDN w:val="0"/>
      <w:adjustRightInd w:val="0"/>
      <w:spacing w:after="0" w:line="360" w:lineRule="auto"/>
      <w:ind w:firstLine="1320" w:firstLineChars="550"/>
      <w:textAlignment w:val="baseline"/>
    </w:pPr>
    <w:rPr>
      <w:sz w:val="24"/>
    </w:rPr>
  </w:style>
  <w:style w:type="paragraph" w:customStyle="1" w:styleId="59">
    <w:name w:val="样式 小四 行距: 1.5 倍行距"/>
    <w:qFormat/>
    <w:uiPriority w:val="0"/>
    <w:pPr>
      <w:adjustRightInd w:val="0"/>
      <w:snapToGrid w:val="0"/>
      <w:spacing w:line="360" w:lineRule="auto"/>
      <w:ind w:firstLine="480" w:firstLineChars="200"/>
    </w:pPr>
    <w:rPr>
      <w:rFonts w:ascii="Times New Roman" w:hAnsi="Times New Roman" w:eastAsia="宋体" w:cs="Times New Roman"/>
      <w:sz w:val="24"/>
      <w:lang w:val="en-US" w:eastAsia="zh-CN" w:bidi="ar-SA"/>
    </w:rPr>
  </w:style>
  <w:style w:type="paragraph" w:customStyle="1" w:styleId="60">
    <w:name w:val="WPSOffice手动目录 1"/>
    <w:qFormat/>
    <w:uiPriority w:val="0"/>
    <w:pPr>
      <w:ind w:leftChars="0"/>
    </w:pPr>
    <w:rPr>
      <w:rFonts w:ascii="Times New Roman" w:hAnsi="Times New Roman" w:eastAsia="宋体" w:cs="Times New Roman"/>
      <w:sz w:val="20"/>
      <w:szCs w:val="20"/>
    </w:rPr>
  </w:style>
  <w:style w:type="paragraph" w:customStyle="1" w:styleId="61">
    <w:name w:val="表头（书）"/>
    <w:basedOn w:val="1"/>
    <w:next w:val="48"/>
    <w:qFormat/>
    <w:uiPriority w:val="0"/>
    <w:pPr>
      <w:numPr>
        <w:ilvl w:val="4"/>
        <w:numId w:val="1"/>
      </w:numPr>
      <w:spacing w:line="240" w:lineRule="auto"/>
      <w:ind w:left="1008" w:hanging="1008" w:firstLineChars="0"/>
      <w:jc w:val="center"/>
    </w:pPr>
    <w:rPr>
      <w:rFonts w:ascii="Times New Roman" w:hAnsi="Times New Roman" w:eastAsia="宋体"/>
      <w:b/>
      <w:bCs/>
    </w:rPr>
  </w:style>
  <w:style w:type="paragraph" w:customStyle="1" w:styleId="62">
    <w:name w:val="No Spacing"/>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63">
    <w:name w:val="p0"/>
    <w:basedOn w:val="1"/>
    <w:qFormat/>
    <w:uiPriority w:val="0"/>
    <w:pPr>
      <w:widowControl/>
    </w:pPr>
    <w:rPr>
      <w:rFonts w:eastAsia="Arial Unicode MS"/>
      <w:kern w:val="0"/>
      <w:szCs w:val="21"/>
    </w:rPr>
  </w:style>
  <w:style w:type="paragraph" w:customStyle="1" w:styleId="64">
    <w:name w:val="赵"/>
    <w:basedOn w:val="1"/>
    <w:qFormat/>
    <w:uiPriority w:val="0"/>
    <w:pPr>
      <w:spacing w:line="360" w:lineRule="auto"/>
      <w:ind w:firstLine="200" w:firstLineChars="200"/>
    </w:pPr>
    <w:rPr>
      <w:color w:val="000000"/>
      <w:kern w:val="0"/>
      <w:sz w:val="24"/>
      <w:szCs w:val="24"/>
    </w:rPr>
  </w:style>
  <w:style w:type="paragraph" w:customStyle="1" w:styleId="65">
    <w:name w:val="表题"/>
    <w:qFormat/>
    <w:uiPriority w:val="0"/>
    <w:pPr>
      <w:adjustRightInd w:val="0"/>
      <w:snapToGrid w:val="0"/>
      <w:spacing w:before="156" w:after="156"/>
      <w:jc w:val="center"/>
    </w:pPr>
    <w:rPr>
      <w:rFonts w:ascii="Times New Roman" w:hAnsi="Times New Roman" w:eastAsia="PMingLiU" w:cs="Times New Roman"/>
      <w:sz w:val="24"/>
      <w:lang w:val="en-US" w:eastAsia="zh-CN" w:bidi="ar-SA"/>
    </w:rPr>
  </w:style>
  <w:style w:type="paragraph" w:customStyle="1" w:styleId="66">
    <w:name w:val="填表5中"/>
    <w:basedOn w:val="1"/>
    <w:next w:val="1"/>
    <w:qFormat/>
    <w:uiPriority w:val="0"/>
    <w:pPr>
      <w:spacing w:line="300" w:lineRule="exact"/>
      <w:jc w:val="center"/>
    </w:pPr>
    <w:rPr>
      <w:rFonts w:ascii="宋体"/>
      <w:sz w:val="24"/>
      <w:szCs w:val="21"/>
    </w:rPr>
  </w:style>
  <w:style w:type="character" w:customStyle="1" w:styleId="67">
    <w:name w:val="fw2"/>
    <w:basedOn w:val="29"/>
    <w:qFormat/>
    <w:uiPriority w:val="0"/>
  </w:style>
  <w:style w:type="paragraph" w:customStyle="1" w:styleId="68">
    <w:name w:val="_Style 2"/>
    <w:qFormat/>
    <w:uiPriority w:val="0"/>
    <w:pPr>
      <w:widowControl w:val="0"/>
      <w:spacing w:line="240" w:lineRule="atLeast"/>
      <w:jc w:val="both"/>
    </w:pPr>
    <w:rPr>
      <w:rFonts w:ascii="Calibri" w:hAnsi="Calibri" w:eastAsia="宋体" w:cs="Times New Roman"/>
      <w:kern w:val="2"/>
      <w:sz w:val="21"/>
      <w:szCs w:val="22"/>
      <w:lang w:val="en-US" w:eastAsia="zh-CN" w:bidi="ar-SA"/>
    </w:rPr>
  </w:style>
  <w:style w:type="paragraph" w:customStyle="1" w:styleId="69">
    <w:name w:val="1文章"/>
    <w:basedOn w:val="1"/>
    <w:qFormat/>
    <w:uiPriority w:val="0"/>
    <w:pPr>
      <w:spacing w:line="360" w:lineRule="auto"/>
      <w:ind w:firstLine="573"/>
    </w:pPr>
    <w:rPr>
      <w:rFonts w:eastAsia="楷体_GB2312"/>
      <w:sz w:val="28"/>
      <w:szCs w:val="20"/>
    </w:rPr>
  </w:style>
  <w:style w:type="paragraph" w:customStyle="1" w:styleId="70">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1">
    <w:name w:val="List Paragraph"/>
    <w:basedOn w:val="1"/>
    <w:qFormat/>
    <w:uiPriority w:val="0"/>
    <w:pPr>
      <w:ind w:firstLine="420" w:firstLineChars="200"/>
    </w:pPr>
    <w:rPr>
      <w:szCs w:val="22"/>
    </w:rPr>
  </w:style>
  <w:style w:type="paragraph" w:customStyle="1" w:styleId="72">
    <w:name w:val="报告表格"/>
    <w:basedOn w:val="1"/>
    <w:qFormat/>
    <w:uiPriority w:val="0"/>
    <w:pPr>
      <w:autoSpaceDE w:val="0"/>
      <w:autoSpaceDN w:val="0"/>
      <w:adjustRightInd w:val="0"/>
      <w:spacing w:before="40" w:beforeLines="0" w:after="40" w:afterLines="0"/>
      <w:jc w:val="center"/>
    </w:pPr>
    <w:rPr>
      <w:rFonts w:ascii="Times New Roman" w:hAnsi="Times New Roman"/>
      <w:kern w:val="0"/>
    </w:rPr>
  </w:style>
  <w:style w:type="paragraph" w:customStyle="1" w:styleId="73">
    <w:name w:val="正文01"/>
    <w:basedOn w:val="6"/>
    <w:qFormat/>
    <w:uiPriority w:val="0"/>
    <w:pPr>
      <w:keepNext w:val="0"/>
      <w:keepLines w:val="0"/>
      <w:numPr>
        <w:ilvl w:val="0"/>
        <w:numId w:val="0"/>
      </w:numPr>
      <w:adjustRightInd/>
      <w:snapToGrid/>
      <w:spacing w:before="60" w:beforeLines="0" w:beforeAutospacing="0" w:line="460" w:lineRule="exact"/>
      <w:ind w:firstLine="200" w:firstLineChars="200"/>
      <w:outlineLvl w:val="9"/>
    </w:pPr>
    <w:rPr>
      <w:rFonts w:ascii="Times New Roman" w:hAnsi="Times New Roman"/>
      <w:b w:val="0"/>
    </w:rPr>
  </w:style>
  <w:style w:type="paragraph" w:customStyle="1" w:styleId="74">
    <w:name w:val="表格 32"/>
    <w:basedOn w:val="1"/>
    <w:qFormat/>
    <w:uiPriority w:val="0"/>
    <w:pPr>
      <w:autoSpaceDE w:val="0"/>
      <w:autoSpaceDN w:val="0"/>
      <w:adjustRightInd w:val="0"/>
      <w:ind w:firstLine="0"/>
      <w:jc w:val="center"/>
      <w:textAlignment w:val="baseline"/>
    </w:pPr>
    <w:rPr>
      <w:rFonts w:ascii="宋体" w:hAnsi="Impact"/>
      <w:kern w:val="24"/>
    </w:rPr>
  </w:style>
  <w:style w:type="paragraph" w:customStyle="1" w:styleId="75">
    <w:name w:val="reader-word-layer reader-word-s6-8"/>
    <w:basedOn w:val="1"/>
    <w:qFormat/>
    <w:uiPriority w:val="0"/>
    <w:pPr>
      <w:widowControl/>
      <w:spacing w:before="100" w:beforeLines="0" w:beforeAutospacing="1" w:after="100" w:afterLines="0" w:afterAutospacing="1"/>
      <w:jc w:val="left"/>
    </w:pPr>
    <w:rPr>
      <w:rFonts w:cs="宋体"/>
      <w:kern w:val="0"/>
      <w:sz w:val="24"/>
    </w:rPr>
  </w:style>
  <w:style w:type="paragraph" w:customStyle="1" w:styleId="76">
    <w:name w:val="正文样式1"/>
    <w:basedOn w:val="1"/>
    <w:qFormat/>
    <w:uiPriority w:val="0"/>
    <w:pPr>
      <w:adjustRightInd w:val="0"/>
      <w:spacing w:line="288" w:lineRule="auto"/>
      <w:ind w:firstLine="360" w:firstLineChars="150"/>
      <w:textAlignment w:val="baseline"/>
    </w:pPr>
    <w:rPr>
      <w:kern w:val="0"/>
      <w:sz w:val="24"/>
      <w:szCs w:val="20"/>
    </w:rPr>
  </w:style>
  <w:style w:type="character" w:customStyle="1" w:styleId="77">
    <w:name w:val="正文文本 Char1"/>
    <w:qFormat/>
    <w:uiPriority w:val="0"/>
    <w:rPr>
      <w:rFonts w:eastAsia="宋体"/>
      <w:kern w:val="2"/>
      <w:sz w:val="28"/>
      <w:szCs w:val="24"/>
      <w:lang w:val="en-US" w:eastAsia="zh-CN" w:bidi="ar-SA"/>
    </w:rPr>
  </w:style>
  <w:style w:type="paragraph" w:customStyle="1" w:styleId="78">
    <w:name w:val="文本22"/>
    <w:basedOn w:val="1"/>
    <w:qFormat/>
    <w:uiPriority w:val="0"/>
    <w:pPr>
      <w:autoSpaceDE w:val="0"/>
      <w:autoSpaceDN w:val="0"/>
      <w:adjustRightInd w:val="0"/>
      <w:spacing w:line="360" w:lineRule="auto"/>
      <w:ind w:firstLine="480" w:firstLineChars="200"/>
    </w:pPr>
    <w:rPr>
      <w:rFonts w:ascii="Times New Roman" w:hAnsi="Times New Roman"/>
      <w:sz w:val="24"/>
      <w:szCs w:val="24"/>
    </w:rPr>
  </w:style>
  <w:style w:type="paragraph" w:customStyle="1" w:styleId="79">
    <w:name w:val="样式 cucd-0 + (西文) Arial (中文) 仿宋_GB2312"/>
    <w:basedOn w:val="1"/>
    <w:qFormat/>
    <w:uiPriority w:val="0"/>
    <w:pPr>
      <w:widowControl/>
      <w:spacing w:line="360" w:lineRule="auto"/>
      <w:ind w:firstLine="480" w:firstLineChars="200"/>
      <w:jc w:val="left"/>
    </w:pPr>
    <w:rPr>
      <w:rFonts w:ascii="Arial" w:hAnsi="Arial" w:eastAsia="仿宋_GB2312"/>
      <w:kern w:val="2"/>
      <w:sz w:val="28"/>
      <w:szCs w:val="21"/>
      <w:lang w:val="en-US" w:eastAsia="zh-CN" w:bidi="ar-SA"/>
    </w:rPr>
  </w:style>
  <w:style w:type="paragraph" w:customStyle="1" w:styleId="80">
    <w:name w:val="缩进2正文"/>
    <w:basedOn w:val="81"/>
    <w:qFormat/>
    <w:uiPriority w:val="0"/>
    <w:pPr>
      <w:tabs>
        <w:tab w:val="left" w:pos="4860"/>
      </w:tabs>
      <w:ind w:firstLine="560"/>
      <w:jc w:val="both"/>
    </w:pPr>
    <w:rPr>
      <w:sz w:val="28"/>
      <w:szCs w:val="28"/>
    </w:rPr>
  </w:style>
  <w:style w:type="paragraph" w:customStyle="1" w:styleId="81">
    <w:name w:val="报告正文"/>
    <w:basedOn w:val="1"/>
    <w:qFormat/>
    <w:uiPriority w:val="0"/>
    <w:pPr>
      <w:spacing w:line="360" w:lineRule="auto"/>
      <w:ind w:firstLine="200" w:firstLineChars="200"/>
      <w:jc w:val="left"/>
    </w:pPr>
    <w:rPr>
      <w:sz w:val="24"/>
      <w:szCs w:val="24"/>
    </w:rPr>
  </w:style>
  <w:style w:type="paragraph" w:customStyle="1" w:styleId="82">
    <w:name w:val="列出段落1"/>
    <w:basedOn w:val="1"/>
    <w:qFormat/>
    <w:uiPriority w:val="34"/>
    <w:pPr>
      <w:ind w:firstLine="420" w:firstLineChars="200"/>
    </w:pPr>
    <w:rPr>
      <w:rFonts w:ascii="Times New Roman" w:hAnsi="Times New Roman"/>
      <w:szCs w:val="20"/>
    </w:rPr>
  </w:style>
  <w:style w:type="paragraph" w:customStyle="1" w:styleId="83">
    <w:name w:val=" Char"/>
    <w:basedOn w:val="1"/>
    <w:qFormat/>
    <w:uiPriority w:val="0"/>
    <w:pPr>
      <w:snapToGrid w:val="0"/>
      <w:spacing w:line="360" w:lineRule="auto"/>
      <w:ind w:firstLine="529" w:firstLineChars="200"/>
    </w:pPr>
  </w:style>
  <w:style w:type="paragraph" w:customStyle="1" w:styleId="84">
    <w:name w:val="Table Paragraph"/>
    <w:basedOn w:val="1"/>
    <w:unhideWhenUsed/>
    <w:qFormat/>
    <w:uiPriority w:val="1"/>
    <w:pPr>
      <w:spacing w:beforeLines="0" w:afterLines="0"/>
    </w:pPr>
    <w:rPr>
      <w:rFonts w:hint="default"/>
      <w:sz w:val="24"/>
    </w:rPr>
  </w:style>
  <w:style w:type="paragraph" w:customStyle="1" w:styleId="85">
    <w:name w:val="样式1"/>
    <w:basedOn w:val="8"/>
    <w:qFormat/>
    <w:uiPriority w:val="0"/>
    <w:pPr>
      <w:spacing w:before="160" w:after="170" w:line="372" w:lineRule="auto"/>
    </w:pPr>
    <w:rPr>
      <w:rFonts w:ascii="Times New Roman" w:hAnsi="Times New Roman" w:eastAsia="仿宋_GB2312"/>
    </w:rPr>
  </w:style>
  <w:style w:type="paragraph" w:customStyle="1" w:styleId="86">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87">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88">
    <w:name w:val="表格内容"/>
    <w:basedOn w:val="1"/>
    <w:qFormat/>
    <w:uiPriority w:val="0"/>
    <w:pPr>
      <w:adjustRightInd w:val="0"/>
      <w:snapToGrid w:val="0"/>
      <w:jc w:val="center"/>
    </w:pPr>
    <w:rPr>
      <w:rFonts w:eastAsia="Times New Roman"/>
      <w:szCs w:val="21"/>
    </w:rPr>
  </w:style>
  <w:style w:type="paragraph" w:customStyle="1" w:styleId="89">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paragraph" w:customStyle="1" w:styleId="90">
    <w:name w:val="表格文字"/>
    <w:basedOn w:val="91"/>
    <w:next w:val="4"/>
    <w:qFormat/>
    <w:uiPriority w:val="0"/>
    <w:pPr>
      <w:spacing w:after="0" w:line="320" w:lineRule="exact"/>
      <w:jc w:val="center"/>
    </w:pPr>
    <w:rPr>
      <w:rFonts w:ascii="宋体"/>
      <w:szCs w:val="24"/>
    </w:rPr>
  </w:style>
  <w:style w:type="paragraph" w:customStyle="1" w:styleId="91">
    <w:name w:val="方案正文"/>
    <w:basedOn w:val="1"/>
    <w:qFormat/>
    <w:uiPriority w:val="0"/>
    <w:rPr>
      <w:kern w:val="0"/>
      <w:sz w:val="24"/>
      <w:szCs w:val="20"/>
    </w:rPr>
  </w:style>
  <w:style w:type="paragraph" w:customStyle="1" w:styleId="92">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93">
    <w:name w:val="表头"/>
    <w:basedOn w:val="1"/>
    <w:next w:val="1"/>
    <w:qFormat/>
    <w:uiPriority w:val="0"/>
    <w:pPr>
      <w:spacing w:line="360" w:lineRule="auto"/>
      <w:ind w:firstLine="2169" w:firstLineChars="1029"/>
    </w:pPr>
    <w:rPr>
      <w:rFonts w:ascii="宋体" w:hAnsi="宋体"/>
      <w:b/>
      <w:kern w:val="0"/>
      <w:szCs w:val="21"/>
    </w:rPr>
  </w:style>
  <w:style w:type="character" w:customStyle="1" w:styleId="94">
    <w:name w:val="font01"/>
    <w:basedOn w:val="29"/>
    <w:qFormat/>
    <w:uiPriority w:val="0"/>
    <w:rPr>
      <w:rFonts w:hint="eastAsia" w:ascii="宋体" w:hAnsi="宋体" w:eastAsia="宋体" w:cs="宋体"/>
      <w:color w:val="000000"/>
      <w:sz w:val="21"/>
      <w:szCs w:val="21"/>
      <w:u w:val="none"/>
    </w:rPr>
  </w:style>
  <w:style w:type="character" w:customStyle="1" w:styleId="95">
    <w:name w:val="font21"/>
    <w:basedOn w:val="29"/>
    <w:qFormat/>
    <w:uiPriority w:val="0"/>
    <w:rPr>
      <w:rFonts w:hint="default" w:ascii="Times New Roman" w:hAnsi="Times New Roman" w:cs="Times New Roman"/>
      <w:color w:val="000000"/>
      <w:sz w:val="21"/>
      <w:szCs w:val="21"/>
      <w:u w:val="none"/>
    </w:rPr>
  </w:style>
  <w:style w:type="character" w:customStyle="1" w:styleId="96">
    <w:name w:val="font41"/>
    <w:basedOn w:val="29"/>
    <w:qFormat/>
    <w:uiPriority w:val="0"/>
    <w:rPr>
      <w:rFonts w:hint="default" w:ascii="Times New Roman" w:hAnsi="Times New Roman" w:cs="Times New Roman"/>
      <w:b/>
      <w:bCs/>
      <w:color w:val="000000"/>
      <w:sz w:val="21"/>
      <w:szCs w:val="21"/>
      <w:u w:val="none"/>
    </w:rPr>
  </w:style>
  <w:style w:type="character" w:customStyle="1" w:styleId="97">
    <w:name w:val="font31"/>
    <w:basedOn w:val="29"/>
    <w:qFormat/>
    <w:uiPriority w:val="0"/>
    <w:rPr>
      <w:rFonts w:hint="default" w:ascii="Times New Roman" w:hAnsi="Times New Roman" w:cs="Times New Roman"/>
      <w:color w:val="000000"/>
      <w:sz w:val="21"/>
      <w:szCs w:val="21"/>
      <w:u w:val="none"/>
    </w:rPr>
  </w:style>
  <w:style w:type="character" w:customStyle="1" w:styleId="98">
    <w:name w:val="font51"/>
    <w:basedOn w:val="29"/>
    <w:qFormat/>
    <w:uiPriority w:val="0"/>
    <w:rPr>
      <w:rFonts w:hint="default" w:ascii="Times New Roman" w:hAnsi="Times New Roman" w:cs="Times New Roman"/>
      <w:color w:val="000000"/>
      <w:sz w:val="21"/>
      <w:szCs w:val="21"/>
      <w:u w:val="none"/>
      <w:vertAlign w:val="subscript"/>
    </w:rPr>
  </w:style>
  <w:style w:type="character" w:customStyle="1" w:styleId="99">
    <w:name w:val="正文文本_"/>
    <w:link w:val="100"/>
    <w:qFormat/>
    <w:locked/>
    <w:uiPriority w:val="99"/>
    <w:rPr>
      <w:rFonts w:ascii="MingLiU" w:hAnsi="MingLiU" w:eastAsia="MingLiU"/>
      <w:spacing w:val="10"/>
      <w:kern w:val="0"/>
      <w:szCs w:val="21"/>
    </w:rPr>
  </w:style>
  <w:style w:type="paragraph" w:customStyle="1" w:styleId="100">
    <w:name w:val="正文文本3"/>
    <w:basedOn w:val="1"/>
    <w:link w:val="99"/>
    <w:qFormat/>
    <w:uiPriority w:val="99"/>
    <w:pPr>
      <w:shd w:val="clear" w:color="auto" w:fill="FFFFFF"/>
      <w:adjustRightInd/>
      <w:spacing w:before="240" w:line="466" w:lineRule="exact"/>
      <w:ind w:hanging="480"/>
      <w:jc w:val="distribute"/>
      <w:textAlignment w:val="auto"/>
    </w:pPr>
    <w:rPr>
      <w:rFonts w:ascii="MingLiU" w:hAnsi="MingLiU" w:eastAsia="MingLiU"/>
      <w:spacing w:val="10"/>
      <w:kern w:val="0"/>
      <w:szCs w:val="21"/>
    </w:rPr>
  </w:style>
  <w:style w:type="paragraph" w:customStyle="1" w:styleId="101">
    <w:name w:val="wlm表头"/>
    <w:basedOn w:val="1"/>
    <w:qFormat/>
    <w:uiPriority w:val="0"/>
    <w:pPr>
      <w:jc w:val="center"/>
    </w:pPr>
    <w:rPr>
      <w:b/>
      <w:szCs w:val="21"/>
    </w:rPr>
  </w:style>
  <w:style w:type="paragraph" w:customStyle="1" w:styleId="102">
    <w:name w:val="wlm表格"/>
    <w:basedOn w:val="1"/>
    <w:qFormat/>
    <w:uiPriority w:val="0"/>
    <w:pPr>
      <w:snapToGrid w:val="0"/>
      <w:spacing w:line="240" w:lineRule="auto"/>
      <w:ind w:firstLine="0" w:firstLineChars="0"/>
      <w:jc w:val="center"/>
    </w:pPr>
    <w:rPr>
      <w:rFonts w:ascii="Times New Roman" w:hAnsi="Times New Roman" w:eastAsia="宋体"/>
      <w:snapToGrid w:val="0"/>
      <w:spacing w:val="2"/>
      <w:sz w:val="21"/>
      <w:szCs w:val="21"/>
    </w:rPr>
  </w:style>
  <w:style w:type="paragraph" w:customStyle="1" w:styleId="103">
    <w:name w:val="正文四号"/>
    <w:basedOn w:val="1"/>
    <w:qFormat/>
    <w:uiPriority w:val="0"/>
    <w:pPr>
      <w:spacing w:line="600" w:lineRule="exact"/>
      <w:ind w:firstLine="200" w:firstLineChars="200"/>
    </w:pPr>
    <w:rPr>
      <w:rFonts w:ascii="Calibri" w:hAnsi="Calibri" w:eastAsia="仿宋_GB2312" w:cs="Times New Roman"/>
      <w:kern w:val="2"/>
      <w:sz w:val="28"/>
      <w:szCs w:val="28"/>
      <w:lang w:eastAsia="zh-CN"/>
    </w:rPr>
  </w:style>
  <w:style w:type="paragraph" w:customStyle="1" w:styleId="104">
    <w:name w:val="表头、图尾"/>
    <w:basedOn w:val="1"/>
    <w:qFormat/>
    <w:uiPriority w:val="0"/>
    <w:pPr>
      <w:spacing w:beforeLines="50" w:afterLines="20" w:line="240" w:lineRule="auto"/>
      <w:ind w:firstLine="0" w:firstLineChars="0"/>
      <w:jc w:val="center"/>
      <w:outlineLvl w:val="1"/>
    </w:pPr>
    <w:rPr>
      <w:b/>
    </w:rPr>
  </w:style>
  <w:style w:type="character" w:customStyle="1" w:styleId="105">
    <w:name w:val="NormalCharacter"/>
    <w:qFormat/>
    <w:uiPriority w:val="0"/>
  </w:style>
  <w:style w:type="paragraph" w:customStyle="1" w:styleId="106">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paragraph" w:customStyle="1" w:styleId="107">
    <w:name w:val="表格标题"/>
    <w:basedOn w:val="1"/>
    <w:qFormat/>
    <w:uiPriority w:val="0"/>
    <w:pPr>
      <w:spacing w:line="540" w:lineRule="exact"/>
      <w:jc w:val="center"/>
    </w:pPr>
    <w:rPr>
      <w:rFonts w:ascii="宋体" w:hAnsi="宋体"/>
      <w:bCs/>
      <w:sz w:val="24"/>
    </w:rPr>
  </w:style>
  <w:style w:type="character" w:customStyle="1" w:styleId="108">
    <w:name w:val="viewthreadtxt"/>
    <w:basedOn w:val="29"/>
    <w:qFormat/>
    <w:uiPriority w:val="0"/>
  </w:style>
  <w:style w:type="paragraph" w:customStyle="1" w:styleId="109">
    <w:name w:val=" Char Char Char Char"/>
    <w:basedOn w:val="1"/>
    <w:qFormat/>
    <w:uiPriority w:val="0"/>
    <w:pPr>
      <w:snapToGrid w:val="0"/>
      <w:spacing w:line="360" w:lineRule="auto"/>
      <w:ind w:firstLine="200" w:firstLineChars="200"/>
    </w:pPr>
    <w:rPr>
      <w:szCs w:val="20"/>
    </w:rPr>
  </w:style>
  <w:style w:type="character" w:customStyle="1" w:styleId="110">
    <w:name w:val="font11"/>
    <w:basedOn w:val="29"/>
    <w:qFormat/>
    <w:uiPriority w:val="0"/>
    <w:rPr>
      <w:rFonts w:hint="eastAsia" w:ascii="宋体" w:hAnsi="宋体" w:eastAsia="宋体" w:cs="宋体"/>
      <w:color w:val="000000"/>
      <w:sz w:val="21"/>
      <w:szCs w:val="21"/>
      <w:u w:val="none"/>
    </w:rPr>
  </w:style>
  <w:style w:type="paragraph" w:customStyle="1" w:styleId="111">
    <w:name w:val="文本"/>
    <w:basedOn w:val="1"/>
    <w:qFormat/>
    <w:uiPriority w:val="0"/>
    <w:pPr>
      <w:ind w:firstLine="480" w:firstLineChars="200"/>
    </w:pPr>
  </w:style>
  <w:style w:type="character" w:customStyle="1" w:styleId="112">
    <w:name w:val="font61"/>
    <w:basedOn w:val="29"/>
    <w:qFormat/>
    <w:uiPriority w:val="0"/>
    <w:rPr>
      <w:rFonts w:hint="default" w:ascii="Times New Roman" w:hAnsi="Times New Roman" w:cs="Times New Roman"/>
      <w:color w:val="000000"/>
      <w:sz w:val="21"/>
      <w:szCs w:val="21"/>
      <w:u w:val="none"/>
      <w:vertAlign w:val="subscript"/>
    </w:rPr>
  </w:style>
  <w:style w:type="character" w:customStyle="1" w:styleId="113">
    <w:name w:val="全部 Char Char"/>
    <w:link w:val="114"/>
    <w:qFormat/>
    <w:uiPriority w:val="0"/>
    <w:rPr>
      <w:rFonts w:ascii="宋体" w:hAnsi="宋体"/>
      <w:color w:val="000000"/>
      <w:sz w:val="24"/>
    </w:rPr>
  </w:style>
  <w:style w:type="paragraph" w:customStyle="1" w:styleId="114">
    <w:name w:val="全部"/>
    <w:basedOn w:val="1"/>
    <w:link w:val="113"/>
    <w:qFormat/>
    <w:uiPriority w:val="0"/>
    <w:pPr>
      <w:spacing w:before="156" w:beforeLines="50" w:after="156" w:afterLines="50" w:line="360" w:lineRule="auto"/>
      <w:ind w:firstLine="480" w:firstLineChars="200"/>
    </w:pPr>
    <w:rPr>
      <w:rFonts w:ascii="宋体" w:hAnsi="宋体"/>
      <w:color w:val="000000"/>
      <w:sz w:val="24"/>
    </w:rPr>
  </w:style>
  <w:style w:type="character" w:customStyle="1" w:styleId="115">
    <w:name w:val="样式 样式 小四 段前: 7.8 磅 段后: 7.8 磅 行距: 1.5 倍行距 + 首行缩进:  2 字符 Char Char"/>
    <w:link w:val="116"/>
    <w:qFormat/>
    <w:uiPriority w:val="0"/>
    <w:rPr>
      <w:spacing w:val="20"/>
      <w:sz w:val="24"/>
    </w:rPr>
  </w:style>
  <w:style w:type="paragraph" w:customStyle="1" w:styleId="116">
    <w:name w:val="样式 样式 小四 段前: 7.8 磅 段后: 7.8 磅 行距: 1.5 倍行距 + 首行缩进:  2 字符"/>
    <w:basedOn w:val="1"/>
    <w:link w:val="115"/>
    <w:qFormat/>
    <w:uiPriority w:val="0"/>
    <w:pPr>
      <w:spacing w:before="156" w:after="156" w:line="360" w:lineRule="auto"/>
      <w:ind w:firstLine="560" w:firstLineChars="200"/>
    </w:pPr>
    <w:rPr>
      <w:spacing w:val="20"/>
      <w:sz w:val="24"/>
    </w:rPr>
  </w:style>
  <w:style w:type="character" w:customStyle="1" w:styleId="117">
    <w:name w:val="fontstyle01"/>
    <w:basedOn w:val="29"/>
    <w:qFormat/>
    <w:uiPriority w:val="0"/>
    <w:rPr>
      <w:rFonts w:hint="eastAsia" w:ascii="宋体" w:hAnsi="宋体" w:eastAsia="宋体"/>
      <w:color w:val="000000"/>
      <w:sz w:val="24"/>
      <w:szCs w:val="24"/>
    </w:rPr>
  </w:style>
  <w:style w:type="character" w:customStyle="1" w:styleId="118">
    <w:name w:val="govicon"/>
    <w:basedOn w:val="29"/>
    <w:qFormat/>
    <w:uiPriority w:val="0"/>
  </w:style>
  <w:style w:type="paragraph" w:customStyle="1" w:styleId="119">
    <w:name w:val="lf正文"/>
    <w:basedOn w:val="1"/>
    <w:qFormat/>
    <w:uiPriority w:val="0"/>
    <w:pPr>
      <w:ind w:firstLine="489"/>
    </w:pPr>
    <w:rPr>
      <w:rFonts w:hint="eastAsia"/>
      <w:color w:val="00000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wmf"/><Relationship Id="rId32" Type="http://schemas.openxmlformats.org/officeDocument/2006/relationships/oleObject" Target="embeddings/oleObject12.bin"/><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1.png"/><Relationship Id="rId28" Type="http://schemas.openxmlformats.org/officeDocument/2006/relationships/image" Target="media/image10.wmf"/><Relationship Id="rId27" Type="http://schemas.openxmlformats.org/officeDocument/2006/relationships/oleObject" Target="embeddings/oleObject10.bin"/><Relationship Id="rId26" Type="http://schemas.openxmlformats.org/officeDocument/2006/relationships/image" Target="media/image9.emf"/><Relationship Id="rId25" Type="http://schemas.openxmlformats.org/officeDocument/2006/relationships/oleObject" Target="embeddings/oleObject9.bin"/><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103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79430</Words>
  <Characters>93342</Characters>
  <Lines>0</Lines>
  <Paragraphs>0</Paragraphs>
  <TotalTime>9</TotalTime>
  <ScaleCrop>false</ScaleCrop>
  <LinksUpToDate>false</LinksUpToDate>
  <CharactersWithSpaces>93861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2021-02-01T08:12:00Z</dcterms:created>
  <dc:creator>gc</dc:creator>
  <cp:lastModifiedBy>岂曰无衣</cp:lastModifiedBy>
  <dcterms:modified xsi:type="dcterms:W3CDTF">2023-11-22T02:22:38Z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089AE3CB820B4653B2331E34F7560146_13</vt:lpwstr>
  </property>
</Properties>
</file>