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autoSpaceDE/>
        <w:autoSpaceDN/>
        <w:bidi w:val="0"/>
        <w:spacing w:line="600" w:lineRule="auto"/>
        <w:jc w:val="center"/>
        <w:rPr>
          <w:rFonts w:hint="eastAsia" w:ascii="Times New Roman" w:hAnsi="Times New Roman" w:cs="Times New Roman"/>
          <w:b/>
          <w:bCs/>
          <w:sz w:val="72"/>
          <w:szCs w:val="72"/>
          <w:lang w:val="en-US" w:eastAsia="zh-CN"/>
        </w:rPr>
      </w:pPr>
    </w:p>
    <w:p>
      <w:pPr>
        <w:kinsoku/>
        <w:wordWrap/>
        <w:overflowPunct/>
        <w:topLinePunct w:val="0"/>
        <w:autoSpaceDE/>
        <w:autoSpaceDN/>
        <w:bidi w:val="0"/>
        <w:spacing w:line="600" w:lineRule="auto"/>
        <w:jc w:val="both"/>
        <w:rPr>
          <w:rFonts w:hint="eastAsia" w:ascii="Times New Roman" w:hAnsi="Times New Roman" w:cs="Times New Roman"/>
          <w:b/>
          <w:bCs/>
          <w:sz w:val="72"/>
          <w:szCs w:val="72"/>
          <w:lang w:val="en-US" w:eastAsia="zh-CN"/>
        </w:rPr>
      </w:pPr>
    </w:p>
    <w:tbl>
      <w:tblPr>
        <w:tblStyle w:val="9"/>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8960" w:type="dxa"/>
            <w:tcBorders>
              <w:tl2br w:val="nil"/>
              <w:tr2bl w:val="nil"/>
            </w:tcBorders>
            <w:vAlign w:val="center"/>
          </w:tcPr>
          <w:p>
            <w:pPr>
              <w:kinsoku/>
              <w:wordWrap/>
              <w:overflowPunct/>
              <w:topLinePunct w:val="0"/>
              <w:autoSpaceDE/>
              <w:autoSpaceDN/>
              <w:bidi w:val="0"/>
              <w:spacing w:line="600" w:lineRule="auto"/>
              <w:jc w:val="center"/>
              <w:rPr>
                <w:rFonts w:hint="default" w:ascii="Times New Roman" w:hAnsi="Times New Roman" w:cs="Times New Roman" w:eastAsiaTheme="minorEastAsia"/>
                <w:b/>
                <w:bCs/>
                <w:sz w:val="72"/>
                <w:szCs w:val="72"/>
                <w:lang w:eastAsia="zh-CN"/>
              </w:rPr>
            </w:pPr>
            <w:r>
              <w:rPr>
                <w:rFonts w:hint="eastAsia" w:ascii="Times New Roman" w:hAnsi="Times New Roman" w:cs="Times New Roman"/>
                <w:b/>
                <w:bCs/>
                <w:sz w:val="72"/>
                <w:szCs w:val="72"/>
                <w:lang w:val="en-US" w:eastAsia="zh-CN"/>
              </w:rPr>
              <w:t>昆明市</w:t>
            </w:r>
            <w:r>
              <w:rPr>
                <w:rFonts w:hint="default" w:ascii="Times New Roman" w:hAnsi="Times New Roman" w:cs="Times New Roman" w:eastAsiaTheme="minorEastAsia"/>
                <w:b/>
                <w:bCs/>
                <w:sz w:val="72"/>
                <w:szCs w:val="72"/>
                <w:lang w:val="en-US" w:eastAsia="zh-CN"/>
              </w:rPr>
              <w:t>寻甸回族彝族自治县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8960" w:type="dxa"/>
            <w:tcBorders>
              <w:tl2br w:val="nil"/>
              <w:tr2bl w:val="nil"/>
            </w:tcBorders>
            <w:vAlign w:val="center"/>
          </w:tcPr>
          <w:p>
            <w:pPr>
              <w:kinsoku/>
              <w:wordWrap/>
              <w:overflowPunct/>
              <w:topLinePunct w:val="0"/>
              <w:autoSpaceDE/>
              <w:autoSpaceDN/>
              <w:bidi w:val="0"/>
              <w:spacing w:line="600" w:lineRule="auto"/>
              <w:jc w:val="center"/>
              <w:rPr>
                <w:rFonts w:hint="default" w:ascii="Times New Roman" w:hAnsi="Times New Roman" w:cs="Times New Roman" w:eastAsiaTheme="minorEastAsia"/>
                <w:b/>
                <w:bCs/>
                <w:sz w:val="72"/>
                <w:szCs w:val="72"/>
                <w:lang w:val="en-US" w:eastAsia="zh-CN"/>
              </w:rPr>
            </w:pPr>
            <w:r>
              <w:rPr>
                <w:rFonts w:hint="default" w:ascii="Times New Roman" w:hAnsi="Times New Roman" w:cs="Times New Roman" w:eastAsiaTheme="minorEastAsia"/>
                <w:b/>
                <w:bCs/>
                <w:sz w:val="72"/>
                <w:szCs w:val="72"/>
                <w:lang w:val="en-US" w:eastAsia="zh-CN"/>
              </w:rPr>
              <w:t>声环境功能区划分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60" w:type="dxa"/>
            <w:tcBorders>
              <w:tl2br w:val="nil"/>
              <w:tr2bl w:val="nil"/>
            </w:tcBorders>
            <w:vAlign w:val="center"/>
          </w:tcPr>
          <w:p>
            <w:pPr>
              <w:kinsoku/>
              <w:wordWrap/>
              <w:overflowPunct/>
              <w:topLinePunct w:val="0"/>
              <w:autoSpaceDE/>
              <w:autoSpaceDN/>
              <w:bidi w:val="0"/>
              <w:spacing w:line="600" w:lineRule="auto"/>
              <w:jc w:val="center"/>
              <w:rPr>
                <w:rFonts w:hint="default" w:ascii="Times New Roman" w:hAnsi="Times New Roman" w:cs="Times New Roman" w:eastAsiaTheme="minorEastAsia"/>
                <w:b/>
                <w:bCs/>
                <w:color w:val="000000"/>
                <w:sz w:val="52"/>
                <w:szCs w:val="52"/>
                <w:lang w:eastAsia="zh-CN"/>
              </w:rPr>
            </w:pPr>
            <w:r>
              <w:rPr>
                <w:rFonts w:hint="default" w:ascii="Times New Roman" w:hAnsi="Times New Roman" w:cs="Times New Roman"/>
                <w:b/>
                <w:bCs/>
                <w:sz w:val="72"/>
                <w:szCs w:val="72"/>
                <w:lang w:eastAsia="zh-CN"/>
              </w:rPr>
              <w:t>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2" w:hRule="atLeast"/>
          <w:jc w:val="center"/>
        </w:trPr>
        <w:tc>
          <w:tcPr>
            <w:tcW w:w="8960" w:type="dxa"/>
            <w:tcBorders>
              <w:tl2br w:val="nil"/>
              <w:tr2bl w:val="nil"/>
            </w:tcBorders>
            <w:vAlign w:val="center"/>
          </w:tcPr>
          <w:p>
            <w:pPr>
              <w:kinsoku/>
              <w:wordWrap/>
              <w:overflowPunct/>
              <w:topLinePunct w:val="0"/>
              <w:autoSpaceDE/>
              <w:autoSpaceDN/>
              <w:bidi w:val="0"/>
              <w:spacing w:line="600" w:lineRule="auto"/>
              <w:jc w:val="center"/>
              <w:rPr>
                <w:rFonts w:hint="default" w:ascii="Times New Roman" w:hAnsi="Times New Roman" w:cs="Times New Roman" w:eastAsiaTheme="minorEastAsia"/>
                <w:b/>
                <w:bCs/>
                <w:sz w:val="44"/>
                <w:szCs w:val="44"/>
              </w:rPr>
            </w:pPr>
            <w:r>
              <w:rPr>
                <w:rFonts w:hint="default" w:ascii="Times New Roman" w:hAnsi="Times New Roman" w:cs="Times New Roman" w:eastAsiaTheme="minorEastAsia"/>
                <w:b/>
                <w:bCs/>
                <w:sz w:val="44"/>
                <w:szCs w:val="44"/>
              </w:rPr>
              <w:t>（2019-202</w:t>
            </w:r>
            <w:r>
              <w:rPr>
                <w:rFonts w:hint="default" w:ascii="Times New Roman" w:hAnsi="Times New Roman" w:cs="Times New Roman" w:eastAsiaTheme="minorEastAsia"/>
                <w:b/>
                <w:bCs/>
                <w:sz w:val="44"/>
                <w:szCs w:val="44"/>
                <w:lang w:val="en-US" w:eastAsia="zh-CN"/>
              </w:rPr>
              <w:t>9</w:t>
            </w:r>
            <w:r>
              <w:rPr>
                <w:rFonts w:hint="default" w:ascii="Times New Roman" w:hAnsi="Times New Roman" w:cs="Times New Roman" w:eastAsiaTheme="minorEastAsia"/>
                <w:b/>
                <w:bCs/>
                <w:sz w:val="44"/>
                <w:szCs w:val="44"/>
              </w:rPr>
              <w:t>）</w:t>
            </w:r>
          </w:p>
          <w:p>
            <w:pPr>
              <w:kinsoku/>
              <w:wordWrap/>
              <w:overflowPunct/>
              <w:topLinePunct w:val="0"/>
              <w:autoSpaceDE/>
              <w:autoSpaceDN/>
              <w:bidi w:val="0"/>
              <w:spacing w:line="600" w:lineRule="auto"/>
              <w:jc w:val="center"/>
              <w:rPr>
                <w:rFonts w:hint="default" w:ascii="Times New Roman" w:hAnsi="Times New Roman" w:cs="Times New Roman" w:eastAsiaTheme="minorEastAsia"/>
                <w:b/>
                <w:bCs/>
                <w:sz w:val="72"/>
                <w:szCs w:val="72"/>
                <w:lang w:eastAsia="zh-CN"/>
              </w:rPr>
            </w:pPr>
            <w:r>
              <w:rPr>
                <w:rFonts w:hint="default" w:ascii="Times New Roman" w:hAnsi="Times New Roman" w:cs="Times New Roman" w:eastAsiaTheme="minorEastAsia"/>
                <w:b/>
                <w:bCs/>
                <w:sz w:val="72"/>
                <w:szCs w:val="72"/>
                <w:lang w:eastAsia="zh-CN"/>
              </w:rPr>
              <w:t>技术报告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8960" w:type="dxa"/>
            <w:tcBorders>
              <w:tl2br w:val="nil"/>
              <w:tr2bl w:val="nil"/>
            </w:tcBorders>
            <w:vAlign w:val="center"/>
          </w:tcPr>
          <w:p>
            <w:pPr>
              <w:kinsoku/>
              <w:wordWrap/>
              <w:overflowPunct/>
              <w:topLinePunct w:val="0"/>
              <w:autoSpaceDE/>
              <w:autoSpaceDN/>
              <w:bidi w:val="0"/>
              <w:spacing w:line="600" w:lineRule="auto"/>
              <w:jc w:val="center"/>
              <w:rPr>
                <w:rFonts w:hint="eastAsia" w:ascii="Times New Roman" w:hAnsi="Times New Roman" w:cs="Times New Roman" w:eastAsiaTheme="minorEastAsia"/>
                <w:b/>
                <w:bCs/>
                <w:color w:val="000000"/>
                <w:sz w:val="52"/>
                <w:szCs w:val="52"/>
                <w:lang w:eastAsia="zh-CN"/>
              </w:rPr>
            </w:pPr>
            <w:r>
              <w:rPr>
                <w:rFonts w:hint="eastAsia" w:ascii="Times New Roman" w:hAnsi="Times New Roman" w:cs="Times New Roman"/>
                <w:b/>
                <w:bCs/>
                <w:color w:val="000000"/>
                <w:sz w:val="44"/>
                <w:szCs w:val="44"/>
                <w:lang w:eastAsia="zh-CN"/>
              </w:rPr>
              <w:t>（报批稿）</w:t>
            </w:r>
          </w:p>
        </w:tc>
      </w:tr>
    </w:tbl>
    <w:p>
      <w:pPr>
        <w:kinsoku/>
        <w:wordWrap/>
        <w:overflowPunct/>
        <w:topLinePunct w:val="0"/>
        <w:autoSpaceDE/>
        <w:autoSpaceDN/>
        <w:bidi w:val="0"/>
        <w:spacing w:line="360" w:lineRule="auto"/>
        <w:jc w:val="center"/>
        <w:rPr>
          <w:rFonts w:hint="default" w:ascii="Times New Roman" w:hAnsi="Times New Roman" w:cs="Times New Roman" w:eastAsiaTheme="minorEastAsia"/>
          <w:b w:val="0"/>
          <w:bCs w:val="0"/>
          <w:sz w:val="28"/>
          <w:szCs w:val="28"/>
        </w:rPr>
      </w:pPr>
    </w:p>
    <w:p>
      <w:pPr>
        <w:kinsoku/>
        <w:wordWrap/>
        <w:overflowPunct/>
        <w:topLinePunct w:val="0"/>
        <w:autoSpaceDE/>
        <w:autoSpaceDN/>
        <w:bidi w:val="0"/>
        <w:spacing w:line="360" w:lineRule="auto"/>
        <w:jc w:val="both"/>
        <w:rPr>
          <w:rFonts w:hint="default" w:ascii="Times New Roman" w:hAnsi="Times New Roman" w:cs="Times New Roman" w:eastAsiaTheme="minorEastAsia"/>
          <w:b w:val="0"/>
          <w:bCs w:val="0"/>
          <w:sz w:val="28"/>
          <w:szCs w:val="28"/>
        </w:rPr>
      </w:pP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rPr>
      </w:pP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rPr>
      </w:pPr>
    </w:p>
    <w:p>
      <w:pPr>
        <w:kinsoku/>
        <w:wordWrap/>
        <w:overflowPunct/>
        <w:topLinePunct w:val="0"/>
        <w:autoSpaceDE/>
        <w:autoSpaceDN/>
        <w:bidi w:val="0"/>
        <w:spacing w:line="360" w:lineRule="auto"/>
        <w:jc w:val="center"/>
        <w:outlineLvl w:val="0"/>
        <w:rPr>
          <w:rFonts w:hint="eastAsia" w:ascii="Times New Roman" w:hAnsi="Times New Roman" w:cs="Times New Roman"/>
          <w:b w:val="0"/>
          <w:bCs w:val="0"/>
          <w:sz w:val="40"/>
          <w:szCs w:val="40"/>
          <w:lang w:val="en-US" w:eastAsia="zh-CN"/>
        </w:rPr>
      </w:pPr>
      <w:r>
        <w:rPr>
          <w:rFonts w:hint="eastAsia" w:ascii="Times New Roman" w:hAnsi="Times New Roman" w:cs="Times New Roman"/>
          <w:b w:val="0"/>
          <w:bCs w:val="0"/>
          <w:sz w:val="40"/>
          <w:szCs w:val="40"/>
          <w:lang w:val="en-US" w:eastAsia="zh-CN"/>
        </w:rPr>
        <w:t>昆明市生态环境局寻甸分局</w:t>
      </w:r>
    </w:p>
    <w:p>
      <w:pPr>
        <w:kinsoku/>
        <w:wordWrap/>
        <w:overflowPunct/>
        <w:topLinePunct w:val="0"/>
        <w:autoSpaceDE/>
        <w:autoSpaceDN/>
        <w:bidi w:val="0"/>
        <w:spacing w:line="360" w:lineRule="auto"/>
        <w:jc w:val="center"/>
        <w:outlineLvl w:val="0"/>
        <w:rPr>
          <w:rFonts w:hint="default" w:ascii="Times New Roman" w:hAnsi="Times New Roman" w:cs="Times New Roman" w:eastAsiaTheme="minorEastAsia"/>
          <w:b w:val="0"/>
          <w:bCs w:val="0"/>
          <w:color w:val="000000"/>
          <w:sz w:val="40"/>
          <w:szCs w:val="40"/>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eastAsiaTheme="minorEastAsia"/>
          <w:b w:val="0"/>
          <w:bCs w:val="0"/>
          <w:color w:val="000000"/>
          <w:sz w:val="40"/>
          <w:szCs w:val="40"/>
        </w:rPr>
        <w:t>二〇一</w:t>
      </w:r>
      <w:r>
        <w:rPr>
          <w:rFonts w:hint="default" w:ascii="Times New Roman" w:hAnsi="Times New Roman" w:cs="Times New Roman" w:eastAsiaTheme="minorEastAsia"/>
          <w:b w:val="0"/>
          <w:bCs w:val="0"/>
          <w:color w:val="000000"/>
          <w:sz w:val="40"/>
          <w:szCs w:val="40"/>
          <w:lang w:val="en-US" w:eastAsia="zh-CN"/>
        </w:rPr>
        <w:t>九</w:t>
      </w:r>
      <w:r>
        <w:rPr>
          <w:rFonts w:hint="default" w:ascii="Times New Roman" w:hAnsi="Times New Roman" w:cs="Times New Roman" w:eastAsiaTheme="minorEastAsia"/>
          <w:b w:val="0"/>
          <w:bCs w:val="0"/>
          <w:color w:val="000000"/>
          <w:sz w:val="40"/>
          <w:szCs w:val="40"/>
        </w:rPr>
        <w:t>年</w:t>
      </w:r>
      <w:r>
        <w:rPr>
          <w:rFonts w:hint="eastAsia" w:ascii="Times New Roman" w:hAnsi="Times New Roman" w:cs="Times New Roman"/>
          <w:b w:val="0"/>
          <w:bCs w:val="0"/>
          <w:color w:val="000000"/>
          <w:sz w:val="40"/>
          <w:szCs w:val="40"/>
          <w:lang w:eastAsia="zh-CN"/>
        </w:rPr>
        <w:t>六</w:t>
      </w:r>
      <w:r>
        <w:rPr>
          <w:rFonts w:hint="default" w:ascii="Times New Roman" w:hAnsi="Times New Roman" w:cs="Times New Roman" w:eastAsiaTheme="minorEastAsia"/>
          <w:b w:val="0"/>
          <w:bCs w:val="0"/>
          <w:color w:val="000000"/>
          <w:sz w:val="40"/>
          <w:szCs w:val="40"/>
          <w:lang w:val="en-US" w:eastAsia="zh-CN"/>
        </w:rPr>
        <w:t>月</w:t>
      </w:r>
    </w:p>
    <w:p>
      <w:pPr>
        <w:kinsoku/>
        <w:wordWrap/>
        <w:overflowPunct/>
        <w:topLinePunct w:val="0"/>
        <w:autoSpaceDE/>
        <w:autoSpaceDN/>
        <w:bidi w:val="0"/>
        <w:spacing w:line="360" w:lineRule="auto"/>
        <w:jc w:val="center"/>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rPr>
        <w:t>前   言</w:t>
      </w:r>
    </w:p>
    <w:p>
      <w:pPr>
        <w:pStyle w:val="7"/>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cs="Times New Roman" w:eastAsiaTheme="minorEastAsia"/>
          <w:b w:val="0"/>
          <w:bCs w:val="0"/>
          <w:color w:val="000000"/>
          <w:sz w:val="28"/>
          <w:szCs w:val="28"/>
        </w:rPr>
        <w:t>声环境功能区是加强环境噪声污染防治、强化噪声源监督管理和环境执法、改善声环境质量的重要依据和手段。随着城市化进程加快，城市面积不断扩大，城市路网快速扩张，城市内部用地结构不断变化，环境噪声影响程度和范围也在不断变化，现行声环境功能区已不能适应环境噪声管理需求，亟需调整。以改善声环境质量为核心，以保障人民享有良好的声环境为目标，做好声环境功能区划分，有效控制环境噪声污染程度和范围，不断改善声环境质量，努力建设宁静舒适的声环境。</w:t>
      </w:r>
    </w:p>
    <w:p>
      <w:pPr>
        <w:pStyle w:val="7"/>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eastAsiaTheme="minorEastAsia"/>
          <w:b w:val="0"/>
          <w:bCs w:val="0"/>
          <w:color w:val="000000"/>
          <w:sz w:val="28"/>
          <w:szCs w:val="28"/>
          <w:lang w:val="en-US" w:eastAsia="zh-CN"/>
        </w:rPr>
      </w:pPr>
      <w:r>
        <w:rPr>
          <w:rFonts w:hint="default" w:ascii="Times New Roman" w:hAnsi="Times New Roman" w:eastAsia="新宋体" w:cs="Times New Roman"/>
          <w:sz w:val="28"/>
          <w:szCs w:val="28"/>
          <w:highlight w:val="none"/>
          <w:shd w:val="clear"/>
        </w:rPr>
        <w:t>根据《云南省环境保护厅关于开展&lt;云南省声环境功能区划分（2019-2029）&gt;编制工作的通知》（云环通〔2018〕52号）要求</w:t>
      </w:r>
      <w:r>
        <w:rPr>
          <w:rFonts w:hint="default" w:ascii="Times New Roman" w:hAnsi="Times New Roman" w:eastAsia="新宋体" w:cs="Times New Roman"/>
          <w:sz w:val="28"/>
          <w:szCs w:val="28"/>
          <w:highlight w:val="none"/>
          <w:shd w:val="clear"/>
          <w:lang w:val="en-US" w:eastAsia="zh-CN"/>
        </w:rPr>
        <w:t>。</w:t>
      </w:r>
      <w:r>
        <w:rPr>
          <w:rFonts w:hint="eastAsia" w:ascii="Times New Roman" w:hAnsi="Times New Roman" w:eastAsia="新宋体" w:cs="Times New Roman"/>
          <w:sz w:val="28"/>
          <w:szCs w:val="28"/>
          <w:highlight w:val="none"/>
          <w:shd w:val="clear"/>
          <w:lang w:val="en-US" w:eastAsia="zh-CN"/>
        </w:rPr>
        <w:t>声环境功能区的总体要求是</w:t>
      </w:r>
      <w:r>
        <w:rPr>
          <w:rFonts w:hint="default" w:ascii="Times New Roman" w:hAnsi="Times New Roman" w:eastAsia="新宋体" w:cs="Times New Roman"/>
          <w:sz w:val="28"/>
          <w:szCs w:val="28"/>
          <w:highlight w:val="none"/>
          <w:shd w:val="clear"/>
          <w:lang w:val="en-US" w:eastAsia="zh-CN"/>
        </w:rPr>
        <w:t>以改善声环境质量为核心，以保障人民享有良好的声环境为目标，以城市总体规划为指导，重点考虑城市近期建设规划和用地现状，按照规划用地性质、用地现状、声环境质量现状和现行声环境功能区，科学划定声环境功能区类别</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并根据城市总体规划和用地性质变化而同步调整</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以城市规划为指导，按区域规划用地的主导功能确定。有效地控制噪声污染的程度和范围，提高声环境质量，保障城市居民正常生活、学习和工作场所的安静。要遵循城乡建设和发展的客观规律，因地制宜，统筹兼顾，综合部署，有利于环境噪声管理和促进噪声治理。有利于城市规划的实施和城市改造，做到区划科学合理，促进环境、经济社会协调发展。</w:t>
      </w:r>
    </w:p>
    <w:p>
      <w:pPr>
        <w:pStyle w:val="7"/>
        <w:keepNext w:val="0"/>
        <w:keepLines w:val="0"/>
        <w:pageBreakBefore/>
        <w:widowControl w:val="0"/>
        <w:kinsoku/>
        <w:wordWrap/>
        <w:overflowPunct/>
        <w:topLinePunct w:val="0"/>
        <w:autoSpaceDE/>
        <w:autoSpaceDN/>
        <w:bidi w:val="0"/>
        <w:adjustRightInd/>
        <w:snapToGrid/>
        <w:spacing w:line="480" w:lineRule="auto"/>
        <w:jc w:val="center"/>
        <w:textAlignment w:val="auto"/>
        <w:outlineLvl w:val="0"/>
        <w:rPr>
          <w:rFonts w:hint="default" w:ascii="Times New Roman" w:hAnsi="Times New Roman" w:eastAsia="新宋体" w:cs="Times New Roman"/>
          <w:b/>
          <w:bCs/>
          <w:color w:val="000000"/>
          <w:sz w:val="32"/>
          <w:szCs w:val="32"/>
          <w:highlight w:val="none"/>
          <w:shd w:val="clear"/>
          <w:lang w:eastAsia="zh-CN"/>
        </w:rPr>
      </w:pPr>
      <w:bookmarkStart w:id="0" w:name="_Toc19120"/>
      <w:bookmarkStart w:id="1" w:name="_Toc343"/>
      <w:r>
        <w:rPr>
          <w:rFonts w:hint="default" w:ascii="Times New Roman" w:hAnsi="Times New Roman" w:eastAsia="新宋体" w:cs="Times New Roman"/>
          <w:b/>
          <w:bCs/>
          <w:color w:val="000000"/>
          <w:sz w:val="32"/>
          <w:szCs w:val="32"/>
          <w:highlight w:val="none"/>
          <w:shd w:val="clear"/>
          <w:lang w:eastAsia="zh-CN"/>
        </w:rPr>
        <w:t>工作开展的情况说明</w:t>
      </w:r>
      <w:bookmarkEnd w:id="0"/>
      <w:bookmarkEnd w:id="1"/>
    </w:p>
    <w:p>
      <w:pPr>
        <w:spacing w:line="600" w:lineRule="exact"/>
        <w:outlineLvl w:val="0"/>
        <w:rPr>
          <w:rFonts w:hint="default" w:ascii="Times New Roman" w:hAnsi="Times New Roman" w:eastAsia="新宋体" w:cs="Times New Roman"/>
          <w:color w:val="000000"/>
          <w:kern w:val="0"/>
          <w:sz w:val="32"/>
          <w:szCs w:val="32"/>
          <w:highlight w:val="none"/>
          <w:lang w:val="en-US" w:eastAsia="zh-CN"/>
        </w:rPr>
      </w:pPr>
      <w:r>
        <w:rPr>
          <w:rFonts w:hint="default" w:ascii="Times New Roman" w:hAnsi="Times New Roman" w:eastAsia="新宋体" w:cs="Times New Roman"/>
          <w:b/>
          <w:bCs/>
          <w:color w:val="000000"/>
          <w:sz w:val="32"/>
          <w:szCs w:val="32"/>
          <w:highlight w:val="none"/>
          <w:lang w:val="en-US" w:eastAsia="zh-CN"/>
        </w:rPr>
        <w:t>（一）</w:t>
      </w:r>
      <w:r>
        <w:rPr>
          <w:rFonts w:hint="eastAsia" w:ascii="Times New Roman" w:hAnsi="Times New Roman" w:eastAsia="新宋体" w:cs="Times New Roman"/>
          <w:b/>
          <w:bCs/>
          <w:color w:val="000000"/>
          <w:sz w:val="32"/>
          <w:szCs w:val="32"/>
          <w:highlight w:val="none"/>
          <w:lang w:val="en-US" w:eastAsia="zh-CN"/>
        </w:rPr>
        <w:t>寻甸</w:t>
      </w:r>
      <w:r>
        <w:rPr>
          <w:rFonts w:hint="default" w:ascii="Times New Roman" w:hAnsi="Times New Roman" w:eastAsia="新宋体" w:cs="Times New Roman"/>
          <w:b/>
          <w:bCs/>
          <w:color w:val="000000"/>
          <w:sz w:val="32"/>
          <w:szCs w:val="32"/>
          <w:highlight w:val="none"/>
          <w:lang w:val="en-US" w:eastAsia="zh-CN"/>
        </w:rPr>
        <w:t>县声环境基本情况</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寻甸以打造“滇中北部山水生态宜居新城”为目标，按照“一个中心，东西两翼，三点一线”的城镇发展思路，城镇化不断提高，寻甸县县城形成了“围绕主轴大街，南北延伸，以北延为主，东西拓展，以东拓为主”的开发建设格局，不仅实现了县城建设规划的全覆盖，还打开了城镇开发的新局面，一个融山、水、园林为一体寻甸县城正逐渐呈现在世人面前。</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color w:val="000000"/>
          <w:sz w:val="28"/>
          <w:szCs w:val="28"/>
          <w:lang w:eastAsia="zh-CN"/>
        </w:rPr>
      </w:pPr>
      <w:r>
        <w:rPr>
          <w:rFonts w:hint="default" w:ascii="Times New Roman" w:hAnsi="Times New Roman" w:cs="Times New Roman" w:eastAsiaTheme="minorEastAsia"/>
          <w:b w:val="0"/>
          <w:bCs w:val="0"/>
          <w:sz w:val="28"/>
          <w:szCs w:val="28"/>
          <w:lang w:val="en-US" w:eastAsia="zh-CN"/>
        </w:rPr>
        <w:t>近年来，随着寻甸县县城经济社会日益发展，城镇化进程加快，城镇建设规模不断扩大，各种类型交通车辆的迅速增加，以及城镇居民对环境质量的要求逐步提高，城镇环境噪声污染影响日益突出，环境噪声污染纠纷频发，扰民投诉始终居高不下，环境噪声问题越来越引起了人们的广泛关注。采取有效措施防治环境噪声污染，改善城镇的声环境质量，势在必行。</w:t>
      </w:r>
      <w:r>
        <w:rPr>
          <w:rFonts w:hint="default" w:ascii="Times New Roman" w:hAnsi="Times New Roman" w:cs="Times New Roman" w:eastAsiaTheme="minorEastAsia"/>
          <w:b w:val="0"/>
          <w:bCs w:val="0"/>
          <w:sz w:val="28"/>
          <w:szCs w:val="28"/>
        </w:rPr>
        <w:t>根据</w:t>
      </w:r>
      <w:bookmarkStart w:id="2" w:name="OLE_LINK2"/>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云南省环境保护厅关于开展</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云南省声环境功能区划分（2019-2029）</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编制工作的通知（云环通〔2018〕52号）</w:t>
      </w:r>
      <w:bookmarkEnd w:id="2"/>
      <w:r>
        <w:rPr>
          <w:rFonts w:hint="eastAsia" w:ascii="Times New Roman" w:hAnsi="Times New Roman" w:cs="Times New Roman"/>
          <w:b w:val="0"/>
          <w:bCs w:val="0"/>
          <w:sz w:val="28"/>
          <w:szCs w:val="28"/>
          <w:lang w:eastAsia="zh-CN"/>
        </w:rPr>
        <w:t>”的</w:t>
      </w:r>
      <w:r>
        <w:rPr>
          <w:rFonts w:hint="default" w:ascii="Times New Roman" w:hAnsi="Times New Roman" w:cs="Times New Roman" w:eastAsiaTheme="minorEastAsia"/>
          <w:b w:val="0"/>
          <w:bCs w:val="0"/>
          <w:sz w:val="28"/>
          <w:szCs w:val="28"/>
        </w:rPr>
        <w:t>要求，</w:t>
      </w:r>
      <w:r>
        <w:rPr>
          <w:rFonts w:hint="eastAsia" w:ascii="Times New Roman" w:hAnsi="Times New Roman" w:cs="Times New Roman"/>
          <w:b w:val="0"/>
          <w:bCs w:val="0"/>
          <w:sz w:val="28"/>
          <w:szCs w:val="28"/>
          <w:lang w:eastAsia="zh-CN"/>
        </w:rPr>
        <w:t>昆明市生态环境局寻甸分局组织开展了</w:t>
      </w:r>
      <w:r>
        <w:rPr>
          <w:rFonts w:hint="eastAsia" w:ascii="Times New Roman" w:hAnsi="Times New Roman" w:cs="Times New Roman" w:eastAsiaTheme="minorEastAsia"/>
          <w:b w:val="0"/>
          <w:bCs w:val="0"/>
          <w:sz w:val="28"/>
          <w:szCs w:val="28"/>
          <w:lang w:eastAsia="zh-CN"/>
        </w:rPr>
        <w:t>《</w:t>
      </w:r>
      <w:r>
        <w:rPr>
          <w:rFonts w:hint="eastAsia" w:ascii="Times New Roman" w:hAnsi="Times New Roman" w:cs="Times New Roman" w:eastAsiaTheme="minorEastAsia"/>
          <w:b w:val="0"/>
          <w:bCs w:val="0"/>
          <w:sz w:val="28"/>
          <w:szCs w:val="28"/>
          <w:lang w:val="en-US" w:eastAsia="zh-CN"/>
        </w:rPr>
        <w:t>寻甸回族彝族自治县声环境功能区划分（2019-2029）</w:t>
      </w:r>
      <w:r>
        <w:rPr>
          <w:rFonts w:hint="eastAsia" w:ascii="Times New Roman" w:hAnsi="Times New Roman" w:cs="Times New Roman" w:eastAsiaTheme="minorEastAsia"/>
          <w:b w:val="0"/>
          <w:bCs w:val="0"/>
          <w:sz w:val="28"/>
          <w:szCs w:val="28"/>
          <w:lang w:eastAsia="zh-CN"/>
        </w:rPr>
        <w:t>》</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lang w:val="en-US" w:eastAsia="zh-CN"/>
        </w:rPr>
        <w:t>因声环境功能区划分编制工作的原则</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以城市规划为指导</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—按区域规划用地的主导功能、用地现状确定，应覆盖整个城市规划区面积；便于城市声环境管理促进声环境质量提升</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color w:val="000000"/>
          <w:sz w:val="28"/>
          <w:szCs w:val="28"/>
          <w:lang w:eastAsia="zh-CN"/>
        </w:rPr>
        <w:t>本次声环境区划根据</w:t>
      </w:r>
      <w:r>
        <w:rPr>
          <w:rFonts w:hint="default" w:ascii="Times New Roman" w:hAnsi="Times New Roman" w:cs="Times New Roman" w:eastAsiaTheme="minorEastAsia"/>
          <w:b w:val="0"/>
          <w:bCs w:val="0"/>
          <w:color w:val="000000"/>
          <w:sz w:val="28"/>
          <w:szCs w:val="28"/>
          <w:lang w:val="en-US" w:eastAsia="zh-CN"/>
        </w:rPr>
        <w:t>寻甸回族彝族自治县</w:t>
      </w:r>
      <w:r>
        <w:rPr>
          <w:rFonts w:hint="default" w:ascii="Times New Roman" w:hAnsi="Times New Roman" w:cs="Times New Roman" w:eastAsiaTheme="minorEastAsia"/>
          <w:b w:val="0"/>
          <w:bCs w:val="0"/>
          <w:color w:val="000000"/>
          <w:sz w:val="28"/>
          <w:szCs w:val="28"/>
          <w:lang w:eastAsia="zh-CN"/>
        </w:rPr>
        <w:t>城市总体规划、城市土地利用规划、</w:t>
      </w:r>
      <w:r>
        <w:rPr>
          <w:rFonts w:hint="default" w:ascii="Times New Roman" w:hAnsi="Times New Roman" w:cs="Times New Roman" w:eastAsiaTheme="minorEastAsia"/>
          <w:b w:val="0"/>
          <w:bCs w:val="0"/>
          <w:color w:val="000000"/>
          <w:sz w:val="28"/>
          <w:szCs w:val="28"/>
          <w:lang w:val="en-US" w:eastAsia="zh-CN"/>
        </w:rPr>
        <w:t>寻甸回族彝族自治县</w:t>
      </w:r>
      <w:r>
        <w:rPr>
          <w:rFonts w:hint="default" w:ascii="Times New Roman" w:hAnsi="Times New Roman" w:cs="Times New Roman" w:eastAsiaTheme="minorEastAsia"/>
          <w:b w:val="0"/>
          <w:bCs w:val="0"/>
          <w:color w:val="000000"/>
          <w:sz w:val="28"/>
          <w:szCs w:val="28"/>
          <w:lang w:eastAsia="zh-CN"/>
        </w:rPr>
        <w:t>行政区规划、城市交通规划等基础上结合区域噪声污染特征、声环境质量现状及区域敏感性等综合因素，合理区划出规范区范围内的声功能范围，明确各功能区域类型和功能。</w:t>
      </w:r>
    </w:p>
    <w:p>
      <w:pPr>
        <w:kinsoku/>
        <w:wordWrap/>
        <w:overflowPunct/>
        <w:topLinePunct w:val="0"/>
        <w:autoSpaceDE/>
        <w:autoSpaceDN/>
        <w:bidi w:val="0"/>
        <w:spacing w:line="360" w:lineRule="auto"/>
        <w:ind w:firstLine="840" w:firstLineChars="3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color w:val="000000"/>
          <w:sz w:val="28"/>
          <w:szCs w:val="28"/>
          <w:lang w:eastAsia="zh-CN"/>
        </w:rPr>
        <w:t>在整个区划的过程中，充分听取了当地环保局、环保监测部门、国土规划部门的意见，严格按照相关标准规范，做到划分区域分界</w:t>
      </w:r>
      <w:r>
        <w:rPr>
          <w:rFonts w:hint="eastAsia" w:ascii="Times New Roman" w:hAnsi="Times New Roman" w:cs="Times New Roman"/>
          <w:b w:val="0"/>
          <w:bCs w:val="0"/>
          <w:color w:val="000000"/>
          <w:sz w:val="28"/>
          <w:szCs w:val="28"/>
          <w:lang w:eastAsia="zh-CN"/>
        </w:rPr>
        <w:t>清晰。</w:t>
      </w:r>
      <w:r>
        <w:rPr>
          <w:rFonts w:hint="default" w:ascii="Times New Roman" w:hAnsi="Times New Roman" w:cs="Times New Roman" w:eastAsiaTheme="minorEastAsia"/>
          <w:b w:val="0"/>
          <w:bCs w:val="0"/>
          <w:sz w:val="28"/>
          <w:szCs w:val="28"/>
          <w:lang w:val="en-US" w:eastAsia="zh-CN"/>
        </w:rPr>
        <w:t>寻甸回族彝族自治县环保局</w:t>
      </w:r>
      <w:r>
        <w:rPr>
          <w:rFonts w:hint="default" w:ascii="Times New Roman" w:hAnsi="Times New Roman" w:cs="Times New Roman" w:eastAsiaTheme="minorEastAsia"/>
          <w:b w:val="0"/>
          <w:bCs w:val="0"/>
          <w:sz w:val="28"/>
          <w:szCs w:val="28"/>
        </w:rPr>
        <w:t>成立了由</w:t>
      </w:r>
      <w:r>
        <w:rPr>
          <w:rFonts w:hint="default" w:ascii="Times New Roman" w:hAnsi="Times New Roman" w:cs="Times New Roman" w:eastAsiaTheme="minorEastAsia"/>
          <w:b w:val="0"/>
          <w:bCs w:val="0"/>
          <w:sz w:val="28"/>
          <w:szCs w:val="28"/>
          <w:lang w:val="en-US" w:eastAsia="zh-CN"/>
        </w:rPr>
        <w:t>寻甸回族彝族自治县</w:t>
      </w:r>
      <w:r>
        <w:rPr>
          <w:rFonts w:hint="default" w:ascii="Times New Roman" w:hAnsi="Times New Roman" w:cs="Times New Roman" w:eastAsiaTheme="minorEastAsia"/>
          <w:b w:val="0"/>
          <w:bCs w:val="0"/>
          <w:sz w:val="28"/>
          <w:szCs w:val="28"/>
        </w:rPr>
        <w:t>环保局局长领导、监测站站长及副站长负责划分技术的工作组，并明确时限要求，完成</w:t>
      </w:r>
      <w:r>
        <w:rPr>
          <w:rFonts w:hint="default" w:ascii="Times New Roman" w:hAnsi="Times New Roman" w:cs="Times New Roman" w:eastAsiaTheme="minorEastAsia"/>
          <w:b w:val="0"/>
          <w:bCs w:val="0"/>
          <w:sz w:val="28"/>
          <w:szCs w:val="28"/>
          <w:lang w:val="en-US" w:eastAsia="zh-CN"/>
        </w:rPr>
        <w:t>寻甸回族彝族自治县</w:t>
      </w:r>
      <w:r>
        <w:rPr>
          <w:rFonts w:hint="default" w:ascii="Times New Roman" w:hAnsi="Times New Roman" w:cs="Times New Roman" w:eastAsiaTheme="minorEastAsia"/>
          <w:b w:val="0"/>
          <w:bCs w:val="0"/>
          <w:sz w:val="28"/>
          <w:szCs w:val="28"/>
        </w:rPr>
        <w:t>声环境功能区划分编制工作。</w:t>
      </w:r>
    </w:p>
    <w:p>
      <w:pPr>
        <w:spacing w:line="600" w:lineRule="exact"/>
        <w:outlineLvl w:val="0"/>
        <w:rPr>
          <w:rFonts w:hint="default" w:ascii="Times New Roman" w:hAnsi="Times New Roman" w:eastAsia="新宋体" w:cs="Times New Roman"/>
          <w:b/>
          <w:bCs/>
          <w:color w:val="000000"/>
          <w:sz w:val="32"/>
          <w:szCs w:val="32"/>
          <w:highlight w:val="none"/>
          <w:lang w:val="en-US" w:eastAsia="zh-CN"/>
        </w:rPr>
      </w:pPr>
      <w:r>
        <w:rPr>
          <w:rFonts w:hint="default" w:ascii="Times New Roman" w:hAnsi="Times New Roman" w:eastAsia="新宋体" w:cs="Times New Roman"/>
          <w:b/>
          <w:bCs/>
          <w:color w:val="000000"/>
          <w:sz w:val="32"/>
          <w:szCs w:val="32"/>
          <w:highlight w:val="none"/>
          <w:lang w:val="en-US" w:eastAsia="zh-CN"/>
        </w:rPr>
        <w:t>（二）</w:t>
      </w:r>
      <w:r>
        <w:rPr>
          <w:rFonts w:hint="eastAsia" w:ascii="Times New Roman" w:hAnsi="Times New Roman" w:eastAsia="新宋体" w:cs="Times New Roman"/>
          <w:b/>
          <w:bCs/>
          <w:color w:val="000000"/>
          <w:sz w:val="32"/>
          <w:szCs w:val="32"/>
          <w:highlight w:val="none"/>
          <w:lang w:val="en-US" w:eastAsia="zh-CN"/>
        </w:rPr>
        <w:t>寻甸</w:t>
      </w:r>
      <w:r>
        <w:rPr>
          <w:rFonts w:hint="default" w:ascii="Times New Roman" w:hAnsi="Times New Roman" w:eastAsia="新宋体" w:cs="Times New Roman"/>
          <w:b/>
          <w:bCs/>
          <w:color w:val="000000"/>
          <w:sz w:val="32"/>
          <w:szCs w:val="32"/>
          <w:highlight w:val="none"/>
          <w:lang w:val="en-US" w:eastAsia="zh-CN"/>
        </w:rPr>
        <w:t>县声环境功能区划分技术报告编制情况</w:t>
      </w:r>
    </w:p>
    <w:p>
      <w:pPr>
        <w:kinsoku/>
        <w:wordWrap/>
        <w:overflowPunct/>
        <w:topLinePunct w:val="0"/>
        <w:autoSpaceDE/>
        <w:autoSpaceDN/>
        <w:bidi w:val="0"/>
        <w:spacing w:line="360" w:lineRule="auto"/>
        <w:ind w:firstLine="840" w:firstLineChars="3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color w:val="000000"/>
          <w:sz w:val="28"/>
          <w:szCs w:val="28"/>
          <w:lang w:eastAsia="zh-CN"/>
        </w:rPr>
        <w:t>根据云环通[2018]52号云南省环境保护厅关于开展《云南省声环境功能区划分（2019-2029）》编制工作的通知和昆明市生态环境局关于完成县级声环境功能区划（2019-2029年）方案备案工作的函的要求，按技术规划要求，形成完整的声环境功能区划分技术报告和图集，报当地人民政府批准、公布、实施，同时报生态环境局备案。</w:t>
      </w:r>
      <w:r>
        <w:rPr>
          <w:rFonts w:hint="default" w:ascii="Times New Roman" w:hAnsi="Times New Roman" w:cs="Times New Roman" w:eastAsiaTheme="minorEastAsia"/>
          <w:b w:val="0"/>
          <w:bCs w:val="0"/>
          <w:color w:val="000000"/>
          <w:sz w:val="28"/>
          <w:szCs w:val="28"/>
          <w:lang w:eastAsia="zh-CN"/>
        </w:rPr>
        <w:br w:type="textWrapping"/>
      </w:r>
      <w:r>
        <w:rPr>
          <w:rFonts w:hint="default" w:ascii="Times New Roman" w:hAnsi="Times New Roman" w:cs="Times New Roman" w:eastAsiaTheme="minorEastAsia"/>
          <w:b w:val="0"/>
          <w:bCs w:val="0"/>
          <w:color w:val="000000"/>
          <w:sz w:val="28"/>
          <w:szCs w:val="28"/>
          <w:lang w:eastAsia="zh-CN"/>
        </w:rPr>
        <w:t>我分局委托第三方环境公司按照《声环境功能区划分技术标准规范》（GB/T1590-2014）开展编制工作；于2019年4月完成《寻甸回族彝族自治县声环境功能区划分（2019-2029）技术报告》审查稿，并于2019年5月9日通过市级评审；依据评审意见对技术报告进行修改完善，并于2019年5月21日和2019年5月28日，分别向5个县级相关部门意见征求工作；现已按技术规范要求和各部门建议完成的技术报告的修改完善。现将修改完善后的《寻甸回族彝族自治县声环境功能区划分（2019-2029）技术报告》和图集呈报</w:t>
      </w:r>
      <w:r>
        <w:rPr>
          <w:rFonts w:hint="eastAsia" w:ascii="Times New Roman" w:hAnsi="Times New Roman" w:cs="Times New Roman"/>
          <w:b w:val="0"/>
          <w:bCs w:val="0"/>
          <w:color w:val="000000"/>
          <w:sz w:val="28"/>
          <w:szCs w:val="28"/>
          <w:lang w:eastAsia="zh-CN"/>
        </w:rPr>
        <w:t>。</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本次工作负责领导和技术组名单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eastAsiaTheme="minorEastAsia"/>
          <w:b w:val="0"/>
          <w:bCs w:val="0"/>
          <w:sz w:val="28"/>
          <w:szCs w:val="28"/>
        </w:rPr>
      </w:pPr>
    </w:p>
    <w:tbl>
      <w:tblPr>
        <w:tblStyle w:val="9"/>
        <w:tblW w:w="7980" w:type="dxa"/>
        <w:tblInd w:w="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9" w:hRule="atLeast"/>
        </w:trPr>
        <w:tc>
          <w:tcPr>
            <w:tcW w:w="7980" w:type="dxa"/>
            <w:tcBorders>
              <w:tl2br w:val="nil"/>
              <w:tr2bl w:val="nil"/>
            </w:tcBorders>
            <w:vAlign w:val="top"/>
          </w:tcPr>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领导小组成员名单如下：</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组  长：</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环保局局长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副组长：</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环保局副局长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环境监测站站长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寻甸回族彝族自治县</w:t>
            </w:r>
            <w:r>
              <w:rPr>
                <w:rFonts w:hint="default" w:ascii="Times New Roman" w:hAnsi="Times New Roman" w:cs="Times New Roman" w:eastAsiaTheme="minorEastAsia"/>
                <w:b w:val="0"/>
                <w:bCs w:val="0"/>
                <w:sz w:val="28"/>
                <w:szCs w:val="28"/>
                <w:lang w:val="en-US" w:eastAsia="zh-CN"/>
              </w:rPr>
              <w:t>环保局环评</w:t>
            </w:r>
            <w:r>
              <w:rPr>
                <w:rFonts w:hint="default" w:ascii="Times New Roman" w:hAnsi="Times New Roman" w:cs="Times New Roman" w:eastAsiaTheme="minorEastAsia"/>
                <w:b w:val="0"/>
                <w:bCs w:val="0"/>
                <w:sz w:val="28"/>
                <w:szCs w:val="28"/>
                <w:highlight w:val="none"/>
                <w:lang w:val="en-US" w:eastAsia="zh-CN"/>
              </w:rPr>
              <w:t>股</w:t>
            </w:r>
            <w:r>
              <w:rPr>
                <w:rFonts w:hint="default" w:ascii="Times New Roman" w:hAnsi="Times New Roman" w:cs="Times New Roman" w:eastAsiaTheme="minorEastAsia"/>
                <w:b w:val="0"/>
                <w:bCs w:val="0"/>
                <w:sz w:val="28"/>
                <w:szCs w:val="28"/>
                <w:lang w:val="en-US" w:eastAsia="zh-CN"/>
              </w:rPr>
              <w:t>负责人</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成  员：</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环境监测站副站长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寻甸回族彝族自治县环境监测站副站长</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领导小组办公室设于环境影响评价及自然生态股，负责处理环境总规编制工作协调相关部门和科室开展收集等日常事务，办公室主任由环保局环评</w:t>
            </w:r>
            <w:r>
              <w:rPr>
                <w:rFonts w:hint="default" w:ascii="Times New Roman" w:hAnsi="Times New Roman" w:cs="Times New Roman" w:eastAsiaTheme="minorEastAsia"/>
                <w:b w:val="0"/>
                <w:bCs w:val="0"/>
                <w:sz w:val="28"/>
                <w:szCs w:val="28"/>
                <w:highlight w:val="none"/>
                <w:lang w:val="en-US" w:eastAsia="zh-CN"/>
              </w:rPr>
              <w:t>股</w:t>
            </w:r>
            <w:r>
              <w:rPr>
                <w:rFonts w:hint="default" w:ascii="Times New Roman" w:hAnsi="Times New Roman" w:cs="Times New Roman" w:eastAsiaTheme="minorEastAsia"/>
                <w:b w:val="0"/>
                <w:bCs w:val="0"/>
                <w:sz w:val="28"/>
                <w:szCs w:val="28"/>
                <w:lang w:val="en-US" w:eastAsia="zh-CN"/>
              </w:rPr>
              <w:t>负责人兼任。</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领导小组下设技术小组，负责根据领导小组安排对相关研究内容提供监测技术保障，提供相关监测数据，参与环境总体规划编制各专项课题研究，技术小组成员名单如下：</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组  长：</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环境监测站站长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副组长：</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环境监测站副站长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环境监测站副站长</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组  员：</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寻甸回族彝族自治县</w:t>
            </w:r>
            <w:r>
              <w:rPr>
                <w:rFonts w:hint="default" w:ascii="Times New Roman" w:hAnsi="Times New Roman" w:cs="Times New Roman" w:eastAsiaTheme="minorEastAsia"/>
                <w:b w:val="0"/>
                <w:bCs w:val="0"/>
                <w:sz w:val="28"/>
                <w:szCs w:val="28"/>
                <w:lang w:val="en-US" w:eastAsia="zh-CN"/>
              </w:rPr>
              <w:t>环境监测站</w:t>
            </w:r>
          </w:p>
          <w:p>
            <w:pPr>
              <w:kinsoku/>
              <w:wordWrap/>
              <w:overflowPunct/>
              <w:topLinePunct w:val="0"/>
              <w:autoSpaceDE/>
              <w:autoSpaceDN/>
              <w:bidi w:val="0"/>
              <w:spacing w:line="360" w:lineRule="auto"/>
              <w:rPr>
                <w:rFonts w:hint="default" w:ascii="Times New Roman" w:hAnsi="Times New Roman" w:cs="Times New Roman" w:eastAsiaTheme="minorEastAsia"/>
                <w:b w:val="0"/>
                <w:bCs w:val="0"/>
                <w:sz w:val="28"/>
                <w:szCs w:val="28"/>
                <w:vertAlign w:val="baseline"/>
                <w:lang w:val="en-US" w:eastAsia="zh-CN"/>
              </w:rPr>
            </w:pPr>
            <w:r>
              <w:rPr>
                <w:rFonts w:hint="default" w:ascii="Times New Roman" w:hAnsi="Times New Roman" w:cs="Times New Roman" w:eastAsiaTheme="minorEastAsia"/>
                <w:b w:val="0"/>
                <w:bCs w:val="0"/>
                <w:sz w:val="28"/>
                <w:szCs w:val="28"/>
                <w:lang w:val="en-US" w:eastAsia="zh-CN"/>
              </w:rPr>
              <w:t xml:space="preserve">       </w:t>
            </w:r>
            <w:r>
              <w:rPr>
                <w:rFonts w:hint="default"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lang w:val="en-US" w:eastAsia="zh-CN"/>
              </w:rPr>
              <w:t xml:space="preserve">寻甸回族彝族自治县环境监测站  </w:t>
            </w:r>
          </w:p>
        </w:tc>
      </w:tr>
    </w:tbl>
    <w:p>
      <w:pPr>
        <w:kinsoku/>
        <w:wordWrap/>
        <w:overflowPunct/>
        <w:topLinePunct w:val="0"/>
        <w:autoSpaceDE/>
        <w:autoSpaceDN/>
        <w:bidi w:val="0"/>
        <w:spacing w:line="360" w:lineRule="auto"/>
        <w:jc w:val="center"/>
        <w:rPr>
          <w:rFonts w:hint="default" w:ascii="Times New Roman" w:hAnsi="Times New Roman" w:cs="Times New Roman" w:eastAsiaTheme="minorEastAsia"/>
          <w:b w:val="0"/>
          <w:bCs w:val="0"/>
          <w:sz w:val="28"/>
          <w:szCs w:val="28"/>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hint="eastAsia" w:ascii="黑体" w:hAnsi="黑体" w:eastAsia="黑体" w:cs="黑体"/>
          <w:b/>
          <w:bCs/>
          <w:kern w:val="2"/>
          <w:sz w:val="32"/>
          <w:szCs w:val="32"/>
          <w:lang w:val="en-US" w:eastAsia="zh-CN" w:bidi="ar-SA"/>
        </w:rPr>
        <w:id w:val="147476235"/>
        <w15:color w:val="DBDBDB"/>
        <w:docPartObj>
          <w:docPartGallery w:val="Table of Contents"/>
          <w:docPartUnique/>
        </w:docPartObj>
      </w:sdtPr>
      <w:sdtEndPr>
        <w:rPr>
          <w:rFonts w:hint="eastAsia" w:ascii="宋体" w:hAnsi="宋体" w:eastAsia="宋体" w:cs="宋体"/>
          <w:b/>
          <w:bCs/>
          <w:kern w:val="2"/>
          <w:sz w:val="24"/>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黑体" w:hAnsi="黑体" w:eastAsia="黑体" w:cs="黑体"/>
              <w:b/>
              <w:bCs/>
              <w:sz w:val="32"/>
              <w:szCs w:val="32"/>
            </w:rPr>
          </w:pPr>
          <w:bookmarkStart w:id="3" w:name="_Toc13528_WPSOffice_Type2"/>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_Toc15704_WPSOffice_Level1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feb471a1-bec2-4d6c-af9d-b474d275983d}"/>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1.声环境功能区划分依据</w:t>
              </w:r>
            </w:sdtContent>
          </w:sdt>
          <w:r>
            <w:rPr>
              <w:rFonts w:hint="eastAsia" w:ascii="宋体" w:hAnsi="宋体" w:eastAsia="宋体" w:cs="宋体"/>
              <w:b/>
              <w:bCs/>
              <w:sz w:val="24"/>
              <w:szCs w:val="24"/>
            </w:rPr>
            <w:tab/>
          </w:r>
          <w:bookmarkStart w:id="4" w:name="_Toc15704_WPSOffice_Level1Page"/>
          <w:r>
            <w:rPr>
              <w:rFonts w:hint="eastAsia" w:ascii="宋体" w:hAnsi="宋体" w:eastAsia="宋体" w:cs="宋体"/>
              <w:b/>
              <w:bCs/>
              <w:sz w:val="24"/>
              <w:szCs w:val="24"/>
            </w:rPr>
            <w:t>1</w:t>
          </w:r>
          <w:bookmarkEnd w:id="4"/>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_Toc13528_WPSOffice_Level2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6aa86a17-1e79-409e-b3b6-b1fdb12307db}"/>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1.1 法律法规</w:t>
              </w:r>
            </w:sdtContent>
          </w:sdt>
          <w:r>
            <w:rPr>
              <w:rFonts w:hint="eastAsia" w:ascii="宋体" w:hAnsi="宋体" w:eastAsia="宋体" w:cs="宋体"/>
              <w:sz w:val="24"/>
              <w:szCs w:val="24"/>
            </w:rPr>
            <w:tab/>
          </w:r>
          <w:bookmarkStart w:id="5" w:name="_Toc13528_WPSOffice_Level2Page"/>
          <w:r>
            <w:rPr>
              <w:rFonts w:hint="eastAsia" w:ascii="宋体" w:hAnsi="宋体" w:eastAsia="宋体" w:cs="宋体"/>
              <w:sz w:val="24"/>
              <w:szCs w:val="24"/>
            </w:rPr>
            <w:t>1</w:t>
          </w:r>
          <w:bookmarkEnd w:id="5"/>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_Toc10838_WPSOffice_Level2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e37e4fd2-cefe-4998-b7e2-b0653de2a1a1}"/>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1.2 相关标准及技术规范</w:t>
              </w:r>
            </w:sdtContent>
          </w:sdt>
          <w:r>
            <w:rPr>
              <w:rFonts w:hint="eastAsia" w:ascii="宋体" w:hAnsi="宋体" w:eastAsia="宋体" w:cs="宋体"/>
              <w:sz w:val="24"/>
              <w:szCs w:val="24"/>
            </w:rPr>
            <w:tab/>
          </w:r>
          <w:bookmarkStart w:id="6" w:name="_Toc10838_WPSOffice_Level2Page"/>
          <w:r>
            <w:rPr>
              <w:rFonts w:hint="eastAsia" w:ascii="宋体" w:hAnsi="宋体" w:eastAsia="宋体" w:cs="宋体"/>
              <w:sz w:val="24"/>
              <w:szCs w:val="24"/>
            </w:rPr>
            <w:t>1</w:t>
          </w:r>
          <w:bookmarkEnd w:id="6"/>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_Toc2251_WPSOffice_Level2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cc2d02b1-ca00-4728-b67c-15f953639ca6}"/>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1.3 相关依据</w:t>
              </w:r>
            </w:sdtContent>
          </w:sdt>
          <w:r>
            <w:rPr>
              <w:rFonts w:hint="eastAsia" w:ascii="宋体" w:hAnsi="宋体" w:eastAsia="宋体" w:cs="宋体"/>
              <w:sz w:val="24"/>
              <w:szCs w:val="24"/>
            </w:rPr>
            <w:tab/>
          </w:r>
          <w:bookmarkStart w:id="7" w:name="_Toc2251_WPSOffice_Level2Page"/>
          <w:r>
            <w:rPr>
              <w:rFonts w:hint="eastAsia" w:ascii="宋体" w:hAnsi="宋体" w:eastAsia="宋体" w:cs="宋体"/>
              <w:sz w:val="24"/>
              <w:szCs w:val="24"/>
            </w:rPr>
            <w:t>2</w:t>
          </w:r>
          <w:bookmarkEnd w:id="7"/>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_Toc3406_WPSOffice_Level2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65061bc2-52d7-4c58-966f-821142321a81}"/>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1.4 区划原则</w:t>
              </w:r>
            </w:sdtContent>
          </w:sdt>
          <w:r>
            <w:rPr>
              <w:rFonts w:hint="eastAsia" w:ascii="宋体" w:hAnsi="宋体" w:eastAsia="宋体" w:cs="宋体"/>
              <w:sz w:val="24"/>
              <w:szCs w:val="24"/>
            </w:rPr>
            <w:tab/>
          </w:r>
          <w:bookmarkStart w:id="8" w:name="_Toc3406_WPSOffice_Level2Page"/>
          <w:r>
            <w:rPr>
              <w:rFonts w:hint="eastAsia" w:ascii="宋体" w:hAnsi="宋体" w:eastAsia="宋体" w:cs="宋体"/>
              <w:sz w:val="24"/>
              <w:szCs w:val="24"/>
            </w:rPr>
            <w:t>2</w:t>
          </w:r>
          <w:bookmarkEnd w:id="8"/>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_Toc13528_WPSOffice_Level1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8e85f0bc-e430-4822-a50e-22ad1f8642f8}"/>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2. 区域概况</w:t>
              </w:r>
            </w:sdtContent>
          </w:sdt>
          <w:r>
            <w:rPr>
              <w:rFonts w:hint="eastAsia" w:ascii="宋体" w:hAnsi="宋体" w:eastAsia="宋体" w:cs="宋体"/>
              <w:b/>
              <w:bCs/>
              <w:sz w:val="24"/>
              <w:szCs w:val="24"/>
            </w:rPr>
            <w:tab/>
          </w:r>
          <w:bookmarkStart w:id="9" w:name="_Toc13528_WPSOffice_Level1Page"/>
          <w:r>
            <w:rPr>
              <w:rFonts w:hint="eastAsia" w:ascii="宋体" w:hAnsi="宋体" w:eastAsia="宋体" w:cs="宋体"/>
              <w:b/>
              <w:bCs/>
              <w:sz w:val="24"/>
              <w:szCs w:val="24"/>
            </w:rPr>
            <w:t>4</w:t>
          </w:r>
          <w:bookmarkEnd w:id="9"/>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_Toc18958_WPSOffice_Level2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ebeaf094-e2db-46bd-91e5-c80dad5355e2}"/>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2.1 自然环境概况</w:t>
              </w:r>
            </w:sdtContent>
          </w:sdt>
          <w:r>
            <w:rPr>
              <w:rFonts w:hint="eastAsia" w:ascii="宋体" w:hAnsi="宋体" w:eastAsia="宋体" w:cs="宋体"/>
              <w:sz w:val="24"/>
              <w:szCs w:val="24"/>
            </w:rPr>
            <w:tab/>
          </w:r>
          <w:bookmarkStart w:id="10" w:name="_Toc18958_WPSOffice_Level2Page"/>
          <w:r>
            <w:rPr>
              <w:rFonts w:hint="eastAsia" w:ascii="宋体" w:hAnsi="宋体" w:eastAsia="宋体" w:cs="宋体"/>
              <w:sz w:val="24"/>
              <w:szCs w:val="24"/>
            </w:rPr>
            <w:t>4</w:t>
          </w:r>
          <w:bookmarkEnd w:id="10"/>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_Toc30494_WPSOffice_Level2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5584858a-8105-4ceb-ae91-f3bc153b1d9a}"/>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2.2 社会经济概况</w:t>
              </w:r>
            </w:sdtContent>
          </w:sdt>
          <w:r>
            <w:rPr>
              <w:rFonts w:hint="eastAsia" w:ascii="宋体" w:hAnsi="宋体" w:eastAsia="宋体" w:cs="宋体"/>
              <w:sz w:val="24"/>
              <w:szCs w:val="24"/>
            </w:rPr>
            <w:tab/>
          </w:r>
          <w:bookmarkStart w:id="11" w:name="_Toc30494_WPSOffice_Level2Page"/>
          <w:r>
            <w:rPr>
              <w:rFonts w:hint="eastAsia" w:ascii="宋体" w:hAnsi="宋体" w:eastAsia="宋体" w:cs="宋体"/>
              <w:sz w:val="24"/>
              <w:szCs w:val="24"/>
            </w:rPr>
            <w:t>11</w:t>
          </w:r>
          <w:bookmarkEnd w:id="11"/>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_Toc16240_WPSOffice_Level2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9d5eac55-42e9-4ee8-b1ee-af3bdffadc0f}"/>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2.3 城市建设现状</w:t>
              </w:r>
            </w:sdtContent>
          </w:sdt>
          <w:r>
            <w:rPr>
              <w:rFonts w:hint="eastAsia" w:ascii="宋体" w:hAnsi="宋体" w:eastAsia="宋体" w:cs="宋体"/>
              <w:sz w:val="24"/>
              <w:szCs w:val="24"/>
            </w:rPr>
            <w:tab/>
          </w:r>
          <w:bookmarkStart w:id="12" w:name="_Toc16240_WPSOffice_Level2Page"/>
          <w:r>
            <w:rPr>
              <w:rFonts w:hint="eastAsia" w:ascii="宋体" w:hAnsi="宋体" w:eastAsia="宋体" w:cs="宋体"/>
              <w:sz w:val="24"/>
              <w:szCs w:val="24"/>
            </w:rPr>
            <w:t>13</w:t>
          </w:r>
          <w:bookmarkEnd w:id="12"/>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_Toc19367_WPSOffice_Level2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c8c828e6-e551-4e64-9851-61fc8698ec57}"/>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2.4寻甸特色产业园区</w:t>
              </w:r>
            </w:sdtContent>
          </w:sdt>
          <w:r>
            <w:rPr>
              <w:rFonts w:hint="eastAsia" w:ascii="宋体" w:hAnsi="宋体" w:eastAsia="宋体" w:cs="宋体"/>
              <w:sz w:val="24"/>
              <w:szCs w:val="24"/>
            </w:rPr>
            <w:tab/>
          </w:r>
          <w:bookmarkStart w:id="13" w:name="_Toc19367_WPSOffice_Level2Page"/>
          <w:r>
            <w:rPr>
              <w:rFonts w:hint="eastAsia" w:ascii="宋体" w:hAnsi="宋体" w:eastAsia="宋体" w:cs="宋体"/>
              <w:sz w:val="24"/>
              <w:szCs w:val="24"/>
            </w:rPr>
            <w:t>16</w:t>
          </w:r>
          <w:bookmarkEnd w:id="13"/>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_Toc10838_WPSOffice_Level1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9ee2de7e-6706-4b58-a818-2334865a1bf7}"/>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3. 声环境质量现状</w:t>
              </w:r>
            </w:sdtContent>
          </w:sdt>
          <w:r>
            <w:rPr>
              <w:rFonts w:hint="eastAsia" w:ascii="宋体" w:hAnsi="宋体" w:eastAsia="宋体" w:cs="宋体"/>
              <w:b/>
              <w:bCs/>
              <w:sz w:val="24"/>
              <w:szCs w:val="24"/>
            </w:rPr>
            <w:tab/>
          </w:r>
          <w:bookmarkStart w:id="14" w:name="_Toc10838_WPSOffice_Level1Page"/>
          <w:r>
            <w:rPr>
              <w:rFonts w:hint="eastAsia" w:ascii="宋体" w:hAnsi="宋体" w:eastAsia="宋体" w:cs="宋体"/>
              <w:b/>
              <w:bCs/>
              <w:sz w:val="24"/>
              <w:szCs w:val="24"/>
            </w:rPr>
            <w:t>17</w:t>
          </w:r>
          <w:bookmarkEnd w:id="14"/>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_Toc15470_WPSOffice_Level2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e4ad4688-e4fd-4e74-b09c-7d1d9439f55f}"/>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3.1 声环境质量监测方案</w:t>
              </w:r>
            </w:sdtContent>
          </w:sdt>
          <w:r>
            <w:rPr>
              <w:rFonts w:hint="eastAsia" w:ascii="宋体" w:hAnsi="宋体" w:eastAsia="宋体" w:cs="宋体"/>
              <w:sz w:val="24"/>
              <w:szCs w:val="24"/>
            </w:rPr>
            <w:tab/>
          </w:r>
          <w:bookmarkStart w:id="15" w:name="_Toc15470_WPSOffice_Level2Page"/>
          <w:r>
            <w:rPr>
              <w:rFonts w:hint="eastAsia" w:ascii="宋体" w:hAnsi="宋体" w:eastAsia="宋体" w:cs="宋体"/>
              <w:sz w:val="24"/>
              <w:szCs w:val="24"/>
            </w:rPr>
            <w:t>17</w:t>
          </w:r>
          <w:bookmarkEnd w:id="15"/>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_Toc6920_WPSOffice_Level2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6c361d2e-6b75-409d-ba7a-a8a10e8c6766}"/>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3.2 区域声环境质量监测</w:t>
              </w:r>
            </w:sdtContent>
          </w:sdt>
          <w:r>
            <w:rPr>
              <w:rFonts w:hint="eastAsia" w:ascii="宋体" w:hAnsi="宋体" w:eastAsia="宋体" w:cs="宋体"/>
              <w:sz w:val="24"/>
              <w:szCs w:val="24"/>
            </w:rPr>
            <w:tab/>
          </w:r>
          <w:bookmarkStart w:id="16" w:name="_Toc6920_WPSOffice_Level2Page"/>
          <w:r>
            <w:rPr>
              <w:rFonts w:hint="eastAsia" w:ascii="宋体" w:hAnsi="宋体" w:eastAsia="宋体" w:cs="宋体"/>
              <w:sz w:val="24"/>
              <w:szCs w:val="24"/>
            </w:rPr>
            <w:t>19</w:t>
          </w:r>
          <w:bookmarkEnd w:id="16"/>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_Toc22745_WPSOffice_Level2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5a66d3a6-d35f-4b9b-9255-1d5ef6e599a9}"/>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3.3 城市道路交通噪声监测</w:t>
              </w:r>
            </w:sdtContent>
          </w:sdt>
          <w:r>
            <w:rPr>
              <w:rFonts w:hint="eastAsia" w:ascii="宋体" w:hAnsi="宋体" w:eastAsia="宋体" w:cs="宋体"/>
              <w:sz w:val="24"/>
              <w:szCs w:val="24"/>
            </w:rPr>
            <w:tab/>
          </w:r>
          <w:bookmarkStart w:id="17" w:name="_Toc22745_WPSOffice_Level2Page"/>
          <w:r>
            <w:rPr>
              <w:rFonts w:hint="eastAsia" w:ascii="宋体" w:hAnsi="宋体" w:eastAsia="宋体" w:cs="宋体"/>
              <w:sz w:val="24"/>
              <w:szCs w:val="24"/>
            </w:rPr>
            <w:t>24</w:t>
          </w:r>
          <w:bookmarkEnd w:id="17"/>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_Toc3386_WPSOffice_Level2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7bec5a44-1106-4acb-9c13-625dcdc8da4f}"/>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3.4  2018年昼间声环境质量与2017年对比分析</w:t>
              </w:r>
            </w:sdtContent>
          </w:sdt>
          <w:r>
            <w:rPr>
              <w:rFonts w:hint="eastAsia" w:ascii="宋体" w:hAnsi="宋体" w:eastAsia="宋体" w:cs="宋体"/>
              <w:sz w:val="24"/>
              <w:szCs w:val="24"/>
            </w:rPr>
            <w:tab/>
          </w:r>
          <w:bookmarkStart w:id="18" w:name="_Toc3386_WPSOffice_Level2Page"/>
          <w:r>
            <w:rPr>
              <w:rFonts w:hint="eastAsia" w:ascii="宋体" w:hAnsi="宋体" w:eastAsia="宋体" w:cs="宋体"/>
              <w:sz w:val="24"/>
              <w:szCs w:val="24"/>
            </w:rPr>
            <w:t>27</w:t>
          </w:r>
          <w:bookmarkEnd w:id="18"/>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_Toc2251_WPSOffice_Level1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c32f76ee-c0f4-416c-beb2-56d8ad0f8389}"/>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4. 声环境功能区区划方案</w:t>
              </w:r>
            </w:sdtContent>
          </w:sdt>
          <w:r>
            <w:rPr>
              <w:rFonts w:hint="eastAsia" w:ascii="宋体" w:hAnsi="宋体" w:eastAsia="宋体" w:cs="宋体"/>
              <w:b/>
              <w:bCs/>
              <w:sz w:val="24"/>
              <w:szCs w:val="24"/>
            </w:rPr>
            <w:tab/>
          </w:r>
          <w:bookmarkStart w:id="19" w:name="_Toc2251_WPSOffice_Level1Page"/>
          <w:r>
            <w:rPr>
              <w:rFonts w:hint="eastAsia" w:ascii="宋体" w:hAnsi="宋体" w:eastAsia="宋体" w:cs="宋体"/>
              <w:b/>
              <w:bCs/>
              <w:sz w:val="24"/>
              <w:szCs w:val="24"/>
            </w:rPr>
            <w:t>30</w:t>
          </w:r>
          <w:bookmarkEnd w:id="19"/>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_Toc30348_WPSOffice_Level2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0e84be41-165e-4d3e-bd3f-4f96809968ca}"/>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4.1各类声环境功能适用区执行标准</w:t>
              </w:r>
            </w:sdtContent>
          </w:sdt>
          <w:r>
            <w:rPr>
              <w:rFonts w:hint="eastAsia" w:ascii="宋体" w:hAnsi="宋体" w:eastAsia="宋体" w:cs="宋体"/>
              <w:sz w:val="24"/>
              <w:szCs w:val="24"/>
            </w:rPr>
            <w:tab/>
          </w:r>
          <w:bookmarkStart w:id="20" w:name="_Toc30348_WPSOffice_Level2Page"/>
          <w:r>
            <w:rPr>
              <w:rFonts w:hint="eastAsia" w:ascii="宋体" w:hAnsi="宋体" w:eastAsia="宋体" w:cs="宋体"/>
              <w:sz w:val="24"/>
              <w:szCs w:val="24"/>
            </w:rPr>
            <w:t>30</w:t>
          </w:r>
          <w:bookmarkEnd w:id="20"/>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_Toc30565_WPSOffice_Level2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e1ad8ed4-97d9-426a-ab1e-76b01820aeda}"/>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4.2区划方法</w:t>
              </w:r>
            </w:sdtContent>
          </w:sdt>
          <w:r>
            <w:rPr>
              <w:rFonts w:hint="eastAsia" w:ascii="宋体" w:hAnsi="宋体" w:eastAsia="宋体" w:cs="宋体"/>
              <w:sz w:val="24"/>
              <w:szCs w:val="24"/>
            </w:rPr>
            <w:tab/>
          </w:r>
          <w:bookmarkStart w:id="21" w:name="_Toc30565_WPSOffice_Level2Page"/>
          <w:r>
            <w:rPr>
              <w:rFonts w:hint="eastAsia" w:ascii="宋体" w:hAnsi="宋体" w:eastAsia="宋体" w:cs="宋体"/>
              <w:sz w:val="24"/>
              <w:szCs w:val="24"/>
            </w:rPr>
            <w:t>34</w:t>
          </w:r>
          <w:bookmarkEnd w:id="21"/>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_Toc3553_WPSOffice_Level2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fa9b8a97-c689-4999-aca6-a1bf18c274f8}"/>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4.3 区划片区</w:t>
              </w:r>
            </w:sdtContent>
          </w:sdt>
          <w:r>
            <w:rPr>
              <w:rFonts w:hint="eastAsia" w:ascii="宋体" w:hAnsi="宋体" w:eastAsia="宋体" w:cs="宋体"/>
              <w:sz w:val="24"/>
              <w:szCs w:val="24"/>
            </w:rPr>
            <w:tab/>
          </w:r>
          <w:bookmarkStart w:id="22" w:name="_Toc3553_WPSOffice_Level2Page"/>
          <w:r>
            <w:rPr>
              <w:rFonts w:hint="eastAsia" w:ascii="宋体" w:hAnsi="宋体" w:eastAsia="宋体" w:cs="宋体"/>
              <w:sz w:val="24"/>
              <w:szCs w:val="24"/>
            </w:rPr>
            <w:t>35</w:t>
          </w:r>
          <w:bookmarkEnd w:id="22"/>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_Toc20738_WPSOffice_Level2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4434f1bb-612f-40dd-8e60-10c4a0dae9b9}"/>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4.4 主城区0-3类区划分结果</w:t>
              </w:r>
            </w:sdtContent>
          </w:sdt>
          <w:r>
            <w:rPr>
              <w:rFonts w:hint="eastAsia" w:ascii="宋体" w:hAnsi="宋体" w:eastAsia="宋体" w:cs="宋体"/>
              <w:sz w:val="24"/>
              <w:szCs w:val="24"/>
            </w:rPr>
            <w:tab/>
          </w:r>
          <w:bookmarkStart w:id="23" w:name="_Toc20738_WPSOffice_Level2Page"/>
          <w:r>
            <w:rPr>
              <w:rFonts w:hint="eastAsia" w:ascii="宋体" w:hAnsi="宋体" w:eastAsia="宋体" w:cs="宋体"/>
              <w:sz w:val="24"/>
              <w:szCs w:val="24"/>
            </w:rPr>
            <w:t>44</w:t>
          </w:r>
          <w:bookmarkEnd w:id="23"/>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_Toc16077_WPSOffice_Level2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2677e988-e9be-414b-a2f8-2ec20cb68132}"/>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4.4-3 3类区区划单元结果</w:t>
              </w:r>
            </w:sdtContent>
          </w:sdt>
          <w:r>
            <w:rPr>
              <w:rFonts w:hint="eastAsia" w:ascii="宋体" w:hAnsi="宋体" w:eastAsia="宋体" w:cs="宋体"/>
              <w:sz w:val="24"/>
              <w:szCs w:val="24"/>
            </w:rPr>
            <w:tab/>
          </w:r>
          <w:bookmarkStart w:id="24" w:name="_Toc16077_WPSOffice_Level2Page"/>
          <w:r>
            <w:rPr>
              <w:rFonts w:hint="eastAsia" w:ascii="宋体" w:hAnsi="宋体" w:eastAsia="宋体" w:cs="宋体"/>
              <w:sz w:val="24"/>
              <w:szCs w:val="24"/>
            </w:rPr>
            <w:t>47</w:t>
          </w:r>
          <w:bookmarkEnd w:id="24"/>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_Toc12050_WPSOffice_Level2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9f2aa192-ad73-49a5-99c4-0bc51f6c5215}"/>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4.5 主城区4a、4b类区划分结果</w:t>
              </w:r>
            </w:sdtContent>
          </w:sdt>
          <w:r>
            <w:rPr>
              <w:rFonts w:hint="eastAsia" w:ascii="宋体" w:hAnsi="宋体" w:eastAsia="宋体" w:cs="宋体"/>
              <w:sz w:val="24"/>
              <w:szCs w:val="24"/>
            </w:rPr>
            <w:tab/>
          </w:r>
          <w:bookmarkStart w:id="25" w:name="_Toc12050_WPSOffice_Level2Page"/>
          <w:r>
            <w:rPr>
              <w:rFonts w:hint="eastAsia" w:ascii="宋体" w:hAnsi="宋体" w:eastAsia="宋体" w:cs="宋体"/>
              <w:sz w:val="24"/>
              <w:szCs w:val="24"/>
            </w:rPr>
            <w:t>47</w:t>
          </w:r>
          <w:bookmarkEnd w:id="25"/>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_Toc21443_WPSOffice_Level2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176ffbbb-d883-4223-ba5b-cab3d8c45a07}"/>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4.6 主城区区划结果汇总</w:t>
              </w:r>
            </w:sdtContent>
          </w:sdt>
          <w:r>
            <w:rPr>
              <w:rFonts w:hint="eastAsia" w:ascii="宋体" w:hAnsi="宋体" w:eastAsia="宋体" w:cs="宋体"/>
              <w:sz w:val="24"/>
              <w:szCs w:val="24"/>
            </w:rPr>
            <w:tab/>
          </w:r>
          <w:bookmarkStart w:id="26" w:name="_Toc21443_WPSOffice_Level2Page"/>
          <w:r>
            <w:rPr>
              <w:rFonts w:hint="eastAsia" w:ascii="宋体" w:hAnsi="宋体" w:eastAsia="宋体" w:cs="宋体"/>
              <w:sz w:val="24"/>
              <w:szCs w:val="24"/>
            </w:rPr>
            <w:t>50</w:t>
          </w:r>
          <w:bookmarkEnd w:id="26"/>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_Toc24037_WPSOffice_Level2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cb496038-7192-4c24-b7ba-c36b87469396}"/>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4.7 主城区与原区划对比分析</w:t>
              </w:r>
            </w:sdtContent>
          </w:sdt>
          <w:r>
            <w:rPr>
              <w:rFonts w:hint="eastAsia" w:ascii="宋体" w:hAnsi="宋体" w:eastAsia="宋体" w:cs="宋体"/>
              <w:sz w:val="24"/>
              <w:szCs w:val="24"/>
            </w:rPr>
            <w:tab/>
          </w:r>
          <w:bookmarkStart w:id="27" w:name="_Toc24037_WPSOffice_Level2Page"/>
          <w:r>
            <w:rPr>
              <w:rFonts w:hint="eastAsia" w:ascii="宋体" w:hAnsi="宋体" w:eastAsia="宋体" w:cs="宋体"/>
              <w:sz w:val="24"/>
              <w:szCs w:val="24"/>
            </w:rPr>
            <w:t>52</w:t>
          </w:r>
          <w:bookmarkEnd w:id="27"/>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_Toc3279_WPSOffice_Level2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732f2cbc-1fb3-433e-a9a4-18a85663448b}"/>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4.8 金所片区0-3类区划分结果</w:t>
              </w:r>
            </w:sdtContent>
          </w:sdt>
          <w:r>
            <w:rPr>
              <w:rFonts w:hint="eastAsia" w:ascii="宋体" w:hAnsi="宋体" w:eastAsia="宋体" w:cs="宋体"/>
              <w:sz w:val="24"/>
              <w:szCs w:val="24"/>
            </w:rPr>
            <w:tab/>
          </w:r>
          <w:bookmarkStart w:id="28" w:name="_Toc3279_WPSOffice_Level2Page"/>
          <w:r>
            <w:rPr>
              <w:rFonts w:hint="eastAsia" w:ascii="宋体" w:hAnsi="宋体" w:eastAsia="宋体" w:cs="宋体"/>
              <w:sz w:val="24"/>
              <w:szCs w:val="24"/>
            </w:rPr>
            <w:t>53</w:t>
          </w:r>
          <w:bookmarkEnd w:id="28"/>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_Toc13901_WPSOffice_Level2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5d62aa82-3cbf-43d9-9882-98dab04a2c2f}"/>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4.9 金所片区4类区划分结果</w:t>
              </w:r>
            </w:sdtContent>
          </w:sdt>
          <w:r>
            <w:rPr>
              <w:rFonts w:hint="eastAsia" w:ascii="宋体" w:hAnsi="宋体" w:eastAsia="宋体" w:cs="宋体"/>
              <w:sz w:val="24"/>
              <w:szCs w:val="24"/>
            </w:rPr>
            <w:tab/>
          </w:r>
          <w:bookmarkStart w:id="29" w:name="_Toc13901_WPSOffice_Level2Page"/>
          <w:r>
            <w:rPr>
              <w:rFonts w:hint="eastAsia" w:ascii="宋体" w:hAnsi="宋体" w:eastAsia="宋体" w:cs="宋体"/>
              <w:sz w:val="24"/>
              <w:szCs w:val="24"/>
            </w:rPr>
            <w:t>54</w:t>
          </w:r>
          <w:bookmarkEnd w:id="29"/>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_Toc31892_WPSOffice_Level2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0065329c-1538-4790-b0a8-98503715f929}"/>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4.10 金所片区区划结果汇总</w:t>
              </w:r>
            </w:sdtContent>
          </w:sdt>
          <w:r>
            <w:rPr>
              <w:rFonts w:hint="eastAsia" w:ascii="宋体" w:hAnsi="宋体" w:eastAsia="宋体" w:cs="宋体"/>
              <w:sz w:val="24"/>
              <w:szCs w:val="24"/>
            </w:rPr>
            <w:tab/>
          </w:r>
          <w:bookmarkStart w:id="30" w:name="_Toc31892_WPSOffice_Level2Page"/>
          <w:r>
            <w:rPr>
              <w:rFonts w:hint="eastAsia" w:ascii="宋体" w:hAnsi="宋体" w:eastAsia="宋体" w:cs="宋体"/>
              <w:sz w:val="24"/>
              <w:szCs w:val="24"/>
            </w:rPr>
            <w:t>55</w:t>
          </w:r>
          <w:bookmarkEnd w:id="30"/>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_Toc28973_WPSOffice_Level2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1e3edcd1-c305-4177-b580-4b5d5baffc66}"/>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4.11 区划结果汇总</w:t>
              </w:r>
            </w:sdtContent>
          </w:sdt>
          <w:r>
            <w:rPr>
              <w:rFonts w:hint="eastAsia" w:ascii="宋体" w:hAnsi="宋体" w:eastAsia="宋体" w:cs="宋体"/>
              <w:sz w:val="24"/>
              <w:szCs w:val="24"/>
            </w:rPr>
            <w:tab/>
          </w:r>
          <w:bookmarkStart w:id="31" w:name="_Toc28973_WPSOffice_Level2Page"/>
          <w:r>
            <w:rPr>
              <w:rFonts w:hint="eastAsia" w:ascii="宋体" w:hAnsi="宋体" w:eastAsia="宋体" w:cs="宋体"/>
              <w:sz w:val="24"/>
              <w:szCs w:val="24"/>
            </w:rPr>
            <w:t>56</w:t>
          </w:r>
          <w:bookmarkEnd w:id="31"/>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_Toc3406_WPSOffice_Level1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a8786fcc-cea5-4ec5-bbe7-7c30345dfd85}"/>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5.达标分析</w:t>
              </w:r>
            </w:sdtContent>
          </w:sdt>
          <w:r>
            <w:rPr>
              <w:rFonts w:hint="eastAsia" w:ascii="宋体" w:hAnsi="宋体" w:eastAsia="宋体" w:cs="宋体"/>
              <w:b/>
              <w:bCs/>
              <w:sz w:val="24"/>
              <w:szCs w:val="24"/>
            </w:rPr>
            <w:tab/>
          </w:r>
          <w:bookmarkStart w:id="32" w:name="_Toc3406_WPSOffice_Level1Page"/>
          <w:r>
            <w:rPr>
              <w:rFonts w:hint="eastAsia" w:ascii="宋体" w:hAnsi="宋体" w:eastAsia="宋体" w:cs="宋体"/>
              <w:b/>
              <w:bCs/>
              <w:sz w:val="24"/>
              <w:szCs w:val="24"/>
            </w:rPr>
            <w:t>57</w:t>
          </w:r>
          <w:bookmarkEnd w:id="32"/>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_Toc19973_WPSOffice_Level2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64f05793-6785-4fec-8a15-b8105ff22609}"/>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5.1 中心城区区域声环境监测结果</w:t>
              </w:r>
            </w:sdtContent>
          </w:sdt>
          <w:r>
            <w:rPr>
              <w:rFonts w:hint="eastAsia" w:ascii="宋体" w:hAnsi="宋体" w:eastAsia="宋体" w:cs="宋体"/>
              <w:sz w:val="24"/>
              <w:szCs w:val="24"/>
            </w:rPr>
            <w:tab/>
          </w:r>
          <w:bookmarkStart w:id="33" w:name="_Toc19973_WPSOffice_Level2Page"/>
          <w:r>
            <w:rPr>
              <w:rFonts w:hint="eastAsia" w:ascii="宋体" w:hAnsi="宋体" w:eastAsia="宋体" w:cs="宋体"/>
              <w:sz w:val="24"/>
              <w:szCs w:val="24"/>
            </w:rPr>
            <w:t>57</w:t>
          </w:r>
          <w:bookmarkEnd w:id="33"/>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_Toc5318_WPSOffice_Level2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06dbf729-215f-404c-89bf-db3b9276bc50}"/>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5.2 区域声环境监测结果达标性分析</w:t>
              </w:r>
            </w:sdtContent>
          </w:sdt>
          <w:r>
            <w:rPr>
              <w:rFonts w:hint="eastAsia" w:ascii="宋体" w:hAnsi="宋体" w:eastAsia="宋体" w:cs="宋体"/>
              <w:sz w:val="24"/>
              <w:szCs w:val="24"/>
            </w:rPr>
            <w:tab/>
          </w:r>
          <w:bookmarkStart w:id="34" w:name="_Toc5318_WPSOffice_Level2Page"/>
          <w:r>
            <w:rPr>
              <w:rFonts w:hint="eastAsia" w:ascii="宋体" w:hAnsi="宋体" w:eastAsia="宋体" w:cs="宋体"/>
              <w:sz w:val="24"/>
              <w:szCs w:val="24"/>
            </w:rPr>
            <w:t>65</w:t>
          </w:r>
          <w:bookmarkEnd w:id="34"/>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_Toc16657_WPSOffice_Level2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22c75ecc-4fba-434e-904b-14aed4cd447c}"/>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5.3 道路交通声环境监测数据达标性分析</w:t>
              </w:r>
            </w:sdtContent>
          </w:sdt>
          <w:r>
            <w:rPr>
              <w:rFonts w:hint="eastAsia" w:ascii="宋体" w:hAnsi="宋体" w:eastAsia="宋体" w:cs="宋体"/>
              <w:sz w:val="24"/>
              <w:szCs w:val="24"/>
            </w:rPr>
            <w:tab/>
          </w:r>
          <w:bookmarkStart w:id="35" w:name="_Toc16657_WPSOffice_Level2Page"/>
          <w:r>
            <w:rPr>
              <w:rFonts w:hint="eastAsia" w:ascii="宋体" w:hAnsi="宋体" w:eastAsia="宋体" w:cs="宋体"/>
              <w:sz w:val="24"/>
              <w:szCs w:val="24"/>
            </w:rPr>
            <w:t>71</w:t>
          </w:r>
          <w:bookmarkEnd w:id="35"/>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_Toc18958_WPSOffice_Level1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cdb2d159-8a2d-40c3-86a7-2ec88e52eab6}"/>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6.结论及建议</w:t>
              </w:r>
            </w:sdtContent>
          </w:sdt>
          <w:r>
            <w:rPr>
              <w:rFonts w:hint="eastAsia" w:ascii="宋体" w:hAnsi="宋体" w:eastAsia="宋体" w:cs="宋体"/>
              <w:b/>
              <w:bCs/>
              <w:sz w:val="24"/>
              <w:szCs w:val="24"/>
            </w:rPr>
            <w:tab/>
          </w:r>
          <w:bookmarkStart w:id="36" w:name="_Toc18958_WPSOffice_Level1Page"/>
          <w:r>
            <w:rPr>
              <w:rFonts w:hint="eastAsia" w:ascii="宋体" w:hAnsi="宋体" w:eastAsia="宋体" w:cs="宋体"/>
              <w:b/>
              <w:bCs/>
              <w:sz w:val="24"/>
              <w:szCs w:val="24"/>
            </w:rPr>
            <w:t>73</w:t>
          </w:r>
          <w:bookmarkEnd w:id="36"/>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_Toc12599_WPSOffice_Level2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8446b7da-bd82-4130-8a80-52671adf6e5b}"/>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6.1 结论</w:t>
              </w:r>
            </w:sdtContent>
          </w:sdt>
          <w:r>
            <w:rPr>
              <w:rFonts w:hint="eastAsia" w:ascii="宋体" w:hAnsi="宋体" w:eastAsia="宋体" w:cs="宋体"/>
              <w:sz w:val="24"/>
              <w:szCs w:val="24"/>
            </w:rPr>
            <w:tab/>
          </w:r>
          <w:bookmarkStart w:id="37" w:name="_Toc12599_WPSOffice_Level2Page"/>
          <w:r>
            <w:rPr>
              <w:rFonts w:hint="eastAsia" w:ascii="宋体" w:hAnsi="宋体" w:eastAsia="宋体" w:cs="宋体"/>
              <w:sz w:val="24"/>
              <w:szCs w:val="24"/>
            </w:rPr>
            <w:t>73</w:t>
          </w:r>
          <w:bookmarkEnd w:id="37"/>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_Toc23970_WPSOffice_Level2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96b6bb8f-016d-4b73-9247-032b496bf0f1}"/>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6.2 对策</w:t>
              </w:r>
            </w:sdtContent>
          </w:sdt>
          <w:r>
            <w:rPr>
              <w:rFonts w:hint="eastAsia" w:ascii="宋体" w:hAnsi="宋体" w:eastAsia="宋体" w:cs="宋体"/>
              <w:sz w:val="24"/>
              <w:szCs w:val="24"/>
            </w:rPr>
            <w:tab/>
          </w:r>
          <w:bookmarkStart w:id="38" w:name="_Toc23970_WPSOffice_Level2Page"/>
          <w:r>
            <w:rPr>
              <w:rFonts w:hint="eastAsia" w:ascii="宋体" w:hAnsi="宋体" w:eastAsia="宋体" w:cs="宋体"/>
              <w:sz w:val="24"/>
              <w:szCs w:val="24"/>
            </w:rPr>
            <w:t>73</w:t>
          </w:r>
          <w:bookmarkEnd w:id="38"/>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_Toc3577_WPSOffice_Level2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03bd6565-c46d-4bcb-8147-ad89642a6dd4}"/>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6.3 建议</w:t>
              </w:r>
            </w:sdtContent>
          </w:sdt>
          <w:r>
            <w:rPr>
              <w:rFonts w:hint="eastAsia" w:ascii="宋体" w:hAnsi="宋体" w:eastAsia="宋体" w:cs="宋体"/>
              <w:sz w:val="24"/>
              <w:szCs w:val="24"/>
            </w:rPr>
            <w:tab/>
          </w:r>
          <w:bookmarkStart w:id="39" w:name="_Toc3577_WPSOffice_Level2Page"/>
          <w:r>
            <w:rPr>
              <w:rFonts w:hint="eastAsia" w:ascii="宋体" w:hAnsi="宋体" w:eastAsia="宋体" w:cs="宋体"/>
              <w:sz w:val="24"/>
              <w:szCs w:val="24"/>
            </w:rPr>
            <w:t>77</w:t>
          </w:r>
          <w:bookmarkEnd w:id="39"/>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_Toc30494_WPSOffice_Level1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4654105c-c1e5-498a-88fa-5300abb85231}"/>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7.存在问题</w:t>
              </w:r>
            </w:sdtContent>
          </w:sdt>
          <w:r>
            <w:rPr>
              <w:rFonts w:hint="eastAsia" w:ascii="宋体" w:hAnsi="宋体" w:eastAsia="宋体" w:cs="宋体"/>
              <w:b/>
              <w:bCs/>
              <w:sz w:val="24"/>
              <w:szCs w:val="24"/>
            </w:rPr>
            <w:tab/>
          </w:r>
          <w:bookmarkStart w:id="40" w:name="_Toc30494_WPSOffice_Level1Page"/>
          <w:r>
            <w:rPr>
              <w:rFonts w:hint="eastAsia" w:ascii="宋体" w:hAnsi="宋体" w:eastAsia="宋体" w:cs="宋体"/>
              <w:b/>
              <w:bCs/>
              <w:sz w:val="24"/>
              <w:szCs w:val="24"/>
            </w:rPr>
            <w:t>78</w:t>
          </w:r>
          <w:bookmarkEnd w:id="40"/>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_Toc6043_WPSOffice_Level2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55de8f31-f3d4-4d9b-b87d-2aaf72d8fdc2}"/>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7.1主城和金所片区均存在防护林规划区划与管理问题</w:t>
              </w:r>
            </w:sdtContent>
          </w:sdt>
          <w:r>
            <w:rPr>
              <w:rFonts w:hint="eastAsia" w:ascii="宋体" w:hAnsi="宋体" w:eastAsia="宋体" w:cs="宋体"/>
              <w:sz w:val="24"/>
              <w:szCs w:val="24"/>
            </w:rPr>
            <w:tab/>
          </w:r>
          <w:bookmarkStart w:id="41" w:name="_Toc6043_WPSOffice_Level2Page"/>
          <w:r>
            <w:rPr>
              <w:rFonts w:hint="eastAsia" w:ascii="宋体" w:hAnsi="宋体" w:eastAsia="宋体" w:cs="宋体"/>
              <w:sz w:val="24"/>
              <w:szCs w:val="24"/>
            </w:rPr>
            <w:t>78</w:t>
          </w:r>
          <w:bookmarkEnd w:id="41"/>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_Toc14447_WPSOffice_Level2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32effd9c-9315-4ee7-96cd-a9c2e7000d39}"/>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7.2 单元XD-P6.3-D127休闲广场区（文化馆）区划问题</w:t>
              </w:r>
            </w:sdtContent>
          </w:sdt>
          <w:r>
            <w:rPr>
              <w:rFonts w:hint="eastAsia" w:ascii="宋体" w:hAnsi="宋体" w:eastAsia="宋体" w:cs="宋体"/>
              <w:sz w:val="24"/>
              <w:szCs w:val="24"/>
            </w:rPr>
            <w:tab/>
          </w:r>
          <w:bookmarkStart w:id="42" w:name="_Toc14447_WPSOffice_Level2Page"/>
          <w:r>
            <w:rPr>
              <w:rFonts w:hint="eastAsia" w:ascii="宋体" w:hAnsi="宋体" w:eastAsia="宋体" w:cs="宋体"/>
              <w:sz w:val="24"/>
              <w:szCs w:val="24"/>
            </w:rPr>
            <w:t>78</w:t>
          </w:r>
          <w:bookmarkEnd w:id="42"/>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_Toc13241_WPSOffice_Level2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aaa67d76-fd3a-4b5e-958b-da5898a2f0ef}"/>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7.3单元XD-P9.5-D4a01县客运站区划问题</w:t>
              </w:r>
            </w:sdtContent>
          </w:sdt>
          <w:r>
            <w:rPr>
              <w:rFonts w:hint="eastAsia" w:ascii="宋体" w:hAnsi="宋体" w:eastAsia="宋体" w:cs="宋体"/>
              <w:sz w:val="24"/>
              <w:szCs w:val="24"/>
            </w:rPr>
            <w:tab/>
          </w:r>
          <w:bookmarkStart w:id="43" w:name="_Toc13241_WPSOffice_Level2Page"/>
          <w:r>
            <w:rPr>
              <w:rFonts w:hint="eastAsia" w:ascii="宋体" w:hAnsi="宋体" w:eastAsia="宋体" w:cs="宋体"/>
              <w:sz w:val="24"/>
              <w:szCs w:val="24"/>
            </w:rPr>
            <w:t>79</w:t>
          </w:r>
          <w:bookmarkEnd w:id="43"/>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_Toc9148_WPSOffice_Level2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5d317217-acb6-4bcc-bd5d-91e3080ed5c2}"/>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7.4老城区混合性问题</w:t>
              </w:r>
            </w:sdtContent>
          </w:sdt>
          <w:r>
            <w:rPr>
              <w:rFonts w:hint="eastAsia" w:ascii="宋体" w:hAnsi="宋体" w:eastAsia="宋体" w:cs="宋体"/>
              <w:sz w:val="24"/>
              <w:szCs w:val="24"/>
            </w:rPr>
            <w:tab/>
          </w:r>
          <w:bookmarkStart w:id="44" w:name="_Toc9148_WPSOffice_Level2Page"/>
          <w:r>
            <w:rPr>
              <w:rFonts w:hint="eastAsia" w:ascii="宋体" w:hAnsi="宋体" w:eastAsia="宋体" w:cs="宋体"/>
              <w:sz w:val="24"/>
              <w:szCs w:val="24"/>
            </w:rPr>
            <w:t>79</w:t>
          </w:r>
          <w:bookmarkEnd w:id="44"/>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_Toc31872_WPSOffice_Level2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873b6d65-6b6d-44b2-8fbf-70ba520f10de}"/>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7.5 审查稿与现报批稿区划面积存在较大差异</w:t>
              </w:r>
            </w:sdtContent>
          </w:sdt>
          <w:r>
            <w:rPr>
              <w:rFonts w:hint="eastAsia" w:ascii="宋体" w:hAnsi="宋体" w:eastAsia="宋体" w:cs="宋体"/>
              <w:sz w:val="24"/>
              <w:szCs w:val="24"/>
            </w:rPr>
            <w:tab/>
          </w:r>
          <w:bookmarkStart w:id="45" w:name="_Toc31872_WPSOffice_Level2Page"/>
          <w:r>
            <w:rPr>
              <w:rFonts w:hint="eastAsia" w:ascii="宋体" w:hAnsi="宋体" w:eastAsia="宋体" w:cs="宋体"/>
              <w:sz w:val="24"/>
              <w:szCs w:val="24"/>
            </w:rPr>
            <w:t>79</w:t>
          </w:r>
          <w:bookmarkEnd w:id="45"/>
          <w:r>
            <w:rPr>
              <w:rFonts w:hint="eastAsia" w:ascii="宋体" w:hAnsi="宋体" w:eastAsia="宋体" w:cs="宋体"/>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_Toc16240_WPSOffice_Level1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ad43a774-e729-4d19-a1a1-fa764a5dd141}"/>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8.主城区附图</w:t>
              </w:r>
            </w:sdtContent>
          </w:sdt>
          <w:r>
            <w:rPr>
              <w:rFonts w:hint="eastAsia" w:ascii="宋体" w:hAnsi="宋体" w:eastAsia="宋体" w:cs="宋体"/>
              <w:b/>
              <w:bCs/>
              <w:sz w:val="24"/>
              <w:szCs w:val="24"/>
            </w:rPr>
            <w:tab/>
          </w:r>
          <w:bookmarkStart w:id="46" w:name="_Toc16240_WPSOffice_Level1Page"/>
          <w:r>
            <w:rPr>
              <w:rFonts w:hint="eastAsia" w:ascii="宋体" w:hAnsi="宋体" w:eastAsia="宋体" w:cs="宋体"/>
              <w:b/>
              <w:bCs/>
              <w:sz w:val="24"/>
              <w:szCs w:val="24"/>
            </w:rPr>
            <w:t>80</w:t>
          </w:r>
          <w:bookmarkEnd w:id="46"/>
          <w:r>
            <w:rPr>
              <w:rFonts w:hint="eastAsia" w:ascii="宋体" w:hAnsi="宋体" w:eastAsia="宋体" w:cs="宋体"/>
              <w:b/>
              <w:bCs/>
              <w:sz w:val="24"/>
              <w:szCs w:val="24"/>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fldChar w:fldCharType="begin"/>
          </w:r>
          <w:r>
            <w:rPr>
              <w:rFonts w:hint="eastAsia" w:ascii="宋体" w:hAnsi="宋体" w:eastAsia="宋体" w:cs="宋体"/>
              <w:sz w:val="24"/>
              <w:szCs w:val="24"/>
            </w:rPr>
            <w:instrText xml:space="preserve"> HYPERLINK \l _Toc19367_WPSOffice_Level1 </w:instrText>
          </w:r>
          <w:r>
            <w:rPr>
              <w:rFonts w:hint="eastAsia" w:ascii="宋体" w:hAnsi="宋体" w:eastAsia="宋体" w:cs="宋体"/>
              <w:b/>
              <w:bCs/>
              <w:sz w:val="24"/>
              <w:szCs w:val="24"/>
            </w:rPr>
            <w:fldChar w:fldCharType="separate"/>
          </w:r>
          <w:sdt>
            <w:sdtPr>
              <w:rPr>
                <w:rFonts w:hint="eastAsia" w:ascii="宋体" w:hAnsi="宋体" w:eastAsia="宋体" w:cs="宋体"/>
                <w:b/>
                <w:bCs/>
                <w:kern w:val="44"/>
                <w:sz w:val="24"/>
                <w:szCs w:val="24"/>
                <w:lang w:val="en-US" w:eastAsia="zh-CN" w:bidi="ar-SA"/>
              </w:rPr>
              <w:id w:val="147476235"/>
              <w:placeholder>
                <w:docPart w:val="{844b1edb-5423-4a83-8525-517577394e7e}"/>
              </w:placeholder>
              <w15:color w:val="509DF3"/>
            </w:sdtPr>
            <w:sdtEndPr>
              <w:rPr>
                <w:rFonts w:hint="eastAsia" w:ascii="宋体" w:hAnsi="宋体" w:eastAsia="宋体" w:cs="宋体"/>
                <w:b/>
                <w:bCs/>
                <w:kern w:val="44"/>
                <w:sz w:val="24"/>
                <w:szCs w:val="24"/>
                <w:lang w:val="en-US" w:eastAsia="zh-CN" w:bidi="ar-SA"/>
              </w:rPr>
            </w:sdtEndPr>
            <w:sdtContent>
              <w:r>
                <w:rPr>
                  <w:rFonts w:hint="eastAsia" w:ascii="宋体" w:hAnsi="宋体" w:eastAsia="宋体" w:cs="宋体"/>
                  <w:b/>
                  <w:bCs/>
                  <w:sz w:val="24"/>
                  <w:szCs w:val="24"/>
                </w:rPr>
                <w:t>9.附表</w:t>
              </w:r>
            </w:sdtContent>
          </w:sdt>
          <w:r>
            <w:rPr>
              <w:rFonts w:hint="eastAsia" w:ascii="宋体" w:hAnsi="宋体" w:eastAsia="宋体" w:cs="宋体"/>
              <w:b/>
              <w:bCs/>
              <w:sz w:val="24"/>
              <w:szCs w:val="24"/>
            </w:rPr>
            <w:tab/>
          </w:r>
          <w:bookmarkStart w:id="47" w:name="_Toc19367_WPSOffice_Level1Page"/>
          <w:r>
            <w:rPr>
              <w:rFonts w:hint="eastAsia" w:ascii="宋体" w:hAnsi="宋体" w:eastAsia="宋体" w:cs="宋体"/>
              <w:b/>
              <w:bCs/>
              <w:sz w:val="24"/>
              <w:szCs w:val="24"/>
            </w:rPr>
            <w:t>81</w:t>
          </w:r>
          <w:bookmarkEnd w:id="47"/>
          <w:r>
            <w:rPr>
              <w:rFonts w:hint="eastAsia" w:ascii="宋体" w:hAnsi="宋体" w:eastAsia="宋体" w:cs="宋体"/>
              <w:b/>
              <w:bCs/>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_Toc19580_WPSOffice_Level2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70558f65-dbc5-48fc-813f-b4374efd36ac}"/>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9.1寻甸县县城区域声环境监测结果统计</w:t>
              </w:r>
            </w:sdtContent>
          </w:sdt>
          <w:r>
            <w:rPr>
              <w:rFonts w:hint="eastAsia" w:ascii="宋体" w:hAnsi="宋体" w:eastAsia="宋体" w:cs="宋体"/>
              <w:sz w:val="24"/>
              <w:szCs w:val="24"/>
            </w:rPr>
            <w:tab/>
          </w:r>
          <w:bookmarkStart w:id="48" w:name="_Toc19580_WPSOffice_Level2Page"/>
          <w:r>
            <w:rPr>
              <w:rFonts w:hint="eastAsia" w:ascii="宋体" w:hAnsi="宋体" w:eastAsia="宋体" w:cs="宋体"/>
              <w:sz w:val="24"/>
              <w:szCs w:val="24"/>
            </w:rPr>
            <w:t>81</w:t>
          </w:r>
          <w:bookmarkEnd w:id="48"/>
          <w:r>
            <w:rPr>
              <w:rFonts w:hint="eastAsia" w:ascii="宋体" w:hAnsi="宋体" w:eastAsia="宋体" w:cs="宋体"/>
              <w:sz w:val="24"/>
              <w:szCs w:val="24"/>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_Toc3964_WPSOffice_Level2 </w:instrText>
          </w:r>
          <w:r>
            <w:rPr>
              <w:rFonts w:hint="eastAsia" w:ascii="宋体" w:hAnsi="宋体" w:eastAsia="宋体" w:cs="宋体"/>
              <w:sz w:val="24"/>
              <w:szCs w:val="24"/>
            </w:rPr>
            <w:fldChar w:fldCharType="separate"/>
          </w:r>
          <w:sdt>
            <w:sdtPr>
              <w:rPr>
                <w:rFonts w:hint="eastAsia" w:ascii="宋体" w:hAnsi="宋体" w:eastAsia="宋体" w:cs="宋体"/>
                <w:b/>
                <w:kern w:val="44"/>
                <w:sz w:val="24"/>
                <w:szCs w:val="24"/>
                <w:lang w:val="en-US" w:eastAsia="zh-CN" w:bidi="ar-SA"/>
              </w:rPr>
              <w:id w:val="147476235"/>
              <w:placeholder>
                <w:docPart w:val="{845f5e11-e6c9-473f-8509-728d9333364e}"/>
              </w:placeholder>
              <w15:color w:val="509DF3"/>
            </w:sdtPr>
            <w:sdtEndPr>
              <w:rPr>
                <w:rFonts w:hint="eastAsia" w:ascii="宋体" w:hAnsi="宋体" w:eastAsia="宋体" w:cs="宋体"/>
                <w:b/>
                <w:kern w:val="44"/>
                <w:sz w:val="24"/>
                <w:szCs w:val="24"/>
                <w:lang w:val="en-US" w:eastAsia="zh-CN" w:bidi="ar-SA"/>
              </w:rPr>
            </w:sdtEndPr>
            <w:sdtContent>
              <w:r>
                <w:rPr>
                  <w:rFonts w:hint="eastAsia" w:ascii="宋体" w:hAnsi="宋体" w:eastAsia="宋体" w:cs="宋体"/>
                  <w:sz w:val="24"/>
                  <w:szCs w:val="24"/>
                </w:rPr>
                <w:t>9.2寻甸县县城</w:t>
              </w:r>
              <w:r>
                <w:rPr>
                  <w:rFonts w:hint="eastAsia" w:ascii="宋体" w:hAnsi="宋体" w:eastAsia="宋体" w:cs="宋体"/>
                  <w:sz w:val="24"/>
                  <w:szCs w:val="24"/>
                  <w:lang w:eastAsia="zh-CN"/>
                </w:rPr>
                <w:t>道路交通</w:t>
              </w:r>
              <w:r>
                <w:rPr>
                  <w:rFonts w:hint="eastAsia" w:ascii="宋体" w:hAnsi="宋体" w:eastAsia="宋体" w:cs="宋体"/>
                  <w:sz w:val="24"/>
                  <w:szCs w:val="24"/>
                </w:rPr>
                <w:t>声环境监测结果统计</w:t>
              </w:r>
            </w:sdtContent>
          </w:sdt>
          <w:r>
            <w:rPr>
              <w:rFonts w:hint="eastAsia" w:ascii="宋体" w:hAnsi="宋体" w:eastAsia="宋体" w:cs="宋体"/>
              <w:sz w:val="24"/>
              <w:szCs w:val="24"/>
            </w:rPr>
            <w:tab/>
          </w:r>
          <w:bookmarkStart w:id="49" w:name="_Toc3964_WPSOffice_Level2Page"/>
          <w:r>
            <w:rPr>
              <w:rFonts w:hint="eastAsia" w:ascii="宋体" w:hAnsi="宋体" w:eastAsia="宋体" w:cs="宋体"/>
              <w:sz w:val="24"/>
              <w:szCs w:val="24"/>
            </w:rPr>
            <w:t>95</w:t>
          </w:r>
          <w:bookmarkEnd w:id="49"/>
          <w:r>
            <w:rPr>
              <w:rFonts w:hint="eastAsia" w:ascii="宋体" w:hAnsi="宋体" w:eastAsia="宋体" w:cs="宋体"/>
              <w:sz w:val="24"/>
              <w:szCs w:val="24"/>
            </w:rPr>
            <w:fldChar w:fldCharType="end"/>
          </w:r>
        </w:p>
        <w:bookmarkEnd w:id="3"/>
        <w:p>
          <w:pPr>
            <w:pStyle w:val="13"/>
            <w:keepNext w:val="0"/>
            <w:keepLines w:val="0"/>
            <w:pageBreakBefore w:val="0"/>
            <w:tabs>
              <w:tab w:val="right" w:leader="dot" w:pos="8306"/>
            </w:tabs>
            <w:kinsoku/>
            <w:wordWrap/>
            <w:overflowPunct/>
            <w:topLinePunct w:val="0"/>
            <w:autoSpaceDE/>
            <w:autoSpaceDN/>
            <w:bidi w:val="0"/>
            <w:adjustRightInd/>
            <w:snapToGrid/>
            <w:spacing w:line="360" w:lineRule="auto"/>
            <w:ind w:left="420" w:leftChars="200"/>
            <w:textAlignment w:val="auto"/>
          </w:pPr>
          <w:bookmarkStart w:id="50" w:name="_Toc15704_WPSOffice_Level1"/>
        </w:p>
      </w:sdtContent>
    </w:sdt>
    <w:p>
      <w:pPr>
        <w:pStyle w:val="2"/>
        <w:keepNext/>
        <w:keepLines/>
        <w:pageBreakBefore/>
        <w:widowControl w:val="0"/>
        <w:kinsoku/>
        <w:wordWrap/>
        <w:overflowPunct/>
        <w:topLinePunct w:val="0"/>
        <w:autoSpaceDE/>
        <w:autoSpaceDN/>
        <w:bidi w:val="0"/>
        <w:adjustRightInd/>
        <w:snapToGrid/>
        <w:spacing w:line="576" w:lineRule="auto"/>
        <w:textAlignment w:val="auto"/>
        <w:outlineLvl w:val="0"/>
        <w:rPr>
          <w:rFonts w:hint="eastAsia" w:ascii="新宋体" w:hAnsi="新宋体" w:eastAsia="新宋体" w:cs="新宋体"/>
          <w:b/>
          <w:bCs w:val="0"/>
          <w:sz w:val="30"/>
          <w:szCs w:val="30"/>
          <w:lang w:val="en-US" w:eastAsia="zh-CN"/>
        </w:rPr>
      </w:pPr>
      <w:r>
        <w:rPr>
          <w:rFonts w:hint="eastAsia" w:ascii="新宋体" w:hAnsi="新宋体" w:eastAsia="新宋体" w:cs="新宋体"/>
          <w:b/>
          <w:bCs w:val="0"/>
          <w:sz w:val="30"/>
          <w:szCs w:val="30"/>
          <w:lang w:val="en-US" w:eastAsia="zh-CN"/>
        </w:rPr>
        <w:t>1.声环境功能区划分依据</w:t>
      </w:r>
      <w:bookmarkEnd w:id="50"/>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黑体" w:hAnsi="黑体" w:eastAsia="黑体" w:cs="黑体"/>
          <w:b/>
          <w:bCs/>
          <w:sz w:val="28"/>
          <w:szCs w:val="28"/>
          <w:lang w:val="en-US" w:eastAsia="zh-CN"/>
        </w:rPr>
      </w:pPr>
      <w:bookmarkStart w:id="51" w:name="_Toc28939_WPSOffice_Level2"/>
      <w:bookmarkStart w:id="52" w:name="_Toc4139"/>
      <w:bookmarkStart w:id="53" w:name="_Toc13528_WPSOffice_Level2"/>
      <w:bookmarkStart w:id="54" w:name="_Toc225"/>
      <w:bookmarkStart w:id="55" w:name="_Toc16519_WPSOffice_Level2"/>
      <w:r>
        <w:rPr>
          <w:rFonts w:hint="eastAsia" w:ascii="黑体" w:hAnsi="黑体" w:eastAsia="黑体" w:cs="黑体"/>
          <w:b/>
          <w:bCs/>
          <w:sz w:val="28"/>
          <w:szCs w:val="28"/>
          <w:lang w:val="en-US" w:eastAsia="zh-CN"/>
        </w:rPr>
        <w:t>1.1 法律法规</w:t>
      </w:r>
      <w:bookmarkEnd w:id="51"/>
      <w:bookmarkEnd w:id="52"/>
      <w:bookmarkEnd w:id="53"/>
      <w:bookmarkEnd w:id="54"/>
      <w:bookmarkEnd w:id="55"/>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1）《中华人民共和国环境保护法》</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2015年1月</w:t>
      </w:r>
      <w:r>
        <w:rPr>
          <w:rFonts w:hint="default" w:ascii="Times New Roman" w:hAnsi="Times New Roman" w:cs="Times New Roman" w:eastAsiaTheme="minorEastAsia"/>
          <w:b w:val="0"/>
          <w:bCs w:val="0"/>
          <w:sz w:val="28"/>
          <w:szCs w:val="28"/>
          <w:lang w:eastAsia="zh-CN"/>
        </w:rPr>
        <w:t>）</w:t>
      </w:r>
    </w:p>
    <w:p>
      <w:pPr>
        <w:kinsoku/>
        <w:wordWrap/>
        <w:overflowPunct/>
        <w:topLinePunct w:val="0"/>
        <w:autoSpaceDE/>
        <w:autoSpaceDN/>
        <w:bidi w:val="0"/>
        <w:spacing w:line="360" w:lineRule="auto"/>
        <w:ind w:left="839" w:leftChars="133" w:hanging="560" w:hangingChars="200"/>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rPr>
        <w:t>2）《中华人民共和国环境噪声污染防治法》</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rPr>
        <w:t>1996年10月</w:t>
      </w:r>
      <w:r>
        <w:rPr>
          <w:rFonts w:hint="eastAsia" w:ascii="Times New Roman" w:hAnsi="Times New Roman" w:cs="Times New Roman"/>
          <w:b w:val="0"/>
          <w:bCs w:val="0"/>
          <w:sz w:val="28"/>
          <w:szCs w:val="28"/>
          <w:lang w:val="en-US" w:eastAsia="zh-CN"/>
        </w:rPr>
        <w:t>)</w:t>
      </w:r>
    </w:p>
    <w:p>
      <w:pPr>
        <w:kinsoku/>
        <w:wordWrap/>
        <w:overflowPunct/>
        <w:topLinePunct w:val="0"/>
        <w:autoSpaceDE/>
        <w:autoSpaceDN/>
        <w:bidi w:val="0"/>
        <w:spacing w:line="360" w:lineRule="auto"/>
        <w:ind w:left="839" w:leftChars="133" w:hanging="560" w:hangingChars="200"/>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rPr>
        <w:t>3）《关于加强环境噪声污染防治工作改善城乡声环境质量的指导意见》（环发[2010]144号）</w:t>
      </w:r>
    </w:p>
    <w:p>
      <w:pPr>
        <w:kinsoku/>
        <w:wordWrap/>
        <w:overflowPunct/>
        <w:topLinePunct w:val="0"/>
        <w:autoSpaceDE/>
        <w:autoSpaceDN/>
        <w:bidi w:val="0"/>
        <w:spacing w:line="360" w:lineRule="auto"/>
        <w:ind w:left="839" w:leftChars="133" w:hanging="560" w:hangingChars="200"/>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rPr>
        <w:t>）《关于加强和规范声环境功能区划分管理工作的通知》（环办大气函【2017】1709号）</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lang w:val="en-US" w:eastAsia="zh-CN"/>
        </w:rPr>
        <w:t>5</w:t>
      </w:r>
      <w:r>
        <w:rPr>
          <w:rFonts w:hint="default" w:ascii="Times New Roman" w:hAnsi="Times New Roman" w:cs="Times New Roman" w:eastAsiaTheme="minorEastAsia"/>
          <w:b w:val="0"/>
          <w:bCs w:val="0"/>
          <w:sz w:val="28"/>
          <w:szCs w:val="28"/>
        </w:rPr>
        <w:t>）地方噪声污染防治法律法规</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56" w:name="_Toc10838_WPSOffice_Level2"/>
      <w:bookmarkStart w:id="57" w:name="_Toc25235"/>
      <w:bookmarkStart w:id="58" w:name="_Toc20466_WPSOffice_Level2"/>
      <w:bookmarkStart w:id="59" w:name="_Toc11445_WPSOffice_Level2"/>
      <w:bookmarkStart w:id="60" w:name="_Toc3223"/>
      <w:r>
        <w:rPr>
          <w:rFonts w:hint="default" w:ascii="Times New Roman" w:hAnsi="Times New Roman" w:eastAsia="黑体" w:cs="Times New Roman"/>
          <w:b/>
          <w:bCs/>
          <w:sz w:val="28"/>
          <w:szCs w:val="28"/>
          <w:lang w:val="en-US" w:eastAsia="zh-CN"/>
        </w:rPr>
        <w:t>1.2 相关标准及技术规范</w:t>
      </w:r>
      <w:bookmarkEnd w:id="56"/>
      <w:bookmarkEnd w:id="57"/>
      <w:bookmarkEnd w:id="58"/>
      <w:bookmarkEnd w:id="59"/>
      <w:bookmarkEnd w:id="60"/>
    </w:p>
    <w:p>
      <w:pPr>
        <w:numPr>
          <w:ilvl w:val="0"/>
          <w:numId w:val="1"/>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GB/T 15190-2014</w:t>
      </w:r>
      <w:r>
        <w:rPr>
          <w:rFonts w:hint="default" w:ascii="Times New Roman"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rPr>
        <w:t>《声环境功能区划分技术规范》</w:t>
      </w:r>
    </w:p>
    <w:p>
      <w:pPr>
        <w:numPr>
          <w:ilvl w:val="0"/>
          <w:numId w:val="1"/>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GB 3096-2008</w:t>
      </w:r>
      <w:r>
        <w:rPr>
          <w:rFonts w:hint="default" w:ascii="Times New Roman"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rPr>
        <w:t>《声环境质量标准》</w:t>
      </w:r>
    </w:p>
    <w:p>
      <w:pPr>
        <w:numPr>
          <w:ilvl w:val="0"/>
          <w:numId w:val="1"/>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HJ 640-2014</w:t>
      </w:r>
      <w:r>
        <w:rPr>
          <w:rFonts w:hint="default" w:ascii="Times New Roman"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rPr>
        <w:t>《环境噪声监测技术规范》</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4）GB 12525-90</w:t>
      </w:r>
      <w:r>
        <w:rPr>
          <w:rFonts w:hint="default" w:ascii="Times New Roman"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rPr>
        <w:t>《铁路边界噪声限值及其测量方法》</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lang w:val="en-US" w:eastAsia="zh-CN"/>
        </w:rPr>
        <w:t>5</w:t>
      </w:r>
      <w:r>
        <w:rPr>
          <w:rFonts w:hint="default" w:ascii="Times New Roman" w:hAnsi="Times New Roman" w:cs="Times New Roman" w:eastAsiaTheme="minorEastAsia"/>
          <w:b w:val="0"/>
          <w:bCs w:val="0"/>
          <w:sz w:val="28"/>
          <w:szCs w:val="28"/>
        </w:rPr>
        <w:t>）GB 50137-2011</w:t>
      </w:r>
      <w:r>
        <w:rPr>
          <w:rFonts w:hint="default" w:ascii="Times New Roman" w:hAnsi="Times New Roman" w:cs="Times New Roman" w:eastAsiaTheme="minorEastAsia"/>
          <w:b w:val="0"/>
          <w:bCs w:val="0"/>
          <w:sz w:val="28"/>
          <w:szCs w:val="28"/>
          <w:lang w:val="en-US" w:eastAsia="zh-CN"/>
        </w:rPr>
        <w:t>.</w:t>
      </w:r>
      <w:r>
        <w:rPr>
          <w:rFonts w:hint="default" w:ascii="Times New Roman" w:hAnsi="Times New Roman" w:cs="Times New Roman" w:eastAsiaTheme="minorEastAsia"/>
          <w:b w:val="0"/>
          <w:bCs w:val="0"/>
          <w:sz w:val="28"/>
          <w:szCs w:val="28"/>
        </w:rPr>
        <w:t>《城市用地分类与规划建设用地标准》</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6</w:t>
      </w:r>
      <w:r>
        <w:rPr>
          <w:rFonts w:hint="default" w:ascii="Times New Roman" w:hAnsi="Times New Roman" w:cs="Times New Roman" w:eastAsiaTheme="minorEastAsia"/>
          <w:b w:val="0"/>
          <w:bCs w:val="0"/>
          <w:sz w:val="28"/>
          <w:szCs w:val="28"/>
        </w:rPr>
        <w:t>）</w:t>
      </w:r>
      <w:r>
        <w:rPr>
          <w:rFonts w:hint="default" w:ascii="Times New Roman" w:hAnsi="Times New Roman" w:cs="Times New Roman" w:eastAsiaTheme="minorEastAsia"/>
          <w:b w:val="0"/>
          <w:bCs w:val="0"/>
          <w:sz w:val="28"/>
          <w:szCs w:val="28"/>
          <w:lang w:val="en-US" w:eastAsia="zh-CN"/>
        </w:rPr>
        <w:t>GB/T 21010-2007</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《土地利用现状分类标准》</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7）GB3096-93《城市区域环境噪声标准》</w:t>
      </w:r>
    </w:p>
    <w:p>
      <w:p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lang w:val="en-US" w:eastAsia="zh-CN"/>
        </w:rPr>
        <w:t>8）（环发〔2010〕144号）《关于加强环境噪声污染防治工作改善城乡声环境质量的指导意见》</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bookmarkStart w:id="61" w:name="_Toc29613"/>
      <w:bookmarkStart w:id="62" w:name="_Toc24762_WPSOffice_Level2"/>
      <w:bookmarkStart w:id="63" w:name="_Toc11779"/>
      <w:bookmarkStart w:id="64" w:name="_Toc6185_WPSOffice_Level2"/>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65" w:name="_Toc2251_WPSOffice_Level2"/>
      <w:r>
        <w:rPr>
          <w:rFonts w:hint="eastAsia" w:ascii="Times New Roman" w:hAnsi="Times New Roman" w:eastAsia="黑体" w:cs="Times New Roman"/>
          <w:b/>
          <w:bCs/>
          <w:sz w:val="28"/>
          <w:szCs w:val="28"/>
          <w:lang w:val="en-US" w:eastAsia="zh-CN"/>
        </w:rPr>
        <w:t xml:space="preserve">1.3 </w:t>
      </w:r>
      <w:r>
        <w:rPr>
          <w:rFonts w:hint="default" w:ascii="Times New Roman" w:hAnsi="Times New Roman" w:eastAsia="黑体" w:cs="Times New Roman"/>
          <w:b/>
          <w:bCs/>
          <w:sz w:val="28"/>
          <w:szCs w:val="28"/>
          <w:lang w:val="en-US" w:eastAsia="zh-CN"/>
        </w:rPr>
        <w:t>相关</w:t>
      </w:r>
      <w:bookmarkEnd w:id="61"/>
      <w:bookmarkEnd w:id="62"/>
      <w:bookmarkEnd w:id="63"/>
      <w:r>
        <w:rPr>
          <w:rFonts w:hint="default" w:ascii="Times New Roman" w:hAnsi="Times New Roman" w:eastAsia="黑体" w:cs="Times New Roman"/>
          <w:b/>
          <w:bCs/>
          <w:sz w:val="28"/>
          <w:szCs w:val="28"/>
          <w:lang w:val="en-US" w:eastAsia="zh-CN"/>
        </w:rPr>
        <w:t>依据</w:t>
      </w:r>
      <w:bookmarkEnd w:id="64"/>
      <w:bookmarkEnd w:id="65"/>
    </w:p>
    <w:p>
      <w:pPr>
        <w:numPr>
          <w:ilvl w:val="0"/>
          <w:numId w:val="2"/>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《云南省环境保护厅关于开展&lt;云南省声环境功能区划分（2019-2029）&gt;编制工作的通知》（云环通〔2018〕52号）</w:t>
      </w:r>
    </w:p>
    <w:p>
      <w:pPr>
        <w:numPr>
          <w:ilvl w:val="0"/>
          <w:numId w:val="2"/>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《云南省声环境功能区划分（2019-2029）技术指南》</w:t>
      </w:r>
    </w:p>
    <w:p>
      <w:pPr>
        <w:numPr>
          <w:ilvl w:val="0"/>
          <w:numId w:val="2"/>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《寻甸回族彝族自治县城市总体规划》</w:t>
      </w:r>
    </w:p>
    <w:p>
      <w:pPr>
        <w:numPr>
          <w:ilvl w:val="0"/>
          <w:numId w:val="2"/>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《寻甸回族彝族自治县声环境功能区划分监测数据》</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66" w:name="_Toc27047_WPSOffice_Level2"/>
      <w:bookmarkStart w:id="67" w:name="_Toc17144_WPSOffice_Level2"/>
      <w:bookmarkStart w:id="68" w:name="_Toc3406_WPSOffice_Level2"/>
      <w:r>
        <w:rPr>
          <w:rFonts w:hint="eastAsia" w:ascii="Times New Roman" w:hAnsi="Times New Roman" w:eastAsia="黑体" w:cs="Times New Roman"/>
          <w:b/>
          <w:bCs/>
          <w:sz w:val="28"/>
          <w:szCs w:val="28"/>
          <w:lang w:val="en-US" w:eastAsia="zh-CN"/>
        </w:rPr>
        <w:t xml:space="preserve">1.4 </w:t>
      </w:r>
      <w:r>
        <w:rPr>
          <w:rFonts w:hint="default" w:ascii="Times New Roman" w:hAnsi="Times New Roman" w:eastAsia="黑体" w:cs="Times New Roman"/>
          <w:b/>
          <w:bCs/>
          <w:sz w:val="28"/>
          <w:szCs w:val="28"/>
          <w:lang w:val="en-US" w:eastAsia="zh-CN"/>
        </w:rPr>
        <w:t>区划</w:t>
      </w:r>
      <w:bookmarkEnd w:id="66"/>
      <w:bookmarkEnd w:id="67"/>
      <w:r>
        <w:rPr>
          <w:rFonts w:hint="eastAsia" w:ascii="Times New Roman" w:hAnsi="Times New Roman" w:eastAsia="黑体" w:cs="Times New Roman"/>
          <w:b/>
          <w:bCs/>
          <w:sz w:val="28"/>
          <w:szCs w:val="28"/>
          <w:lang w:val="en-US" w:eastAsia="zh-CN"/>
        </w:rPr>
        <w:t>原则</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1.4.1 区划说明</w:t>
      </w:r>
    </w:p>
    <w:p>
      <w:pPr>
        <w:numPr>
          <w:ilvl w:val="0"/>
          <w:numId w:val="3"/>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本</w:t>
      </w:r>
      <w:r>
        <w:rPr>
          <w:rFonts w:hint="default" w:ascii="Times New Roman" w:hAnsi="Times New Roman" w:cs="Times New Roman" w:eastAsiaTheme="minorEastAsia"/>
          <w:b w:val="0"/>
          <w:bCs w:val="0"/>
          <w:sz w:val="28"/>
          <w:szCs w:val="28"/>
          <w:lang w:val="en-US" w:eastAsia="zh-CN"/>
        </w:rPr>
        <w:t>县</w:t>
      </w:r>
      <w:r>
        <w:rPr>
          <w:rFonts w:hint="default" w:ascii="Times New Roman" w:hAnsi="Times New Roman" w:cs="Times New Roman" w:eastAsiaTheme="minorEastAsia"/>
          <w:b w:val="0"/>
          <w:bCs w:val="0"/>
          <w:sz w:val="28"/>
          <w:szCs w:val="28"/>
        </w:rPr>
        <w:t>之前相关声环境功能区划或环境噪声标准适用区域划分与本区划不一致的，以本区划为准</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lang w:val="en-US" w:eastAsia="zh-CN"/>
        </w:rPr>
        <w:t>其他可参照管理</w:t>
      </w:r>
      <w:r>
        <w:rPr>
          <w:rFonts w:hint="default" w:ascii="Times New Roman" w:hAnsi="Times New Roman" w:cs="Times New Roman" w:eastAsiaTheme="minorEastAsia"/>
          <w:b w:val="0"/>
          <w:bCs w:val="0"/>
          <w:sz w:val="28"/>
          <w:szCs w:val="28"/>
          <w:highlight w:val="none"/>
        </w:rPr>
        <w:t>。</w:t>
      </w:r>
    </w:p>
    <w:p>
      <w:pPr>
        <w:numPr>
          <w:ilvl w:val="0"/>
          <w:numId w:val="3"/>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以</w:t>
      </w:r>
      <w:r>
        <w:rPr>
          <w:rFonts w:hint="default" w:ascii="Times New Roman" w:hAnsi="Times New Roman" w:cs="Times New Roman" w:eastAsiaTheme="minorEastAsia"/>
          <w:b w:val="0"/>
          <w:bCs w:val="0"/>
          <w:sz w:val="28"/>
          <w:szCs w:val="28"/>
          <w:lang w:val="en-US" w:eastAsia="zh-CN"/>
        </w:rPr>
        <w:t>寻甸回族彝族自治县</w:t>
      </w:r>
      <w:r>
        <w:rPr>
          <w:rFonts w:hint="default" w:ascii="Times New Roman" w:hAnsi="Times New Roman" w:cs="Times New Roman" w:eastAsiaTheme="minorEastAsia"/>
          <w:b w:val="0"/>
          <w:bCs w:val="0"/>
          <w:sz w:val="28"/>
          <w:szCs w:val="28"/>
        </w:rPr>
        <w:t>中心城区环境噪声污染特征和噪声管理要求作为划分的参考依据。</w:t>
      </w:r>
    </w:p>
    <w:p>
      <w:pPr>
        <w:numPr>
          <w:ilvl w:val="0"/>
          <w:numId w:val="3"/>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以城市的行政边界，自然地貌（河流、山脉）以及道路作为区划的边界，以便于管理。</w:t>
      </w:r>
    </w:p>
    <w:p>
      <w:pPr>
        <w:numPr>
          <w:ilvl w:val="0"/>
          <w:numId w:val="3"/>
        </w:numPr>
        <w:kinsoku/>
        <w:wordWrap/>
        <w:overflowPunct/>
        <w:topLinePunct w:val="0"/>
        <w:autoSpaceDE/>
        <w:autoSpaceDN/>
        <w:bidi w:val="0"/>
        <w:spacing w:line="360" w:lineRule="auto"/>
        <w:ind w:left="839" w:leftChars="133" w:hanging="560" w:hanging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本区划由</w:t>
      </w:r>
      <w:r>
        <w:rPr>
          <w:rFonts w:hint="default" w:ascii="Times New Roman" w:hAnsi="Times New Roman" w:cs="Times New Roman" w:eastAsiaTheme="minorEastAsia"/>
          <w:b w:val="0"/>
          <w:bCs w:val="0"/>
          <w:sz w:val="28"/>
          <w:szCs w:val="28"/>
          <w:lang w:val="en-US" w:eastAsia="zh-CN"/>
        </w:rPr>
        <w:t>寻甸回族彝族自治县</w:t>
      </w:r>
      <w:r>
        <w:rPr>
          <w:rFonts w:hint="default" w:ascii="Times New Roman" w:hAnsi="Times New Roman" w:cs="Times New Roman" w:eastAsiaTheme="minorEastAsia"/>
          <w:b w:val="0"/>
          <w:bCs w:val="0"/>
          <w:sz w:val="28"/>
          <w:szCs w:val="28"/>
        </w:rPr>
        <w:t>环境保护局负责解释。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1.4.2 </w:t>
      </w:r>
      <w:r>
        <w:rPr>
          <w:rFonts w:hint="default" w:ascii="Times New Roman" w:hAnsi="Times New Roman" w:eastAsia="宋体" w:cs="Times New Roman"/>
          <w:b/>
          <w:bCs/>
          <w:sz w:val="28"/>
          <w:szCs w:val="28"/>
          <w:lang w:val="en-US" w:eastAsia="zh-CN"/>
        </w:rPr>
        <w:t>区划范围、时限、基准年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0" w:firstLineChars="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区划范围：寻甸回族彝族自治县城市总体规划确定的中心城区范围线内均为此次区划范围，其总面积20</w:t>
      </w:r>
      <w:r>
        <w:rPr>
          <w:rFonts w:hint="eastAsia" w:ascii="Times New Roman" w:hAnsi="Times New Roman" w:cs="Times New Roman"/>
          <w:b w:val="0"/>
          <w:bCs w:val="0"/>
          <w:sz w:val="28"/>
          <w:szCs w:val="28"/>
          <w:lang w:val="en-US" w:eastAsia="zh-CN"/>
        </w:rPr>
        <w:t>.37</w:t>
      </w:r>
      <w:r>
        <w:rPr>
          <w:rFonts w:hint="default" w:ascii="Times New Roman" w:hAnsi="Times New Roman" w:cs="Times New Roman" w:eastAsiaTheme="minorEastAsia"/>
          <w:b w:val="0"/>
          <w:bCs w:val="0"/>
          <w:sz w:val="28"/>
          <w:szCs w:val="28"/>
          <w:lang w:val="en-US" w:eastAsia="zh-CN"/>
        </w:rPr>
        <w:t>km</w:t>
      </w:r>
      <w:r>
        <w:rPr>
          <w:rFonts w:hint="default" w:ascii="Times New Roman" w:hAnsi="Times New Roman" w:cs="Times New Roman" w:eastAsiaTheme="minorEastAsia"/>
          <w:b w:val="0"/>
          <w:bCs w:val="0"/>
          <w:sz w:val="28"/>
          <w:szCs w:val="28"/>
          <w:vertAlign w:val="superscript"/>
          <w:lang w:val="en-US" w:eastAsia="zh-CN"/>
        </w:rPr>
        <w:t>2</w:t>
      </w:r>
      <w:r>
        <w:rPr>
          <w:rFonts w:hint="default" w:ascii="Times New Roman" w:hAnsi="Times New Roman" w:cs="Times New Roman" w:eastAsiaTheme="minorEastAsia"/>
          <w:b w:val="0"/>
          <w:bCs w:val="0"/>
          <w:sz w:val="28"/>
          <w:szCs w:val="28"/>
          <w:lang w:val="en-US" w:eastAsia="zh-CN"/>
        </w:rPr>
        <w:t>，其中城市规划用地为15km</w:t>
      </w:r>
      <w:r>
        <w:rPr>
          <w:rFonts w:hint="default" w:ascii="Times New Roman" w:hAnsi="Times New Roman" w:cs="Times New Roman" w:eastAsiaTheme="minorEastAsia"/>
          <w:b w:val="0"/>
          <w:bCs w:val="0"/>
          <w:sz w:val="28"/>
          <w:szCs w:val="28"/>
          <w:vertAlign w:val="superscript"/>
          <w:lang w:val="en-US" w:eastAsia="zh-CN"/>
        </w:rPr>
        <w:t>2</w:t>
      </w:r>
      <w:r>
        <w:rPr>
          <w:rFonts w:hint="eastAsia" w:ascii="Times New Roman" w:hAnsi="Times New Roman" w:cs="Times New Roman"/>
          <w:b w:val="0"/>
          <w:bCs w:val="0"/>
          <w:sz w:val="28"/>
          <w:szCs w:val="28"/>
          <w:vertAlign w:val="baseline"/>
          <w:lang w:val="en-US" w:eastAsia="zh-CN"/>
        </w:rPr>
        <w:t>旅游发展用地5.37km</w:t>
      </w:r>
      <w:r>
        <w:rPr>
          <w:rFonts w:hint="eastAsia" w:ascii="Times New Roman" w:hAnsi="Times New Roman" w:cs="Times New Roman"/>
          <w:b w:val="0"/>
          <w:bCs w:val="0"/>
          <w:sz w:val="28"/>
          <w:szCs w:val="28"/>
          <w:vertAlign w:val="superscript"/>
          <w:lang w:val="en-US" w:eastAsia="zh-CN"/>
        </w:rPr>
        <w:t>2</w:t>
      </w:r>
      <w:r>
        <w:rPr>
          <w:rFonts w:hint="default" w:ascii="Times New Roman" w:hAnsi="Times New Roman" w:cs="Times New Roman" w:eastAsiaTheme="minorEastAsia"/>
          <w:b w:val="0"/>
          <w:bCs w:val="0"/>
          <w:sz w:val="28"/>
          <w:szCs w:val="28"/>
          <w:lang w:val="en-US" w:eastAsia="zh-CN"/>
        </w:rPr>
        <w:t>；</w:t>
      </w:r>
      <w:r>
        <w:rPr>
          <w:rFonts w:hint="eastAsia" w:ascii="Times New Roman" w:hAnsi="Times New Roman" w:cs="Times New Roman"/>
          <w:b w:val="0"/>
          <w:bCs w:val="0"/>
          <w:sz w:val="28"/>
          <w:szCs w:val="28"/>
          <w:lang w:val="en-US" w:eastAsia="zh-CN"/>
        </w:rPr>
        <w:t>寻甸特色产业园区中</w:t>
      </w:r>
      <w:r>
        <w:rPr>
          <w:rFonts w:hint="default" w:ascii="Times New Roman" w:hAnsi="Times New Roman" w:cs="Times New Roman" w:eastAsiaTheme="minorEastAsia"/>
          <w:b w:val="0"/>
          <w:bCs w:val="0"/>
          <w:sz w:val="28"/>
          <w:szCs w:val="28"/>
          <w:lang w:val="en-US" w:eastAsia="zh-CN"/>
        </w:rPr>
        <w:t>金所片区规化为此次区划范围，为</w:t>
      </w:r>
      <w:r>
        <w:rPr>
          <w:rFonts w:hint="eastAsia" w:ascii="Times New Roman" w:hAnsi="Times New Roman" w:cs="Times New Roman"/>
          <w:b w:val="0"/>
          <w:bCs w:val="0"/>
          <w:sz w:val="28"/>
          <w:szCs w:val="28"/>
          <w:lang w:val="en-US" w:eastAsia="zh-CN"/>
        </w:rPr>
        <w:t>10.39</w:t>
      </w:r>
      <w:r>
        <w:rPr>
          <w:rFonts w:hint="default" w:ascii="Times New Roman" w:hAnsi="Times New Roman" w:cs="Times New Roman" w:eastAsiaTheme="minorEastAsia"/>
          <w:b w:val="0"/>
          <w:bCs w:val="0"/>
          <w:sz w:val="28"/>
          <w:szCs w:val="28"/>
          <w:lang w:val="en-US" w:eastAsia="zh-CN"/>
        </w:rPr>
        <w:t>km</w:t>
      </w:r>
      <w:r>
        <w:rPr>
          <w:rFonts w:hint="default" w:ascii="Times New Roman" w:hAnsi="Times New Roman" w:cs="Times New Roman" w:eastAsiaTheme="minorEastAsia"/>
          <w:b w:val="0"/>
          <w:bCs w:val="0"/>
          <w:sz w:val="28"/>
          <w:szCs w:val="28"/>
          <w:vertAlign w:val="superscript"/>
          <w:lang w:val="en-US" w:eastAsia="zh-CN"/>
        </w:rPr>
        <w:t>2</w:t>
      </w:r>
      <w:r>
        <w:rPr>
          <w:rFonts w:hint="default" w:ascii="Times New Roman" w:hAnsi="Times New Roman" w:cs="Times New Roman" w:eastAsiaTheme="minorEastAsia"/>
          <w:b w:val="0"/>
          <w:bCs w:val="0"/>
          <w:sz w:val="28"/>
          <w:szCs w:val="28"/>
          <w:lang w:val="en-US" w:eastAsia="zh-CN"/>
        </w:rPr>
        <w:t>；面积共计</w:t>
      </w:r>
      <w:r>
        <w:rPr>
          <w:rFonts w:hint="eastAsia" w:ascii="Times New Roman" w:hAnsi="Times New Roman" w:cs="Times New Roman"/>
          <w:b w:val="0"/>
          <w:bCs w:val="0"/>
          <w:sz w:val="28"/>
          <w:szCs w:val="28"/>
          <w:lang w:val="en-US" w:eastAsia="zh-CN"/>
        </w:rPr>
        <w:t>30.76</w:t>
      </w:r>
      <w:r>
        <w:rPr>
          <w:rFonts w:hint="default" w:ascii="Times New Roman" w:hAnsi="Times New Roman" w:cs="Times New Roman" w:eastAsiaTheme="minorEastAsia"/>
          <w:b w:val="0"/>
          <w:bCs w:val="0"/>
          <w:sz w:val="28"/>
          <w:szCs w:val="28"/>
          <w:lang w:val="en-US" w:eastAsia="zh-CN"/>
        </w:rPr>
        <w:t>km</w:t>
      </w:r>
      <w:r>
        <w:rPr>
          <w:rFonts w:hint="default" w:ascii="Times New Roman" w:hAnsi="Times New Roman" w:cs="Times New Roman" w:eastAsiaTheme="minorEastAsia"/>
          <w:b w:val="0"/>
          <w:bCs w:val="0"/>
          <w:sz w:val="28"/>
          <w:szCs w:val="28"/>
          <w:vertAlign w:val="superscript"/>
          <w:lang w:val="en-US" w:eastAsia="zh-CN"/>
        </w:rPr>
        <w:t>2</w:t>
      </w:r>
      <w:r>
        <w:rPr>
          <w:rFonts w:hint="default" w:ascii="Times New Roman" w:hAnsi="Times New Roman" w:cs="Times New Roman" w:eastAsiaTheme="minorEastAsia"/>
          <w:b w:val="0"/>
          <w:bCs w:val="0"/>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区划时限</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2019-2029</w:t>
      </w:r>
      <w:r>
        <w:rPr>
          <w:rFonts w:hint="eastAsia" w:ascii="Times New Roman" w:hAnsi="Times New Roman" w:cs="Times New Roman"/>
          <w:b w:val="0"/>
          <w:bCs w:val="0"/>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0" w:firstLineChars="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区划数据的基准年：2018</w:t>
      </w:r>
      <w:r>
        <w:rPr>
          <w:rFonts w:hint="eastAsia" w:ascii="Times New Roman" w:hAnsi="Times New Roman" w:cs="Times New Roman" w:eastAsiaTheme="minor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1.4.3 工作程序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准备</w:t>
      </w:r>
      <w:r>
        <w:rPr>
          <w:rFonts w:hint="default" w:ascii="Times New Roman" w:hAnsi="Times New Roman" w:cs="Times New Roman" w:eastAsiaTheme="minorEastAsia"/>
          <w:b w:val="0"/>
          <w:bCs w:val="0"/>
          <w:sz w:val="28"/>
          <w:szCs w:val="28"/>
          <w:lang w:val="en-US" w:eastAsia="zh-CN"/>
        </w:rPr>
        <w:t>声环境</w:t>
      </w:r>
      <w:r>
        <w:rPr>
          <w:rFonts w:hint="default" w:ascii="Times New Roman" w:hAnsi="Times New Roman" w:cs="Times New Roman" w:eastAsiaTheme="minorEastAsia"/>
          <w:b w:val="0"/>
          <w:bCs w:val="0"/>
          <w:sz w:val="28"/>
          <w:szCs w:val="28"/>
        </w:rPr>
        <w:t>区划工作资料：城市总体规划、分区规划、城市用地统计资料、声环境质量状况统计资料和比例适当的工作底图</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确立</w:t>
      </w:r>
      <w:r>
        <w:rPr>
          <w:rFonts w:hint="default" w:ascii="Times New Roman" w:hAnsi="Times New Roman" w:cs="Times New Roman" w:eastAsiaTheme="minorEastAsia"/>
          <w:b w:val="0"/>
          <w:bCs w:val="0"/>
          <w:sz w:val="28"/>
          <w:szCs w:val="28"/>
          <w:lang w:val="en-US" w:eastAsia="zh-CN"/>
        </w:rPr>
        <w:t>声环境</w:t>
      </w:r>
      <w:r>
        <w:rPr>
          <w:rFonts w:hint="default" w:ascii="Times New Roman" w:hAnsi="Times New Roman" w:cs="Times New Roman" w:eastAsiaTheme="minorEastAsia"/>
          <w:b w:val="0"/>
          <w:bCs w:val="0"/>
          <w:sz w:val="28"/>
          <w:szCs w:val="28"/>
        </w:rPr>
        <w:t>区划单元，划定各区划单元的区域类型</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把多个区域类型相同且相邻的单元连成片，充分利用街、区行政边界、规划小区边界、道路、河流、沟壑、绿地等自然地形作为区域边界</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对初步划定的</w:t>
      </w:r>
      <w:r>
        <w:rPr>
          <w:rFonts w:hint="default" w:ascii="Times New Roman" w:hAnsi="Times New Roman" w:cs="Times New Roman" w:eastAsiaTheme="minorEastAsia"/>
          <w:b w:val="0"/>
          <w:bCs w:val="0"/>
          <w:sz w:val="28"/>
          <w:szCs w:val="28"/>
          <w:highlight w:val="none"/>
        </w:rPr>
        <w:t>区划</w:t>
      </w:r>
      <w:r>
        <w:rPr>
          <w:rFonts w:hint="default" w:ascii="Times New Roman" w:hAnsi="Times New Roman" w:cs="Times New Roman" w:eastAsiaTheme="minorEastAsia"/>
          <w:b w:val="0"/>
          <w:bCs w:val="0"/>
          <w:sz w:val="28"/>
          <w:szCs w:val="28"/>
        </w:rPr>
        <w:t>方案进行分析、调整</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征求环保、规划、城建、公安、基层政府等部门意见</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确定</w:t>
      </w:r>
      <w:r>
        <w:rPr>
          <w:rFonts w:hint="default" w:ascii="Times New Roman" w:hAnsi="Times New Roman" w:cs="Times New Roman" w:eastAsiaTheme="minorEastAsia"/>
          <w:b w:val="0"/>
          <w:bCs w:val="0"/>
          <w:sz w:val="28"/>
          <w:szCs w:val="28"/>
          <w:lang w:val="en-US" w:eastAsia="zh-CN"/>
        </w:rPr>
        <w:t>声环境</w:t>
      </w:r>
      <w:r>
        <w:rPr>
          <w:rFonts w:hint="default" w:ascii="Times New Roman" w:hAnsi="Times New Roman" w:cs="Times New Roman" w:eastAsiaTheme="minorEastAsia"/>
          <w:b w:val="0"/>
          <w:bCs w:val="0"/>
          <w:sz w:val="28"/>
          <w:szCs w:val="28"/>
        </w:rPr>
        <w:t>区划方案</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绘制</w:t>
      </w:r>
      <w:r>
        <w:rPr>
          <w:rFonts w:hint="default" w:ascii="Times New Roman" w:hAnsi="Times New Roman" w:cs="Times New Roman" w:eastAsiaTheme="minorEastAsia"/>
          <w:b w:val="0"/>
          <w:bCs w:val="0"/>
          <w:sz w:val="28"/>
          <w:szCs w:val="28"/>
          <w:lang w:val="en-US" w:eastAsia="zh-CN"/>
        </w:rPr>
        <w:t>声环境</w:t>
      </w:r>
      <w:r>
        <w:rPr>
          <w:rFonts w:hint="default" w:ascii="Times New Roman" w:hAnsi="Times New Roman" w:cs="Times New Roman" w:eastAsiaTheme="minorEastAsia"/>
          <w:b w:val="0"/>
          <w:bCs w:val="0"/>
          <w:sz w:val="28"/>
          <w:szCs w:val="28"/>
        </w:rPr>
        <w:t>区划图</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系统整理区划工作报告、区划方案、区划图等资料报上级环境保护行政主管部门验收</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地方环境保护行政主管部门将区划方案报当地人民政府审批、公布实施</w:t>
      </w:r>
      <w:r>
        <w:rPr>
          <w:rFonts w:hint="eastAsia" w:ascii="Times New Roman" w:hAnsi="Times New Roman" w:cs="Times New Roman"/>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1.4.4区划总则</w:t>
      </w:r>
    </w:p>
    <w:p>
      <w:pPr>
        <w:numPr>
          <w:ilvl w:val="0"/>
          <w:numId w:val="6"/>
        </w:numPr>
        <w:kinsoku/>
        <w:wordWrap/>
        <w:overflowPunct/>
        <w:topLinePunct w:val="0"/>
        <w:autoSpaceDE/>
        <w:autoSpaceDN/>
        <w:bidi w:val="0"/>
        <w:spacing w:line="360" w:lineRule="auto"/>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rPr>
        <w:t>有效地控制噪声污染的程度和范围，提高声环境质量，保障城市居民正常生活、学习和工作场所的安静</w:t>
      </w:r>
      <w:r>
        <w:rPr>
          <w:rFonts w:hint="eastAsia" w:ascii="Times New Roman" w:hAnsi="Times New Roman" w:cs="Times New Roman"/>
          <w:b w:val="0"/>
          <w:bCs w:val="0"/>
          <w:sz w:val="28"/>
          <w:szCs w:val="28"/>
          <w:lang w:eastAsia="zh-CN"/>
        </w:rPr>
        <w:t>；</w:t>
      </w:r>
    </w:p>
    <w:p>
      <w:pPr>
        <w:numPr>
          <w:ilvl w:val="0"/>
          <w:numId w:val="6"/>
        </w:numPr>
        <w:kinsoku/>
        <w:wordWrap/>
        <w:overflowPunct/>
        <w:topLinePunct w:val="0"/>
        <w:autoSpaceDE/>
        <w:autoSpaceDN/>
        <w:bidi w:val="0"/>
        <w:spacing w:line="360" w:lineRule="auto"/>
        <w:ind w:left="0" w:leftChars="0" w:firstLine="0" w:firstLineChars="0"/>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rPr>
        <w:t>以城市规划为指导，按区域规划用地的主导功能确定</w:t>
      </w:r>
      <w:r>
        <w:rPr>
          <w:rFonts w:hint="eastAsia" w:ascii="Times New Roman" w:hAnsi="Times New Roman" w:cs="Times New Roman"/>
          <w:b w:val="0"/>
          <w:bCs w:val="0"/>
          <w:sz w:val="28"/>
          <w:szCs w:val="28"/>
          <w:lang w:eastAsia="zh-CN"/>
        </w:rPr>
        <w:t>；</w:t>
      </w:r>
    </w:p>
    <w:p>
      <w:pPr>
        <w:numPr>
          <w:ilvl w:val="0"/>
          <w:numId w:val="6"/>
        </w:numPr>
        <w:kinsoku/>
        <w:wordWrap/>
        <w:overflowPunct/>
        <w:topLinePunct w:val="0"/>
        <w:autoSpaceDE/>
        <w:autoSpaceDN/>
        <w:bidi w:val="0"/>
        <w:spacing w:line="360" w:lineRule="auto"/>
        <w:ind w:left="0" w:leftChars="0" w:firstLine="0" w:firstLineChars="0"/>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rPr>
        <w:t>便于城市环境噪声管理和促进噪声治理</w:t>
      </w:r>
      <w:r>
        <w:rPr>
          <w:rFonts w:hint="eastAsia" w:ascii="Times New Roman" w:hAnsi="Times New Roman" w:cs="Times New Roman"/>
          <w:b w:val="0"/>
          <w:bCs w:val="0"/>
          <w:sz w:val="28"/>
          <w:szCs w:val="28"/>
          <w:lang w:eastAsia="zh-CN"/>
        </w:rPr>
        <w:t>；</w:t>
      </w:r>
    </w:p>
    <w:p>
      <w:pPr>
        <w:kinsoku/>
        <w:wordWrap/>
        <w:overflowPunct/>
        <w:topLinePunct w:val="0"/>
        <w:autoSpaceDE/>
        <w:autoSpaceDN/>
        <w:bidi w:val="0"/>
        <w:spacing w:line="360" w:lineRule="auto"/>
        <w:rPr>
          <w:rFonts w:hint="eastAsia"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lang w:val="en-US" w:eastAsia="zh-CN"/>
        </w:rPr>
        <w:t>4</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有利于城市规划的实施和城市改造，做到区划科学合理，促进环境、经济、社会协调一致发展</w:t>
      </w:r>
      <w:r>
        <w:rPr>
          <w:rFonts w:hint="eastAsia" w:ascii="Times New Roman" w:hAnsi="Times New Roman" w:cs="Times New Roman"/>
          <w:b w:val="0"/>
          <w:bCs w:val="0"/>
          <w:sz w:val="28"/>
          <w:szCs w:val="28"/>
          <w:lang w:eastAsia="zh-CN"/>
        </w:rPr>
        <w:t>；</w:t>
      </w:r>
    </w:p>
    <w:p>
      <w:pPr>
        <w:kinsoku/>
        <w:wordWrap/>
        <w:overflowPunct/>
        <w:topLinePunct w:val="0"/>
        <w:autoSpaceDE/>
        <w:autoSpaceDN/>
        <w:bidi w:val="0"/>
        <w:spacing w:line="360" w:lineRule="auto"/>
        <w:rPr>
          <w:rFonts w:hint="eastAsia" w:ascii="Times New Roman" w:hAnsi="Times New Roman" w:cs="Times New Roman"/>
          <w:b w:val="0"/>
          <w:bCs w:val="0"/>
          <w:sz w:val="28"/>
          <w:szCs w:val="28"/>
          <w:lang w:eastAsia="zh-CN"/>
        </w:rPr>
      </w:pP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lang w:val="en-US" w:eastAsia="zh-CN"/>
        </w:rPr>
        <w:t>5</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宜粗不宜细，</w:t>
      </w:r>
      <w:r>
        <w:rPr>
          <w:rFonts w:hint="default" w:ascii="Times New Roman" w:hAnsi="Times New Roman" w:cs="Times New Roman" w:eastAsiaTheme="minorEastAsia"/>
          <w:b w:val="0"/>
          <w:bCs w:val="0"/>
          <w:sz w:val="28"/>
          <w:szCs w:val="28"/>
          <w:highlight w:val="none"/>
        </w:rPr>
        <w:t>宜</w:t>
      </w:r>
      <w:r>
        <w:rPr>
          <w:rFonts w:hint="default" w:ascii="Times New Roman" w:hAnsi="Times New Roman" w:cs="Times New Roman" w:eastAsiaTheme="minorEastAsia"/>
          <w:b w:val="0"/>
          <w:bCs w:val="0"/>
          <w:sz w:val="28"/>
          <w:szCs w:val="28"/>
        </w:rPr>
        <w:t>大不宜小</w:t>
      </w:r>
      <w:r>
        <w:rPr>
          <w:rFonts w:hint="eastAsia" w:ascii="Times New Roman" w:hAnsi="Times New Roman" w:cs="Times New Roman"/>
          <w:b w:val="0"/>
          <w:bCs w:val="0"/>
          <w:sz w:val="28"/>
          <w:szCs w:val="28"/>
          <w:lang w:eastAsia="zh-CN"/>
        </w:rPr>
        <w:t>。</w:t>
      </w:r>
    </w:p>
    <w:p>
      <w:pPr>
        <w:pStyle w:val="2"/>
        <w:keepNext/>
        <w:keepLines/>
        <w:pageBreakBefore/>
        <w:widowControl w:val="0"/>
        <w:kinsoku/>
        <w:wordWrap/>
        <w:overflowPunct/>
        <w:topLinePunct w:val="0"/>
        <w:autoSpaceDE/>
        <w:autoSpaceDN/>
        <w:bidi w:val="0"/>
        <w:adjustRightInd/>
        <w:snapToGrid/>
        <w:spacing w:line="576" w:lineRule="auto"/>
        <w:textAlignment w:val="auto"/>
        <w:outlineLvl w:val="0"/>
        <w:rPr>
          <w:rFonts w:hint="eastAsia" w:ascii="新宋体" w:hAnsi="新宋体" w:eastAsia="新宋体" w:cs="新宋体"/>
          <w:b/>
          <w:bCs w:val="0"/>
          <w:sz w:val="30"/>
          <w:szCs w:val="30"/>
          <w:lang w:val="en-US" w:eastAsia="zh-CN"/>
        </w:rPr>
      </w:pPr>
      <w:bookmarkStart w:id="69" w:name="_Toc13528_WPSOffice_Level1"/>
      <w:r>
        <w:rPr>
          <w:rFonts w:hint="default" w:ascii="新宋体" w:hAnsi="新宋体" w:eastAsia="新宋体" w:cs="新宋体"/>
          <w:b/>
          <w:bCs w:val="0"/>
          <w:sz w:val="30"/>
          <w:szCs w:val="30"/>
          <w:lang w:val="en-US" w:eastAsia="zh-CN"/>
        </w:rPr>
        <w:t xml:space="preserve">2. </w:t>
      </w:r>
      <w:r>
        <w:rPr>
          <w:rFonts w:hint="eastAsia" w:ascii="新宋体" w:hAnsi="新宋体" w:eastAsia="新宋体" w:cs="新宋体"/>
          <w:b/>
          <w:bCs w:val="0"/>
          <w:sz w:val="30"/>
          <w:szCs w:val="30"/>
          <w:lang w:val="en-US" w:eastAsia="zh-CN"/>
        </w:rPr>
        <w:t>区域概况</w:t>
      </w:r>
      <w:bookmarkEnd w:id="69"/>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70" w:name="_Toc18958_WPSOffice_Level2"/>
      <w:r>
        <w:rPr>
          <w:rFonts w:hint="default" w:ascii="Times New Roman" w:hAnsi="Times New Roman" w:eastAsia="黑体" w:cs="Times New Roman"/>
          <w:b/>
          <w:bCs/>
          <w:sz w:val="28"/>
          <w:szCs w:val="28"/>
          <w:lang w:val="en-US" w:eastAsia="zh-CN"/>
        </w:rPr>
        <w:t>2.1 自然环境概况</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2.1.1</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val="en-US" w:eastAsia="zh-CN"/>
        </w:rPr>
        <w:t>地理位置</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b w:val="0"/>
          <w:bCs w:val="0"/>
          <w:sz w:val="28"/>
          <w:szCs w:val="28"/>
          <w:lang w:val="en-US" w:eastAsia="zh-CN"/>
        </w:rPr>
      </w:pPr>
      <w:r>
        <w:rPr>
          <w:rFonts w:hint="default" w:ascii="Times New Roman" w:hAnsi="Times New Roman" w:cs="Times New Roman" w:eastAsiaTheme="minorEastAsia"/>
          <w:b w:val="0"/>
          <w:bCs w:val="0"/>
          <w:sz w:val="28"/>
          <w:szCs w:val="28"/>
        </w:rPr>
        <w:t>寻甸回族彝族自治县，位于滇东北高原主体，地处东经102°41′</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rPr>
        <w:t>-</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rPr>
        <w:t>103°33′</w:t>
      </w:r>
      <w:r>
        <w:rPr>
          <w:rFonts w:hint="eastAsia" w:ascii="宋体" w:hAnsi="宋体" w:eastAsia="宋体" w:cs="宋体"/>
          <w:b w:val="0"/>
          <w:bCs w:val="0"/>
          <w:sz w:val="28"/>
          <w:szCs w:val="28"/>
        </w:rPr>
        <w:t>，</w:t>
      </w:r>
      <w:r>
        <w:rPr>
          <w:rFonts w:hint="default" w:ascii="Times New Roman" w:hAnsi="Times New Roman" w:cs="Times New Roman" w:eastAsiaTheme="minorEastAsia"/>
          <w:b w:val="0"/>
          <w:bCs w:val="0"/>
          <w:sz w:val="28"/>
          <w:szCs w:val="28"/>
        </w:rPr>
        <w:t>北纬25</w:t>
      </w:r>
      <w:r>
        <w:rPr>
          <w:rFonts w:hint="default"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rPr>
        <w:t>20′</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rPr>
        <w:t>-</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eastAsiaTheme="minorEastAsia"/>
          <w:b w:val="0"/>
          <w:bCs w:val="0"/>
          <w:sz w:val="28"/>
          <w:szCs w:val="28"/>
        </w:rPr>
        <w:t>26°01′，位于昆明市东北部，横跨金沙江、南盘江两流域之间</w:t>
      </w:r>
      <w:r>
        <w:rPr>
          <w:rFonts w:hint="default"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寻甸县东与曲靖市的马龙县，</w:t>
      </w:r>
      <w:r>
        <w:rPr>
          <w:rFonts w:hint="eastAsia" w:ascii="Times New Roman" w:hAnsi="Times New Roman" w:cs="Times New Roman"/>
          <w:b w:val="0"/>
          <w:bCs w:val="0"/>
          <w:sz w:val="28"/>
          <w:szCs w:val="28"/>
          <w:lang w:eastAsia="zh-CN"/>
        </w:rPr>
        <w:t>沾益区</w:t>
      </w:r>
      <w:r>
        <w:rPr>
          <w:rFonts w:hint="default" w:ascii="Times New Roman" w:hAnsi="Times New Roman" w:cs="Times New Roman" w:eastAsiaTheme="minorEastAsia"/>
          <w:b w:val="0"/>
          <w:bCs w:val="0"/>
          <w:sz w:val="28"/>
          <w:szCs w:val="28"/>
        </w:rPr>
        <w:t>接壤；南与嵩明县相邻；西与富民县、禄劝县毗连；北与东川区、会泽县相依，东西长8</w:t>
      </w:r>
      <w:r>
        <w:rPr>
          <w:rFonts w:hint="eastAsia" w:ascii="Times New Roman" w:hAnsi="Times New Roman" w:cs="Times New Roman"/>
          <w:b w:val="0"/>
          <w:bCs w:val="0"/>
          <w:sz w:val="28"/>
          <w:szCs w:val="28"/>
          <w:lang w:val="en-US" w:eastAsia="zh-CN"/>
        </w:rPr>
        <w:t>4</w:t>
      </w:r>
      <w:r>
        <w:rPr>
          <w:rFonts w:hint="default" w:ascii="Times New Roman" w:hAnsi="Times New Roman" w:cs="Times New Roman" w:eastAsiaTheme="minorEastAsia"/>
          <w:b w:val="0"/>
          <w:bCs w:val="0"/>
          <w:sz w:val="28"/>
          <w:szCs w:val="28"/>
        </w:rPr>
        <w:t>.5km，由南到北宽75km。</w:t>
      </w:r>
      <w:r>
        <w:rPr>
          <w:rFonts w:hint="default" w:ascii="Times New Roman" w:hAnsi="Times New Roman" w:cs="Times New Roman"/>
          <w:b w:val="0"/>
          <w:bCs w:val="0"/>
          <w:sz w:val="28"/>
          <w:szCs w:val="28"/>
          <w:lang w:eastAsia="zh-CN"/>
        </w:rPr>
        <w:t>县城仁德镇地处东经</w:t>
      </w:r>
      <w:r>
        <w:rPr>
          <w:rFonts w:hint="default" w:ascii="Times New Roman" w:hAnsi="Times New Roman" w:cs="Times New Roman"/>
          <w:b w:val="0"/>
          <w:bCs w:val="0"/>
          <w:sz w:val="28"/>
          <w:szCs w:val="28"/>
          <w:lang w:val="en-US" w:eastAsia="zh-CN"/>
        </w:rPr>
        <w:t>103°15</w:t>
      </w:r>
      <w:r>
        <w:rPr>
          <w:rFonts w:hint="default" w:ascii="Times New Roman" w:hAnsi="Times New Roman" w:cs="Times New Roman" w:eastAsiaTheme="minorEastAsia"/>
          <w:b w:val="0"/>
          <w:bCs w:val="0"/>
          <w:sz w:val="28"/>
          <w:szCs w:val="28"/>
        </w:rPr>
        <w:t>′，北纬25°</w:t>
      </w:r>
      <w:r>
        <w:rPr>
          <w:rFonts w:hint="default" w:ascii="Times New Roman" w:hAnsi="Times New Roman" w:cs="Times New Roman"/>
          <w:b w:val="0"/>
          <w:bCs w:val="0"/>
          <w:sz w:val="28"/>
          <w:szCs w:val="28"/>
          <w:lang w:val="en-US" w:eastAsia="zh-CN"/>
        </w:rPr>
        <w:t>34</w:t>
      </w:r>
      <w:r>
        <w:rPr>
          <w:rFonts w:hint="default" w:ascii="Times New Roman" w:hAnsi="Times New Roman" w:cs="Times New Roman" w:eastAsiaTheme="minorEastAsia"/>
          <w:b w:val="0"/>
          <w:bCs w:val="0"/>
          <w:sz w:val="28"/>
          <w:szCs w:val="28"/>
        </w:rPr>
        <w:t>′</w:t>
      </w:r>
      <w:r>
        <w:rPr>
          <w:rFonts w:hint="default" w:ascii="Times New Roman" w:hAnsi="Times New Roman" w:cs="Times New Roman"/>
          <w:b w:val="0"/>
          <w:bCs w:val="0"/>
          <w:sz w:val="28"/>
          <w:szCs w:val="28"/>
          <w:lang w:eastAsia="zh-CN"/>
        </w:rPr>
        <w:t>，县境东南，仁德坝子西北，</w:t>
      </w:r>
      <w:r>
        <w:rPr>
          <w:rFonts w:hint="eastAsia" w:ascii="Times New Roman" w:hAnsi="Times New Roman" w:cs="Times New Roman"/>
          <w:b w:val="0"/>
          <w:bCs w:val="0"/>
          <w:sz w:val="28"/>
          <w:szCs w:val="28"/>
          <w:lang w:eastAsia="zh-CN"/>
        </w:rPr>
        <w:t>背靠</w:t>
      </w:r>
      <w:r>
        <w:rPr>
          <w:rFonts w:hint="default" w:ascii="Times New Roman" w:hAnsi="Times New Roman" w:cs="Times New Roman"/>
          <w:b w:val="0"/>
          <w:bCs w:val="0"/>
          <w:sz w:val="28"/>
          <w:szCs w:val="28"/>
          <w:lang w:eastAsia="zh-CN"/>
        </w:rPr>
        <w:t>玉屏山、青龙山。西南</w:t>
      </w:r>
      <w:r>
        <w:rPr>
          <w:rFonts w:hint="default" w:ascii="Times New Roman" w:hAnsi="Times New Roman" w:cs="Times New Roman"/>
          <w:b w:val="0"/>
          <w:bCs w:val="0"/>
          <w:sz w:val="28"/>
          <w:szCs w:val="28"/>
          <w:lang w:val="en-US" w:eastAsia="zh-CN"/>
        </w:rPr>
        <w:t>102公里至昆明市，东南97公里至曲靖市，北87公里至东川。</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2.1.2 </w:t>
      </w:r>
      <w:r>
        <w:rPr>
          <w:rFonts w:hint="default" w:ascii="Times New Roman" w:hAnsi="Times New Roman" w:eastAsia="宋体" w:cs="Times New Roman"/>
          <w:b/>
          <w:bCs/>
          <w:sz w:val="28"/>
          <w:szCs w:val="28"/>
          <w:lang w:val="en-US" w:eastAsia="zh-CN"/>
        </w:rPr>
        <w:t>自然地理概况</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寻甸县境地势西北高，东南低，呈向东南倾斜阶梯状。以乌蒙山系的梁王山、小海梁子等山脉为主，山间点缀着低凹谷地或湖盆。全县山区、高寒山区占总面积的87.5%。</w:t>
      </w:r>
      <w:r>
        <w:rPr>
          <w:rFonts w:hint="default" w:ascii="Times New Roman" w:hAnsi="Times New Roman" w:cs="Times New Roman"/>
          <w:b w:val="0"/>
          <w:bCs w:val="0"/>
          <w:sz w:val="28"/>
          <w:szCs w:val="28"/>
          <w:lang w:val="en-US" w:eastAsia="zh-CN"/>
        </w:rPr>
        <w:t>东北部的河口乡是长江、珠江的分水岭。</w:t>
      </w:r>
      <w:r>
        <w:rPr>
          <w:rFonts w:hint="default" w:ascii="Times New Roman" w:hAnsi="Times New Roman" w:cs="Times New Roman" w:eastAsiaTheme="minorEastAsia"/>
          <w:b w:val="0"/>
          <w:bCs w:val="0"/>
          <w:sz w:val="28"/>
          <w:szCs w:val="28"/>
        </w:rPr>
        <w:t>北部受金沙江水系的河流强烈切割，河谷深切，山势陡峻；中部地势略高，山顶浑圆平坦，东南部低中山丘原之间散布各类大小不等的山间盆地（坝子）。寻甸县东有小尖山，小凉山，凤梧山；西有</w:t>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"https://baike.baidu.com/item/%E5%A4%A7%E9%BB%91%E5%B1%B1" \t "https://baike.baidu.com/item/%E5%AF%BB%E7%94%B8%E5%9B%9E%E6%97%8F%E5%BD%9D%E6%97%8F%E8%87%AA%E6%B2%BB%E5%8E%BF/_blank"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t>大黑山</w:t>
      </w:r>
      <w:r>
        <w:rPr>
          <w:rFonts w:hint="default" w:ascii="Times New Roman" w:hAnsi="Times New Roman" w:cs="Times New Roman" w:eastAsiaTheme="minorEastAsia"/>
          <w:b w:val="0"/>
          <w:bCs w:val="0"/>
          <w:sz w:val="28"/>
          <w:szCs w:val="28"/>
        </w:rPr>
        <w:fldChar w:fldCharType="end"/>
      </w:r>
      <w:r>
        <w:rPr>
          <w:rFonts w:hint="default" w:ascii="Times New Roman" w:hAnsi="Times New Roman" w:cs="Times New Roman" w:eastAsiaTheme="minorEastAsia"/>
          <w:b w:val="0"/>
          <w:bCs w:val="0"/>
          <w:sz w:val="28"/>
          <w:szCs w:val="28"/>
        </w:rPr>
        <w:t>，九龙山；南有老黄山；北有石</w:t>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"https://baike.baidu.com/item/%E8%80%81%E8%99%8E%E5%B1%B1" \t "https://baike.baidu.com/item/%E5%AF%BB%E7%94%B8%E5%9B%9E%E6%97%8F%E5%BD%9D%E6%97%8F%E8%87%AA%E6%B2%BB%E5%8E%BF/_blank"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t>老虎山</w:t>
      </w:r>
      <w:r>
        <w:rPr>
          <w:rFonts w:hint="default" w:ascii="Times New Roman" w:hAnsi="Times New Roman" w:cs="Times New Roman" w:eastAsiaTheme="minorEastAsia"/>
          <w:b w:val="0"/>
          <w:bCs w:val="0"/>
          <w:sz w:val="28"/>
          <w:szCs w:val="28"/>
        </w:rPr>
        <w:fldChar w:fldCharType="end"/>
      </w:r>
      <w:r>
        <w:rPr>
          <w:rFonts w:hint="default" w:ascii="Times New Roman" w:hAnsi="Times New Roman" w:cs="Times New Roman" w:eastAsiaTheme="minorEastAsia"/>
          <w:b w:val="0"/>
          <w:bCs w:val="0"/>
          <w:sz w:val="28"/>
          <w:szCs w:val="28"/>
        </w:rPr>
        <w:t>等有名的山峰90余座。位于中部的</w:t>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"https://baike.baidu.com/item/%E5%85%AD%E5%93%A8%E4%B9%A1" \t "https://baike.baidu.com/item/%E5%AF%BB%E7%94%B8%E5%9B%9E%E6%97%8F%E5%BD%9D%E6%97%8F%E8%87%AA%E6%B2%BB%E5%8E%BF/_blank"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t>六哨乡</w:t>
      </w:r>
      <w:r>
        <w:rPr>
          <w:rFonts w:hint="default" w:ascii="Times New Roman" w:hAnsi="Times New Roman" w:cs="Times New Roman" w:eastAsiaTheme="minorEastAsia"/>
          <w:b w:val="0"/>
          <w:bCs w:val="0"/>
          <w:sz w:val="28"/>
          <w:szCs w:val="28"/>
        </w:rPr>
        <w:fldChar w:fldCharType="end"/>
      </w:r>
      <w:r>
        <w:rPr>
          <w:rFonts w:hint="default" w:ascii="Times New Roman" w:hAnsi="Times New Roman" w:cs="Times New Roman" w:eastAsiaTheme="minorEastAsia"/>
          <w:b w:val="0"/>
          <w:bCs w:val="0"/>
          <w:sz w:val="28"/>
          <w:szCs w:val="28"/>
        </w:rPr>
        <w:t>平均海拔在2500米以上</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阿旺和金源两地交界处的巨龙梁子，高达3294米，突兀于群巅之上。位于西部的鸡街、马街和东南部七星、河口区，海拔在2500米以下。最低点是金源乡沧溪乡小树棵，海拔仅有14</w:t>
      </w:r>
      <w:r>
        <w:rPr>
          <w:rFonts w:hint="default" w:ascii="Times New Roman" w:hAnsi="Times New Roman" w:cs="Times New Roman"/>
          <w:b w:val="0"/>
          <w:bCs w:val="0"/>
          <w:sz w:val="28"/>
          <w:szCs w:val="28"/>
          <w:lang w:val="en-US" w:eastAsia="zh-CN"/>
        </w:rPr>
        <w:t>80</w:t>
      </w:r>
      <w:r>
        <w:rPr>
          <w:rFonts w:hint="default" w:ascii="Times New Roman" w:hAnsi="Times New Roman" w:cs="Times New Roman" w:eastAsiaTheme="minorEastAsia"/>
          <w:b w:val="0"/>
          <w:bCs w:val="0"/>
          <w:sz w:val="28"/>
          <w:szCs w:val="28"/>
        </w:rPr>
        <w:t>米。</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2.1.3 气候特征</w:t>
      </w:r>
    </w:p>
    <w:p>
      <w:pPr>
        <w:ind w:firstLine="56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寻甸县地处滇东北高原中部</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属低纬度高原季风气候，冬、春两季受平直西风环流控制，大陆季风气候明显，干旱少雨；夏、秋两季主要受太平洋西南或印度洋东南暖湿气流影响，海洋季风突出，潮湿多雨。旱、雨季分明，2018年，5-11月为雨季，11月至次年5月为旱季。年平均气温14.9℃，无霜期313天，大于15℃持续天数208天，高于20℃天气83天，年极端最高气温29.6℃，年极端最低气温-2.9℃；地温年平均18.8℃，年均降水量921.1毫米</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相对湿度73%；全年日照1753.2小时，全年太阳辐射总量445414.6焦耳/平方厘米，一年中以南南西风为主，年均风速2.1米/秒。</w:t>
      </w:r>
    </w:p>
    <w:p>
      <w:pPr>
        <w:ind w:firstLine="56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由于县内地形高差大，低谷区和高山区气候差别显著。金源河谷内气温偏高，霜期较短，雨量较少，冬暖夏热，具热带气候特点。2400～3000米以上的高山区气温偏低，霜期较其它地区长。</w:t>
      </w:r>
    </w:p>
    <w:p>
      <w:pPr>
        <w:ind w:firstLine="560"/>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此外，寻甸县气候还具有四季分明的特点。</w:t>
      </w:r>
      <w:r>
        <w:rPr>
          <w:rFonts w:hint="eastAsia" w:ascii="Times New Roman" w:hAnsi="Times New Roman" w:cs="Times New Roman"/>
          <w:b w:val="0"/>
          <w:bCs w:val="0"/>
          <w:sz w:val="28"/>
          <w:szCs w:val="28"/>
          <w:lang w:eastAsia="zh-CN"/>
        </w:rPr>
        <w:t>平均气温</w:t>
      </w:r>
      <w:r>
        <w:rPr>
          <w:rFonts w:hint="default" w:ascii="Times New Roman" w:hAnsi="Times New Roman" w:cs="Times New Roman" w:eastAsiaTheme="minorEastAsia"/>
          <w:b w:val="0"/>
          <w:bCs w:val="0"/>
          <w:sz w:val="28"/>
          <w:szCs w:val="28"/>
        </w:rPr>
        <w:t>小于10℃的冬季从11月15日开始至次年2月28日结束，共105天，没有</w:t>
      </w:r>
      <w:r>
        <w:rPr>
          <w:rFonts w:hint="eastAsia" w:ascii="Times New Roman" w:hAnsi="Times New Roman" w:cs="Times New Roman"/>
          <w:b w:val="0"/>
          <w:bCs w:val="0"/>
          <w:sz w:val="28"/>
          <w:szCs w:val="28"/>
          <w:lang w:eastAsia="zh-CN"/>
        </w:rPr>
        <w:t>平均气温</w:t>
      </w:r>
      <w:r>
        <w:rPr>
          <w:rFonts w:hint="default" w:ascii="Times New Roman" w:hAnsi="Times New Roman" w:cs="Times New Roman" w:eastAsiaTheme="minorEastAsia"/>
          <w:b w:val="0"/>
          <w:bCs w:val="0"/>
          <w:sz w:val="28"/>
          <w:szCs w:val="28"/>
        </w:rPr>
        <w:t>大于22℃的夏季。即便如此，仍可将其划分为春、夏、秋、冬四个季节。干湿季分明，区域气候温和，局部小气候复杂多变是寻甸县的主要气候特征。</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2.1.4 </w:t>
      </w:r>
      <w:r>
        <w:rPr>
          <w:rFonts w:hint="default" w:ascii="Times New Roman" w:hAnsi="Times New Roman" w:eastAsia="宋体" w:cs="Times New Roman"/>
          <w:b/>
          <w:bCs/>
          <w:sz w:val="28"/>
          <w:szCs w:val="28"/>
          <w:lang w:val="en-US" w:eastAsia="zh-CN"/>
        </w:rPr>
        <w:t>自然资源</w:t>
      </w:r>
    </w:p>
    <w:p>
      <w:pPr>
        <w:bidi w:val="0"/>
        <w:rPr>
          <w:rFonts w:hint="default"/>
          <w:sz w:val="28"/>
          <w:szCs w:val="28"/>
        </w:rPr>
      </w:pPr>
      <w:r>
        <w:rPr>
          <w:rFonts w:hint="eastAsia"/>
          <w:sz w:val="28"/>
          <w:szCs w:val="28"/>
          <w:lang w:val="en-US" w:eastAsia="zh-CN"/>
        </w:rPr>
        <w:t>1）</w:t>
      </w:r>
      <w:r>
        <w:rPr>
          <w:rFonts w:hint="default"/>
          <w:sz w:val="28"/>
          <w:szCs w:val="28"/>
        </w:rPr>
        <w:t>土地资源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根据寻甸县国土资源局2018年地籍调查资料，全县国土总面积358837.74公顷，其中：耕地102682.22公顷，占全县土地总面积的28.62%；园地4340.94公顷，占1.21%；林地170974.01公顷，占47.65%；牧草地31895.58公顷，占8.89%；城镇居民及工矿用地11400.57公顷，占3.18%；交通用地4949.13公顷，占1.38%；水域及水利设施用地4454.65公顷，占1.24%；其它土地28140.64公顷，占7.84%。</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vertAlign w:val="superscript"/>
          <w:lang w:val="en-US" w:eastAsia="zh-CN"/>
        </w:rPr>
      </w:pPr>
      <w:r>
        <w:rPr>
          <w:rFonts w:hint="default" w:ascii="Times New Roman" w:hAnsi="Times New Roman" w:cs="Times New Roman" w:eastAsiaTheme="minorEastAsia"/>
          <w:b w:val="0"/>
          <w:bCs w:val="0"/>
          <w:sz w:val="28"/>
          <w:szCs w:val="28"/>
        </w:rPr>
        <w:t>全县土地利用结构以农、林、牧业为主，非农业用地比重低，但增长较快。人均拥有土地10.48亩，其中：耕地0.97亩，园地0.028亩，林地3.3亩，牧草地0.029亩，村镇及工矿地0.39亩，交通用地0.094亩，水域0.12亩，未利用土地5.55亩。人多地少，未利用土地中难以利用的面积大，耕地逐年递减，后备资源不足。土地利用呈立体分布：水田和城乡居民点工矿用地集中分布在坝区；旱地、园地、林地分布在坝区周围及居民点附近低山丘陵地带；森林、荒草地分布在中山、高山地带。坝区土地利用节约程度和生产率较高，方式多样，但用地矛盾突出；山区土地利用方式单一，经营粗放低效，用地矛盾相对缓和。</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全县有特殊用地包括清水海一级保护区水域7.2平方千米，陆域3.7平方千米；板桥河0.22平方千米；石桥河0.22平方千米；新田河0.22平方千米、塌鼻子龙潭0.11平方千米，合计12.67平方千米。塘子钟灵山森利公园，塘子温泉、河口白石岩溶洞群旅游区。位于六哨乡、先锋乡之间的黑颈鹤保护区7.54平方千米。待列入特殊用地的还有牛栏江恩格取水点0.22平方千米。</w:t>
      </w:r>
    </w:p>
    <w:p>
      <w:pPr>
        <w:bidi w:val="0"/>
        <w:rPr>
          <w:rFonts w:hint="default"/>
          <w:sz w:val="28"/>
          <w:szCs w:val="28"/>
          <w:lang w:val="en-US" w:eastAsia="zh-CN"/>
        </w:rPr>
      </w:pPr>
      <w:r>
        <w:rPr>
          <w:rFonts w:hint="eastAsia"/>
          <w:sz w:val="28"/>
          <w:szCs w:val="28"/>
          <w:lang w:val="en-US" w:eastAsia="zh-CN"/>
        </w:rPr>
        <w:t>2）</w:t>
      </w:r>
      <w:r>
        <w:rPr>
          <w:rFonts w:hint="default"/>
          <w:sz w:val="28"/>
          <w:szCs w:val="28"/>
          <w:lang w:val="en-US" w:eastAsia="zh-CN"/>
        </w:rPr>
        <w:t>水资源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水资源丰富。根据上世纪80年代初的资料，寻甸县地下水资源量为5.8063亿立方米，地表水总量为13.5779亿立方米。年平均径流深453毫米，年平均径流量为16.2196亿立方米。出县径流面积64.8平方千米，年平均径流深784毫米，年平均径流量为0.508亿立方米。入县径流面积60.9平方千米，年平均径流深545毫米，年平均径流量为0.3319亿立方米，出县径流与入县径流之差为0.176亿立方米。除此之外，全县实际产水量为16.0435亿立方米。单位面积产水量为44.81万立方米/平方千米，人均占有水资源量为3833.95立方米/人，约为滇池流域人均水资源量的10倍。</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人均水资源量丰富，牛栏江、普渡河、小江三大水系共有大小河流20多条，1个天然湖泊“清水海”，水资源总量21亿立方米。通过“引清济昆”、“引牛补滇”工程的实施，寻甸将成为昆明市生产生活用水的重要供给地。寻甸县2018年自来水销售量25.7万吨/日，其中工业用水量1.92万吨/日。</w:t>
      </w:r>
    </w:p>
    <w:p>
      <w:pPr>
        <w:bidi w:val="0"/>
        <w:rPr>
          <w:rFonts w:hint="default"/>
          <w:sz w:val="28"/>
          <w:szCs w:val="28"/>
          <w:lang w:val="en-US" w:eastAsia="zh-CN"/>
        </w:rPr>
      </w:pPr>
      <w:r>
        <w:rPr>
          <w:rFonts w:hint="eastAsia"/>
          <w:sz w:val="28"/>
          <w:szCs w:val="28"/>
          <w:lang w:val="en-US" w:eastAsia="zh-CN"/>
        </w:rPr>
        <w:t>3）</w:t>
      </w:r>
      <w:r>
        <w:rPr>
          <w:rFonts w:hint="default"/>
          <w:sz w:val="28"/>
          <w:szCs w:val="28"/>
          <w:lang w:val="en-US" w:eastAsia="zh-CN"/>
        </w:rPr>
        <w:t>生物资源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的生物资源本来比较丰富，但是由于历史原因，原有天然植被曾遭受破坏，许多天然植物和野生动物被毁灭，动植物种类和数量一度明显下降。但近年来寻甸县森林保护力度不断加大，生物种群在一定程度上表现出逐渐恢复的势头。据统计，到2018年末，全县土地总面积359125.0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，林木绿化率51.45%，活立木总蓄积 10804650m</w:t>
      </w:r>
      <w:r>
        <w:rPr>
          <w:rFonts w:hint="default" w:ascii="Times New Roman" w:hAnsi="Times New Roman" w:cs="Times New Roman" w:eastAsiaTheme="minorEastAsia"/>
          <w:b w:val="0"/>
          <w:bCs w:val="0"/>
          <w:sz w:val="28"/>
          <w:szCs w:val="28"/>
          <w:vertAlign w:val="superscript"/>
        </w:rPr>
        <w:t>3</w:t>
      </w:r>
      <w:r>
        <w:rPr>
          <w:rFonts w:hint="default" w:ascii="Times New Roman" w:hAnsi="Times New Roman" w:cs="Times New Roman" w:eastAsiaTheme="minorEastAsia"/>
          <w:b w:val="0"/>
          <w:bCs w:val="0"/>
          <w:sz w:val="28"/>
          <w:szCs w:val="28"/>
        </w:rPr>
        <w:t>。其中，林地面积210411.2hm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，非林地面积148713.8hm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 林地面积中，有林地面积168268.4hm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、疏林地面积249.8hm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、灌木林地面积15945.7hm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、未成林造林地面积15341.3hm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、苗圃地面积 25.3hm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、无 立木林地面积1994.1hm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、宜林地面积8579.2hm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、辅助生产林地面积 7.4hm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（1）植物资源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寻甸的植物资源包括乔灌林、草类、野生花卉和水果、药用植物等。近年原生植被破坏严重，而经济作物如烤烟、红薯、药材的种植面积上升很快。</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乔木林以天然针叶和阔叶混交林为主，占全县森林面积的96.5%，主要树种有华山松、云南松、油杉、栓皮栎、黄毛青冈等。人工林以华山松林为主，占森林面积的3.5%，分布在海拔2000～3000米的中山地带。全县灌木林约1000平方千米。常见灌木有金丝桃、地盘松、矮杨梅、木姜子、山茶、悬钩子、坡柳、余甘子、牛筋条、川栎、云南含笑、多种杜鹃、鸡脚</w:t>
      </w:r>
      <w:r>
        <w:rPr>
          <w:rFonts w:hint="eastAsia" w:ascii="Times New Roman" w:hAnsi="Times New Roman" w:cs="Times New Roman"/>
          <w:b w:val="0"/>
          <w:bCs w:val="0"/>
          <w:sz w:val="28"/>
          <w:szCs w:val="28"/>
          <w:lang w:eastAsia="zh-CN"/>
        </w:rPr>
        <w:t>黄连</w:t>
      </w:r>
      <w:r>
        <w:rPr>
          <w:rFonts w:hint="default" w:ascii="Times New Roman" w:hAnsi="Times New Roman" w:cs="Times New Roman" w:eastAsiaTheme="minorEastAsia"/>
          <w:b w:val="0"/>
          <w:bCs w:val="0"/>
          <w:sz w:val="28"/>
          <w:szCs w:val="28"/>
        </w:rPr>
        <w:t>等。</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在乔木林和灌木林下有多种草类、蕨类植物和菌类。常见草本有牛毛草、羊茅、火草、画眉草、莎草、野牯草、芒其等；蕨类有冷蕨、金粉蕨等；菌类有松茸、鸡枞、木耳、牛肝菌等。在山脊部位和山坡处分布的草本以香薷、蕨菜、旱茅、细柄草、艾蒿、刺芒野牯草、多种火绒草等，在天然草场中主要覆盖着优质牧草，有禾本科的红裂复草、画眉草、早熟禾、狗尾草、白毛草等，豆科的三叶草、豆瓣草、山豆花等。种植草本植物有红三叶、白三叶、黑麦草等。</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常绿阔叶林下生长着名贵花卉，品种有春兰、雪兰、灌木林常见各种杜鹃、大树杜鹃、山茶花等。常见野生水果有各种猕猴桃、救兵粮、棠梨、野葡萄、鸡嗉子、覆盆子、杨梅、余甘子等。</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寻甸盛产中药材，野生药材有100余种，种植药材几十种。大宗药材有茯苓、地珠半夏、潞党参、当归、云木香、荆芥、薄荷、苏叶、黄芩、龙胆草、紫丹参、仙鹤草、益母草、蒲公英等共计二十多种。</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（2）动物资源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境内曾有虎、豹、熊、豺、狼、野牛、野猪、鹿、獐、麂、猴等哺乳动物，现在这些动物大部分灭绝，现存的仅有豹、赤麂、岩羊、獐、果子狸、狗獾、豹猫、狼、水獭、九江狸、狐、野兔、田鼠、长吻松鼠等。</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家养动物有猪、牛、马、兔、羊、鸡、鸭、鹅、火鸡等。不同家养动物在不同乡镇的养殖数量差异很大，如猪在河口、城关、金所、羊街、柯渡、倘甸、金源、功山为多，占全县猪总数67%，而绵羊主要分布</w:t>
      </w:r>
      <w:r>
        <w:rPr>
          <w:rFonts w:hint="eastAsia" w:ascii="Times New Roman" w:hAnsi="Times New Roman" w:cs="Times New Roman"/>
          <w:b w:val="0"/>
          <w:bCs w:val="0"/>
          <w:sz w:val="28"/>
          <w:szCs w:val="28"/>
          <w:lang w:eastAsia="zh-CN"/>
        </w:rPr>
        <w:t>于</w:t>
      </w:r>
      <w:r>
        <w:rPr>
          <w:rFonts w:hint="default" w:ascii="Times New Roman" w:hAnsi="Times New Roman" w:cs="Times New Roman" w:eastAsiaTheme="minorEastAsia"/>
          <w:b w:val="0"/>
          <w:bCs w:val="0"/>
          <w:sz w:val="28"/>
          <w:szCs w:val="28"/>
        </w:rPr>
        <w:t>功山、甸沙、金源、联合、六哨、先锋、金所最多，占全县绵羊总数72%。</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境内还分布有蚯蚓、蜈蚣、螳螂、蝉、僵蚕、蚕蛾科昆虫幼虫、斑蝥、蟾蜍、脆蛇、麝香、穿山甲等具有很高药用价值的动物。</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云南寻甸黑颈鹤省级自然保护区共记录有陆生脊椎动物118种，隶属于4纲、19目、48科，包括兽类8目、17科、38种，鸟类8目、20科、53种，爬行类1目、5科、16种，两栖类2目、6科、11种。在记录的物种中，受国家法定保护的陆生脊椎动物共有15种，其中国家I级重点保护野生动物3种（均为鸟类），国家II级重点保护野生动物12种（包括2种哺乳动物、9种鸟类和1种两栖动物）；被列入《濒危野生动植物国际贸易公约》（CITES，2010）附录I的哺乳动物1种、鸟类2种，被列入附录II的哺乳动物3种和鸟类9种；被《国家保护的有益的或者有重要经济、科学研究价值的陆生野生动物名录》收录的哺乳动物有12种，鸟类24种，两栖爬行类26种。加上15种法定保护物种，保护区记录的118种陆生野生脊椎动物中，受国家保护的共有77种。</w:t>
      </w:r>
    </w:p>
    <w:p>
      <w:pPr>
        <w:bidi w:val="0"/>
        <w:rPr>
          <w:rFonts w:hint="eastAsia"/>
          <w:sz w:val="28"/>
          <w:szCs w:val="28"/>
          <w:lang w:val="en-US" w:eastAsia="zh-CN"/>
        </w:rPr>
      </w:pPr>
      <w:r>
        <w:rPr>
          <w:rFonts w:hint="eastAsia"/>
          <w:sz w:val="28"/>
          <w:szCs w:val="28"/>
          <w:lang w:val="en-US" w:eastAsia="zh-CN"/>
        </w:rPr>
        <w:t>4）矿产资源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寻甸矿产资源丰富，主要有褐煤、磷矿、硅藻土矿三大资源，其储量分别达3.5亿吨、4亿吨、1.27亿吨，品位高，开发前景广阔。</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（1）褐煤资源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褐煤主要分布于先锋乡和金所乡。保有储量3.33亿吨，其中的优质煤2.9亿吨，灰份为9.42%～9.81%，接近木炭灰份，属特低灰份煤，含油率9.2%～10.4%，属富油煤。煤炭储量丰富，品质优良，具有良好的综合开发利用价值。</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（2）磷矿资源</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寻甸境内藏有</w:t>
      </w:r>
      <w:r>
        <w:rPr>
          <w:rFonts w:hint="eastAsia" w:ascii="Times New Roman" w:hAnsi="Times New Roman" w:cs="Times New Roman"/>
          <w:b w:val="0"/>
          <w:bCs w:val="0"/>
          <w:sz w:val="28"/>
          <w:szCs w:val="28"/>
          <w:lang w:eastAsia="zh-CN"/>
        </w:rPr>
        <w:t>丰富</w:t>
      </w:r>
      <w:r>
        <w:rPr>
          <w:rFonts w:hint="default" w:ascii="Times New Roman" w:hAnsi="Times New Roman" w:cs="Times New Roman" w:eastAsiaTheme="minorEastAsia"/>
          <w:b w:val="0"/>
          <w:bCs w:val="0"/>
          <w:sz w:val="28"/>
          <w:szCs w:val="28"/>
        </w:rPr>
        <w:t>的磷矿资源。先锋～摆宰磷矿带近东西向，长35千米，宽20千米，由磨腮、先锋、摆宰三个矿区组成。矿带矿区P</w:t>
      </w:r>
      <w:r>
        <w:rPr>
          <w:rFonts w:hint="default" w:ascii="Times New Roman" w:hAnsi="Times New Roman" w:cs="Times New Roman" w:eastAsiaTheme="minorEastAsia"/>
          <w:b w:val="0"/>
          <w:bCs w:val="0"/>
          <w:sz w:val="28"/>
          <w:szCs w:val="28"/>
          <w:vertAlign w:val="subscript"/>
        </w:rPr>
        <w:t>2</w:t>
      </w:r>
      <w:r>
        <w:rPr>
          <w:rFonts w:hint="default" w:ascii="Times New Roman" w:hAnsi="Times New Roman" w:cs="Times New Roman" w:eastAsiaTheme="minorEastAsia"/>
          <w:b w:val="0"/>
          <w:bCs w:val="0"/>
          <w:sz w:val="28"/>
          <w:szCs w:val="28"/>
        </w:rPr>
        <w:t>O</w:t>
      </w:r>
      <w:r>
        <w:rPr>
          <w:rFonts w:hint="default" w:ascii="Times New Roman" w:hAnsi="Times New Roman" w:cs="Times New Roman" w:eastAsiaTheme="minorEastAsia"/>
          <w:b w:val="0"/>
          <w:bCs w:val="0"/>
          <w:sz w:val="28"/>
          <w:szCs w:val="28"/>
          <w:vertAlign w:val="subscript"/>
        </w:rPr>
        <w:t>5</w:t>
      </w:r>
      <w:r>
        <w:rPr>
          <w:rFonts w:hint="default" w:ascii="Times New Roman" w:hAnsi="Times New Roman" w:cs="Times New Roman" w:eastAsiaTheme="minorEastAsia"/>
          <w:b w:val="0"/>
          <w:bCs w:val="0"/>
          <w:sz w:val="28"/>
          <w:szCs w:val="28"/>
        </w:rPr>
        <w:t>平均品位22.33%～30.15%，矿带储量2亿吨以上。目前已开发先锋、摆宰两个矿区、年开采量5～8万吨，P</w:t>
      </w:r>
      <w:r>
        <w:rPr>
          <w:rFonts w:hint="default" w:ascii="Times New Roman" w:hAnsi="Times New Roman" w:cs="Times New Roman" w:eastAsiaTheme="minorEastAsia"/>
          <w:b w:val="0"/>
          <w:bCs w:val="0"/>
          <w:sz w:val="28"/>
          <w:szCs w:val="28"/>
          <w:vertAlign w:val="subscript"/>
        </w:rPr>
        <w:t>2</w:t>
      </w:r>
      <w:r>
        <w:rPr>
          <w:rFonts w:hint="default" w:ascii="Times New Roman" w:hAnsi="Times New Roman" w:cs="Times New Roman" w:eastAsiaTheme="minorEastAsia"/>
          <w:b w:val="0"/>
          <w:bCs w:val="0"/>
          <w:sz w:val="28"/>
          <w:szCs w:val="28"/>
        </w:rPr>
        <w:t>O</w:t>
      </w:r>
      <w:r>
        <w:rPr>
          <w:rFonts w:hint="default" w:ascii="Times New Roman" w:hAnsi="Times New Roman" w:cs="Times New Roman" w:eastAsiaTheme="minorEastAsia"/>
          <w:b w:val="0"/>
          <w:bCs w:val="0"/>
          <w:sz w:val="28"/>
          <w:szCs w:val="28"/>
          <w:vertAlign w:val="subscript"/>
        </w:rPr>
        <w:t>5</w:t>
      </w:r>
      <w:r>
        <w:rPr>
          <w:rFonts w:hint="default" w:ascii="Times New Roman" w:hAnsi="Times New Roman" w:cs="Times New Roman" w:eastAsiaTheme="minorEastAsia"/>
          <w:b w:val="0"/>
          <w:bCs w:val="0"/>
          <w:sz w:val="28"/>
          <w:szCs w:val="28"/>
        </w:rPr>
        <w:t>平均品位30%。磷矿资源品位高，储量</w:t>
      </w:r>
      <w:r>
        <w:rPr>
          <w:rFonts w:hint="eastAsia" w:ascii="Times New Roman" w:hAnsi="Times New Roman" w:cs="Times New Roman"/>
          <w:b w:val="0"/>
          <w:bCs w:val="0"/>
          <w:sz w:val="28"/>
          <w:szCs w:val="28"/>
          <w:lang w:eastAsia="zh-CN"/>
        </w:rPr>
        <w:t>大</w:t>
      </w:r>
      <w:r>
        <w:rPr>
          <w:rFonts w:hint="default" w:ascii="Times New Roman" w:hAnsi="Times New Roman" w:cs="Times New Roman" w:eastAsiaTheme="minorEastAsia"/>
          <w:b w:val="0"/>
          <w:bCs w:val="0"/>
          <w:sz w:val="28"/>
          <w:szCs w:val="28"/>
        </w:rPr>
        <w:t>，有良好的开发利用前景。</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（3）硅藻土矿</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硅藻土矿主要分布在先锋乡富乐阁一带6平方千米范围，储量1.9亿吨，SiO2平均含量50%，一级品8500万吨，二级品9700万吨，</w:t>
      </w:r>
      <w:r>
        <w:rPr>
          <w:rFonts w:hint="eastAsia" w:ascii="Times New Roman" w:hAnsi="Times New Roman" w:cs="Times New Roman"/>
          <w:b w:val="0"/>
          <w:bCs w:val="0"/>
          <w:sz w:val="28"/>
          <w:szCs w:val="28"/>
          <w:lang w:eastAsia="zh-CN"/>
        </w:rPr>
        <w:t>岩层</w:t>
      </w:r>
      <w:r>
        <w:rPr>
          <w:rFonts w:hint="default" w:ascii="Times New Roman" w:hAnsi="Times New Roman" w:cs="Times New Roman" w:eastAsiaTheme="minorEastAsia"/>
          <w:b w:val="0"/>
          <w:bCs w:val="0"/>
          <w:sz w:val="28"/>
          <w:szCs w:val="28"/>
        </w:rPr>
        <w:t>厚度平均达3～5米之内，适宜露天开采。由于资源丰富，寻甸被昆明市委、市政府列为“重化工、能源基地”县，也是云南省40个工业重点县之一。硅藻土矿储量丰富，品位优良，有良好的开发潜力。</w:t>
      </w:r>
    </w:p>
    <w:p>
      <w:pPr>
        <w:kinsoku/>
        <w:wordWrap/>
        <w:overflowPunct/>
        <w:topLinePunct w:val="0"/>
        <w:autoSpaceDE/>
        <w:autoSpaceDN/>
        <w:bidi w:val="0"/>
        <w:spacing w:line="360" w:lineRule="auto"/>
        <w:ind w:firstLine="560" w:firstLineChars="200"/>
        <w:outlineLvl w:val="9"/>
        <w:rPr>
          <w:rFonts w:hint="default" w:ascii="Times New Roman" w:hAnsi="Times New Roman" w:cs="Times New Roman" w:eastAsiaTheme="minorEastAsia"/>
          <w:b w:val="0"/>
          <w:bCs w:val="0"/>
          <w:sz w:val="28"/>
          <w:szCs w:val="28"/>
        </w:rPr>
      </w:pPr>
      <w:r>
        <w:rPr>
          <w:rFonts w:hint="default" w:ascii="Times New Roman" w:hAnsi="Times New Roman" w:cs="Times New Roman" w:eastAsiaTheme="minorEastAsia"/>
          <w:b w:val="0"/>
          <w:bCs w:val="0"/>
          <w:sz w:val="28"/>
          <w:szCs w:val="28"/>
        </w:rPr>
        <w:t>目前，褐煤、磷矿石资源的开发规模较大，但是主要为初级开发，开发深度不够，产业链短，单位资源量的生产总值低，而且万元产值的矿石资源、水、能源的消耗量，污染物排放量大。硅藻土虽然储量丰富，但产品开发程度不够，尚未形成适量经济规模。</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71" w:name="_Toc30494_WPSOffice_Level2"/>
      <w:r>
        <w:rPr>
          <w:rFonts w:hint="eastAsia" w:ascii="Times New Roman" w:hAnsi="Times New Roman" w:eastAsia="黑体" w:cs="Times New Roman"/>
          <w:b/>
          <w:bCs/>
          <w:sz w:val="28"/>
          <w:szCs w:val="28"/>
          <w:lang w:val="en-US" w:eastAsia="zh-CN"/>
        </w:rPr>
        <w:t xml:space="preserve">2.2 </w:t>
      </w:r>
      <w:r>
        <w:rPr>
          <w:rFonts w:hint="default" w:ascii="Times New Roman" w:hAnsi="Times New Roman" w:eastAsia="黑体" w:cs="Times New Roman"/>
          <w:b/>
          <w:bCs/>
          <w:sz w:val="28"/>
          <w:szCs w:val="28"/>
          <w:lang w:val="en-US" w:eastAsia="zh-CN"/>
        </w:rPr>
        <w:t>社会经济概况</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2.2.1 </w:t>
      </w:r>
      <w:r>
        <w:rPr>
          <w:rFonts w:hint="default" w:ascii="Times New Roman" w:hAnsi="Times New Roman" w:eastAsia="宋体" w:cs="Times New Roman"/>
          <w:b/>
          <w:bCs/>
          <w:sz w:val="28"/>
          <w:szCs w:val="28"/>
          <w:lang w:val="en-US" w:eastAsia="zh-CN"/>
        </w:rPr>
        <w:t>人口民族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eastAsiaTheme="minorEastAsia"/>
          <w:b w:val="0"/>
          <w:bCs w:val="0"/>
          <w:sz w:val="28"/>
          <w:szCs w:val="28"/>
        </w:rPr>
        <w:t>寻甸回族彝族自治县</w:t>
      </w:r>
      <w:r>
        <w:rPr>
          <w:rFonts w:hint="default"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是一个多民族的、以农业人口为主的传统农业大县。人民政府驻地为仁德镇</w:t>
      </w:r>
      <w:r>
        <w:rPr>
          <w:rFonts w:hint="default" w:ascii="Times New Roman" w:hAnsi="Times New Roman" w:cs="Times New Roman"/>
          <w:b w:val="0"/>
          <w:bCs w:val="0"/>
          <w:sz w:val="28"/>
          <w:szCs w:val="28"/>
          <w:lang w:eastAsia="zh-CN"/>
        </w:rPr>
        <w:t>，寻甸城镇体系发展的思路是构筑“一轴、两心、多点、三组团”的城镇发展格局。</w:t>
      </w:r>
      <w:r>
        <w:rPr>
          <w:rFonts w:hint="default" w:ascii="Times New Roman" w:hAnsi="Times New Roman" w:cs="Times New Roman"/>
          <w:b w:val="0"/>
          <w:bCs w:val="0"/>
          <w:sz w:val="28"/>
          <w:szCs w:val="28"/>
          <w:lang w:val="en-US" w:eastAsia="zh-CN"/>
        </w:rPr>
        <w:t>寻甸回族彝族自治县总人口481721人。截至2010年11月1日零时，寻甸回族彝族自治县常住人口为457068人。全县常住人口同第五次全国人口普查2000年11月1日零时的481721人相比，十年共减少了24653人，减少5.12%。平均每年减少2465人，年平均递减0.52%。全县常住人口中，家庭户128059户，家庭户人口为440384人，平均每个家庭户的人口为3.44人，比2000年第五次全国人口普查的3.85人减少了0.41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560" w:firstLineChars="200"/>
        <w:jc w:val="left"/>
        <w:textAlignment w:val="auto"/>
        <w:rPr>
          <w:rFonts w:hint="eastAsia"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2012年末，寻甸回族彝族自治县人口出生率8.66‰，死亡率4.74‰，自然增长率3.92‰；年末全县户籍总人口543767人，其中：非农业人口48535人，农业人口495232人；少数民族人口124552人，占总人口的比重为22.9%；常住人口46.3万人，城镇化率为21.6%</w:t>
      </w:r>
      <w:r>
        <w:rPr>
          <w:rFonts w:hint="eastAsia" w:ascii="Times New Roman" w:hAnsi="Times New Roman" w:cs="Times New Roman"/>
          <w:b w:val="0"/>
          <w:bCs w:val="0"/>
          <w:sz w:val="28"/>
          <w:szCs w:val="28"/>
          <w:lang w:val="en-US"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560" w:firstLineChars="200"/>
        <w:jc w:val="left"/>
        <w:textAlignment w:val="auto"/>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2017年末全县人口出生率11.3‰，死亡率4.91‰，自然增长率6.39‰；年末全县户籍总人口569390人，其中：城镇人口93952人，乡村人口475163人；少数民族人口135059人，占总人口的比重为23.72%，其中回族71231人，比重为12.51%，彝族53600人，比重为9.41%，苗族7180人，比重为1.26%。常住人口47.22万人，城镇化率为30.3%。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2.2.2 </w:t>
      </w:r>
      <w:r>
        <w:rPr>
          <w:rFonts w:hint="default" w:ascii="Times New Roman" w:hAnsi="Times New Roman" w:eastAsia="宋体" w:cs="Times New Roman"/>
          <w:b/>
          <w:bCs/>
          <w:sz w:val="28"/>
          <w:szCs w:val="28"/>
          <w:lang w:val="en-US" w:eastAsia="zh-CN"/>
        </w:rPr>
        <w:t>交通发展状况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境内有贵昆铁路，东川铁路支线，国道320线、213线公路，修建有两条国道线的连接线，昆（明）—曲（靖）高速公路、嵩（明）—待（补）高速公路也穿境而过，国道线、高速公路及干线公路网络四通八达，交通十分便利。县城距昆明市91km，距曲靖市87km，距东川区86km。</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2.2.3 </w:t>
      </w:r>
      <w:r>
        <w:rPr>
          <w:rFonts w:hint="default" w:ascii="Times New Roman" w:hAnsi="Times New Roman" w:eastAsia="宋体" w:cs="Times New Roman"/>
          <w:b/>
          <w:bCs/>
          <w:sz w:val="28"/>
          <w:szCs w:val="28"/>
          <w:lang w:val="en-US" w:eastAsia="zh-CN"/>
        </w:rPr>
        <w:t>经济发展状况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尽管寻甸县经济总量在昆明市各区县中处于靠后位置，但寻甸县拥有丰富的矿产资源、水资源和优美的环境，这对寻甸县经济社会快速发展起到了支撑作用。2017年，全县完成</w:t>
      </w:r>
      <w:r>
        <w:rPr>
          <w:rFonts w:hint="default" w:ascii="Times New Roman" w:hAnsi="Times New Roman" w:cs="Times New Roman" w:eastAsiaTheme="minorEastAsia"/>
          <w:b w:val="0"/>
          <w:bCs w:val="0"/>
          <w:sz w:val="28"/>
          <w:szCs w:val="28"/>
          <w:lang w:val="en-US" w:eastAsia="zh-CN"/>
        </w:rPr>
        <w:fldChar w:fldCharType="begin"/>
      </w:r>
      <w:r>
        <w:rPr>
          <w:rFonts w:hint="default" w:ascii="Times New Roman" w:hAnsi="Times New Roman" w:cs="Times New Roman" w:eastAsiaTheme="minorEastAsia"/>
          <w:b w:val="0"/>
          <w:bCs w:val="0"/>
          <w:sz w:val="28"/>
          <w:szCs w:val="28"/>
          <w:lang w:val="en-US" w:eastAsia="zh-CN"/>
        </w:rPr>
        <w:instrText xml:space="preserve"> HYPERLINK "https://baike.sogou.com/lemma/ShowInnerLink.htm?lemmaId=101632548&amp;ss_c=ssc.citiao.link" \t "https://baike.sogou.com/_blank" </w:instrText>
      </w:r>
      <w:r>
        <w:rPr>
          <w:rFonts w:hint="default" w:ascii="Times New Roman" w:hAnsi="Times New Roman" w:cs="Times New Roman" w:eastAsiaTheme="minorEastAsia"/>
          <w:b w:val="0"/>
          <w:bCs w:val="0"/>
          <w:sz w:val="28"/>
          <w:szCs w:val="28"/>
          <w:lang w:val="en-US" w:eastAsia="zh-CN"/>
        </w:rPr>
        <w:fldChar w:fldCharType="separate"/>
      </w:r>
      <w:r>
        <w:rPr>
          <w:rFonts w:hint="default" w:ascii="Times New Roman" w:hAnsi="Times New Roman" w:cs="Times New Roman" w:eastAsiaTheme="minorEastAsia"/>
          <w:b w:val="0"/>
          <w:bCs w:val="0"/>
          <w:sz w:val="28"/>
          <w:szCs w:val="28"/>
          <w:lang w:val="en-US" w:eastAsia="zh-CN"/>
        </w:rPr>
        <w:t>地区生产总值</w:t>
      </w:r>
      <w:r>
        <w:rPr>
          <w:rFonts w:hint="default" w:ascii="Times New Roman" w:hAnsi="Times New Roman" w:cs="Times New Roman" w:eastAsiaTheme="minorEastAsia"/>
          <w:b w:val="0"/>
          <w:bCs w:val="0"/>
          <w:sz w:val="28"/>
          <w:szCs w:val="28"/>
          <w:lang w:val="en-US" w:eastAsia="zh-CN"/>
        </w:rPr>
        <w:fldChar w:fldCharType="end"/>
      </w:r>
      <w:r>
        <w:rPr>
          <w:rFonts w:hint="default" w:ascii="Times New Roman" w:hAnsi="Times New Roman" w:cs="Times New Roman" w:eastAsiaTheme="minorEastAsia"/>
          <w:b w:val="0"/>
          <w:bCs w:val="0"/>
          <w:sz w:val="28"/>
          <w:szCs w:val="28"/>
          <w:lang w:val="en-US" w:eastAsia="zh-CN"/>
        </w:rPr>
        <w:t>（GDP）898928万元，比上年增长7%。其中：第一产业完成增加值236191万元，比上年增长6.9%；第二产业完成增加值263518万元，比上年增长3.4%，其中工业实现增加值208095万元，比上年增长0.1%；第三产业完成增加值399219万元，比上年增长9.8%。</w:t>
      </w:r>
      <w:r>
        <w:rPr>
          <w:rFonts w:hint="default" w:ascii="Times New Roman" w:hAnsi="Times New Roman" w:cs="Times New Roman" w:eastAsiaTheme="minorEastAsia"/>
          <w:b w:val="0"/>
          <w:bCs w:val="0"/>
          <w:sz w:val="28"/>
          <w:szCs w:val="28"/>
          <w:lang w:val="en-US" w:eastAsia="zh-CN"/>
        </w:rPr>
        <w:fldChar w:fldCharType="begin"/>
      </w:r>
      <w:r>
        <w:rPr>
          <w:rFonts w:hint="default" w:ascii="Times New Roman" w:hAnsi="Times New Roman" w:cs="Times New Roman" w:eastAsiaTheme="minorEastAsia"/>
          <w:b w:val="0"/>
          <w:bCs w:val="0"/>
          <w:sz w:val="28"/>
          <w:szCs w:val="28"/>
          <w:lang w:val="en-US" w:eastAsia="zh-CN"/>
        </w:rPr>
        <w:instrText xml:space="preserve"> HYPERLINK "https://baike.sogou.com/lemma/ShowInnerLink.htm?lemmaId=7665854&amp;ss_c=ssc.citiao.link" \t "https://baike.sogou.com/_blank" </w:instrText>
      </w:r>
      <w:r>
        <w:rPr>
          <w:rFonts w:hint="default" w:ascii="Times New Roman" w:hAnsi="Times New Roman" w:cs="Times New Roman" w:eastAsiaTheme="minorEastAsia"/>
          <w:b w:val="0"/>
          <w:bCs w:val="0"/>
          <w:sz w:val="28"/>
          <w:szCs w:val="28"/>
          <w:lang w:val="en-US" w:eastAsia="zh-CN"/>
        </w:rPr>
        <w:fldChar w:fldCharType="separate"/>
      </w:r>
      <w:r>
        <w:rPr>
          <w:rFonts w:hint="default" w:ascii="Times New Roman" w:hAnsi="Times New Roman" w:cs="Times New Roman" w:eastAsiaTheme="minorEastAsia"/>
          <w:b w:val="0"/>
          <w:bCs w:val="0"/>
          <w:sz w:val="28"/>
          <w:szCs w:val="28"/>
          <w:lang w:val="en-US" w:eastAsia="zh-CN"/>
        </w:rPr>
        <w:t>三次产业结构</w:t>
      </w:r>
      <w:r>
        <w:rPr>
          <w:rFonts w:hint="default" w:ascii="Times New Roman" w:hAnsi="Times New Roman" w:cs="Times New Roman" w:eastAsiaTheme="minorEastAsia"/>
          <w:b w:val="0"/>
          <w:bCs w:val="0"/>
          <w:sz w:val="28"/>
          <w:szCs w:val="28"/>
          <w:lang w:val="en-US" w:eastAsia="zh-CN"/>
        </w:rPr>
        <w:fldChar w:fldCharType="end"/>
      </w:r>
      <w:r>
        <w:rPr>
          <w:rFonts w:hint="default" w:ascii="Times New Roman" w:hAnsi="Times New Roman" w:cs="Times New Roman" w:eastAsiaTheme="minorEastAsia"/>
          <w:b w:val="0"/>
          <w:bCs w:val="0"/>
          <w:sz w:val="28"/>
          <w:szCs w:val="28"/>
          <w:lang w:val="en-US" w:eastAsia="zh-CN"/>
        </w:rPr>
        <w:t>由上年的27.2:30.4:42.4调整为26.3:29.3:44.4；</w:t>
      </w:r>
      <w:r>
        <w:rPr>
          <w:rFonts w:hint="default" w:ascii="Times New Roman" w:hAnsi="Times New Roman" w:cs="Times New Roman" w:eastAsiaTheme="minorEastAsia"/>
          <w:b w:val="0"/>
          <w:bCs w:val="0"/>
          <w:sz w:val="28"/>
          <w:szCs w:val="28"/>
          <w:lang w:val="en-US" w:eastAsia="zh-CN"/>
        </w:rPr>
        <w:fldChar w:fldCharType="begin"/>
      </w:r>
      <w:r>
        <w:rPr>
          <w:rFonts w:hint="default" w:ascii="Times New Roman" w:hAnsi="Times New Roman" w:cs="Times New Roman" w:eastAsiaTheme="minorEastAsia"/>
          <w:b w:val="0"/>
          <w:bCs w:val="0"/>
          <w:sz w:val="28"/>
          <w:szCs w:val="28"/>
          <w:lang w:val="en-US" w:eastAsia="zh-CN"/>
        </w:rPr>
        <w:instrText xml:space="preserve"> HYPERLINK "https://baike.sogou.com/lemma/ShowInnerLink.htm?lemmaId=450460&amp;ss_c=ssc.citiao.link" \t "https://baike.sogou.com/_blank" </w:instrText>
      </w:r>
      <w:r>
        <w:rPr>
          <w:rFonts w:hint="default" w:ascii="Times New Roman" w:hAnsi="Times New Roman" w:cs="Times New Roman" w:eastAsiaTheme="minorEastAsia"/>
          <w:b w:val="0"/>
          <w:bCs w:val="0"/>
          <w:sz w:val="28"/>
          <w:szCs w:val="28"/>
          <w:lang w:val="en-US" w:eastAsia="zh-CN"/>
        </w:rPr>
        <w:fldChar w:fldCharType="separate"/>
      </w:r>
      <w:r>
        <w:rPr>
          <w:rFonts w:hint="default" w:ascii="Times New Roman" w:hAnsi="Times New Roman" w:cs="Times New Roman" w:eastAsiaTheme="minorEastAsia"/>
          <w:b w:val="0"/>
          <w:bCs w:val="0"/>
          <w:sz w:val="28"/>
          <w:szCs w:val="28"/>
          <w:lang w:val="en-US" w:eastAsia="zh-CN"/>
        </w:rPr>
        <w:t>人均GDP</w:t>
      </w:r>
      <w:r>
        <w:rPr>
          <w:rFonts w:hint="default" w:ascii="Times New Roman" w:hAnsi="Times New Roman" w:cs="Times New Roman" w:eastAsiaTheme="minorEastAsia"/>
          <w:b w:val="0"/>
          <w:bCs w:val="0"/>
          <w:sz w:val="28"/>
          <w:szCs w:val="28"/>
          <w:lang w:val="en-US" w:eastAsia="zh-CN"/>
        </w:rPr>
        <w:fldChar w:fldCharType="end"/>
      </w:r>
      <w:r>
        <w:rPr>
          <w:rFonts w:hint="default" w:ascii="Times New Roman" w:hAnsi="Times New Roman" w:cs="Times New Roman" w:eastAsiaTheme="minorEastAsia"/>
          <w:b w:val="0"/>
          <w:bCs w:val="0"/>
          <w:sz w:val="28"/>
          <w:szCs w:val="28"/>
          <w:lang w:val="en-US" w:eastAsia="zh-CN"/>
        </w:rPr>
        <w:t>达19079元（按常住平均人口计算），比上年增长6.5%。非公经济创造增加值437262万元，占全县地区生产总值的比重为48.6%。</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72" w:name="_Toc16240_WPSOffice_Level2"/>
      <w:r>
        <w:rPr>
          <w:rFonts w:hint="eastAsia" w:ascii="Times New Roman" w:hAnsi="Times New Roman" w:eastAsia="黑体" w:cs="Times New Roman"/>
          <w:b/>
          <w:bCs/>
          <w:sz w:val="28"/>
          <w:szCs w:val="28"/>
          <w:lang w:val="en-US" w:eastAsia="zh-CN"/>
        </w:rPr>
        <w:t xml:space="preserve">2.3 </w:t>
      </w:r>
      <w:r>
        <w:rPr>
          <w:rFonts w:hint="default" w:ascii="Times New Roman" w:hAnsi="Times New Roman" w:eastAsia="黑体" w:cs="Times New Roman"/>
          <w:b/>
          <w:bCs/>
          <w:sz w:val="28"/>
          <w:szCs w:val="28"/>
          <w:lang w:val="en-US" w:eastAsia="zh-CN"/>
        </w:rPr>
        <w:t>城市建设现状</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2.3.1 </w:t>
      </w:r>
      <w:r>
        <w:rPr>
          <w:rFonts w:hint="default" w:ascii="Times New Roman" w:hAnsi="Times New Roman" w:eastAsia="宋体" w:cs="Times New Roman"/>
          <w:b/>
          <w:bCs/>
          <w:sz w:val="28"/>
          <w:szCs w:val="28"/>
          <w:lang w:val="en-US" w:eastAsia="zh-CN"/>
        </w:rPr>
        <w:t>行政区划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201</w:t>
      </w:r>
      <w:r>
        <w:rPr>
          <w:rFonts w:hint="eastAsia" w:ascii="Times New Roman" w:hAnsi="Times New Roman" w:cs="Times New Roman" w:eastAsiaTheme="minorEastAsia"/>
          <w:b w:val="0"/>
          <w:bCs w:val="0"/>
          <w:sz w:val="28"/>
          <w:szCs w:val="28"/>
          <w:lang w:val="en-US" w:eastAsia="zh-CN"/>
        </w:rPr>
        <w:t>8</w:t>
      </w:r>
      <w:r>
        <w:rPr>
          <w:rFonts w:hint="default" w:ascii="Times New Roman" w:hAnsi="Times New Roman" w:cs="Times New Roman" w:eastAsiaTheme="minorEastAsia"/>
          <w:b w:val="0"/>
          <w:bCs w:val="0"/>
          <w:sz w:val="28"/>
          <w:szCs w:val="28"/>
          <w:lang w:val="en-US" w:eastAsia="zh-CN"/>
        </w:rPr>
        <w:t>年，寻甸回族彝族自治县国土面积3588.38平方千米，辖9镇（羊街、功山、倘甸、柯渡、七星、河口、凤合、鸡街、先锋）4乡（金源、甸沙、联合、六哨）3街道（仁德街道办事处、塘子街道办事处、金所街道办事处），174个村(居)委会，1805个村民小组，1635个自然村，2018年末，总人口56.96万人，农业人口48.42万人。</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2.3.2 </w:t>
      </w:r>
      <w:r>
        <w:rPr>
          <w:rFonts w:hint="default" w:ascii="Times New Roman" w:hAnsi="Times New Roman" w:eastAsia="宋体" w:cs="Times New Roman"/>
          <w:b/>
          <w:bCs/>
          <w:sz w:val="28"/>
          <w:szCs w:val="28"/>
          <w:lang w:val="en-US" w:eastAsia="zh-CN"/>
        </w:rPr>
        <w:t>城市建设用地构成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建成区用地</w:t>
      </w:r>
      <w:r>
        <w:rPr>
          <w:rFonts w:hint="eastAsia" w:ascii="Times New Roman" w:hAnsi="Times New Roman" w:cs="Times New Roman"/>
          <w:b w:val="0"/>
          <w:bCs w:val="0"/>
          <w:sz w:val="28"/>
          <w:szCs w:val="28"/>
          <w:lang w:val="en-US" w:eastAsia="zh-CN"/>
        </w:rPr>
        <w:t>紧</w:t>
      </w:r>
      <w:r>
        <w:rPr>
          <w:rFonts w:hint="default" w:ascii="Times New Roman" w:hAnsi="Times New Roman" w:cs="Times New Roman" w:eastAsiaTheme="minorEastAsia"/>
          <w:b w:val="0"/>
          <w:bCs w:val="0"/>
          <w:sz w:val="28"/>
          <w:szCs w:val="28"/>
          <w:lang w:val="en-US" w:eastAsia="zh-CN"/>
        </w:rPr>
        <w:t>凑，建筑密度较高。主要由居民用地、工业用地、商业用地、行政办公用地、医疗卫生用地、教育科研用地、休闲娱乐用地和交通设施用地构成。</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2.3.3 </w:t>
      </w:r>
      <w:r>
        <w:rPr>
          <w:rFonts w:hint="default" w:ascii="Times New Roman" w:hAnsi="Times New Roman" w:eastAsia="宋体" w:cs="Times New Roman"/>
          <w:b/>
          <w:bCs/>
          <w:sz w:val="28"/>
          <w:szCs w:val="28"/>
          <w:lang w:val="en-US" w:eastAsia="zh-CN"/>
        </w:rPr>
        <w:t>城市交通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城区道路网按照道路功能组织分为交通性、生活性和综合性三大类。由现状道路红线控制宽度和规划交通组织需求，将城区道路分为主干路、次干路和支路三级。主干路是为链接各主要组成部分和分区的干路，以交通功能为主。次干路是联系主干路之间的辅助性道路，负责承担分散全市主干路交通以及区域内主要交通运输和客运任务，次干路两侧多数为公共建筑和住宅建筑。主城区内有一处长途汽车客运站，为汽车客运中心站。</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2.3.4 </w:t>
      </w:r>
      <w:r>
        <w:rPr>
          <w:rFonts w:hint="default" w:ascii="Times New Roman" w:hAnsi="Times New Roman" w:eastAsia="宋体" w:cs="Times New Roman"/>
          <w:b/>
          <w:bCs/>
          <w:sz w:val="28"/>
          <w:szCs w:val="28"/>
          <w:lang w:val="en-US" w:eastAsia="zh-CN"/>
        </w:rPr>
        <w:t>城市绿化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据统计，城区建成区绿化覆盖率37.33%，建成区绿地率32.85%，人均公共绿地面积8.94平方米。一是以河滨文化公园、汇龙湿地公园、三月三森林公园为主的城市园林绿地，二是以钟灵山生态农业观光园为主的生产绿地，三是以龙泉路、屏江路、翠苑路、旭东路等市政道路为主的道路绿化，四是防护道路，指用于隔离及满足卫生和安全要求的防护林带及绿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560" w:firstLineChars="200"/>
        <w:jc w:val="left"/>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文教区、行政区、居住区在方圆500m的半径之内，配置相应面积的公共绿地。</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2.3.5 </w:t>
      </w:r>
      <w:r>
        <w:rPr>
          <w:rFonts w:hint="default" w:ascii="Times New Roman" w:hAnsi="Times New Roman" w:eastAsia="宋体" w:cs="Times New Roman"/>
          <w:b/>
          <w:bCs/>
          <w:sz w:val="28"/>
          <w:szCs w:val="28"/>
          <w:lang w:val="en-US" w:eastAsia="zh-CN"/>
        </w:rPr>
        <w:t>中心城区用地规划</w:t>
      </w:r>
    </w:p>
    <w:p>
      <w:pPr>
        <w:bidi w:val="0"/>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1）</w:t>
      </w:r>
      <w:r>
        <w:rPr>
          <w:rFonts w:hint="default" w:ascii="Times New Roman" w:hAnsi="Times New Roman" w:cs="Times New Roman" w:eastAsiaTheme="minorEastAsia"/>
          <w:b w:val="0"/>
          <w:bCs w:val="0"/>
          <w:sz w:val="28"/>
          <w:szCs w:val="28"/>
          <w:lang w:val="en-US" w:eastAsia="zh-CN"/>
        </w:rPr>
        <w:t>中心城区控制范围</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中心城区是指县城所在地的仁德镇的中部，位于寻甸县东南部，是县城所在地，地处青龙山脚、牛栏江畔，东邻七星镇，南靠嵩明县，西接金所乡，北邻甸沙、河口两乡</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总规模2266.07公顷。</w:t>
      </w:r>
    </w:p>
    <w:p>
      <w:pPr>
        <w:bidi w:val="0"/>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中心城区用地安排</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2005年建设用地总规模为577.01公顷，其中城镇工矿用地面积315.06公顷，占中心城区总面积的13.90%，农村居民点用地面积211.74公顷，占中心城区总面积的9.34%，交通水利用地面积46.84公顷，占中心城区总面积的2.07%，其他建设用地面积3.37公顷，占中心城区总面积的0.0015%</w:t>
      </w:r>
      <w:r>
        <w:rPr>
          <w:rFonts w:hint="eastAsia" w:ascii="Times New Roman" w:hAnsi="Times New Roman" w:cs="Times New Roman"/>
          <w:b w:val="0"/>
          <w:bCs w:val="0"/>
          <w:sz w:val="28"/>
          <w:szCs w:val="28"/>
          <w:lang w:val="en-US" w:eastAsia="zh-CN"/>
        </w:rPr>
        <w:t>。</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eastAsiaTheme="minorEastAsia"/>
          <w:b w:val="0"/>
          <w:bCs w:val="0"/>
          <w:sz w:val="28"/>
          <w:szCs w:val="28"/>
          <w:lang w:val="en-US" w:eastAsia="zh-CN"/>
        </w:rPr>
      </w:pPr>
      <w:r>
        <w:rPr>
          <w:rFonts w:hint="default" w:ascii="Times New Roman" w:hAnsi="Times New Roman" w:cs="Times New Roman" w:eastAsiaTheme="minorEastAsia"/>
          <w:b w:val="0"/>
          <w:bCs w:val="0"/>
          <w:sz w:val="28"/>
          <w:szCs w:val="28"/>
          <w:lang w:val="en-US" w:eastAsia="zh-CN"/>
        </w:rPr>
        <w:t>2020年建设用地总规模为981.28公顷，其中城镇工矿用地面积350.74公顷，占中心城区总面积的15.48%，农村居民点用地面积301.55公顷，占中心城区总面积的13.31%，交通水利用地面积122.82公顷，占中心城区总面积的5.42%，其他建设用地面积206.16公顷，占中心城区总面积的9.01%。期间，中心城区新增建设用地规模控制在1826.45公顷。中心城区人口控制在 10.08人以内，其中城镇人口控制在6.5万人以内，城镇化率达64.48%。</w:t>
      </w:r>
    </w:p>
    <w:p>
      <w:pPr>
        <w:bidi w:val="0"/>
        <w:rPr>
          <w:rFonts w:hint="eastAsia" w:ascii="宋体" w:hAnsi="宋体" w:eastAsia="宋体" w:cs="宋体"/>
          <w:b w:val="0"/>
          <w:bCs w:val="0"/>
          <w:sz w:val="28"/>
          <w:szCs w:val="28"/>
          <w:lang w:val="en-US" w:eastAsia="zh-CN"/>
        </w:rPr>
      </w:pPr>
      <w:r>
        <w:rPr>
          <w:rFonts w:hint="eastAsia" w:ascii="Times New Roman" w:hAnsi="Times New Roman" w:cs="Times New Roman"/>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中心城区土地</w:t>
      </w:r>
      <w:r>
        <w:rPr>
          <w:rFonts w:hint="default" w:ascii="Times New Roman" w:hAnsi="Times New Roman" w:cs="Times New Roman"/>
          <w:b w:val="0"/>
          <w:bCs w:val="0"/>
          <w:sz w:val="28"/>
          <w:szCs w:val="28"/>
          <w:lang w:val="en-US" w:eastAsia="zh-CN"/>
        </w:rPr>
        <w:t>利用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表2.3-1土地用地平衡表</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505"/>
        <w:gridCol w:w="2235"/>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tblHeader/>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用地名称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面积（ha）</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居住用地（新、老城区）</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382.62</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公共设施用地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140.81</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产业用地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62.88</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仓储用地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5.08</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对外交通用地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64.84</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道路广场用地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271.02</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市政公用设施用地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11.23</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绿地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488.51</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32.57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城市发展备用地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73.01</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城市建设总用地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1500.00</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旅游发展用地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537.00</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50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0" w:firstLineChars="200"/>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规划控制区范围总用地</w:t>
            </w:r>
          </w:p>
        </w:tc>
        <w:tc>
          <w:tcPr>
            <w:tcW w:w="2235"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2037.00</w:t>
            </w:r>
          </w:p>
        </w:tc>
        <w:tc>
          <w:tcPr>
            <w:tcW w:w="2197" w:type="dxa"/>
            <w:shd w:val="clear" w:color="auto" w:fill="auto"/>
            <w:noWrap/>
            <w:tcMar>
              <w:top w:w="15" w:type="dxa"/>
              <w:left w:w="15" w:type="dxa"/>
              <w:right w:w="15" w:type="dxa"/>
            </w:tcMar>
            <w:vAlign w:val="center"/>
          </w:tcPr>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73" w:name="_Toc19367_WPSOffice_Level2"/>
      <w:r>
        <w:rPr>
          <w:rFonts w:hint="eastAsia" w:ascii="Times New Roman" w:hAnsi="Times New Roman" w:eastAsia="黑体" w:cs="Times New Roman"/>
          <w:b/>
          <w:bCs/>
          <w:sz w:val="28"/>
          <w:szCs w:val="28"/>
          <w:lang w:val="en-US" w:eastAsia="zh-CN"/>
        </w:rPr>
        <w:t>2.4寻甸特色产业园区</w:t>
      </w:r>
      <w:bookmarkEnd w:id="73"/>
    </w:p>
    <w:p>
      <w:pPr>
        <w:keepNext w:val="0"/>
        <w:keepLines w:val="0"/>
        <w:widowControl/>
        <w:suppressLineNumbers w:val="0"/>
        <w:ind w:firstLine="560" w:firstLineChars="200"/>
        <w:jc w:val="left"/>
        <w:rPr>
          <w:rFonts w:hint="eastAsia" w:ascii="Times New Roman" w:hAnsi="Times New Roman" w:cs="Times New Roman"/>
          <w:b w:val="0"/>
          <w:bCs w:val="0"/>
          <w:sz w:val="28"/>
          <w:szCs w:val="28"/>
          <w:highlight w:val="none"/>
          <w:lang w:val="en-US" w:eastAsia="zh-CN"/>
        </w:rPr>
      </w:pPr>
      <w:r>
        <w:rPr>
          <w:rFonts w:hint="default" w:ascii="Times New Roman" w:hAnsi="Times New Roman" w:cs="Times New Roman" w:eastAsiaTheme="minorEastAsia"/>
          <w:b w:val="0"/>
          <w:bCs w:val="0"/>
          <w:sz w:val="28"/>
          <w:szCs w:val="28"/>
          <w:highlight w:val="none"/>
          <w:lang w:val="en-US" w:eastAsia="zh-CN"/>
        </w:rPr>
        <w:t xml:space="preserve">寻甸特色产业园区规划为 </w:t>
      </w:r>
      <w:r>
        <w:rPr>
          <w:rFonts w:hint="eastAsia" w:ascii="Times New Roman" w:hAnsi="Times New Roman" w:cs="Times New Roman" w:eastAsiaTheme="minorEastAsia"/>
          <w:b w:val="0"/>
          <w:bCs w:val="0"/>
          <w:sz w:val="28"/>
          <w:szCs w:val="28"/>
          <w:highlight w:val="none"/>
          <w:lang w:val="en-US" w:eastAsia="zh-CN"/>
        </w:rPr>
        <w:t>“一园两片区”的空间结构：</w:t>
      </w:r>
      <w:r>
        <w:rPr>
          <w:rFonts w:hint="default" w:ascii="Times New Roman" w:hAnsi="Times New Roman" w:cs="Times New Roman" w:eastAsiaTheme="minorEastAsia"/>
          <w:b w:val="0"/>
          <w:bCs w:val="0"/>
          <w:sz w:val="28"/>
          <w:szCs w:val="28"/>
          <w:highlight w:val="none"/>
          <w:lang w:val="en-US" w:eastAsia="zh-CN"/>
        </w:rPr>
        <w:t>一园即寻甸特色产业园区</w:t>
      </w:r>
      <w:r>
        <w:rPr>
          <w:rFonts w:hint="eastAsia" w:ascii="Times New Roman" w:hAnsi="Times New Roman" w:cs="Times New Roman"/>
          <w:b w:val="0"/>
          <w:bCs w:val="0"/>
          <w:sz w:val="28"/>
          <w:szCs w:val="28"/>
          <w:highlight w:val="none"/>
          <w:lang w:val="en-US" w:eastAsia="zh-CN"/>
        </w:rPr>
        <w:t>；</w:t>
      </w:r>
      <w:r>
        <w:rPr>
          <w:rFonts w:hint="eastAsia" w:ascii="Times New Roman" w:hAnsi="Times New Roman" w:cs="Times New Roman" w:eastAsiaTheme="minorEastAsia"/>
          <w:b w:val="0"/>
          <w:bCs w:val="0"/>
          <w:sz w:val="28"/>
          <w:szCs w:val="28"/>
          <w:highlight w:val="none"/>
          <w:lang w:val="en-US" w:eastAsia="zh-CN"/>
        </w:rPr>
        <w:t>二片区</w:t>
      </w:r>
      <w:r>
        <w:rPr>
          <w:rFonts w:hint="eastAsia" w:ascii="Times New Roman" w:hAnsi="Times New Roman" w:cs="Times New Roman"/>
          <w:b w:val="0"/>
          <w:bCs w:val="0"/>
          <w:sz w:val="28"/>
          <w:szCs w:val="28"/>
          <w:highlight w:val="none"/>
          <w:lang w:val="en-US" w:eastAsia="zh-CN"/>
        </w:rPr>
        <w:t>指</w:t>
      </w:r>
      <w:r>
        <w:rPr>
          <w:rFonts w:hint="eastAsia" w:ascii="Times New Roman" w:hAnsi="Times New Roman" w:cs="Times New Roman" w:eastAsiaTheme="minorEastAsia"/>
          <w:b w:val="0"/>
          <w:bCs w:val="0"/>
          <w:sz w:val="28"/>
          <w:szCs w:val="28"/>
          <w:highlight w:val="none"/>
          <w:lang w:val="en-US" w:eastAsia="zh-CN"/>
        </w:rPr>
        <w:t>金所片区</w:t>
      </w:r>
      <w:r>
        <w:rPr>
          <w:rFonts w:hint="eastAsia" w:ascii="Times New Roman" w:hAnsi="Times New Roman" w:cs="Times New Roman"/>
          <w:b w:val="0"/>
          <w:bCs w:val="0"/>
          <w:sz w:val="28"/>
          <w:szCs w:val="28"/>
          <w:highlight w:val="none"/>
          <w:lang w:val="en-US" w:eastAsia="zh-CN"/>
        </w:rPr>
        <w:t>和</w:t>
      </w:r>
      <w:r>
        <w:rPr>
          <w:rFonts w:hint="eastAsia" w:ascii="Times New Roman" w:hAnsi="Times New Roman" w:cs="Times New Roman" w:eastAsiaTheme="minorEastAsia"/>
          <w:b w:val="0"/>
          <w:bCs w:val="0"/>
          <w:sz w:val="28"/>
          <w:szCs w:val="28"/>
          <w:highlight w:val="none"/>
          <w:lang w:val="en-US" w:eastAsia="zh-CN"/>
        </w:rPr>
        <w:t>羊街片区。</w:t>
      </w:r>
      <w:r>
        <w:rPr>
          <w:rFonts w:hint="eastAsia" w:ascii="Times New Roman" w:hAnsi="Times New Roman" w:cs="Times New Roman"/>
          <w:b w:val="0"/>
          <w:bCs w:val="0"/>
          <w:sz w:val="28"/>
          <w:szCs w:val="28"/>
          <w:highlight w:val="none"/>
          <w:lang w:val="en-US" w:eastAsia="zh-CN"/>
        </w:rPr>
        <w:t>本次声环境功能区划将金所片区纳入区划范围。</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2.4.1 用地规模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cs="Times New Roman"/>
          <w:b w:val="0"/>
          <w:bCs w:val="0"/>
          <w:kern w:val="2"/>
          <w:sz w:val="28"/>
          <w:szCs w:val="28"/>
          <w:vertAlign w:val="baseline"/>
          <w:lang w:val="en-US" w:eastAsia="zh-CN" w:bidi="ar-SA"/>
        </w:rPr>
      </w:pPr>
      <w:r>
        <w:rPr>
          <w:rFonts w:hint="eastAsia" w:ascii="Times New Roman" w:hAnsi="Times New Roman" w:cs="Times New Roman" w:eastAsiaTheme="minorEastAsia"/>
          <w:b w:val="0"/>
          <w:bCs w:val="0"/>
          <w:kern w:val="2"/>
          <w:sz w:val="28"/>
          <w:szCs w:val="28"/>
          <w:lang w:val="en-US" w:eastAsia="zh-CN" w:bidi="ar-SA"/>
        </w:rPr>
        <w:t>位于金所镇北侧，东至渝昆高速，南至金所收费站及金柯线一带，西至213国道</w:t>
      </w:r>
      <w:r>
        <w:rPr>
          <w:rFonts w:hint="eastAsia" w:ascii="Times New Roman" w:hAnsi="Times New Roman" w:cs="Times New Roman"/>
          <w:b w:val="0"/>
          <w:bCs w:val="0"/>
          <w:kern w:val="2"/>
          <w:sz w:val="28"/>
          <w:szCs w:val="28"/>
          <w:lang w:val="en-US" w:eastAsia="zh-CN" w:bidi="ar-SA"/>
        </w:rPr>
        <w:t>，</w:t>
      </w:r>
      <w:r>
        <w:rPr>
          <w:rFonts w:hint="eastAsia" w:ascii="Times New Roman" w:hAnsi="Times New Roman" w:cs="Times New Roman" w:eastAsiaTheme="minorEastAsia"/>
          <w:b w:val="0"/>
          <w:bCs w:val="0"/>
          <w:kern w:val="2"/>
          <w:sz w:val="28"/>
          <w:szCs w:val="28"/>
          <w:lang w:val="en-US" w:eastAsia="zh-CN" w:bidi="ar-SA"/>
        </w:rPr>
        <w:t>北至种羊场围栏，规划占地面积</w:t>
      </w:r>
      <w:r>
        <w:rPr>
          <w:rFonts w:hint="eastAsia" w:ascii="Times New Roman" w:hAnsi="Times New Roman" w:cs="Times New Roman"/>
          <w:b w:val="0"/>
          <w:bCs w:val="0"/>
          <w:kern w:val="2"/>
          <w:sz w:val="28"/>
          <w:szCs w:val="28"/>
          <w:lang w:val="en-US" w:eastAsia="zh-CN" w:bidi="ar-SA"/>
        </w:rPr>
        <w:t>10.39km</w:t>
      </w:r>
      <w:r>
        <w:rPr>
          <w:rFonts w:hint="eastAsia" w:ascii="Times New Roman" w:hAnsi="Times New Roman" w:cs="Times New Roman"/>
          <w:b w:val="0"/>
          <w:bCs w:val="0"/>
          <w:kern w:val="2"/>
          <w:sz w:val="28"/>
          <w:szCs w:val="28"/>
          <w:vertAlign w:val="superscript"/>
          <w:lang w:val="en-US" w:eastAsia="zh-CN" w:bidi="ar-SA"/>
        </w:rPr>
        <w:t>2</w:t>
      </w:r>
      <w:r>
        <w:rPr>
          <w:rFonts w:hint="eastAsia" w:ascii="Times New Roman" w:hAnsi="Times New Roman" w:cs="Times New Roman"/>
          <w:b w:val="0"/>
          <w:bCs w:val="0"/>
          <w:kern w:val="2"/>
          <w:sz w:val="28"/>
          <w:szCs w:val="28"/>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2.4.2 功能结构</w:t>
      </w:r>
    </w:p>
    <w:p>
      <w:pPr>
        <w:numPr>
          <w:ilvl w:val="0"/>
          <w:numId w:val="0"/>
        </w:num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kern w:val="2"/>
          <w:sz w:val="28"/>
          <w:szCs w:val="28"/>
          <w:lang w:val="en-US" w:eastAsia="zh-CN" w:bidi="ar-SA"/>
        </w:rPr>
      </w:pPr>
      <w:r>
        <w:rPr>
          <w:rFonts w:hint="eastAsia" w:ascii="Times New Roman" w:hAnsi="Times New Roman" w:cs="Times New Roman" w:eastAsiaTheme="minorEastAsia"/>
          <w:b w:val="0"/>
          <w:bCs w:val="0"/>
          <w:kern w:val="2"/>
          <w:sz w:val="28"/>
          <w:szCs w:val="28"/>
          <w:lang w:val="en-US" w:eastAsia="zh-CN" w:bidi="ar-SA"/>
        </w:rPr>
        <w:t>金所片区以新型建材、新能源产业为主。依照产业功能分为现状产业区、新型建材产业区和新能源产 业区，结合金所镇规划一个综合配套服务中心。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2.4.3 人口规模</w:t>
      </w:r>
    </w:p>
    <w:p>
      <w:pPr>
        <w:keepNext w:val="0"/>
        <w:keepLines w:val="0"/>
        <w:widowControl/>
        <w:suppressLineNumbers w:val="0"/>
        <w:ind w:firstLine="560" w:firstLineChars="200"/>
        <w:jc w:val="left"/>
        <w:rPr>
          <w:rFonts w:hint="eastAsia" w:ascii="Times New Roman" w:hAnsi="Times New Roman" w:cs="Times New Roman" w:eastAsiaTheme="minorEastAsia"/>
          <w:b w:val="0"/>
          <w:bCs w:val="0"/>
          <w:kern w:val="2"/>
          <w:sz w:val="28"/>
          <w:szCs w:val="28"/>
          <w:lang w:val="en-US" w:eastAsia="zh-CN" w:bidi="ar-SA"/>
        </w:rPr>
      </w:pPr>
      <w:r>
        <w:rPr>
          <w:rFonts w:hint="eastAsia" w:ascii="Times New Roman" w:hAnsi="Times New Roman" w:cs="Times New Roman" w:eastAsiaTheme="minorEastAsia"/>
          <w:b w:val="0"/>
          <w:bCs w:val="0"/>
          <w:kern w:val="2"/>
          <w:sz w:val="28"/>
          <w:szCs w:val="28"/>
          <w:lang w:val="en-US" w:eastAsia="zh-CN" w:bidi="ar-SA"/>
        </w:rPr>
        <w:t>人口规模采用产业用地支撑的就业人口和服务设施带来的就业人口进行测算，规划期末总人口约 5.22 万人，其中金所片区规划期末总人口约 2.82 万人、羊街片区规划期末总人口约 2.40 万人。</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2.4.4 片区道路规划 </w:t>
      </w:r>
    </w:p>
    <w:p>
      <w:pPr>
        <w:keepNext w:val="0"/>
        <w:keepLines w:val="0"/>
        <w:widowControl/>
        <w:suppressLineNumbers w:val="0"/>
        <w:ind w:firstLine="560" w:firstLineChars="200"/>
        <w:jc w:val="left"/>
        <w:rPr>
          <w:rFonts w:hint="default" w:ascii="Times New Roman" w:hAnsi="Times New Roman" w:cs="Times New Roman" w:eastAsiaTheme="minorEastAsia"/>
          <w:b w:val="0"/>
          <w:bCs w:val="0"/>
          <w:kern w:val="2"/>
          <w:sz w:val="28"/>
          <w:szCs w:val="28"/>
          <w:lang w:val="en-US" w:eastAsia="zh-CN" w:bidi="ar-SA"/>
        </w:rPr>
      </w:pPr>
      <w:r>
        <w:rPr>
          <w:rFonts w:hint="eastAsia" w:ascii="Times New Roman" w:hAnsi="Times New Roman" w:cs="Times New Roman"/>
          <w:b w:val="0"/>
          <w:bCs w:val="0"/>
          <w:sz w:val="28"/>
          <w:szCs w:val="28"/>
          <w:highlight w:val="none"/>
          <w:lang w:val="en-US" w:eastAsia="zh-CN"/>
        </w:rPr>
        <w:t xml:space="preserve">金所片区地形平缓，规划道路尽量顺直，采取“网格化”道路系统。该片区南北向40米主干道已修建完成，片区已编制完成控制性详细规划。片区道路红线宽度分别为40米、24米、16米和12米四个等级。 </w:t>
      </w:r>
    </w:p>
    <w:p>
      <w:pPr>
        <w:pStyle w:val="2"/>
        <w:keepNext/>
        <w:keepLines/>
        <w:pageBreakBefore w:val="0"/>
        <w:widowControl w:val="0"/>
        <w:kinsoku/>
        <w:wordWrap/>
        <w:overflowPunct/>
        <w:topLinePunct w:val="0"/>
        <w:autoSpaceDE/>
        <w:autoSpaceDN/>
        <w:bidi w:val="0"/>
        <w:adjustRightInd/>
        <w:snapToGrid/>
        <w:spacing w:line="576" w:lineRule="auto"/>
        <w:textAlignment w:val="auto"/>
        <w:outlineLvl w:val="0"/>
        <w:rPr>
          <w:rFonts w:hint="default" w:ascii="新宋体" w:hAnsi="新宋体" w:eastAsia="新宋体" w:cs="新宋体"/>
          <w:sz w:val="30"/>
          <w:szCs w:val="30"/>
          <w:lang w:val="en-US" w:eastAsia="zh-CN"/>
        </w:rPr>
      </w:pPr>
      <w:bookmarkStart w:id="74" w:name="_Toc10838_WPSOffice_Level1"/>
      <w:r>
        <w:rPr>
          <w:rFonts w:hint="eastAsia" w:ascii="新宋体" w:hAnsi="新宋体" w:eastAsia="新宋体" w:cs="新宋体"/>
          <w:sz w:val="30"/>
          <w:szCs w:val="30"/>
          <w:lang w:val="en-US" w:eastAsia="zh-CN"/>
        </w:rPr>
        <w:t>3. 声</w:t>
      </w:r>
      <w:r>
        <w:rPr>
          <w:rFonts w:hint="default" w:ascii="新宋体" w:hAnsi="新宋体" w:eastAsia="新宋体" w:cs="新宋体"/>
          <w:sz w:val="30"/>
          <w:szCs w:val="30"/>
          <w:lang w:val="en-US" w:eastAsia="zh-CN"/>
        </w:rPr>
        <w:t>环境质量现状</w:t>
      </w:r>
      <w:bookmarkEnd w:id="74"/>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75" w:name="_Toc15470_WPSOffice_Level2"/>
      <w:r>
        <w:rPr>
          <w:rFonts w:hint="default" w:ascii="Times New Roman" w:hAnsi="Times New Roman" w:eastAsia="黑体" w:cs="Times New Roman"/>
          <w:b/>
          <w:bCs/>
          <w:sz w:val="28"/>
          <w:szCs w:val="28"/>
          <w:lang w:val="en-US" w:eastAsia="zh-CN"/>
        </w:rPr>
        <w:t>3.1</w:t>
      </w:r>
      <w:r>
        <w:rPr>
          <w:rFonts w:hint="eastAsia"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声环境质量监测方案</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3.1.1</w:t>
      </w:r>
      <w:r>
        <w:rPr>
          <w:rFonts w:hint="eastAsia" w:ascii="Times New Roman" w:hAnsi="Times New Roman" w:eastAsia="宋体" w:cs="Times New Roman"/>
          <w:b/>
          <w:bCs/>
          <w:sz w:val="28"/>
          <w:szCs w:val="28"/>
          <w:lang w:val="en-US" w:eastAsia="zh-CN"/>
        </w:rPr>
        <w:t xml:space="preserve"> </w:t>
      </w:r>
      <w:r>
        <w:rPr>
          <w:rFonts w:hint="default" w:ascii="Times New Roman" w:hAnsi="Times New Roman" w:eastAsia="宋体" w:cs="Times New Roman"/>
          <w:b/>
          <w:bCs/>
          <w:sz w:val="28"/>
          <w:szCs w:val="28"/>
          <w:lang w:val="en-US" w:eastAsia="zh-CN"/>
        </w:rPr>
        <w:t xml:space="preserve">监测种类和监测点位数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cs="宋体"/>
          <w:b/>
          <w:bCs w:val="0"/>
          <w:color w:val="000000"/>
          <w:kern w:val="0"/>
          <w:sz w:val="24"/>
          <w:szCs w:val="24"/>
          <w:highlight w:val="none"/>
          <w:lang w:val="en-US" w:eastAsia="zh-CN" w:bidi="ar"/>
        </w:rPr>
        <w:t>表3.1-1  监测种类和监测点位数</w:t>
      </w:r>
    </w:p>
    <w:tbl>
      <w:tblPr>
        <w:tblStyle w:val="8"/>
        <w:tblW w:w="8504" w:type="dxa"/>
        <w:jc w:val="center"/>
        <w:shd w:val="clear" w:color="auto" w:fill="auto"/>
        <w:tblLayout w:type="fixed"/>
        <w:tblCellMar>
          <w:top w:w="0" w:type="dxa"/>
          <w:left w:w="0" w:type="dxa"/>
          <w:bottom w:w="0" w:type="dxa"/>
          <w:right w:w="0" w:type="dxa"/>
        </w:tblCellMar>
      </w:tblPr>
      <w:tblGrid>
        <w:gridCol w:w="887"/>
        <w:gridCol w:w="2443"/>
        <w:gridCol w:w="1014"/>
        <w:gridCol w:w="4160"/>
      </w:tblGrid>
      <w:tr>
        <w:tblPrEx>
          <w:shd w:val="clear" w:color="auto" w:fill="auto"/>
          <w:tblCellMar>
            <w:top w:w="0" w:type="dxa"/>
            <w:left w:w="0" w:type="dxa"/>
            <w:bottom w:w="0" w:type="dxa"/>
            <w:right w:w="0" w:type="dxa"/>
          </w:tblCellMar>
        </w:tblPrEx>
        <w:trPr>
          <w:trHeight w:val="567" w:hRule="atLeast"/>
          <w:jc w:val="center"/>
        </w:trPr>
        <w:tc>
          <w:tcPr>
            <w:tcW w:w="88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序号</w:t>
            </w:r>
          </w:p>
        </w:tc>
        <w:tc>
          <w:tcPr>
            <w:tcW w:w="244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监测种类</w:t>
            </w:r>
          </w:p>
        </w:tc>
        <w:tc>
          <w:tcPr>
            <w:tcW w:w="1014"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监测点数</w:t>
            </w:r>
          </w:p>
        </w:tc>
        <w:tc>
          <w:tcPr>
            <w:tcW w:w="416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备注</w:t>
            </w:r>
          </w:p>
        </w:tc>
      </w:tr>
      <w:tr>
        <w:tblPrEx>
          <w:tblCellMar>
            <w:top w:w="0" w:type="dxa"/>
            <w:left w:w="0" w:type="dxa"/>
            <w:bottom w:w="0" w:type="dxa"/>
            <w:right w:w="0" w:type="dxa"/>
          </w:tblCellMar>
        </w:tblPrEx>
        <w:trPr>
          <w:trHeight w:val="567" w:hRule="atLeast"/>
          <w:jc w:val="center"/>
        </w:trPr>
        <w:tc>
          <w:tcPr>
            <w:tcW w:w="88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1.1</w:t>
            </w:r>
          </w:p>
        </w:tc>
        <w:tc>
          <w:tcPr>
            <w:tcW w:w="24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区域声环境监测</w:t>
            </w:r>
          </w:p>
        </w:tc>
        <w:tc>
          <w:tcPr>
            <w:tcW w:w="10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135</w:t>
            </w:r>
          </w:p>
        </w:tc>
        <w:tc>
          <w:tcPr>
            <w:tcW w:w="41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网格点监测（200m×200m）</w:t>
            </w:r>
          </w:p>
        </w:tc>
      </w:tr>
      <w:tr>
        <w:tblPrEx>
          <w:tblCellMar>
            <w:top w:w="0" w:type="dxa"/>
            <w:left w:w="0" w:type="dxa"/>
            <w:bottom w:w="0" w:type="dxa"/>
            <w:right w:w="0" w:type="dxa"/>
          </w:tblCellMar>
        </w:tblPrEx>
        <w:trPr>
          <w:trHeight w:val="567" w:hRule="atLeast"/>
          <w:jc w:val="center"/>
        </w:trPr>
        <w:tc>
          <w:tcPr>
            <w:tcW w:w="88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1.2</w:t>
            </w:r>
          </w:p>
        </w:tc>
        <w:tc>
          <w:tcPr>
            <w:tcW w:w="244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道路交通声环境监测</w:t>
            </w:r>
          </w:p>
        </w:tc>
        <w:tc>
          <w:tcPr>
            <w:tcW w:w="10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20</w:t>
            </w:r>
          </w:p>
        </w:tc>
        <w:tc>
          <w:tcPr>
            <w:tcW w:w="41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color w:val="auto"/>
                <w:sz w:val="24"/>
                <w:szCs w:val="24"/>
              </w:rPr>
              <w:t>涉及县城主要交通干道</w:t>
            </w:r>
            <w:r>
              <w:rPr>
                <w:rFonts w:hint="default" w:ascii="Times New Roman" w:hAnsi="Times New Roman" w:eastAsia="宋体" w:cs="Times New Roman"/>
                <w:b w:val="0"/>
                <w:bCs w:val="0"/>
                <w:color w:val="auto"/>
                <w:sz w:val="24"/>
                <w:szCs w:val="24"/>
                <w:lang w:val="en-US" w:eastAsia="zh-CN"/>
              </w:rPr>
              <w:t>9</w:t>
            </w:r>
            <w:r>
              <w:rPr>
                <w:rFonts w:hint="default" w:ascii="Times New Roman" w:hAnsi="Times New Roman" w:eastAsia="宋体" w:cs="Times New Roman"/>
                <w:b w:val="0"/>
                <w:bCs w:val="0"/>
                <w:color w:val="auto"/>
                <w:sz w:val="24"/>
                <w:szCs w:val="24"/>
              </w:rPr>
              <w:t>条</w:t>
            </w:r>
          </w:p>
        </w:tc>
      </w:tr>
      <w:tr>
        <w:tblPrEx>
          <w:tblCellMar>
            <w:top w:w="0" w:type="dxa"/>
            <w:left w:w="0" w:type="dxa"/>
            <w:bottom w:w="0" w:type="dxa"/>
            <w:right w:w="0" w:type="dxa"/>
          </w:tblCellMar>
        </w:tblPrEx>
        <w:trPr>
          <w:trHeight w:val="567" w:hRule="atLeast"/>
          <w:jc w:val="center"/>
        </w:trPr>
        <w:tc>
          <w:tcPr>
            <w:tcW w:w="3330" w:type="dxa"/>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合计</w:t>
            </w:r>
          </w:p>
        </w:tc>
        <w:tc>
          <w:tcPr>
            <w:tcW w:w="10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b w:val="0"/>
                <w:bCs w:val="0"/>
                <w:i w:val="0"/>
                <w:color w:val="000000"/>
                <w:sz w:val="24"/>
                <w:szCs w:val="24"/>
                <w:highlight w:val="none"/>
                <w:u w:val="none"/>
                <w:lang w:val="en-US"/>
              </w:rPr>
            </w:pPr>
            <w:r>
              <w:rPr>
                <w:rFonts w:hint="default" w:ascii="Times New Roman" w:hAnsi="Times New Roman" w:eastAsia="宋体" w:cs="Times New Roman"/>
                <w:b w:val="0"/>
                <w:bCs w:val="0"/>
                <w:i w:val="0"/>
                <w:color w:val="000000"/>
                <w:kern w:val="0"/>
                <w:sz w:val="24"/>
                <w:szCs w:val="24"/>
                <w:highlight w:val="none"/>
                <w:u w:val="none"/>
                <w:lang w:val="en-US" w:eastAsia="zh-CN" w:bidi="ar"/>
              </w:rPr>
              <w:t>155</w:t>
            </w:r>
          </w:p>
        </w:tc>
        <w:tc>
          <w:tcPr>
            <w:tcW w:w="41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outlineLvl w:val="9"/>
              <w:rPr>
                <w:rFonts w:hint="default" w:ascii="Times New Roman" w:hAnsi="Times New Roman" w:eastAsia="宋体" w:cs="Times New Roman"/>
                <w:b w:val="0"/>
                <w:bCs w:val="0"/>
                <w:i w:val="0"/>
                <w:color w:val="000000"/>
                <w:sz w:val="24"/>
                <w:szCs w:val="24"/>
                <w:highlight w:val="none"/>
                <w:u w:val="none"/>
              </w:rPr>
            </w:pPr>
          </w:p>
        </w:tc>
      </w:tr>
      <w:tr>
        <w:tblPrEx>
          <w:tblCellMar>
            <w:top w:w="0" w:type="dxa"/>
            <w:left w:w="0" w:type="dxa"/>
            <w:bottom w:w="0" w:type="dxa"/>
            <w:right w:w="0" w:type="dxa"/>
          </w:tblCellMar>
        </w:tblPrEx>
        <w:trPr>
          <w:trHeight w:val="567" w:hRule="atLeast"/>
          <w:jc w:val="center"/>
        </w:trPr>
        <w:tc>
          <w:tcPr>
            <w:tcW w:w="8504" w:type="dxa"/>
            <w:gridSpan w:val="4"/>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按对应的监测布点方案结合实体</w:t>
            </w:r>
            <w:r>
              <w:rPr>
                <w:rFonts w:hint="eastAsia" w:ascii="Times New Roman" w:hAnsi="Times New Roman" w:eastAsia="宋体" w:cs="Times New Roman"/>
                <w:b w:val="0"/>
                <w:bCs w:val="0"/>
                <w:i w:val="0"/>
                <w:color w:val="000000"/>
                <w:kern w:val="0"/>
                <w:sz w:val="24"/>
                <w:szCs w:val="24"/>
                <w:highlight w:val="none"/>
                <w:u w:val="none"/>
                <w:lang w:val="en-US" w:eastAsia="zh-CN" w:bidi="ar"/>
              </w:rPr>
              <w:t>勘察</w:t>
            </w:r>
            <w:r>
              <w:rPr>
                <w:rFonts w:hint="default" w:ascii="Times New Roman" w:hAnsi="Times New Roman" w:eastAsia="宋体" w:cs="Times New Roman"/>
                <w:b w:val="0"/>
                <w:bCs w:val="0"/>
                <w:i w:val="0"/>
                <w:color w:val="000000"/>
                <w:kern w:val="0"/>
                <w:sz w:val="24"/>
                <w:szCs w:val="24"/>
                <w:highlight w:val="none"/>
                <w:u w:val="none"/>
                <w:lang w:val="en-US" w:eastAsia="zh-CN" w:bidi="ar"/>
              </w:rPr>
              <w:t>，严格按监测技术规划开展监测报告成果：</w:t>
            </w:r>
          </w:p>
          <w:p>
            <w:pPr>
              <w:keepNext w:val="0"/>
              <w:keepLines w:val="0"/>
              <w:widowControl/>
              <w:suppressLineNumbers w:val="0"/>
              <w:jc w:val="both"/>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1）监测原始记录；</w:t>
            </w:r>
          </w:p>
          <w:p>
            <w:pPr>
              <w:keepNext w:val="0"/>
              <w:keepLines w:val="0"/>
              <w:widowControl/>
              <w:suppressLineNumbers w:val="0"/>
              <w:jc w:val="both"/>
              <w:textAlignment w:val="center"/>
              <w:outlineLvl w:val="9"/>
              <w:rPr>
                <w:rFonts w:hint="default" w:ascii="Times New Roman" w:hAnsi="Times New Roman" w:eastAsia="宋体" w:cs="Times New Roman"/>
                <w:b w:val="0"/>
                <w:bCs w:val="0"/>
                <w:i w:val="0"/>
                <w:color w:val="000000"/>
                <w:sz w:val="24"/>
                <w:szCs w:val="24"/>
                <w:highlight w:val="none"/>
                <w:u w:val="none"/>
              </w:rPr>
            </w:pPr>
            <w:r>
              <w:rPr>
                <w:rFonts w:hint="default" w:ascii="Times New Roman" w:hAnsi="Times New Roman" w:eastAsia="宋体" w:cs="Times New Roman"/>
                <w:b w:val="0"/>
                <w:bCs w:val="0"/>
                <w:i w:val="0"/>
                <w:color w:val="000000"/>
                <w:kern w:val="0"/>
                <w:sz w:val="24"/>
                <w:szCs w:val="24"/>
                <w:highlight w:val="none"/>
                <w:u w:val="none"/>
                <w:lang w:val="en-US" w:eastAsia="zh-CN" w:bidi="ar"/>
              </w:rPr>
              <w:t>2）监测汇总数据表及监测技术报告成果，详细依据方案及技术规划技术执行。</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76" w:name="_Toc8435"/>
      <w:bookmarkStart w:id="77" w:name="_Toc24927"/>
      <w:bookmarkStart w:id="78" w:name="_Toc29871"/>
      <w:r>
        <w:rPr>
          <w:rFonts w:hint="default" w:ascii="Times New Roman" w:hAnsi="Times New Roman" w:eastAsia="宋体" w:cs="Times New Roman"/>
          <w:b/>
          <w:bCs/>
          <w:sz w:val="28"/>
          <w:szCs w:val="28"/>
          <w:lang w:val="en-US" w:eastAsia="zh-CN"/>
        </w:rPr>
        <w:t>3.1.2 声环境质量常规监测</w:t>
      </w:r>
      <w:bookmarkEnd w:id="76"/>
      <w:bookmarkEnd w:id="77"/>
      <w:bookmarkEnd w:id="78"/>
      <w:r>
        <w:rPr>
          <w:rFonts w:hint="default" w:ascii="Times New Roman" w:hAnsi="Times New Roman" w:eastAsia="宋体" w:cs="Times New Roman"/>
          <w:b/>
          <w:bCs/>
          <w:sz w:val="28"/>
          <w:szCs w:val="28"/>
          <w:lang w:val="en-US" w:eastAsia="zh-CN"/>
        </w:rPr>
        <w:t xml:space="preserve"> </w:t>
      </w:r>
    </w:p>
    <w:p>
      <w:pPr>
        <w:ind w:firstLine="560" w:firstLineChars="200"/>
        <w:rPr>
          <w:rFonts w:hint="eastAsia" w:ascii="宋体" w:hAnsi="宋体" w:eastAsia="宋体" w:cs="宋体"/>
          <w:b w:val="0"/>
          <w:bCs w:val="0"/>
          <w:sz w:val="28"/>
          <w:szCs w:val="28"/>
          <w:highlight w:val="none"/>
          <w:shd w:val="clear"/>
          <w:lang w:val="en-US" w:eastAsia="zh-CN"/>
        </w:rPr>
      </w:pPr>
      <w:r>
        <w:rPr>
          <w:rFonts w:hint="eastAsia" w:ascii="宋体" w:hAnsi="宋体" w:eastAsia="宋体" w:cs="宋体"/>
          <w:b w:val="0"/>
          <w:bCs w:val="0"/>
          <w:sz w:val="28"/>
          <w:szCs w:val="28"/>
          <w:highlight w:val="none"/>
          <w:shd w:val="clear"/>
          <w:lang w:val="en-US" w:eastAsia="zh-CN"/>
        </w:rPr>
        <w:t>声环境质量常规监测也称例行监测。指为掌握寻甸彝族回族自治县城市声环境质量状况，环境监测部门所开展的城市区域声环境质量监测、城市道路交通噪声监测（分别简称：区域监测、道路交通监测）。</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 xml:space="preserve">3.1.3 </w:t>
      </w:r>
      <w:bookmarkStart w:id="79" w:name="_Toc2171"/>
      <w:bookmarkStart w:id="80" w:name="_Toc27526"/>
      <w:bookmarkStart w:id="81" w:name="_Toc20859"/>
      <w:r>
        <w:rPr>
          <w:rFonts w:hint="default" w:ascii="Times New Roman" w:hAnsi="Times New Roman" w:eastAsia="宋体" w:cs="Times New Roman"/>
          <w:b/>
          <w:bCs/>
          <w:sz w:val="28"/>
          <w:szCs w:val="28"/>
          <w:lang w:val="en-US" w:eastAsia="zh-CN"/>
        </w:rPr>
        <w:t>监测点位调整</w:t>
      </w:r>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声环境质量监测点位的位置与高度一经确定不能随意改动。当所设点位现状发生改变，已不符合点位布设要求时在数据报送时注明。监测点位原则上每五年调整1次。城市建成区面积扩大，需调整点位时，应在尽量保留原监测点位的前提下外延加设点位。当城市建成区面积扩大超过50%时，可重新布设监测点位。监测点位审批按相关规定执行。执行新调整点位的起始时间为每个五年计划的第一年。</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3.1.</w:t>
      </w:r>
      <w:r>
        <w:rPr>
          <w:rFonts w:hint="eastAsia"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val="en-US" w:eastAsia="zh-CN"/>
        </w:rPr>
        <w:t>声</w:t>
      </w:r>
      <w:r>
        <w:rPr>
          <w:rFonts w:hint="default" w:ascii="Times New Roman" w:hAnsi="Times New Roman" w:eastAsia="宋体" w:cs="Times New Roman"/>
          <w:b/>
          <w:bCs/>
          <w:sz w:val="28"/>
          <w:szCs w:val="28"/>
          <w:lang w:val="en-US" w:eastAsia="zh-CN"/>
        </w:rPr>
        <w:t>环境质量监测报告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声环境质量监测报告应主要包括下列内容：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（1）概述：概略性描述监测工作概况以及声环境质量监测结果；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（2）区域声环境质量监测结果与评价；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（3）道路交通噪声监测结果与评价；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（4）功能区声环境质量监测结果与评价；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（5）相关分析；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（6）结论。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82" w:name="_Toc27374"/>
      <w:bookmarkStart w:id="83" w:name="_Toc20618"/>
      <w:bookmarkStart w:id="84" w:name="_Toc23366"/>
      <w:r>
        <w:rPr>
          <w:rFonts w:hint="eastAsia" w:ascii="Times New Roman" w:hAnsi="Times New Roman" w:eastAsia="宋体" w:cs="Times New Roman"/>
          <w:b/>
          <w:bCs/>
          <w:sz w:val="28"/>
          <w:szCs w:val="28"/>
          <w:lang w:val="en-US" w:eastAsia="zh-CN"/>
        </w:rPr>
        <w:t xml:space="preserve">3.1.5 </w:t>
      </w:r>
      <w:r>
        <w:rPr>
          <w:rFonts w:hint="default" w:ascii="Times New Roman" w:hAnsi="Times New Roman" w:eastAsia="宋体" w:cs="Times New Roman"/>
          <w:b/>
          <w:bCs/>
          <w:sz w:val="28"/>
          <w:szCs w:val="28"/>
          <w:lang w:val="en-US" w:eastAsia="zh-CN"/>
        </w:rPr>
        <w:t>质量保证与质量控制</w:t>
      </w:r>
      <w:bookmarkEnd w:id="82"/>
      <w:bookmarkEnd w:id="83"/>
      <w:bookmarkEnd w:id="84"/>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（1）监测人员要求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 xml:space="preserve">现场监测每点位测量至少有2人参加。凡承担噪声监测工作的人员必须取得上岗资格证。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宋体" w:hAnsi="宋体" w:eastAsia="宋体" w:cs="宋体"/>
          <w:b w:val="0"/>
          <w:bCs w:val="0"/>
          <w:sz w:val="28"/>
          <w:szCs w:val="28"/>
          <w:highlight w:val="none"/>
          <w:shd w:val="clear"/>
          <w:lang w:val="en-US" w:eastAsia="zh-CN"/>
        </w:rPr>
      </w:pPr>
      <w:r>
        <w:rPr>
          <w:rFonts w:hint="eastAsia" w:ascii="宋体" w:hAnsi="宋体" w:eastAsia="宋体" w:cs="宋体"/>
          <w:b w:val="0"/>
          <w:bCs w:val="0"/>
          <w:sz w:val="28"/>
          <w:szCs w:val="28"/>
          <w:highlight w:val="none"/>
          <w:shd w:val="clear"/>
          <w:lang w:val="en-US" w:eastAsia="zh-CN"/>
        </w:rPr>
        <w:t>（2）</w:t>
      </w:r>
      <w:r>
        <w:rPr>
          <w:rFonts w:hint="default" w:ascii="宋体" w:hAnsi="宋体" w:eastAsia="宋体" w:cs="宋体"/>
          <w:b w:val="0"/>
          <w:bCs w:val="0"/>
          <w:sz w:val="28"/>
          <w:szCs w:val="28"/>
          <w:highlight w:val="none"/>
          <w:shd w:val="clear"/>
          <w:lang w:val="en-US" w:eastAsia="zh-CN"/>
        </w:rPr>
        <w:t xml:space="preserve">测量要求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560" w:firstLineChars="200"/>
        <w:textAlignment w:val="auto"/>
        <w:outlineLvl w:val="9"/>
        <w:rPr>
          <w:rFonts w:hint="default" w:ascii="宋体" w:hAnsi="宋体" w:eastAsia="宋体" w:cs="宋体"/>
          <w:b w:val="0"/>
          <w:bCs w:val="0"/>
          <w:sz w:val="28"/>
          <w:szCs w:val="28"/>
          <w:highlight w:val="none"/>
          <w:shd w:val="clear"/>
          <w:lang w:val="en-US" w:eastAsia="zh-CN"/>
        </w:rPr>
      </w:pPr>
      <w:r>
        <w:rPr>
          <w:rFonts w:hint="default" w:ascii="宋体" w:hAnsi="宋体" w:eastAsia="宋体" w:cs="宋体"/>
          <w:b w:val="0"/>
          <w:bCs w:val="0"/>
          <w:sz w:val="28"/>
          <w:szCs w:val="28"/>
          <w:highlight w:val="none"/>
          <w:shd w:val="clear"/>
          <w:lang w:val="en-US" w:eastAsia="zh-CN"/>
        </w:rPr>
        <w:t>噪声监测的测量仪器精度、气象条件和采样方式等应符合《声环境质量标准》</w:t>
      </w:r>
      <w:r>
        <w:rPr>
          <w:rFonts w:hint="eastAsia" w:ascii="宋体" w:hAnsi="宋体" w:eastAsia="宋体" w:cs="宋体"/>
          <w:b w:val="0"/>
          <w:bCs w:val="0"/>
          <w:sz w:val="28"/>
          <w:szCs w:val="28"/>
          <w:highlight w:val="none"/>
          <w:shd w:val="clear"/>
          <w:lang w:val="en-US" w:eastAsia="zh-CN"/>
        </w:rPr>
        <w:t>)(</w:t>
      </w:r>
      <w:r>
        <w:rPr>
          <w:rFonts w:hint="default" w:ascii="宋体" w:hAnsi="宋体" w:eastAsia="宋体" w:cs="宋体"/>
          <w:b w:val="0"/>
          <w:bCs w:val="0"/>
          <w:sz w:val="28"/>
          <w:szCs w:val="28"/>
          <w:highlight w:val="none"/>
          <w:shd w:val="clear"/>
          <w:lang w:val="en-US" w:eastAsia="zh-CN"/>
        </w:rPr>
        <w:t>GB 3096-2008</w:t>
      </w:r>
      <w:r>
        <w:rPr>
          <w:rFonts w:hint="eastAsia" w:ascii="宋体" w:hAnsi="宋体" w:eastAsia="宋体" w:cs="宋体"/>
          <w:b w:val="0"/>
          <w:bCs w:val="0"/>
          <w:sz w:val="28"/>
          <w:szCs w:val="28"/>
          <w:highlight w:val="none"/>
          <w:shd w:val="clear"/>
          <w:lang w:val="en-US" w:eastAsia="zh-CN"/>
        </w:rPr>
        <w:t>)</w:t>
      </w:r>
      <w:r>
        <w:rPr>
          <w:rFonts w:hint="default" w:ascii="宋体" w:hAnsi="宋体" w:eastAsia="宋体" w:cs="宋体"/>
          <w:b w:val="0"/>
          <w:bCs w:val="0"/>
          <w:sz w:val="28"/>
          <w:szCs w:val="28"/>
          <w:highlight w:val="none"/>
          <w:shd w:val="clear"/>
          <w:lang w:val="en-US" w:eastAsia="zh-CN"/>
        </w:rPr>
        <w:t>的相应要求。噪声测量仪器在每次测量前后须在现场用声校准器进行声校准，其前、后校准示值偏差不得大于0.5dB，否则测量无效。测量需使用延伸电缆时，应将测量仪器与延伸电缆一起进行校准。声级计或传声器单元可手持或固定在测量</w:t>
      </w:r>
      <w:r>
        <w:rPr>
          <w:rFonts w:hint="eastAsia" w:ascii="宋体" w:hAnsi="宋体" w:eastAsia="宋体" w:cs="宋体"/>
          <w:b w:val="0"/>
          <w:bCs w:val="0"/>
          <w:sz w:val="28"/>
          <w:szCs w:val="28"/>
          <w:highlight w:val="none"/>
          <w:shd w:val="clear"/>
          <w:lang w:val="en-US" w:eastAsia="zh-CN"/>
        </w:rPr>
        <w:t>三脚架</w:t>
      </w:r>
      <w:r>
        <w:rPr>
          <w:rFonts w:hint="default" w:ascii="宋体" w:hAnsi="宋体" w:eastAsia="宋体" w:cs="宋体"/>
          <w:b w:val="0"/>
          <w:bCs w:val="0"/>
          <w:sz w:val="28"/>
          <w:szCs w:val="28"/>
          <w:highlight w:val="none"/>
          <w:shd w:val="clear"/>
          <w:lang w:val="en-US" w:eastAsia="zh-CN"/>
        </w:rPr>
        <w:t xml:space="preserve">上，传声器距水平基础支承面1.2m以上，离任何反射面距离不小于1m，与操作者距离不小于0.5m。道路交通噪声监测，传声器指向被测声源。声环境质量监测应在规定时间内进行，不得挑选监测时间或随意按暂停键。测量过程中凡是自然社会可能出现的声音（如：叫卖声、说话声、小孩哭声、鸣笛声等），均不得视作异常噪声而予以排除。建立功能区噪声自动监测点位的城市，上报每季度第二个月第10日（正常工作日）的监测数据，如数据不符测试条件的顺延报下一天的监测数据，待出台噪声自动监测规范后按其相关要求报数。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default" w:ascii="宋体" w:hAnsi="宋体" w:eastAsia="宋体" w:cs="宋体"/>
          <w:b w:val="0"/>
          <w:bCs w:val="0"/>
          <w:sz w:val="28"/>
          <w:szCs w:val="28"/>
          <w:highlight w:val="none"/>
          <w:shd w:val="clear"/>
          <w:lang w:val="en-US" w:eastAsia="zh-CN"/>
        </w:rPr>
      </w:pPr>
      <w:r>
        <w:rPr>
          <w:rFonts w:hint="eastAsia" w:ascii="宋体" w:hAnsi="宋体" w:eastAsia="宋体" w:cs="宋体"/>
          <w:b w:val="0"/>
          <w:bCs w:val="0"/>
          <w:sz w:val="28"/>
          <w:szCs w:val="28"/>
          <w:highlight w:val="none"/>
          <w:shd w:val="clear"/>
          <w:lang w:val="en-US" w:eastAsia="zh-CN"/>
        </w:rPr>
        <w:t>（3）</w:t>
      </w:r>
      <w:r>
        <w:rPr>
          <w:rFonts w:hint="default" w:ascii="宋体" w:hAnsi="宋体" w:eastAsia="宋体" w:cs="宋体"/>
          <w:b w:val="0"/>
          <w:bCs w:val="0"/>
          <w:sz w:val="28"/>
          <w:szCs w:val="28"/>
          <w:highlight w:val="none"/>
          <w:shd w:val="clear"/>
          <w:lang w:val="en-US" w:eastAsia="zh-CN"/>
        </w:rPr>
        <w:t xml:space="preserve">监测记录：按要求完整记录和填写相关监测表。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default" w:ascii="宋体" w:hAnsi="宋体" w:eastAsia="宋体" w:cs="宋体"/>
          <w:b w:val="0"/>
          <w:bCs w:val="0"/>
          <w:sz w:val="28"/>
          <w:szCs w:val="28"/>
          <w:highlight w:val="none"/>
          <w:shd w:val="clear"/>
          <w:lang w:val="en-US" w:eastAsia="zh-CN"/>
        </w:rPr>
      </w:pPr>
      <w:r>
        <w:rPr>
          <w:rFonts w:hint="eastAsia" w:ascii="宋体" w:hAnsi="宋体" w:eastAsia="宋体" w:cs="宋体"/>
          <w:b w:val="0"/>
          <w:bCs w:val="0"/>
          <w:sz w:val="28"/>
          <w:szCs w:val="28"/>
          <w:highlight w:val="none"/>
          <w:shd w:val="clear"/>
          <w:lang w:val="en-US" w:eastAsia="zh-CN"/>
        </w:rPr>
        <w:t>（4）</w:t>
      </w:r>
      <w:r>
        <w:rPr>
          <w:rFonts w:hint="default" w:ascii="宋体" w:hAnsi="宋体" w:eastAsia="宋体" w:cs="宋体"/>
          <w:b w:val="0"/>
          <w:bCs w:val="0"/>
          <w:sz w:val="28"/>
          <w:szCs w:val="28"/>
          <w:highlight w:val="none"/>
          <w:shd w:val="clear"/>
          <w:lang w:val="en-US" w:eastAsia="zh-CN"/>
        </w:rPr>
        <w:t xml:space="preserve">监测数据和监测报告应执行三级审核相关要求。 </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85" w:name="_Toc6920_WPSOffice_Level2"/>
      <w:r>
        <w:rPr>
          <w:rFonts w:hint="default" w:ascii="Times New Roman" w:hAnsi="Times New Roman" w:eastAsia="黑体" w:cs="Times New Roman"/>
          <w:b/>
          <w:bCs/>
          <w:sz w:val="28"/>
          <w:szCs w:val="28"/>
          <w:lang w:val="en-US" w:eastAsia="zh-CN"/>
        </w:rPr>
        <w:t>3.2</w:t>
      </w:r>
      <w:bookmarkStart w:id="86" w:name="_Toc15155"/>
      <w:bookmarkStart w:id="87" w:name="_Toc10680"/>
      <w:bookmarkStart w:id="88" w:name="_Toc22237_WPSOffice_Level2"/>
      <w:r>
        <w:rPr>
          <w:rFonts w:hint="default" w:ascii="Times New Roman" w:hAnsi="Times New Roman" w:eastAsia="黑体" w:cs="Times New Roman"/>
          <w:b/>
          <w:bCs/>
          <w:sz w:val="28"/>
          <w:szCs w:val="28"/>
          <w:lang w:val="en-US" w:eastAsia="zh-CN"/>
        </w:rPr>
        <w:t xml:space="preserve"> 区域声环境质量监测</w:t>
      </w:r>
      <w:bookmarkEnd w:id="85"/>
      <w:bookmarkEnd w:id="86"/>
      <w:bookmarkEnd w:id="87"/>
      <w:bookmarkEnd w:id="88"/>
      <w:r>
        <w:rPr>
          <w:rFonts w:hint="default" w:ascii="Times New Roman" w:hAnsi="Times New Roman" w:eastAsia="黑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89" w:name="_Toc4162"/>
      <w:bookmarkStart w:id="90" w:name="_Toc9387"/>
      <w:bookmarkStart w:id="91" w:name="_Toc8108"/>
      <w:r>
        <w:rPr>
          <w:rFonts w:hint="eastAsia" w:ascii="Times New Roman" w:hAnsi="Times New Roman" w:eastAsia="宋体" w:cs="Times New Roman"/>
          <w:b/>
          <w:bCs/>
          <w:sz w:val="28"/>
          <w:szCs w:val="28"/>
          <w:lang w:val="en-US" w:eastAsia="zh-CN"/>
        </w:rPr>
        <w:t xml:space="preserve">3.2.1 </w:t>
      </w:r>
      <w:r>
        <w:rPr>
          <w:rFonts w:hint="default" w:ascii="Times New Roman" w:hAnsi="Times New Roman" w:eastAsia="宋体" w:cs="Times New Roman"/>
          <w:b/>
          <w:bCs/>
          <w:sz w:val="28"/>
          <w:szCs w:val="28"/>
          <w:lang w:val="en-US" w:eastAsia="zh-CN"/>
        </w:rPr>
        <w:t>区域监测的目的</w:t>
      </w:r>
      <w:bookmarkEnd w:id="89"/>
      <w:bookmarkEnd w:id="90"/>
      <w:bookmarkEnd w:id="91"/>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评价</w:t>
      </w:r>
      <w:r>
        <w:rPr>
          <w:rFonts w:hint="eastAsia" w:ascii="Times New Roman" w:hAnsi="Times New Roman" w:eastAsia="新宋体" w:cs="Times New Roman"/>
          <w:sz w:val="28"/>
          <w:szCs w:val="28"/>
          <w:highlight w:val="none"/>
          <w:shd w:val="clear"/>
          <w:lang w:val="en-US" w:eastAsia="zh-CN"/>
        </w:rPr>
        <w:t>寻甸彝族回族自治县</w:t>
      </w:r>
      <w:r>
        <w:rPr>
          <w:rFonts w:hint="default" w:ascii="Times New Roman" w:hAnsi="Times New Roman" w:eastAsia="新宋体" w:cs="Times New Roman"/>
          <w:sz w:val="28"/>
          <w:szCs w:val="28"/>
          <w:highlight w:val="none"/>
          <w:shd w:val="clear"/>
          <w:lang w:val="en-US" w:eastAsia="zh-CN"/>
        </w:rPr>
        <w:t>整个城市环境噪声总体水平；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分析</w:t>
      </w:r>
      <w:r>
        <w:rPr>
          <w:rFonts w:hint="eastAsia" w:ascii="Times New Roman" w:hAnsi="Times New Roman" w:eastAsia="新宋体" w:cs="Times New Roman"/>
          <w:sz w:val="28"/>
          <w:szCs w:val="28"/>
          <w:highlight w:val="none"/>
          <w:shd w:val="clear"/>
          <w:lang w:val="en-US" w:eastAsia="zh-CN"/>
        </w:rPr>
        <w:t>寻甸彝族回族自治县</w:t>
      </w:r>
      <w:r>
        <w:rPr>
          <w:rFonts w:hint="default" w:ascii="Times New Roman" w:hAnsi="Times New Roman" w:eastAsia="新宋体" w:cs="Times New Roman"/>
          <w:sz w:val="28"/>
          <w:szCs w:val="28"/>
          <w:highlight w:val="none"/>
          <w:shd w:val="clear"/>
          <w:lang w:val="en-US" w:eastAsia="zh-CN"/>
        </w:rPr>
        <w:t>城市声环境质量的年度变化规律和变化趋势。</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92" w:name="_Toc27355"/>
      <w:bookmarkStart w:id="93" w:name="_Toc9286"/>
      <w:r>
        <w:rPr>
          <w:rFonts w:hint="eastAsia" w:ascii="Times New Roman" w:hAnsi="Times New Roman" w:eastAsia="宋体" w:cs="Times New Roman"/>
          <w:b/>
          <w:bCs/>
          <w:sz w:val="28"/>
          <w:szCs w:val="28"/>
          <w:lang w:val="en-US" w:eastAsia="zh-CN"/>
        </w:rPr>
        <w:t xml:space="preserve">3.2.2 </w:t>
      </w:r>
      <w:r>
        <w:rPr>
          <w:rFonts w:hint="default" w:ascii="Times New Roman" w:hAnsi="Times New Roman" w:eastAsia="宋体" w:cs="Times New Roman"/>
          <w:b/>
          <w:bCs/>
          <w:sz w:val="28"/>
          <w:szCs w:val="28"/>
          <w:lang w:val="en-US" w:eastAsia="zh-CN"/>
        </w:rPr>
        <w:t>区域监测的点位设置</w:t>
      </w:r>
      <w:bookmarkEnd w:id="92"/>
      <w:bookmarkEnd w:id="93"/>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按照《声环境质量标准》（GB3096－2008）附录B中声环境功能区普查监测方法，将整个城市建成区划分成1</w:t>
      </w:r>
      <w:r>
        <w:rPr>
          <w:rFonts w:hint="eastAsia" w:ascii="Times New Roman" w:hAnsi="Times New Roman" w:eastAsia="新宋体" w:cs="Times New Roman"/>
          <w:sz w:val="28"/>
          <w:szCs w:val="28"/>
          <w:highlight w:val="none"/>
          <w:shd w:val="clear"/>
          <w:lang w:val="en-US" w:eastAsia="zh-CN"/>
        </w:rPr>
        <w:t>35</w:t>
      </w:r>
      <w:r>
        <w:rPr>
          <w:rFonts w:hint="default" w:ascii="Times New Roman" w:hAnsi="Times New Roman" w:eastAsia="新宋体" w:cs="Times New Roman"/>
          <w:sz w:val="28"/>
          <w:szCs w:val="28"/>
          <w:highlight w:val="none"/>
          <w:shd w:val="clear"/>
          <w:lang w:val="en-US" w:eastAsia="zh-CN"/>
        </w:rPr>
        <w:t>个等大的正方形网格（</w:t>
      </w: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00m×</w:t>
      </w: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00m）</w:t>
      </w:r>
      <w:r>
        <w:rPr>
          <w:rFonts w:hint="eastAsia" w:ascii="Times New Roman" w:hAnsi="Times New Roman" w:eastAsia="新宋体" w:cs="Times New Roman"/>
          <w:sz w:val="28"/>
          <w:szCs w:val="28"/>
          <w:highlight w:val="none"/>
          <w:shd w:val="clear"/>
          <w:lang w:val="en-US" w:eastAsia="zh-CN"/>
        </w:rPr>
        <w:t>，环境噪声普查覆盖面积为5.4平方公里，覆盖人口约4.98万人。</w:t>
      </w:r>
      <w:r>
        <w:rPr>
          <w:rFonts w:hint="default" w:ascii="Times New Roman" w:hAnsi="Times New Roman" w:eastAsia="新宋体" w:cs="Times New Roman"/>
          <w:sz w:val="28"/>
          <w:szCs w:val="28"/>
          <w:highlight w:val="none"/>
          <w:shd w:val="clear"/>
          <w:lang w:val="en-US" w:eastAsia="zh-CN"/>
        </w:rPr>
        <w:t>对于未连成片的建成区，正方形网格可以不衔接。网格中水面面积为100%或非建成区面积大于50%的网格为无效网格。整个城市建成区有效网格总数应多于100个。在每一个网格的中心布设1个监测点位。若网格中心点不宜测量（如水面、禁区等），应将监测点位移动到距离中心点最近的可测量位置进行测量。测点位置要符合《声环境质量标准》（GB 3096－2008）中测点选择一般户外的要求</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监测点位高度距地面为1.2-4.0m</w:t>
      </w:r>
      <w:r>
        <w:rPr>
          <w:rFonts w:hint="eastAsia" w:ascii="Times New Roman" w:hAnsi="Times New Roman" w:eastAsia="新宋体" w:cs="Times New Roman"/>
          <w:sz w:val="28"/>
          <w:szCs w:val="28"/>
          <w:highlight w:val="none"/>
          <w:shd w:val="clear"/>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default" w:ascii="Times New Roman" w:hAnsi="Times New Roman" w:cs="Times New Roman" w:eastAsiaTheme="minorEastAsia"/>
          <w:b w:val="0"/>
          <w:bCs w:val="0"/>
          <w:color w:val="auto"/>
          <w:sz w:val="28"/>
          <w:szCs w:val="28"/>
        </w:rPr>
        <w:t>城市区域声环境质量总体水平按《环境噪声检测技术规范</w:t>
      </w:r>
      <w:r>
        <w:rPr>
          <w:rFonts w:hint="eastAsia" w:ascii="Times New Roman" w:hAnsi="Times New Roman" w:cs="Times New Roman"/>
          <w:b w:val="0"/>
          <w:bCs w:val="0"/>
          <w:color w:val="auto"/>
          <w:sz w:val="28"/>
          <w:szCs w:val="28"/>
          <w:lang w:val="en-US" w:eastAsia="zh-CN"/>
        </w:rPr>
        <w:t xml:space="preserve"> </w:t>
      </w:r>
      <w:r>
        <w:rPr>
          <w:rFonts w:hint="default" w:ascii="Times New Roman" w:hAnsi="Times New Roman" w:cs="Times New Roman" w:eastAsiaTheme="minorEastAsia"/>
          <w:b w:val="0"/>
          <w:bCs w:val="0"/>
          <w:color w:val="auto"/>
          <w:sz w:val="28"/>
          <w:szCs w:val="28"/>
        </w:rPr>
        <w:t>城市声环境常规监测》HJ640-2012（2012年12月03日发布）表1进行评价，并根据每个网格中心的噪声值及对应的网格面积，统计不同噪声影响水平下的面积百分比，以及昼间和夜间的达标面积比例，并估算受影响的人口。</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94" w:name="_Toc25159"/>
      <w:bookmarkStart w:id="95" w:name="_Toc28938"/>
      <w:r>
        <w:rPr>
          <w:rFonts w:hint="eastAsia" w:ascii="Times New Roman" w:hAnsi="Times New Roman" w:eastAsia="宋体" w:cs="Times New Roman"/>
          <w:b/>
          <w:bCs/>
          <w:sz w:val="28"/>
          <w:szCs w:val="28"/>
          <w:lang w:val="en-US" w:eastAsia="zh-CN"/>
        </w:rPr>
        <w:t xml:space="preserve">3.2.3 </w:t>
      </w:r>
      <w:r>
        <w:rPr>
          <w:rFonts w:hint="default" w:ascii="Times New Roman" w:hAnsi="Times New Roman" w:eastAsia="宋体" w:cs="Times New Roman"/>
          <w:b/>
          <w:bCs/>
          <w:sz w:val="28"/>
          <w:szCs w:val="28"/>
          <w:lang w:val="en-US" w:eastAsia="zh-CN"/>
        </w:rPr>
        <w:t>区域监测的频次、时间与测量值</w:t>
      </w:r>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 xml:space="preserve">昼间监测每年1次，监测在昼间正常工作时段内测量，测量时段应覆盖整个正常工作时段。夜间监测每五年1次，在每个五年规划的第三年监测，监测从夜间起始时间开始，测量时段应覆盖整个夜间时段。监测工作应安排在每年的春季或秋季，每个城市监测时间应固定，监测应避开节假日和非正常工作日。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每个监测点位测量10min 的等效连续A声级 L</w:t>
      </w:r>
      <w:r>
        <w:rPr>
          <w:rFonts w:hint="default" w:ascii="Times New Roman" w:hAnsi="Times New Roman" w:eastAsia="新宋体" w:cs="Times New Roman"/>
          <w:sz w:val="32"/>
          <w:szCs w:val="32"/>
          <w:highlight w:val="none"/>
          <w:shd w:val="clear"/>
          <w:vertAlign w:val="subscript"/>
          <w:lang w:val="en-US" w:eastAsia="zh-CN"/>
        </w:rPr>
        <w:t>eq</w:t>
      </w:r>
      <w:r>
        <w:rPr>
          <w:rFonts w:hint="default" w:ascii="Times New Roman" w:hAnsi="Times New Roman" w:eastAsia="新宋体" w:cs="Times New Roman"/>
          <w:sz w:val="28"/>
          <w:szCs w:val="28"/>
          <w:highlight w:val="none"/>
          <w:shd w:val="clear"/>
          <w:lang w:val="en-US" w:eastAsia="zh-CN"/>
        </w:rPr>
        <w:t>（简称：等效声级），累积百分声级L</w:t>
      </w:r>
      <w:r>
        <w:rPr>
          <w:rFonts w:hint="default" w:ascii="Times New Roman" w:hAnsi="Times New Roman" w:eastAsia="新宋体" w:cs="Times New Roman"/>
          <w:sz w:val="28"/>
          <w:szCs w:val="28"/>
          <w:highlight w:val="none"/>
          <w:shd w:val="clear"/>
          <w:vertAlign w:val="subscript"/>
          <w:lang w:val="en-US" w:eastAsia="zh-CN"/>
        </w:rPr>
        <w:t>10</w:t>
      </w:r>
      <w:r>
        <w:rPr>
          <w:rFonts w:hint="default" w:ascii="Times New Roman" w:hAnsi="Times New Roman" w:eastAsia="新宋体" w:cs="Times New Roman"/>
          <w:sz w:val="28"/>
          <w:szCs w:val="28"/>
          <w:highlight w:val="none"/>
          <w:shd w:val="clear"/>
          <w:lang w:val="en-US" w:eastAsia="zh-CN"/>
        </w:rPr>
        <w:t>、L</w:t>
      </w:r>
      <w:r>
        <w:rPr>
          <w:rFonts w:hint="default" w:ascii="Times New Roman" w:hAnsi="Times New Roman" w:eastAsia="新宋体" w:cs="Times New Roman"/>
          <w:sz w:val="28"/>
          <w:szCs w:val="28"/>
          <w:highlight w:val="none"/>
          <w:shd w:val="clear"/>
          <w:vertAlign w:val="subscript"/>
          <w:lang w:val="en-US" w:eastAsia="zh-CN"/>
        </w:rPr>
        <w:t>50</w:t>
      </w:r>
      <w:r>
        <w:rPr>
          <w:rFonts w:hint="default" w:ascii="Times New Roman" w:hAnsi="Times New Roman" w:eastAsia="新宋体" w:cs="Times New Roman"/>
          <w:sz w:val="28"/>
          <w:szCs w:val="28"/>
          <w:highlight w:val="none"/>
          <w:shd w:val="clear"/>
          <w:lang w:val="en-US" w:eastAsia="zh-CN"/>
        </w:rPr>
        <w:t>、L</w:t>
      </w:r>
      <w:r>
        <w:rPr>
          <w:rFonts w:hint="default" w:ascii="Times New Roman" w:hAnsi="Times New Roman" w:eastAsia="新宋体" w:cs="Times New Roman"/>
          <w:sz w:val="28"/>
          <w:szCs w:val="28"/>
          <w:highlight w:val="none"/>
          <w:shd w:val="clear"/>
          <w:vertAlign w:val="subscript"/>
          <w:lang w:val="en-US" w:eastAsia="zh-CN"/>
        </w:rPr>
        <w:t>90</w:t>
      </w:r>
      <w:r>
        <w:rPr>
          <w:rFonts w:hint="default" w:ascii="Times New Roman" w:hAnsi="Times New Roman" w:eastAsia="新宋体" w:cs="Times New Roman"/>
          <w:sz w:val="28"/>
          <w:szCs w:val="28"/>
          <w:highlight w:val="none"/>
          <w:shd w:val="clear"/>
          <w:lang w:val="en-US" w:eastAsia="zh-CN"/>
        </w:rPr>
        <w:t>、L</w:t>
      </w:r>
      <w:r>
        <w:rPr>
          <w:rFonts w:hint="default" w:ascii="Times New Roman" w:hAnsi="Times New Roman" w:eastAsia="新宋体" w:cs="Times New Roman"/>
          <w:sz w:val="28"/>
          <w:szCs w:val="28"/>
          <w:highlight w:val="none"/>
          <w:shd w:val="clear"/>
          <w:vertAlign w:val="subscript"/>
          <w:lang w:val="en-US" w:eastAsia="zh-CN"/>
        </w:rPr>
        <w:t>max</w:t>
      </w:r>
      <w:r>
        <w:rPr>
          <w:rFonts w:hint="default" w:ascii="Times New Roman" w:hAnsi="Times New Roman" w:eastAsia="新宋体" w:cs="Times New Roman"/>
          <w:sz w:val="28"/>
          <w:szCs w:val="28"/>
          <w:highlight w:val="none"/>
          <w:shd w:val="clear"/>
          <w:lang w:val="en-US" w:eastAsia="zh-CN"/>
        </w:rPr>
        <w:t>、L</w:t>
      </w:r>
      <w:r>
        <w:rPr>
          <w:rFonts w:hint="default" w:ascii="Times New Roman" w:hAnsi="Times New Roman" w:eastAsia="新宋体" w:cs="Times New Roman"/>
          <w:sz w:val="28"/>
          <w:szCs w:val="28"/>
          <w:highlight w:val="none"/>
          <w:shd w:val="clear"/>
          <w:vertAlign w:val="subscript"/>
          <w:lang w:val="en-US" w:eastAsia="zh-CN"/>
        </w:rPr>
        <w:t>min</w:t>
      </w:r>
      <w:r>
        <w:rPr>
          <w:rFonts w:hint="default" w:ascii="Times New Roman" w:hAnsi="Times New Roman" w:eastAsia="新宋体" w:cs="Times New Roman"/>
          <w:sz w:val="28"/>
          <w:szCs w:val="28"/>
          <w:highlight w:val="none"/>
          <w:shd w:val="clear"/>
          <w:lang w:val="en-US" w:eastAsia="zh-CN"/>
        </w:rPr>
        <w:t xml:space="preserve">和标准偏差（SD）。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96" w:name="_Toc12542"/>
      <w:bookmarkStart w:id="97" w:name="_Toc1865"/>
      <w:r>
        <w:rPr>
          <w:rFonts w:hint="eastAsia" w:ascii="Times New Roman" w:hAnsi="Times New Roman" w:eastAsia="宋体" w:cs="Times New Roman"/>
          <w:b/>
          <w:bCs/>
          <w:sz w:val="28"/>
          <w:szCs w:val="28"/>
          <w:lang w:val="en-US" w:eastAsia="zh-CN"/>
        </w:rPr>
        <w:t xml:space="preserve">3.2.4 </w:t>
      </w:r>
      <w:r>
        <w:rPr>
          <w:rFonts w:hint="default" w:ascii="Times New Roman" w:hAnsi="Times New Roman" w:eastAsia="宋体" w:cs="Times New Roman"/>
          <w:b/>
          <w:bCs/>
          <w:sz w:val="28"/>
          <w:szCs w:val="28"/>
          <w:lang w:val="en-US" w:eastAsia="zh-CN"/>
        </w:rPr>
        <w:t>区域监测的结果与评价</w:t>
      </w:r>
      <w:bookmarkEnd w:id="96"/>
      <w:bookmarkEnd w:id="97"/>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将整个城市所有网格测点测得的等效声级分昼间和夜间，按式（1）进行算术平均运算，所得到的昼间平均值L</w:t>
      </w:r>
      <w:r>
        <w:rPr>
          <w:rFonts w:hint="default" w:ascii="Times New Roman" w:hAnsi="Times New Roman" w:eastAsia="新宋体" w:cs="Times New Roman"/>
          <w:sz w:val="28"/>
          <w:szCs w:val="28"/>
          <w:highlight w:val="none"/>
          <w:shd w:val="clear"/>
          <w:vertAlign w:val="subscript"/>
          <w:lang w:val="en-US" w:eastAsia="zh-CN"/>
        </w:rPr>
        <w:t>d</w:t>
      </w:r>
      <w:r>
        <w:rPr>
          <w:rFonts w:hint="default" w:ascii="Times New Roman" w:hAnsi="Times New Roman" w:eastAsia="新宋体" w:cs="Times New Roman"/>
          <w:sz w:val="28"/>
          <w:szCs w:val="28"/>
          <w:highlight w:val="none"/>
          <w:shd w:val="clear"/>
          <w:lang w:val="en-US" w:eastAsia="zh-CN"/>
        </w:rPr>
        <w:t>和夜间平均值L</w:t>
      </w:r>
      <w:r>
        <w:rPr>
          <w:rFonts w:hint="default" w:ascii="Times New Roman" w:hAnsi="Times New Roman" w:eastAsia="新宋体" w:cs="Times New Roman"/>
          <w:sz w:val="28"/>
          <w:szCs w:val="28"/>
          <w:highlight w:val="none"/>
          <w:shd w:val="clear"/>
          <w:vertAlign w:val="subscript"/>
          <w:lang w:val="en-US" w:eastAsia="zh-CN"/>
        </w:rPr>
        <w:t>n</w:t>
      </w:r>
      <w:r>
        <w:rPr>
          <w:rFonts w:hint="default" w:ascii="Times New Roman" w:hAnsi="Times New Roman" w:eastAsia="新宋体" w:cs="Times New Roman"/>
          <w:sz w:val="28"/>
          <w:szCs w:val="28"/>
          <w:highlight w:val="none"/>
          <w:shd w:val="clear"/>
          <w:lang w:val="en-US" w:eastAsia="zh-CN"/>
        </w:rPr>
        <w:t xml:space="preserve">代表该城市昼间和夜间的环境噪声总体水平。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center"/>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28"/>
          <w:sz w:val="28"/>
          <w:szCs w:val="28"/>
          <w:highlight w:val="none"/>
          <w:shd w:val="clear"/>
          <w:lang w:val="en-US" w:eastAsia="zh-CN"/>
        </w:rPr>
        <w:object>
          <v:shape id="_x0000_i1025" o:spt="75" type="#_x0000_t75" style="height:34pt;width:63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default" w:ascii="Times New Roman" w:hAnsi="Times New Roman" w:eastAsia="新宋体" w:cs="Times New Roman"/>
          <w:sz w:val="28"/>
          <w:szCs w:val="28"/>
          <w:highlight w:val="none"/>
          <w:shd w:val="clear"/>
          <w:lang w:val="en-US" w:eastAsia="zh-CN"/>
        </w:rPr>
        <w:t xml:space="preserve"> …………………………… （1）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Times New Roman" w:hAnsi="Times New Roman" w:eastAsia="新宋体" w:cs="Times New Roman"/>
          <w:sz w:val="24"/>
          <w:szCs w:val="24"/>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式中：</w:t>
      </w:r>
      <w:r>
        <w:rPr>
          <w:rFonts w:hint="default" w:ascii="Times New Roman" w:hAnsi="Times New Roman" w:eastAsia="新宋体" w:cs="Times New Roman"/>
          <w:position w:val="-4"/>
          <w:sz w:val="28"/>
          <w:szCs w:val="28"/>
          <w:highlight w:val="none"/>
          <w:shd w:val="clear"/>
          <w:lang w:val="en-US" w:eastAsia="zh-CN"/>
        </w:rPr>
        <w:object>
          <v:shape id="_x0000_i1026" o:spt="75" type="#_x0000_t75" style="height:16pt;width:11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rPr>
          <w:rFonts w:hint="default" w:ascii="Times New Roman" w:hAnsi="Times New Roman" w:eastAsia="新宋体" w:cs="Times New Roman"/>
          <w:sz w:val="28"/>
          <w:szCs w:val="28"/>
          <w:highlight w:val="none"/>
          <w:shd w:val="clear"/>
          <w:lang w:val="en-US" w:eastAsia="zh-CN"/>
        </w:rPr>
        <w:t>— 表示</w:t>
      </w:r>
      <w:r>
        <w:rPr>
          <w:rFonts w:hint="default" w:ascii="Times New Roman" w:hAnsi="Times New Roman" w:eastAsia="新宋体" w:cs="Times New Roman"/>
          <w:position w:val="-6"/>
          <w:sz w:val="28"/>
          <w:szCs w:val="28"/>
          <w:highlight w:val="none"/>
          <w:shd w:val="clear"/>
          <w:lang w:val="en-US" w:eastAsia="zh-CN"/>
        </w:rPr>
        <w:object>
          <v:shape id="_x0000_i1027" o:spt="75" type="#_x0000_t75" style="height:17pt;width:15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r>
        <w:rPr>
          <w:rFonts w:hint="default" w:ascii="Times New Roman" w:hAnsi="Times New Roman" w:eastAsia="新宋体" w:cs="Times New Roman"/>
          <w:sz w:val="28"/>
          <w:szCs w:val="28"/>
          <w:highlight w:val="none"/>
          <w:shd w:val="clear"/>
          <w:lang w:val="en-US" w:eastAsia="zh-CN"/>
        </w:rPr>
        <w:t xml:space="preserve">(或 </w:t>
      </w:r>
      <w:r>
        <w:rPr>
          <w:rFonts w:hint="default" w:ascii="Times New Roman" w:hAnsi="Times New Roman" w:eastAsia="新宋体" w:cs="Times New Roman"/>
          <w:position w:val="-6"/>
          <w:sz w:val="28"/>
          <w:szCs w:val="28"/>
          <w:highlight w:val="none"/>
          <w:shd w:val="clear"/>
          <w:lang w:val="en-US" w:eastAsia="zh-CN"/>
        </w:rPr>
        <w:object>
          <v:shape id="_x0000_i1028" o:spt="75" type="#_x0000_t75" style="height:17pt;width:15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default" w:ascii="Times New Roman" w:hAnsi="Times New Roman" w:eastAsia="新宋体" w:cs="Times New Roman"/>
          <w:sz w:val="28"/>
          <w:szCs w:val="28"/>
          <w:highlight w:val="none"/>
          <w:shd w:val="clear"/>
          <w:lang w:val="en-US" w:eastAsia="zh-CN"/>
        </w:rPr>
        <w:t xml:space="preserve"> )，dB（A）； </w:t>
      </w:r>
      <w:r>
        <w:rPr>
          <w:rFonts w:hint="default" w:ascii="Times New Roman" w:hAnsi="Times New Roman" w:eastAsia="新宋体" w:cs="Times New Roman"/>
          <w:i/>
          <w:iCs/>
          <w:position w:val="-6"/>
          <w:sz w:val="28"/>
          <w:szCs w:val="28"/>
          <w:highlight w:val="none"/>
          <w:shd w:val="clear"/>
          <w:lang w:val="en-US" w:eastAsia="zh-CN"/>
        </w:rPr>
        <w:object>
          <v:shape id="_x0000_i1029" o:spt="75" type="#_x0000_t75" style="height:11pt;width:10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r>
        <w:rPr>
          <w:rFonts w:hint="default" w:ascii="Times New Roman" w:hAnsi="Times New Roman" w:eastAsia="新宋体" w:cs="Times New Roman"/>
          <w:i/>
          <w:iCs/>
          <w:sz w:val="28"/>
          <w:szCs w:val="28"/>
          <w:highlight w:val="none"/>
          <w:shd w:val="clear"/>
          <w:lang w:val="en-US" w:eastAsia="zh-CN"/>
        </w:rPr>
        <w:t xml:space="preserve"> </w:t>
      </w:r>
      <w:r>
        <w:rPr>
          <w:rFonts w:hint="default" w:ascii="Times New Roman" w:hAnsi="Times New Roman" w:eastAsia="新宋体" w:cs="Times New Roman"/>
          <w:sz w:val="28"/>
          <w:szCs w:val="28"/>
          <w:highlight w:val="none"/>
          <w:shd w:val="clear"/>
          <w:lang w:val="en-US" w:eastAsia="zh-CN"/>
        </w:rPr>
        <w:t>— 有效网格总数。</w:t>
      </w:r>
      <w:r>
        <w:rPr>
          <w:rFonts w:hint="default" w:ascii="Times New Roman" w:hAnsi="Times New Roman" w:eastAsia="新宋体" w:cs="Times New Roman"/>
          <w:sz w:val="24"/>
          <w:szCs w:val="24"/>
          <w:highlight w:val="none"/>
          <w:shd w:val="clear"/>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840" w:firstLineChars="3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8"/>
          <w:sz w:val="28"/>
          <w:szCs w:val="28"/>
          <w:highlight w:val="none"/>
          <w:shd w:val="clear"/>
          <w:lang w:val="en-US" w:eastAsia="zh-CN"/>
        </w:rPr>
        <w:object>
          <v:shape id="_x0000_i1030" o:spt="75" type="#_x0000_t75" style="height:15pt;width:20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default" w:ascii="Times New Roman" w:hAnsi="Times New Roman" w:eastAsia="新宋体" w:cs="Times New Roman"/>
          <w:sz w:val="28"/>
          <w:szCs w:val="28"/>
          <w:highlight w:val="none"/>
          <w:shd w:val="clear"/>
          <w:lang w:val="en-US" w:eastAsia="zh-CN"/>
        </w:rPr>
        <w:t>—— 第</w:t>
      </w:r>
      <w:r>
        <w:rPr>
          <w:rFonts w:hint="default" w:ascii="Times New Roman" w:hAnsi="Times New Roman" w:eastAsia="新宋体" w:cs="Times New Roman"/>
          <w:i/>
          <w:iCs/>
          <w:sz w:val="28"/>
          <w:szCs w:val="28"/>
          <w:highlight w:val="none"/>
          <w:shd w:val="clear"/>
          <w:lang w:val="en-US" w:eastAsia="zh-CN"/>
        </w:rPr>
        <w:t>i</w:t>
      </w:r>
      <w:r>
        <w:rPr>
          <w:rFonts w:hint="default" w:ascii="Times New Roman" w:hAnsi="Times New Roman" w:eastAsia="新宋体" w:cs="Times New Roman"/>
          <w:sz w:val="28"/>
          <w:szCs w:val="28"/>
          <w:highlight w:val="none"/>
          <w:shd w:val="clear"/>
          <w:lang w:val="en-US" w:eastAsia="zh-CN"/>
        </w:rPr>
        <w:t xml:space="preserve">个网格测得的等效声级，dB（A）；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 xml:space="preserve">城市区域声环境质量等级“一级”至“五级”可分别对应评价为“好”、“较好”、 “一般”、“较差”和“差”。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表3.2-1  城市区域声环境质量总体水平等级划分 </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4"/>
        <w:gridCol w:w="978"/>
        <w:gridCol w:w="1290"/>
        <w:gridCol w:w="1289"/>
        <w:gridCol w:w="1291"/>
        <w:gridCol w:w="1398"/>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5" w:hRule="exact"/>
          <w:jc w:val="center"/>
        </w:trPr>
        <w:tc>
          <w:tcPr>
            <w:tcW w:w="66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等级</w:t>
            </w:r>
          </w:p>
        </w:tc>
        <w:tc>
          <w:tcPr>
            <w:tcW w:w="9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一级</w:t>
            </w:r>
          </w:p>
        </w:tc>
        <w:tc>
          <w:tcPr>
            <w:tcW w:w="12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二级</w:t>
            </w:r>
          </w:p>
        </w:tc>
        <w:tc>
          <w:tcPr>
            <w:tcW w:w="128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三级</w:t>
            </w:r>
          </w:p>
        </w:tc>
        <w:tc>
          <w:tcPr>
            <w:tcW w:w="12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四级</w:t>
            </w:r>
          </w:p>
        </w:tc>
        <w:tc>
          <w:tcPr>
            <w:tcW w:w="139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五级</w:t>
            </w:r>
          </w:p>
        </w:tc>
        <w:tc>
          <w:tcPr>
            <w:tcW w:w="1027"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sz w:val="24"/>
                <w:szCs w:val="24"/>
                <w:highlight w:val="none"/>
                <w:shd w:val="clear"/>
                <w:lang w:val="en-US" w:eastAsia="zh-CN"/>
              </w:rPr>
            </w:pPr>
            <w:r>
              <w:rPr>
                <w:rFonts w:hint="default" w:ascii="Times New Roman" w:hAnsi="Times New Roman" w:eastAsia="新宋体" w:cs="Times New Roman"/>
                <w:sz w:val="24"/>
                <w:szCs w:val="24"/>
                <w:highlight w:val="none"/>
                <w:shd w:val="clear"/>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sz w:val="24"/>
                <w:szCs w:val="24"/>
                <w:highlight w:val="none"/>
                <w:shd w:val="clear"/>
                <w:lang w:val="en-US" w:eastAsia="zh-CN"/>
              </w:rPr>
            </w:pPr>
            <w:r>
              <w:rPr>
                <w:rFonts w:hint="default" w:ascii="Times New Roman" w:hAnsi="Times New Roman" w:eastAsia="新宋体" w:cs="Times New Roman"/>
                <w:sz w:val="24"/>
                <w:szCs w:val="24"/>
                <w:highlight w:val="none"/>
                <w:shd w:val="clear"/>
                <w:lang w:val="en-US" w:eastAsia="zh-CN"/>
              </w:rPr>
              <w:t>dB（A）</w:t>
            </w:r>
          </w:p>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exact"/>
          <w:jc w:val="center"/>
        </w:trPr>
        <w:tc>
          <w:tcPr>
            <w:tcW w:w="66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昼间</w:t>
            </w:r>
          </w:p>
        </w:tc>
        <w:tc>
          <w:tcPr>
            <w:tcW w:w="9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≤50.0</w:t>
            </w:r>
          </w:p>
        </w:tc>
        <w:tc>
          <w:tcPr>
            <w:tcW w:w="12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50.1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55</w:t>
            </w:r>
          </w:p>
        </w:tc>
        <w:tc>
          <w:tcPr>
            <w:tcW w:w="128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55.1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60</w:t>
            </w:r>
          </w:p>
        </w:tc>
        <w:tc>
          <w:tcPr>
            <w:tcW w:w="12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60.1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65</w:t>
            </w:r>
          </w:p>
        </w:tc>
        <w:tc>
          <w:tcPr>
            <w:tcW w:w="139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≥65</w:t>
            </w:r>
          </w:p>
        </w:tc>
        <w:tc>
          <w:tcPr>
            <w:tcW w:w="1027" w:type="dxa"/>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exact"/>
          <w:jc w:val="center"/>
        </w:trPr>
        <w:tc>
          <w:tcPr>
            <w:tcW w:w="66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夜间</w:t>
            </w:r>
          </w:p>
        </w:tc>
        <w:tc>
          <w:tcPr>
            <w:tcW w:w="97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≤40.0</w:t>
            </w:r>
          </w:p>
        </w:tc>
        <w:tc>
          <w:tcPr>
            <w:tcW w:w="12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40.1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45</w:t>
            </w:r>
          </w:p>
        </w:tc>
        <w:tc>
          <w:tcPr>
            <w:tcW w:w="128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lang w:val="en-US"/>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45.1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50</w:t>
            </w:r>
          </w:p>
        </w:tc>
        <w:tc>
          <w:tcPr>
            <w:tcW w:w="129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50.1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lang w:val="en-US" w:eastAsia="zh-CN" w:bidi="ar"/>
              </w:rPr>
              <w:t>55</w:t>
            </w:r>
          </w:p>
        </w:tc>
        <w:tc>
          <w:tcPr>
            <w:tcW w:w="139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sz w:val="24"/>
                <w:szCs w:val="24"/>
                <w:highlight w:val="none"/>
                <w:u w:val="none"/>
              </w:rPr>
            </w:pPr>
            <w:r>
              <w:rPr>
                <w:rFonts w:hint="default" w:ascii="Times New Roman" w:hAnsi="Times New Roman" w:eastAsia="新宋体" w:cs="Times New Roman"/>
                <w:b w:val="0"/>
                <w:bCs w:val="0"/>
                <w:i w:val="0"/>
                <w:color w:val="000000"/>
                <w:kern w:val="0"/>
                <w:sz w:val="24"/>
                <w:szCs w:val="24"/>
                <w:highlight w:val="none"/>
                <w:u w:val="none"/>
                <w:lang w:val="en-US" w:eastAsia="zh-CN" w:bidi="ar"/>
              </w:rPr>
              <w:t>≥55</w:t>
            </w:r>
          </w:p>
        </w:tc>
        <w:tc>
          <w:tcPr>
            <w:tcW w:w="1027" w:type="dxa"/>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imes New Roman" w:hAnsi="Times New Roman" w:eastAsia="新宋体" w:cs="Times New Roman"/>
                <w:b w:val="0"/>
                <w:bCs w:val="0"/>
                <w:i w:val="0"/>
                <w:color w:val="000000"/>
                <w:kern w:val="0"/>
                <w:sz w:val="24"/>
                <w:szCs w:val="24"/>
                <w:highlight w:val="none"/>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98" w:name="_Toc31823"/>
      <w:bookmarkStart w:id="99" w:name="_Toc29663"/>
      <w:r>
        <w:rPr>
          <w:rFonts w:hint="eastAsia" w:ascii="Times New Roman" w:hAnsi="Times New Roman" w:eastAsia="宋体" w:cs="Times New Roman"/>
          <w:b/>
          <w:bCs/>
          <w:sz w:val="28"/>
          <w:szCs w:val="28"/>
          <w:lang w:val="en-US" w:eastAsia="zh-CN"/>
        </w:rPr>
        <w:t xml:space="preserve">3.2.5 </w:t>
      </w:r>
      <w:r>
        <w:rPr>
          <w:rFonts w:hint="default" w:ascii="Times New Roman" w:hAnsi="Times New Roman" w:eastAsia="宋体" w:cs="Times New Roman"/>
          <w:b/>
          <w:bCs/>
          <w:sz w:val="28"/>
          <w:szCs w:val="28"/>
          <w:lang w:val="en-US" w:eastAsia="zh-CN"/>
        </w:rPr>
        <w:t>建成区网格监测</w:t>
      </w:r>
      <w:bookmarkEnd w:id="98"/>
      <w:bookmarkEnd w:id="99"/>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例行监测网格划分</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区域例行监测点位设置按照《环境噪声监测技术规范城市声环境常规监测（HJ640-2012）》要求划分。</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例行监测网格权限</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监测点位，不得存在“三不管”地带。若单一网格涉及两个及以上地区，则此网格应归属于所占面积居多的</w:t>
      </w:r>
      <w:r>
        <w:rPr>
          <w:rFonts w:hint="eastAsia" w:ascii="Times New Roman" w:hAnsi="Times New Roman" w:eastAsia="新宋体" w:cs="Times New Roman"/>
          <w:sz w:val="28"/>
          <w:szCs w:val="28"/>
          <w:highlight w:val="none"/>
          <w:shd w:val="clear"/>
          <w:lang w:val="en-US" w:eastAsia="zh-CN"/>
        </w:rPr>
        <w:t>县区</w:t>
      </w:r>
      <w:r>
        <w:rPr>
          <w:rFonts w:hint="default" w:ascii="Times New Roman" w:hAnsi="Times New Roman" w:eastAsia="新宋体" w:cs="Times New Roman"/>
          <w:sz w:val="28"/>
          <w:szCs w:val="28"/>
          <w:highlight w:val="none"/>
          <w:shd w:val="clear"/>
          <w:lang w:val="en-US" w:eastAsia="zh-CN"/>
        </w:rPr>
        <w:t>管理并设置例行监测点位。</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监测点位编码</w:t>
      </w:r>
      <w:r>
        <w:rPr>
          <w:rFonts w:hint="eastAsia" w:ascii="Times New Roman" w:hAnsi="Times New Roman" w:eastAsia="新宋体" w:cs="Times New Roman"/>
          <w:sz w:val="28"/>
          <w:szCs w:val="28"/>
          <w:highlight w:val="none"/>
          <w:shd w:val="clear"/>
          <w:lang w:val="en-US" w:eastAsia="zh-CN"/>
        </w:rPr>
        <w:t>：</w:t>
      </w:r>
      <w:r>
        <w:rPr>
          <w:rFonts w:hint="default" w:ascii="Times New Roman" w:hAnsi="Times New Roman" w:eastAsia="新宋体" w:cs="Times New Roman"/>
          <w:sz w:val="28"/>
          <w:szCs w:val="28"/>
          <w:highlight w:val="none"/>
          <w:shd w:val="clear"/>
          <w:lang w:val="en-US" w:eastAsia="zh-CN"/>
        </w:rPr>
        <w:t>各县区监测点位编码以《环境噪声监测点位编码规则》（HJ661-2013）为依据，点位编码</w:t>
      </w:r>
      <w:r>
        <w:rPr>
          <w:rFonts w:hint="eastAsia" w:ascii="Times New Roman" w:hAnsi="Times New Roman" w:eastAsia="新宋体" w:cs="Times New Roman"/>
          <w:sz w:val="28"/>
          <w:szCs w:val="28"/>
          <w:highlight w:val="none"/>
          <w:shd w:val="clear"/>
          <w:lang w:val="en-US" w:eastAsia="zh-CN"/>
        </w:rPr>
        <w:t>由</w:t>
      </w:r>
      <w:r>
        <w:rPr>
          <w:rFonts w:hint="default" w:ascii="Times New Roman" w:hAnsi="Times New Roman" w:eastAsia="新宋体" w:cs="Times New Roman"/>
          <w:sz w:val="28"/>
          <w:szCs w:val="28"/>
          <w:highlight w:val="none"/>
          <w:shd w:val="clear"/>
          <w:lang w:val="en-US" w:eastAsia="zh-CN"/>
        </w:rPr>
        <w:t>三部分组成，分别为行政区划代码、监测点位类别码、监测点位类别顺序代码。</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3.2.6 2018年区域监测数据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Times New Roman" w:hAnsi="Times New Roman" w:eastAsia="宋体" w:cs="Times New Roman"/>
          <w:sz w:val="28"/>
          <w:szCs w:val="28"/>
          <w:highlight w:val="none"/>
          <w:shd w:val="clear"/>
          <w:lang w:val="en-US" w:eastAsia="zh-CN"/>
        </w:rPr>
      </w:pPr>
      <w:r>
        <w:rPr>
          <w:rFonts w:hint="default" w:ascii="Times New Roman" w:hAnsi="Times New Roman" w:eastAsia="宋体" w:cs="Times New Roman"/>
          <w:sz w:val="28"/>
          <w:szCs w:val="28"/>
          <w:highlight w:val="none"/>
          <w:shd w:val="clear"/>
          <w:lang w:val="en-US" w:eastAsia="zh-CN"/>
        </w:rPr>
        <w:t>2018年区域监测结果</w:t>
      </w:r>
      <w:r>
        <w:rPr>
          <w:rFonts w:hint="eastAsia" w:ascii="Times New Roman" w:hAnsi="Times New Roman" w:eastAsia="宋体" w:cs="Times New Roman"/>
          <w:sz w:val="28"/>
          <w:szCs w:val="28"/>
          <w:highlight w:val="none"/>
          <w:shd w:val="clear"/>
          <w:lang w:val="en-US" w:eastAsia="zh-CN"/>
        </w:rPr>
        <w:t>（附表9.1）</w:t>
      </w:r>
      <w:r>
        <w:rPr>
          <w:rFonts w:hint="default" w:ascii="Times New Roman" w:hAnsi="Times New Roman" w:eastAsia="宋体" w:cs="Times New Roman"/>
          <w:sz w:val="28"/>
          <w:szCs w:val="28"/>
          <w:highlight w:val="none"/>
          <w:shd w:val="clear"/>
          <w:lang w:val="en-US" w:eastAsia="zh-CN"/>
        </w:rPr>
        <w:t>表明，寻甸县县城昼间区域监测噪声等效声级L</w:t>
      </w:r>
      <w:r>
        <w:rPr>
          <w:rFonts w:hint="default" w:ascii="Times New Roman" w:hAnsi="Times New Roman" w:eastAsia="宋体" w:cs="Times New Roman"/>
          <w:sz w:val="28"/>
          <w:szCs w:val="28"/>
          <w:highlight w:val="none"/>
          <w:shd w:val="clear"/>
          <w:vertAlign w:val="subscript"/>
          <w:lang w:val="en-US" w:eastAsia="zh-CN"/>
        </w:rPr>
        <w:t>eq</w:t>
      </w:r>
      <w:r>
        <w:rPr>
          <w:rFonts w:hint="default" w:ascii="Times New Roman" w:hAnsi="Times New Roman" w:eastAsia="宋体" w:cs="Times New Roman"/>
          <w:sz w:val="28"/>
          <w:szCs w:val="28"/>
          <w:highlight w:val="none"/>
          <w:shd w:val="clear"/>
          <w:lang w:val="en-US" w:eastAsia="zh-CN"/>
        </w:rPr>
        <w:t>范围为38.6～65.3分贝，区域声环境质量总体平均L</w:t>
      </w:r>
      <w:r>
        <w:rPr>
          <w:rFonts w:hint="default" w:ascii="Times New Roman" w:hAnsi="Times New Roman" w:eastAsia="宋体" w:cs="Times New Roman"/>
          <w:sz w:val="28"/>
          <w:szCs w:val="28"/>
          <w:highlight w:val="none"/>
          <w:shd w:val="clear"/>
          <w:vertAlign w:val="subscript"/>
          <w:lang w:val="en-US" w:eastAsia="zh-CN"/>
        </w:rPr>
        <w:t>eq</w:t>
      </w:r>
      <w:r>
        <w:rPr>
          <w:rFonts w:hint="default" w:ascii="Times New Roman" w:hAnsi="Times New Roman" w:eastAsia="宋体" w:cs="Times New Roman"/>
          <w:sz w:val="28"/>
          <w:szCs w:val="28"/>
          <w:highlight w:val="none"/>
          <w:shd w:val="clear"/>
          <w:lang w:val="en-US" w:eastAsia="zh-CN"/>
        </w:rPr>
        <w:t>为51.1dB；寻甸县县城夜间区域监测噪声等效声级L</w:t>
      </w:r>
      <w:r>
        <w:rPr>
          <w:rFonts w:hint="default" w:ascii="Times New Roman" w:hAnsi="Times New Roman" w:eastAsia="宋体" w:cs="Times New Roman"/>
          <w:sz w:val="28"/>
          <w:szCs w:val="28"/>
          <w:highlight w:val="none"/>
          <w:shd w:val="clear"/>
          <w:vertAlign w:val="subscript"/>
          <w:lang w:val="en-US" w:eastAsia="zh-CN"/>
        </w:rPr>
        <w:t>eq</w:t>
      </w:r>
      <w:r>
        <w:rPr>
          <w:rFonts w:hint="default" w:ascii="Times New Roman" w:hAnsi="Times New Roman" w:eastAsia="宋体" w:cs="Times New Roman"/>
          <w:sz w:val="28"/>
          <w:szCs w:val="28"/>
          <w:highlight w:val="none"/>
          <w:shd w:val="clear"/>
          <w:lang w:val="en-US" w:eastAsia="zh-CN"/>
        </w:rPr>
        <w:t>范围为35.3～60.4分贝，区域声环境质量总体平均L</w:t>
      </w:r>
      <w:r>
        <w:rPr>
          <w:rFonts w:hint="default" w:ascii="Times New Roman" w:hAnsi="Times New Roman" w:eastAsia="宋体" w:cs="Times New Roman"/>
          <w:sz w:val="28"/>
          <w:szCs w:val="28"/>
          <w:highlight w:val="none"/>
          <w:shd w:val="clear"/>
          <w:vertAlign w:val="subscript"/>
          <w:lang w:val="en-US" w:eastAsia="zh-CN"/>
        </w:rPr>
        <w:t>eq</w:t>
      </w:r>
      <w:r>
        <w:rPr>
          <w:rFonts w:hint="default" w:ascii="Times New Roman" w:hAnsi="Times New Roman" w:eastAsia="宋体" w:cs="Times New Roman"/>
          <w:sz w:val="28"/>
          <w:szCs w:val="28"/>
          <w:highlight w:val="none"/>
          <w:shd w:val="clear"/>
          <w:lang w:val="en-US" w:eastAsia="zh-CN"/>
        </w:rPr>
        <w:t>为43.7dB</w:t>
      </w:r>
      <w:r>
        <w:rPr>
          <w:rFonts w:hint="eastAsia" w:ascii="Times New Roman" w:hAnsi="Times New Roman" w:eastAsia="宋体" w:cs="Times New Roman"/>
          <w:sz w:val="28"/>
          <w:szCs w:val="28"/>
          <w:highlight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60" w:firstLineChars="200"/>
        <w:jc w:val="left"/>
        <w:textAlignment w:val="auto"/>
        <w:rPr>
          <w:rFonts w:hint="eastAsia" w:ascii="Times New Roman" w:hAnsi="Times New Roman" w:eastAsia="宋体" w:cs="Times New Roman"/>
          <w:sz w:val="28"/>
          <w:szCs w:val="28"/>
          <w:highlight w:val="none"/>
          <w:shd w:val="clear"/>
          <w:lang w:val="en-US" w:eastAsia="zh-CN"/>
        </w:rPr>
      </w:pPr>
      <w:r>
        <w:rPr>
          <w:rFonts w:hint="eastAsia" w:ascii="Times New Roman" w:hAnsi="Times New Roman" w:eastAsia="宋体" w:cs="Times New Roman"/>
          <w:sz w:val="28"/>
          <w:szCs w:val="28"/>
          <w:highlight w:val="none"/>
          <w:shd w:val="clear"/>
          <w:lang w:val="en-US" w:eastAsia="zh-CN"/>
        </w:rPr>
        <w:t>寻甸县建成区基本特征见表3.2-2，2018年区域环境噪声统计结果见表3.2-3，暴露在不同等效声级下的面积和人口分布状况见表3.2-5。声源构成情况详见表3.4-4、图3.2-1。</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表3.2-2 寻甸县建成区基本特征</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9"/>
        <w:gridCol w:w="1125"/>
        <w:gridCol w:w="1540"/>
        <w:gridCol w:w="586"/>
        <w:gridCol w:w="1026"/>
        <w:gridCol w:w="683"/>
        <w:gridCol w:w="102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9"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建成区面积（km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tc>
        <w:tc>
          <w:tcPr>
            <w:tcW w:w="1125"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建成区人口（人）</w:t>
            </w:r>
          </w:p>
        </w:tc>
        <w:tc>
          <w:tcPr>
            <w:tcW w:w="1540"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人口密度</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tc>
        <w:tc>
          <w:tcPr>
            <w:tcW w:w="586" w:type="dxa"/>
            <w:vMerge w:val="restart"/>
            <w:noWrap w:val="0"/>
            <w:vAlign w:val="center"/>
          </w:tcPr>
          <w:p>
            <w:pPr>
              <w:spacing w:line="312" w:lineRule="exact"/>
              <w:jc w:val="center"/>
            </w:pPr>
            <w:r>
              <w:rPr>
                <w:rFonts w:hint="eastAsia" w:ascii="Times New Roman" w:hAnsi="Times New Roman" w:eastAsia="宋体" w:cs="Times New Roman"/>
                <w:sz w:val="24"/>
                <w:szCs w:val="24"/>
                <w:lang w:eastAsia="zh-CN"/>
              </w:rPr>
              <w:t>时段</w:t>
            </w:r>
          </w:p>
        </w:tc>
        <w:tc>
          <w:tcPr>
            <w:tcW w:w="1026"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机动车总数（辆）</w:t>
            </w:r>
          </w:p>
        </w:tc>
        <w:tc>
          <w:tcPr>
            <w:tcW w:w="3128" w:type="dxa"/>
            <w:gridSpan w:val="3"/>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主要交通干道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9" w:type="dxa"/>
            <w:vMerge w:val="continue"/>
            <w:noWrap w:val="0"/>
            <w:vAlign w:val="center"/>
          </w:tcPr>
          <w:p>
            <w:pPr>
              <w:jc w:val="center"/>
              <w:rPr>
                <w:rFonts w:hint="default" w:ascii="Times New Roman" w:hAnsi="Times New Roman" w:eastAsia="宋体" w:cs="Times New Roman"/>
                <w:sz w:val="24"/>
                <w:szCs w:val="24"/>
              </w:rPr>
            </w:pPr>
          </w:p>
        </w:tc>
        <w:tc>
          <w:tcPr>
            <w:tcW w:w="1125" w:type="dxa"/>
            <w:vMerge w:val="continue"/>
            <w:noWrap w:val="0"/>
            <w:vAlign w:val="center"/>
          </w:tcPr>
          <w:p>
            <w:pPr>
              <w:jc w:val="center"/>
              <w:rPr>
                <w:rFonts w:hint="default" w:ascii="Times New Roman" w:hAnsi="Times New Roman" w:eastAsia="宋体" w:cs="Times New Roman"/>
                <w:sz w:val="24"/>
                <w:szCs w:val="24"/>
              </w:rPr>
            </w:pPr>
          </w:p>
        </w:tc>
        <w:tc>
          <w:tcPr>
            <w:tcW w:w="1540" w:type="dxa"/>
            <w:vMerge w:val="continue"/>
            <w:noWrap w:val="0"/>
            <w:vAlign w:val="center"/>
          </w:tcPr>
          <w:p>
            <w:pPr>
              <w:jc w:val="center"/>
              <w:rPr>
                <w:rFonts w:hint="default" w:ascii="Times New Roman" w:hAnsi="Times New Roman" w:eastAsia="宋体" w:cs="Times New Roman"/>
                <w:sz w:val="24"/>
                <w:szCs w:val="24"/>
              </w:rPr>
            </w:pPr>
          </w:p>
        </w:tc>
        <w:tc>
          <w:tcPr>
            <w:tcW w:w="586" w:type="dxa"/>
            <w:vMerge w:val="continue"/>
            <w:noWrap w:val="0"/>
            <w:vAlign w:val="center"/>
          </w:tcPr>
          <w:p>
            <w:pPr>
              <w:jc w:val="center"/>
            </w:pPr>
          </w:p>
        </w:tc>
        <w:tc>
          <w:tcPr>
            <w:tcW w:w="1026" w:type="dxa"/>
            <w:vMerge w:val="continue"/>
            <w:noWrap w:val="0"/>
            <w:vAlign w:val="center"/>
          </w:tcPr>
          <w:p>
            <w:pPr>
              <w:jc w:val="center"/>
              <w:rPr>
                <w:rFonts w:hint="default" w:ascii="Times New Roman" w:hAnsi="Times New Roman" w:eastAsia="宋体" w:cs="Times New Roman"/>
                <w:sz w:val="24"/>
                <w:szCs w:val="24"/>
              </w:rPr>
            </w:pPr>
          </w:p>
        </w:tc>
        <w:tc>
          <w:tcPr>
            <w:tcW w:w="683"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总长</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（km）</w:t>
            </w:r>
          </w:p>
        </w:tc>
        <w:tc>
          <w:tcPr>
            <w:tcW w:w="1027"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平均路宽</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1418"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平均车流量</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（辆/20min）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9" w:type="dxa"/>
            <w:vMerge w:val="restart"/>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5.4</w:t>
            </w:r>
          </w:p>
        </w:tc>
        <w:tc>
          <w:tcPr>
            <w:tcW w:w="1125"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49820</w:t>
            </w:r>
          </w:p>
        </w:tc>
        <w:tc>
          <w:tcPr>
            <w:tcW w:w="1540"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9226</w:t>
            </w:r>
          </w:p>
        </w:tc>
        <w:tc>
          <w:tcPr>
            <w:tcW w:w="586" w:type="dxa"/>
            <w:noWrap w:val="0"/>
            <w:vAlign w:val="center"/>
          </w:tcPr>
          <w:p>
            <w:pPr>
              <w:spacing w:line="312" w:lineRule="exact"/>
              <w:jc w:val="center"/>
            </w:pPr>
            <w:r>
              <w:rPr>
                <w:rFonts w:hint="eastAsia" w:ascii="Times New Roman" w:hAnsi="Times New Roman" w:eastAsia="宋体" w:cs="Times New Roman"/>
                <w:kern w:val="0"/>
                <w:sz w:val="24"/>
                <w:szCs w:val="24"/>
                <w:lang w:eastAsia="zh-CN"/>
              </w:rPr>
              <w:t>昼间</w:t>
            </w:r>
          </w:p>
        </w:tc>
        <w:tc>
          <w:tcPr>
            <w:tcW w:w="1026"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2980</w:t>
            </w:r>
          </w:p>
        </w:tc>
        <w:tc>
          <w:tcPr>
            <w:tcW w:w="683"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5.70</w:t>
            </w:r>
          </w:p>
        </w:tc>
        <w:tc>
          <w:tcPr>
            <w:tcW w:w="102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13.66</w:t>
            </w:r>
          </w:p>
        </w:tc>
        <w:tc>
          <w:tcPr>
            <w:tcW w:w="1418"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99" w:type="dxa"/>
            <w:vMerge w:val="continue"/>
            <w:noWrap w:val="0"/>
            <w:vAlign w:val="center"/>
          </w:tcPr>
          <w:p>
            <w:pPr>
              <w:spacing w:line="312" w:lineRule="exact"/>
              <w:jc w:val="center"/>
              <w:rPr>
                <w:rFonts w:hint="default" w:ascii="Times New Roman" w:hAnsi="Times New Roman" w:eastAsia="宋体" w:cs="Times New Roman"/>
                <w:kern w:val="0"/>
                <w:sz w:val="24"/>
                <w:szCs w:val="24"/>
                <w:lang w:val="en-US" w:eastAsia="zh-CN"/>
              </w:rPr>
            </w:pPr>
          </w:p>
        </w:tc>
        <w:tc>
          <w:tcPr>
            <w:tcW w:w="1125" w:type="dxa"/>
            <w:vMerge w:val="continue"/>
            <w:noWrap w:val="0"/>
            <w:vAlign w:val="center"/>
          </w:tcPr>
          <w:p>
            <w:pPr>
              <w:spacing w:line="312" w:lineRule="exact"/>
              <w:jc w:val="center"/>
              <w:rPr>
                <w:rFonts w:hint="default" w:ascii="Times New Roman" w:hAnsi="Times New Roman" w:eastAsia="宋体" w:cs="Times New Roman"/>
                <w:kern w:val="0"/>
                <w:sz w:val="24"/>
                <w:szCs w:val="24"/>
                <w:lang w:val="en-US" w:eastAsia="zh-CN"/>
              </w:rPr>
            </w:pPr>
          </w:p>
        </w:tc>
        <w:tc>
          <w:tcPr>
            <w:tcW w:w="1540"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586" w:type="dxa"/>
            <w:noWrap w:val="0"/>
            <w:vAlign w:val="center"/>
          </w:tcPr>
          <w:p>
            <w:pPr>
              <w:spacing w:line="312" w:lineRule="exact"/>
              <w:jc w:val="center"/>
            </w:pPr>
            <w:r>
              <w:rPr>
                <w:rFonts w:hint="eastAsia" w:ascii="Times New Roman" w:hAnsi="Times New Roman" w:eastAsia="宋体" w:cs="Times New Roman"/>
                <w:kern w:val="0"/>
                <w:sz w:val="24"/>
                <w:szCs w:val="24"/>
                <w:lang w:eastAsia="zh-CN"/>
              </w:rPr>
              <w:t>夜间</w:t>
            </w:r>
          </w:p>
        </w:tc>
        <w:tc>
          <w:tcPr>
            <w:tcW w:w="1026"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2980</w:t>
            </w:r>
          </w:p>
        </w:tc>
        <w:tc>
          <w:tcPr>
            <w:tcW w:w="683"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5.70</w:t>
            </w:r>
          </w:p>
        </w:tc>
        <w:tc>
          <w:tcPr>
            <w:tcW w:w="1027"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13.66</w:t>
            </w:r>
          </w:p>
        </w:tc>
        <w:tc>
          <w:tcPr>
            <w:tcW w:w="1418"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50</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表3.2-3  寻甸县县城区域监测结果统计表</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7"/>
        <w:gridCol w:w="1204"/>
        <w:gridCol w:w="738"/>
        <w:gridCol w:w="674"/>
        <w:gridCol w:w="675"/>
        <w:gridCol w:w="676"/>
        <w:gridCol w:w="674"/>
        <w:gridCol w:w="675"/>
        <w:gridCol w:w="67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noWrap w:val="0"/>
            <w:vAlign w:val="top"/>
          </w:tcPr>
          <w:p>
            <w:pPr>
              <w:jc w:val="center"/>
              <w:rPr>
                <w:rFonts w:hint="default" w:ascii="Times New Roman" w:hAnsi="Times New Roman" w:eastAsia="宋体" w:cs="Times New Roman"/>
                <w:kern w:val="0"/>
                <w:sz w:val="24"/>
                <w:szCs w:val="24"/>
                <w:vertAlign w:val="baseline"/>
                <w:lang w:val="en-US" w:eastAsia="zh-CN"/>
              </w:rPr>
            </w:pPr>
            <w:r>
              <w:rPr>
                <w:rFonts w:hint="eastAsia" w:ascii="Times New Roman" w:hAnsi="Times New Roman" w:eastAsia="宋体" w:cs="Times New Roman"/>
                <w:kern w:val="0"/>
                <w:sz w:val="24"/>
                <w:szCs w:val="24"/>
                <w:lang w:eastAsia="zh-CN"/>
              </w:rPr>
              <w:t>网格大小</w:t>
            </w:r>
            <w:r>
              <w:rPr>
                <w:rFonts w:hint="eastAsia" w:ascii="Times New Roman" w:hAnsi="Times New Roman" w:eastAsia="宋体" w:cs="Times New Roman"/>
                <w:kern w:val="0"/>
                <w:sz w:val="24"/>
                <w:szCs w:val="24"/>
                <w:lang w:val="en-US" w:eastAsia="zh-CN"/>
              </w:rPr>
              <w:t>（m</w:t>
            </w:r>
            <w:r>
              <w:rPr>
                <w:rFonts w:hint="eastAsia" w:ascii="Times New Roman" w:hAnsi="Times New Roman" w:eastAsia="宋体" w:cs="Times New Roman"/>
                <w:kern w:val="0"/>
                <w:sz w:val="24"/>
                <w:szCs w:val="24"/>
                <w:vertAlign w:val="superscript"/>
                <w:lang w:val="en-US" w:eastAsia="zh-CN"/>
              </w:rPr>
              <w:t>2</w:t>
            </w:r>
            <w:r>
              <w:rPr>
                <w:rFonts w:hint="eastAsia" w:ascii="Times New Roman" w:hAnsi="Times New Roman" w:eastAsia="宋体" w:cs="Times New Roman"/>
                <w:kern w:val="0"/>
                <w:sz w:val="24"/>
                <w:szCs w:val="24"/>
                <w:vertAlign w:val="baseline"/>
                <w:lang w:val="en-US" w:eastAsia="zh-CN"/>
              </w:rPr>
              <w:t>)</w:t>
            </w:r>
          </w:p>
        </w:tc>
        <w:tc>
          <w:tcPr>
            <w:tcW w:w="807" w:type="dxa"/>
            <w:noWrap w:val="0"/>
            <w:vAlign w:val="top"/>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网格总数</w:t>
            </w:r>
          </w:p>
        </w:tc>
        <w:tc>
          <w:tcPr>
            <w:tcW w:w="1204" w:type="dxa"/>
            <w:noWrap w:val="0"/>
            <w:vAlign w:val="top"/>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网格覆盖人口总数(万人)</w:t>
            </w:r>
          </w:p>
        </w:tc>
        <w:tc>
          <w:tcPr>
            <w:tcW w:w="738" w:type="dxa"/>
            <w:noWrap w:val="0"/>
            <w:vAlign w:val="center"/>
          </w:tcPr>
          <w:p>
            <w:pPr>
              <w:jc w:val="center"/>
              <w:rPr>
                <w:rFonts w:hint="eastAsia" w:eastAsiaTheme="minorEastAsia"/>
                <w:lang w:eastAsia="zh-CN"/>
              </w:rPr>
            </w:pPr>
            <w:r>
              <w:rPr>
                <w:rFonts w:hint="eastAsia" w:ascii="Times New Roman" w:hAnsi="Times New Roman" w:eastAsia="宋体" w:cs="Times New Roman"/>
                <w:kern w:val="0"/>
                <w:sz w:val="24"/>
                <w:szCs w:val="24"/>
                <w:lang w:eastAsia="zh-CN"/>
              </w:rPr>
              <w:t>时段</w:t>
            </w:r>
          </w:p>
        </w:tc>
        <w:tc>
          <w:tcPr>
            <w:tcW w:w="674" w:type="dxa"/>
            <w:noWrap w:val="0"/>
            <w:vAlign w:val="center"/>
          </w:tcPr>
          <w:p>
            <w:pPr>
              <w:jc w:val="center"/>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p>
        </w:tc>
        <w:tc>
          <w:tcPr>
            <w:tcW w:w="675"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10</w:t>
            </w:r>
          </w:p>
        </w:tc>
        <w:tc>
          <w:tcPr>
            <w:tcW w:w="676"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50</w:t>
            </w:r>
          </w:p>
        </w:tc>
        <w:tc>
          <w:tcPr>
            <w:tcW w:w="674"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90</w:t>
            </w:r>
          </w:p>
        </w:tc>
        <w:tc>
          <w:tcPr>
            <w:tcW w:w="675"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max</w:t>
            </w:r>
          </w:p>
        </w:tc>
        <w:tc>
          <w:tcPr>
            <w:tcW w:w="675"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min</w:t>
            </w:r>
          </w:p>
        </w:tc>
        <w:tc>
          <w:tcPr>
            <w:tcW w:w="758"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vMerge w:val="restart"/>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40000</w:t>
            </w:r>
          </w:p>
        </w:tc>
        <w:tc>
          <w:tcPr>
            <w:tcW w:w="807"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w:t>
            </w:r>
          </w:p>
        </w:tc>
        <w:tc>
          <w:tcPr>
            <w:tcW w:w="1204"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4.98</w:t>
            </w:r>
          </w:p>
        </w:tc>
        <w:tc>
          <w:tcPr>
            <w:tcW w:w="738" w:type="dxa"/>
            <w:noWrap w:val="0"/>
            <w:vAlign w:val="center"/>
          </w:tcPr>
          <w:p>
            <w:pPr>
              <w:jc w:val="both"/>
              <w:rPr>
                <w:rFonts w:hint="eastAsia" w:eastAsiaTheme="minorEastAsia"/>
                <w:sz w:val="24"/>
                <w:szCs w:val="24"/>
                <w:lang w:eastAsia="zh-CN"/>
              </w:rPr>
            </w:pPr>
            <w:r>
              <w:rPr>
                <w:rFonts w:hint="eastAsia" w:ascii="Times New Roman" w:hAnsi="Times New Roman" w:eastAsia="宋体" w:cs="Times New Roman"/>
                <w:kern w:val="0"/>
                <w:sz w:val="24"/>
                <w:szCs w:val="24"/>
                <w:lang w:eastAsia="zh-CN"/>
              </w:rPr>
              <w:t>昼间</w:t>
            </w:r>
          </w:p>
        </w:tc>
        <w:tc>
          <w:tcPr>
            <w:tcW w:w="674"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51.1 </w:t>
            </w:r>
          </w:p>
        </w:tc>
        <w:tc>
          <w:tcPr>
            <w:tcW w:w="675"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53.1 </w:t>
            </w:r>
          </w:p>
        </w:tc>
        <w:tc>
          <w:tcPr>
            <w:tcW w:w="676"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47.2 </w:t>
            </w:r>
          </w:p>
        </w:tc>
        <w:tc>
          <w:tcPr>
            <w:tcW w:w="674"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43.6 </w:t>
            </w:r>
          </w:p>
        </w:tc>
        <w:tc>
          <w:tcPr>
            <w:tcW w:w="675"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68.3 </w:t>
            </w:r>
          </w:p>
        </w:tc>
        <w:tc>
          <w:tcPr>
            <w:tcW w:w="675"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40.3 </w:t>
            </w:r>
          </w:p>
        </w:tc>
        <w:tc>
          <w:tcPr>
            <w:tcW w:w="758" w:type="dxa"/>
            <w:noWrap w:val="0"/>
            <w:vAlign w:val="center"/>
          </w:tcPr>
          <w:p>
            <w:pP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8" w:type="dxa"/>
            <w:vMerge w:val="continue"/>
            <w:noWrap w:val="0"/>
            <w:vAlign w:val="center"/>
          </w:tcPr>
          <w:p>
            <w:pPr>
              <w:jc w:val="center"/>
              <w:rPr>
                <w:rFonts w:hint="default" w:ascii="Times New Roman" w:hAnsi="Times New Roman" w:eastAsia="宋体" w:cs="Times New Roman"/>
                <w:kern w:val="0"/>
                <w:sz w:val="24"/>
                <w:szCs w:val="24"/>
              </w:rPr>
            </w:pPr>
          </w:p>
        </w:tc>
        <w:tc>
          <w:tcPr>
            <w:tcW w:w="807"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1204"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738" w:type="dxa"/>
            <w:noWrap w:val="0"/>
            <w:vAlign w:val="center"/>
          </w:tcPr>
          <w:p>
            <w:pPr>
              <w:jc w:val="both"/>
              <w:rPr>
                <w:rFonts w:hint="eastAsia" w:eastAsiaTheme="minorEastAsia"/>
                <w:sz w:val="24"/>
                <w:szCs w:val="24"/>
                <w:lang w:eastAsia="zh-CN"/>
              </w:rPr>
            </w:pPr>
            <w:r>
              <w:rPr>
                <w:rFonts w:hint="eastAsia"/>
                <w:sz w:val="24"/>
                <w:szCs w:val="24"/>
                <w:lang w:eastAsia="zh-CN"/>
              </w:rPr>
              <w:t>夜间</w:t>
            </w:r>
          </w:p>
        </w:tc>
        <w:tc>
          <w:tcPr>
            <w:tcW w:w="674"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43.7</w:t>
            </w:r>
          </w:p>
        </w:tc>
        <w:tc>
          <w:tcPr>
            <w:tcW w:w="675"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45.4</w:t>
            </w:r>
          </w:p>
        </w:tc>
        <w:tc>
          <w:tcPr>
            <w:tcW w:w="676"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39.8</w:t>
            </w:r>
          </w:p>
        </w:tc>
        <w:tc>
          <w:tcPr>
            <w:tcW w:w="674"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36.4</w:t>
            </w:r>
          </w:p>
        </w:tc>
        <w:tc>
          <w:tcPr>
            <w:tcW w:w="675"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61.2</w:t>
            </w:r>
          </w:p>
        </w:tc>
        <w:tc>
          <w:tcPr>
            <w:tcW w:w="675"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33.7</w:t>
            </w:r>
          </w:p>
        </w:tc>
        <w:tc>
          <w:tcPr>
            <w:tcW w:w="758" w:type="dxa"/>
            <w:noWrap w:val="0"/>
            <w:vAlign w:val="center"/>
          </w:tcPr>
          <w:p>
            <w:pP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4.1</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表3.2-4  2018年声源构成情况（昼+夜）</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570"/>
        <w:gridCol w:w="1446"/>
        <w:gridCol w:w="1544"/>
        <w:gridCol w:w="1372"/>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gridSpan w:val="2"/>
            <w:tcBorders>
              <w:tl2br w:val="single" w:color="auto" w:sz="4" w:space="0"/>
            </w:tcBorders>
            <w:noWrap w:val="0"/>
            <w:vAlign w:val="top"/>
          </w:tcPr>
          <w:p>
            <w:pP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声源类型</w:t>
            </w:r>
          </w:p>
          <w:p>
            <w:pPr>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指标</w:t>
            </w:r>
          </w:p>
        </w:tc>
        <w:tc>
          <w:tcPr>
            <w:tcW w:w="1446"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w:t>
            </w:r>
          </w:p>
        </w:tc>
        <w:tc>
          <w:tcPr>
            <w:tcW w:w="1544"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工业</w:t>
            </w:r>
          </w:p>
        </w:tc>
        <w:tc>
          <w:tcPr>
            <w:tcW w:w="1372"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w:t>
            </w:r>
          </w:p>
        </w:tc>
        <w:tc>
          <w:tcPr>
            <w:tcW w:w="1291"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gridSpan w:val="2"/>
            <w:noWrap w:val="0"/>
            <w:vAlign w:val="center"/>
          </w:tcPr>
          <w:p>
            <w:pPr>
              <w:spacing w:line="312" w:lineRule="exact"/>
              <w:jc w:val="center"/>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影响测点数</w:t>
            </w:r>
            <w:r>
              <w:rPr>
                <w:rFonts w:hint="eastAsia" w:ascii="Times New Roman" w:hAnsi="Times New Roman" w:eastAsia="宋体" w:cs="Times New Roman"/>
                <w:sz w:val="24"/>
                <w:szCs w:val="24"/>
                <w:lang w:eastAsia="zh-CN"/>
              </w:rPr>
              <w:t>（昼间）</w:t>
            </w:r>
          </w:p>
        </w:tc>
        <w:tc>
          <w:tcPr>
            <w:tcW w:w="1446"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154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372"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129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gridSpan w:val="2"/>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声源构成比（%）</w:t>
            </w:r>
          </w:p>
        </w:tc>
        <w:tc>
          <w:tcPr>
            <w:tcW w:w="1446"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18.5</w:t>
            </w:r>
          </w:p>
        </w:tc>
        <w:tc>
          <w:tcPr>
            <w:tcW w:w="1544"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0.7</w:t>
            </w:r>
          </w:p>
        </w:tc>
        <w:tc>
          <w:tcPr>
            <w:tcW w:w="1372"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4.4</w:t>
            </w:r>
          </w:p>
        </w:tc>
        <w:tc>
          <w:tcPr>
            <w:tcW w:w="1291"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vMerge w:val="restart"/>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（分贝）</w:t>
            </w:r>
          </w:p>
        </w:tc>
        <w:tc>
          <w:tcPr>
            <w:tcW w:w="1570" w:type="dxa"/>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w:t>
            </w:r>
          </w:p>
        </w:tc>
        <w:tc>
          <w:tcPr>
            <w:tcW w:w="1446"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55.7</w:t>
            </w:r>
          </w:p>
        </w:tc>
        <w:tc>
          <w:tcPr>
            <w:tcW w:w="154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372"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55.8</w:t>
            </w:r>
          </w:p>
        </w:tc>
        <w:tc>
          <w:tcPr>
            <w:tcW w:w="129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1570" w:type="dxa"/>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SD</w:t>
            </w:r>
          </w:p>
        </w:tc>
        <w:tc>
          <w:tcPr>
            <w:tcW w:w="1446"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w:t>
            </w:r>
          </w:p>
        </w:tc>
        <w:tc>
          <w:tcPr>
            <w:tcW w:w="154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372"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w:t>
            </w:r>
          </w:p>
        </w:tc>
        <w:tc>
          <w:tcPr>
            <w:tcW w:w="129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gridSpan w:val="2"/>
            <w:noWrap w:val="0"/>
            <w:vAlign w:val="center"/>
          </w:tcPr>
          <w:p>
            <w:pPr>
              <w:spacing w:line="312"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影响测点数</w:t>
            </w:r>
            <w:r>
              <w:rPr>
                <w:rFonts w:hint="eastAsia" w:ascii="Times New Roman" w:hAnsi="Times New Roman" w:eastAsia="宋体" w:cs="Times New Roman"/>
                <w:sz w:val="24"/>
                <w:szCs w:val="24"/>
                <w:lang w:eastAsia="zh-CN"/>
              </w:rPr>
              <w:t>（夜间）</w:t>
            </w:r>
          </w:p>
        </w:tc>
        <w:tc>
          <w:tcPr>
            <w:tcW w:w="1446"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c>
          <w:tcPr>
            <w:tcW w:w="1544"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372"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w:t>
            </w:r>
          </w:p>
        </w:tc>
        <w:tc>
          <w:tcPr>
            <w:tcW w:w="1291"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1" w:type="dxa"/>
            <w:gridSpan w:val="2"/>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声源构成比（%）</w:t>
            </w:r>
          </w:p>
        </w:tc>
        <w:tc>
          <w:tcPr>
            <w:tcW w:w="1446"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8.9</w:t>
            </w:r>
          </w:p>
        </w:tc>
        <w:tc>
          <w:tcPr>
            <w:tcW w:w="1544"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0.7</w:t>
            </w:r>
          </w:p>
        </w:tc>
        <w:tc>
          <w:tcPr>
            <w:tcW w:w="1372"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0.0</w:t>
            </w:r>
          </w:p>
        </w:tc>
        <w:tc>
          <w:tcPr>
            <w:tcW w:w="1291"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vMerge w:val="restart"/>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r>
              <w:rPr>
                <w:rFonts w:hint="default" w:ascii="Times New Roman" w:hAnsi="Times New Roman" w:eastAsia="宋体" w:cs="Times New Roman"/>
                <w:sz w:val="24"/>
                <w:szCs w:val="24"/>
              </w:rPr>
              <w:t>（分贝）</w:t>
            </w:r>
          </w:p>
        </w:tc>
        <w:tc>
          <w:tcPr>
            <w:tcW w:w="1570"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48.9</w:t>
            </w:r>
          </w:p>
        </w:tc>
        <w:tc>
          <w:tcPr>
            <w:tcW w:w="1446"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45.3</w:t>
            </w:r>
          </w:p>
        </w:tc>
        <w:tc>
          <w:tcPr>
            <w:tcW w:w="1544"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372"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43.2</w:t>
            </w:r>
          </w:p>
        </w:tc>
        <w:tc>
          <w:tcPr>
            <w:tcW w:w="129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1570"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4.5</w:t>
            </w:r>
          </w:p>
        </w:tc>
        <w:tc>
          <w:tcPr>
            <w:tcW w:w="1446"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2.9</w:t>
            </w:r>
          </w:p>
        </w:tc>
        <w:tc>
          <w:tcPr>
            <w:tcW w:w="1544"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372"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4.0 </w:t>
            </w:r>
          </w:p>
        </w:tc>
        <w:tc>
          <w:tcPr>
            <w:tcW w:w="129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表3.2-5  暴露在不同等效声级下的面积和人口分布状况表</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76"/>
        <w:gridCol w:w="993"/>
        <w:gridCol w:w="992"/>
        <w:gridCol w:w="1319"/>
        <w:gridCol w:w="1035"/>
        <w:gridCol w:w="140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tblHeader/>
          <w:jc w:val="center"/>
        </w:trPr>
        <w:tc>
          <w:tcPr>
            <w:tcW w:w="107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声级范围</w:t>
            </w:r>
            <w:r>
              <w:rPr>
                <w:rStyle w:val="16"/>
                <w:rFonts w:hint="default" w:ascii="Times New Roman" w:hAnsi="Times New Roman" w:eastAsia="宋体" w:cs="Times New Roman"/>
                <w:sz w:val="24"/>
                <w:szCs w:val="24"/>
                <w:lang w:val="en-US" w:eastAsia="zh-CN" w:bidi="ar"/>
              </w:rPr>
              <w:t>/dB</w:t>
            </w:r>
            <w:r>
              <w:rPr>
                <w:rStyle w:val="17"/>
                <w:rFonts w:hint="default" w:ascii="Times New Roman" w:hAnsi="Times New Roman" w:eastAsia="宋体" w:cs="Times New Roman"/>
                <w:sz w:val="24"/>
                <w:szCs w:val="24"/>
                <w:lang w:val="en-US" w:eastAsia="zh-CN" w:bidi="ar"/>
              </w:rPr>
              <w:t>（</w:t>
            </w:r>
            <w:r>
              <w:rPr>
                <w:rStyle w:val="16"/>
                <w:rFonts w:hint="default" w:ascii="Times New Roman" w:hAnsi="Times New Roman" w:eastAsia="宋体" w:cs="Times New Roman"/>
                <w:sz w:val="24"/>
                <w:szCs w:val="24"/>
                <w:lang w:val="en-US" w:eastAsia="zh-CN" w:bidi="ar"/>
              </w:rPr>
              <w:t>A</w:t>
            </w:r>
            <w:r>
              <w:rPr>
                <w:rStyle w:val="17"/>
                <w:rFonts w:hint="default" w:ascii="Times New Roman" w:hAnsi="Times New Roman" w:eastAsia="宋体" w:cs="Times New Roman"/>
                <w:sz w:val="24"/>
                <w:szCs w:val="24"/>
                <w:lang w:val="en-US" w:eastAsia="zh-CN" w:bidi="ar"/>
              </w:rPr>
              <w:t>）</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测量时段</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测点数/个</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声级覆盖面积(km</w:t>
            </w:r>
            <w:r>
              <w:rPr>
                <w:rFonts w:hint="default" w:ascii="Times New Roman" w:hAnsi="Times New Roman" w:eastAsia="宋体" w:cs="Times New Roman"/>
                <w:i w:val="0"/>
                <w:color w:val="000000"/>
                <w:kern w:val="0"/>
                <w:sz w:val="24"/>
                <w:szCs w:val="24"/>
                <w:u w:val="none"/>
                <w:vertAlign w:val="superscript"/>
                <w:lang w:val="en-US" w:eastAsia="zh-CN" w:bidi="ar"/>
              </w:rPr>
              <w:t>2</w:t>
            </w:r>
            <w:r>
              <w:rPr>
                <w:rFonts w:hint="default" w:ascii="Times New Roman" w:hAnsi="Times New Roman" w:eastAsia="宋体" w:cs="Times New Roman"/>
                <w:i w:val="0"/>
                <w:color w:val="000000"/>
                <w:kern w:val="0"/>
                <w:sz w:val="24"/>
                <w:szCs w:val="24"/>
                <w:u w:val="none"/>
                <w:lang w:val="en-US" w:eastAsia="zh-CN" w:bidi="ar"/>
              </w:rPr>
              <w:t>)</w:t>
            </w:r>
          </w:p>
        </w:tc>
        <w:tc>
          <w:tcPr>
            <w:tcW w:w="1035" w:type="dxa"/>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304800"/>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27"/>
                          <a:stretch>
                            <a:fillRect/>
                          </a:stretch>
                        </pic:blipFill>
                        <pic:spPr>
                          <a:xfrm>
                            <a:off x="0" y="0"/>
                            <a:ext cx="76200" cy="30480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4"/>
                <w:szCs w:val="24"/>
                <w:u w:val="none"/>
                <w:lang w:val="en-US" w:eastAsia="zh-CN" w:bidi="ar"/>
              </w:rPr>
              <w:t xml:space="preserve">占总网格面积％                     </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声级覆盖人口(人)      </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304800"/>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27"/>
                          <a:stretch>
                            <a:fillRect/>
                          </a:stretch>
                        </pic:blipFill>
                        <pic:spPr>
                          <a:xfrm>
                            <a:off x="0" y="0"/>
                            <a:ext cx="76200" cy="304800"/>
                          </a:xfrm>
                          <a:prstGeom prst="rect">
                            <a:avLst/>
                          </a:prstGeom>
                          <a:noFill/>
                          <a:ln>
                            <a:noFill/>
                          </a:ln>
                        </pic:spPr>
                      </pic:pic>
                    </a:graphicData>
                  </a:graphic>
                </wp:anchor>
              </w:drawing>
            </w:r>
            <w:r>
              <w:rPr>
                <w:rFonts w:hint="default" w:ascii="Times New Roman" w:hAnsi="Times New Roman" w:eastAsia="宋体" w:cs="Times New Roman"/>
                <w:i w:val="0"/>
                <w:color w:val="000000"/>
                <w:kern w:val="0"/>
                <w:sz w:val="24"/>
                <w:szCs w:val="24"/>
                <w:u w:val="none"/>
                <w:lang w:val="en-US" w:eastAsia="zh-CN" w:bidi="ar"/>
              </w:rPr>
              <w:t xml:space="preserve">占总网格人口％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35.0以下</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35.1～40.0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18.40%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10083</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40.1～45.0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0.48</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3490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2.76</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50.70%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24405</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45.1～50.0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1.84</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14860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19.10%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10237</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50.1～55.0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1.84</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20510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0.48</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2875</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55.1～60.0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14.70%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7354</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2054</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60.1～65.0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0.36</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3194</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166</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65.1～70.0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70.1～75.0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75.1～80.0</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80.1以上</w:t>
            </w: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76"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3"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99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03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140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r>
    </w:tbl>
    <w:p>
      <w:pPr>
        <w:spacing w:line="360" w:lineRule="auto"/>
        <w:jc w:val="center"/>
        <w:rPr>
          <w:rFonts w:hint="eastAsia" w:ascii="Times New Roman" w:hAnsi="Times New Roman" w:eastAsia="黑体"/>
          <w:sz w:val="24"/>
          <w:szCs w:val="24"/>
        </w:rPr>
      </w:pPr>
      <w:r>
        <w:drawing>
          <wp:anchor distT="0" distB="0" distL="114300" distR="114300" simplePos="0" relativeHeight="251671552" behindDoc="0" locked="0" layoutInCell="1" allowOverlap="1">
            <wp:simplePos x="0" y="0"/>
            <wp:positionH relativeFrom="column">
              <wp:posOffset>107950</wp:posOffset>
            </wp:positionH>
            <wp:positionV relativeFrom="paragraph">
              <wp:posOffset>8255</wp:posOffset>
            </wp:positionV>
            <wp:extent cx="2520315" cy="2160270"/>
            <wp:effectExtent l="4445" t="4445" r="8890" b="6985"/>
            <wp:wrapSquare wrapText="bothSides"/>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drawing>
          <wp:anchor distT="0" distB="0" distL="114300" distR="114300" simplePos="0" relativeHeight="251672576" behindDoc="0" locked="0" layoutInCell="1" allowOverlap="1">
            <wp:simplePos x="0" y="0"/>
            <wp:positionH relativeFrom="column">
              <wp:posOffset>2755900</wp:posOffset>
            </wp:positionH>
            <wp:positionV relativeFrom="paragraph">
              <wp:posOffset>8255</wp:posOffset>
            </wp:positionV>
            <wp:extent cx="2520315" cy="2160270"/>
            <wp:effectExtent l="4445" t="4445" r="8890" b="6985"/>
            <wp:wrapSquare wrapText="bothSides"/>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pPr>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图</w:t>
      </w:r>
      <w:r>
        <w:rPr>
          <w:rFonts w:hint="default" w:ascii="Times New Roman" w:hAnsi="Times New Roman" w:eastAsia="宋体" w:cs="Times New Roman"/>
          <w:b/>
          <w:bCs/>
          <w:sz w:val="24"/>
          <w:szCs w:val="24"/>
          <w:lang w:val="en-US" w:eastAsia="zh-CN"/>
        </w:rPr>
        <w:t>3.2-1</w:t>
      </w:r>
      <w:r>
        <w:rPr>
          <w:rFonts w:hint="default" w:ascii="Times New Roman" w:hAnsi="Times New Roman" w:eastAsia="宋体" w:cs="Times New Roman"/>
          <w:b/>
          <w:bCs/>
          <w:sz w:val="24"/>
          <w:szCs w:val="24"/>
        </w:rPr>
        <w:t xml:space="preserve">  2018年寻甸县城市区域环境噪声声源构成情况</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00" w:name="_Toc22745_WPSOffice_Level2"/>
      <w:r>
        <w:rPr>
          <w:rFonts w:hint="eastAsia" w:ascii="Times New Roman" w:hAnsi="Times New Roman" w:eastAsia="黑体" w:cs="Times New Roman"/>
          <w:b/>
          <w:bCs/>
          <w:sz w:val="28"/>
          <w:szCs w:val="28"/>
          <w:lang w:val="en-US" w:eastAsia="zh-CN"/>
        </w:rPr>
        <w:t xml:space="preserve">3.3 </w:t>
      </w:r>
      <w:r>
        <w:rPr>
          <w:rFonts w:hint="default" w:ascii="Times New Roman" w:hAnsi="Times New Roman" w:eastAsia="黑体" w:cs="Times New Roman"/>
          <w:b/>
          <w:bCs/>
          <w:sz w:val="28"/>
          <w:szCs w:val="28"/>
          <w:lang w:val="en-US" w:eastAsia="zh-CN"/>
        </w:rPr>
        <w:t>城市道路交通噪声监测</w:t>
      </w:r>
      <w:bookmarkEnd w:id="100"/>
      <w:r>
        <w:rPr>
          <w:rFonts w:hint="default" w:ascii="Times New Roman" w:hAnsi="Times New Roman" w:eastAsia="黑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3.3.1</w:t>
      </w:r>
      <w:r>
        <w:rPr>
          <w:rFonts w:hint="default" w:ascii="Times New Roman" w:hAnsi="Times New Roman" w:eastAsia="宋体" w:cs="Times New Roman"/>
          <w:b/>
          <w:bCs/>
          <w:sz w:val="28"/>
          <w:szCs w:val="28"/>
          <w:lang w:val="en-US" w:eastAsia="zh-CN"/>
        </w:rPr>
        <w:t>道路交通监测的目的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 xml:space="preserve">反映道路交通噪声源的噪声强度；分析道路交通噪声声级与车流量、路况等关系及变化规律；分析城市道路交通噪声的年度变化规律和变化趋势。 </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01" w:name="_Toc14880"/>
      <w:bookmarkStart w:id="102" w:name="_Toc31436"/>
      <w:r>
        <w:rPr>
          <w:rFonts w:hint="eastAsia" w:ascii="Times New Roman" w:hAnsi="Times New Roman" w:eastAsia="宋体" w:cs="Times New Roman"/>
          <w:b/>
          <w:bCs/>
          <w:sz w:val="28"/>
          <w:szCs w:val="28"/>
          <w:lang w:val="en-US" w:eastAsia="zh-CN"/>
        </w:rPr>
        <w:t>3.3.2</w:t>
      </w:r>
      <w:r>
        <w:rPr>
          <w:rFonts w:hint="default" w:ascii="Times New Roman" w:hAnsi="Times New Roman" w:eastAsia="宋体" w:cs="Times New Roman"/>
          <w:b/>
          <w:bCs/>
          <w:sz w:val="28"/>
          <w:szCs w:val="28"/>
          <w:lang w:val="en-US" w:eastAsia="zh-CN"/>
        </w:rPr>
        <w:t>道路交通监测的点位设置</w:t>
      </w:r>
      <w:bookmarkEnd w:id="101"/>
      <w:r>
        <w:rPr>
          <w:rFonts w:hint="eastAsia" w:ascii="Times New Roman" w:hAnsi="Times New Roman" w:eastAsia="宋体" w:cs="Times New Roman"/>
          <w:b/>
          <w:bCs/>
          <w:sz w:val="28"/>
          <w:szCs w:val="28"/>
          <w:lang w:val="en-US" w:eastAsia="zh-CN"/>
        </w:rPr>
        <w:t>原则</w:t>
      </w:r>
      <w:bookmarkEnd w:id="102"/>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 xml:space="preserve">能反映城市建成区内各类道路（快速路、主干路、次干路等）交通噪声排放特征。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能反映不同道路特点（考虑交通类型、交通流量、机动车行驶速度、路面结构、道路宽度、敏感建筑物分布等）交通噪声排放特征。</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按照道路交通噪声监测点位数量设置原则：特大城市≥100个；大城市≥80个；中等城市≥50个；小城市≥20个。</w:t>
      </w:r>
      <w:r>
        <w:rPr>
          <w:rFonts w:hint="eastAsia" w:ascii="Times New Roman" w:hAnsi="Times New Roman" w:eastAsia="新宋体" w:cs="Times New Roman"/>
          <w:sz w:val="28"/>
          <w:szCs w:val="28"/>
          <w:highlight w:val="none"/>
          <w:shd w:val="clear"/>
          <w:lang w:val="en-US" w:eastAsia="zh-CN"/>
        </w:rPr>
        <w:t>寻甸回族彝族</w:t>
      </w:r>
      <w:r>
        <w:rPr>
          <w:rFonts w:hint="default" w:ascii="Times New Roman" w:hAnsi="Times New Roman" w:eastAsia="新宋体" w:cs="Times New Roman"/>
          <w:sz w:val="28"/>
          <w:szCs w:val="28"/>
          <w:highlight w:val="none"/>
          <w:shd w:val="clear"/>
          <w:lang w:val="en-US" w:eastAsia="zh-CN"/>
        </w:rPr>
        <w:t>自治县设置交通监测点位2</w:t>
      </w:r>
      <w:r>
        <w:rPr>
          <w:rFonts w:hint="eastAsia" w:ascii="Times New Roman" w:hAnsi="Times New Roman" w:eastAsia="新宋体" w:cs="Times New Roman"/>
          <w:sz w:val="28"/>
          <w:szCs w:val="28"/>
          <w:highlight w:val="none"/>
          <w:shd w:val="clear"/>
          <w:lang w:val="en-US" w:eastAsia="zh-CN"/>
        </w:rPr>
        <w:t>0</w:t>
      </w:r>
      <w:r>
        <w:rPr>
          <w:rFonts w:hint="default" w:ascii="Times New Roman" w:hAnsi="Times New Roman" w:eastAsia="新宋体" w:cs="Times New Roman"/>
          <w:sz w:val="28"/>
          <w:szCs w:val="28"/>
          <w:highlight w:val="none"/>
          <w:shd w:val="clear"/>
          <w:lang w:val="en-US" w:eastAsia="zh-CN"/>
        </w:rPr>
        <w:t>个，一个测点可代表一条或多条相近的道路。测点选在路段两路口之间，距任一路口的距离大于50m，路段不足100m的选路段中点，测点位于人行道上距路面（含慢车道）20cm处，监测点位高度距地面为1.2—6.0m。测点应避开非道路交通源的干扰。</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03" w:name="_Toc9837"/>
      <w:bookmarkStart w:id="104" w:name="_Toc13538"/>
      <w:bookmarkStart w:id="105" w:name="_Toc2535"/>
      <w:r>
        <w:rPr>
          <w:rFonts w:hint="eastAsia" w:ascii="Times New Roman" w:hAnsi="Times New Roman" w:eastAsia="宋体" w:cs="Times New Roman"/>
          <w:b/>
          <w:bCs/>
          <w:sz w:val="28"/>
          <w:szCs w:val="28"/>
          <w:lang w:val="en-US" w:eastAsia="zh-CN"/>
        </w:rPr>
        <w:t xml:space="preserve">3.3.3 </w:t>
      </w:r>
      <w:r>
        <w:rPr>
          <w:rFonts w:hint="default" w:ascii="Times New Roman" w:hAnsi="Times New Roman" w:eastAsia="宋体" w:cs="Times New Roman"/>
          <w:b/>
          <w:bCs/>
          <w:sz w:val="28"/>
          <w:szCs w:val="28"/>
          <w:lang w:val="en-US" w:eastAsia="zh-CN"/>
        </w:rPr>
        <w:t>道路交通监测的频次、时间与测量量</w:t>
      </w:r>
      <w:bookmarkEnd w:id="103"/>
      <w:bookmarkEnd w:id="104"/>
      <w:bookmarkEnd w:id="105"/>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 xml:space="preserve">昼间监测每年1次，监测在昼间正常工作时段内测量，测量时段应覆盖整个正常工作时段。夜间监测每五年1次，在每个五年计划的第三年监测，监测从夜间起始时间开始，测量时段应覆盖整个夜间时段。 监测工作应安排在每年的春季或秋季，每个城市监测时间应固定，监测应避开节假日和非正常工作日。 </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eastAsiaTheme="minorEastAsia"/>
          <w:b w:val="0"/>
          <w:bCs w:val="0"/>
          <w:color w:val="auto"/>
          <w:sz w:val="28"/>
          <w:szCs w:val="28"/>
        </w:rPr>
      </w:pPr>
      <w:r>
        <w:rPr>
          <w:rFonts w:hint="default" w:ascii="Times New Roman" w:hAnsi="Times New Roman" w:cs="Times New Roman" w:eastAsiaTheme="minorEastAsia"/>
          <w:b w:val="0"/>
          <w:bCs w:val="0"/>
          <w:color w:val="auto"/>
          <w:sz w:val="28"/>
          <w:szCs w:val="28"/>
        </w:rPr>
        <w:t>城市道路交通监测点位20个，涉及县城主要交通干道</w:t>
      </w:r>
      <w:r>
        <w:rPr>
          <w:rFonts w:hint="default" w:ascii="Times New Roman" w:hAnsi="Times New Roman" w:cs="Times New Roman" w:eastAsiaTheme="minorEastAsia"/>
          <w:b w:val="0"/>
          <w:bCs w:val="0"/>
          <w:color w:val="auto"/>
          <w:sz w:val="28"/>
          <w:szCs w:val="28"/>
          <w:lang w:val="en-US" w:eastAsia="zh-CN"/>
        </w:rPr>
        <w:t>9</w:t>
      </w:r>
      <w:r>
        <w:rPr>
          <w:rFonts w:hint="default" w:ascii="Times New Roman" w:hAnsi="Times New Roman" w:cs="Times New Roman" w:eastAsiaTheme="minorEastAsia"/>
          <w:b w:val="0"/>
          <w:bCs w:val="0"/>
          <w:color w:val="auto"/>
          <w:sz w:val="28"/>
          <w:szCs w:val="28"/>
        </w:rPr>
        <w:t>条。在昼间（夜间）测量时段内</w:t>
      </w:r>
      <w:r>
        <w:rPr>
          <w:rFonts w:hint="eastAsia" w:ascii="Times New Roman" w:hAnsi="Times New Roman" w:cs="Times New Roman" w:eastAsiaTheme="minorEastAsia"/>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分别测量每个测点20min的昼间（夜间）等效声级Leq，最大声级L</w:t>
      </w:r>
      <w:r>
        <w:rPr>
          <w:rFonts w:hint="default" w:ascii="Times New Roman" w:hAnsi="Times New Roman" w:cs="Times New Roman" w:eastAsiaTheme="minorEastAsia"/>
          <w:b w:val="0"/>
          <w:bCs w:val="0"/>
          <w:color w:val="auto"/>
          <w:sz w:val="28"/>
          <w:szCs w:val="28"/>
          <w:vertAlign w:val="subscript"/>
        </w:rPr>
        <w:t>max</w:t>
      </w:r>
      <w:r>
        <w:rPr>
          <w:rFonts w:hint="default" w:ascii="Times New Roman" w:hAnsi="Times New Roman" w:cs="Times New Roman" w:eastAsiaTheme="minorEastAsia"/>
          <w:b w:val="0"/>
          <w:bCs w:val="0"/>
          <w:color w:val="auto"/>
          <w:sz w:val="28"/>
          <w:szCs w:val="28"/>
        </w:rPr>
        <w:t>、最小声级L</w:t>
      </w:r>
      <w:r>
        <w:rPr>
          <w:rFonts w:hint="default" w:ascii="Times New Roman" w:hAnsi="Times New Roman" w:cs="Times New Roman" w:eastAsiaTheme="minorEastAsia"/>
          <w:b w:val="0"/>
          <w:bCs w:val="0"/>
          <w:color w:val="auto"/>
          <w:sz w:val="28"/>
          <w:szCs w:val="28"/>
          <w:vertAlign w:val="subscript"/>
        </w:rPr>
        <w:t>min</w:t>
      </w:r>
      <w:r>
        <w:rPr>
          <w:rFonts w:hint="default" w:ascii="Times New Roman" w:hAnsi="Times New Roman" w:cs="Times New Roman" w:eastAsiaTheme="minorEastAsia"/>
          <w:b w:val="0"/>
          <w:bCs w:val="0"/>
          <w:color w:val="auto"/>
          <w:sz w:val="28"/>
          <w:szCs w:val="28"/>
        </w:rPr>
        <w:t>以及累积百分声级L</w:t>
      </w:r>
      <w:r>
        <w:rPr>
          <w:rFonts w:hint="default" w:ascii="Times New Roman" w:hAnsi="Times New Roman" w:cs="Times New Roman" w:eastAsiaTheme="minorEastAsia"/>
          <w:b w:val="0"/>
          <w:bCs w:val="0"/>
          <w:color w:val="auto"/>
          <w:sz w:val="28"/>
          <w:szCs w:val="28"/>
          <w:vertAlign w:val="subscript"/>
        </w:rPr>
        <w:t>10</w:t>
      </w:r>
      <w:r>
        <w:rPr>
          <w:rFonts w:hint="default" w:ascii="Times New Roman" w:hAnsi="Times New Roman" w:cs="Times New Roman" w:eastAsiaTheme="minorEastAsia"/>
          <w:b w:val="0"/>
          <w:bCs w:val="0"/>
          <w:color w:val="auto"/>
          <w:sz w:val="28"/>
          <w:szCs w:val="28"/>
        </w:rPr>
        <w:t>、L</w:t>
      </w:r>
      <w:r>
        <w:rPr>
          <w:rFonts w:hint="default" w:ascii="Times New Roman" w:hAnsi="Times New Roman" w:cs="Times New Roman" w:eastAsiaTheme="minorEastAsia"/>
          <w:b w:val="0"/>
          <w:bCs w:val="0"/>
          <w:color w:val="auto"/>
          <w:sz w:val="28"/>
          <w:szCs w:val="28"/>
          <w:vertAlign w:val="subscript"/>
        </w:rPr>
        <w:t>50</w:t>
      </w:r>
      <w:r>
        <w:rPr>
          <w:rFonts w:hint="default" w:ascii="Times New Roman" w:hAnsi="Times New Roman" w:cs="Times New Roman" w:eastAsiaTheme="minorEastAsia"/>
          <w:b w:val="0"/>
          <w:bCs w:val="0"/>
          <w:color w:val="auto"/>
          <w:sz w:val="28"/>
          <w:szCs w:val="28"/>
        </w:rPr>
        <w:t>、L</w:t>
      </w:r>
      <w:r>
        <w:rPr>
          <w:rFonts w:hint="default" w:ascii="Times New Roman" w:hAnsi="Times New Roman" w:cs="Times New Roman" w:eastAsiaTheme="minorEastAsia"/>
          <w:b w:val="0"/>
          <w:bCs w:val="0"/>
          <w:color w:val="auto"/>
          <w:sz w:val="28"/>
          <w:szCs w:val="28"/>
          <w:vertAlign w:val="subscript"/>
        </w:rPr>
        <w:t>90</w:t>
      </w:r>
      <w:r>
        <w:rPr>
          <w:rFonts w:hint="default" w:ascii="Times New Roman" w:hAnsi="Times New Roman" w:cs="Times New Roman" w:eastAsiaTheme="minorEastAsia"/>
          <w:b w:val="0"/>
          <w:bCs w:val="0"/>
          <w:color w:val="auto"/>
          <w:sz w:val="28"/>
          <w:szCs w:val="28"/>
        </w:rPr>
        <w:t>和标准偏差（SD），分类（大型车、中小型车）记录车流量（辆/20min）。</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eastAsiaTheme="minorEastAsia"/>
          <w:b w:val="0"/>
          <w:bCs w:val="0"/>
          <w:color w:val="auto"/>
          <w:sz w:val="28"/>
          <w:szCs w:val="28"/>
        </w:rPr>
      </w:pPr>
      <w:r>
        <w:rPr>
          <w:rFonts w:hint="default" w:ascii="Times New Roman" w:hAnsi="Times New Roman" w:cs="Times New Roman" w:eastAsiaTheme="minorEastAsia"/>
          <w:b w:val="0"/>
          <w:bCs w:val="0"/>
          <w:color w:val="auto"/>
          <w:sz w:val="28"/>
          <w:szCs w:val="28"/>
        </w:rPr>
        <w:t>道路交通噪声强度级别按《环境噪声检测技术规范</w:t>
      </w:r>
      <w:r>
        <w:rPr>
          <w:rFonts w:hint="eastAsia" w:ascii="Times New Roman" w:hAnsi="Times New Roman" w:cs="Times New Roman"/>
          <w:b w:val="0"/>
          <w:bCs w:val="0"/>
          <w:color w:val="auto"/>
          <w:sz w:val="28"/>
          <w:szCs w:val="28"/>
          <w:lang w:val="en-US" w:eastAsia="zh-CN"/>
        </w:rPr>
        <w:t xml:space="preserve"> </w:t>
      </w:r>
      <w:r>
        <w:rPr>
          <w:rFonts w:hint="default" w:ascii="Times New Roman" w:hAnsi="Times New Roman" w:cs="Times New Roman" w:eastAsiaTheme="minorEastAsia"/>
          <w:b w:val="0"/>
          <w:bCs w:val="0"/>
          <w:color w:val="auto"/>
          <w:sz w:val="28"/>
          <w:szCs w:val="28"/>
        </w:rPr>
        <w:t>城市声环境常规监测》HJ640-2012（2012年12月03日发布）表2进行评价。</w:t>
      </w: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cs="Times New Roman" w:eastAsiaTheme="minorEastAsia"/>
          <w:b w:val="0"/>
          <w:bCs w:val="0"/>
          <w:color w:val="auto"/>
          <w:sz w:val="28"/>
          <w:szCs w:val="28"/>
        </w:rPr>
        <w:t>道路交通监测目的是反映道路交通噪声源的噪声强度，分析道路交通噪声声级与车流量、路况等关系及变化规律，分析城市道路交通噪声的年度变化规律和变化趋势。</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06" w:name="_Toc10074"/>
      <w:bookmarkStart w:id="107" w:name="_Toc5294"/>
      <w:bookmarkStart w:id="108" w:name="_Toc32261"/>
      <w:r>
        <w:rPr>
          <w:rFonts w:hint="eastAsia" w:ascii="Times New Roman" w:hAnsi="Times New Roman" w:eastAsia="宋体" w:cs="Times New Roman"/>
          <w:b/>
          <w:bCs/>
          <w:sz w:val="28"/>
          <w:szCs w:val="28"/>
          <w:lang w:val="en-US" w:eastAsia="zh-CN"/>
        </w:rPr>
        <w:t xml:space="preserve">3.3.4 </w:t>
      </w:r>
      <w:r>
        <w:rPr>
          <w:rFonts w:hint="default" w:ascii="Times New Roman" w:hAnsi="Times New Roman" w:eastAsia="宋体" w:cs="Times New Roman"/>
          <w:b/>
          <w:bCs/>
          <w:sz w:val="28"/>
          <w:szCs w:val="28"/>
          <w:lang w:val="en-US" w:eastAsia="zh-CN"/>
        </w:rPr>
        <w:t>道路交通监测的结果与评价</w:t>
      </w:r>
      <w:bookmarkEnd w:id="106"/>
      <w:bookmarkEnd w:id="107"/>
      <w:bookmarkEnd w:id="108"/>
      <w:r>
        <w:rPr>
          <w:rFonts w:hint="default" w:ascii="Times New Roman" w:hAnsi="Times New Roman" w:eastAsia="宋体" w:cs="Times New Roman"/>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 xml:space="preserve">将道路交通噪声监测的等效声级采用路段长度加权算术平均法，按式（2）计算城市道路交通噪声平均值。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28"/>
          <w:sz w:val="28"/>
          <w:szCs w:val="28"/>
          <w:highlight w:val="none"/>
          <w:shd w:val="clear"/>
          <w:lang w:val="en-US" w:eastAsia="zh-CN"/>
        </w:rPr>
        <w:object>
          <v:shape id="_x0000_i1031" o:spt="75" type="#_x0000_t75" style="height:34pt;width:69pt;" o:ole="t" filled="f" o:preferrelative="t" stroked="f" coordsize="21600,21600">
            <v:path/>
            <v:fill on="f" focussize="0,0"/>
            <v:stroke on="f"/>
            <v:imagedata r:id="rId31" o:title=""/>
            <o:lock v:ext="edit" aspectratio="t"/>
            <w10:wrap type="none"/>
            <w10:anchorlock/>
          </v:shape>
          <o:OLEObject Type="Embed" ProgID="Equation.KSEE3" ShapeID="_x0000_i1031" DrawAspect="Content" ObjectID="_1468075731" r:id="rId30">
            <o:LockedField>false</o:LockedField>
          </o:OLEObject>
        </w:object>
      </w:r>
      <w:r>
        <w:rPr>
          <w:rFonts w:hint="default" w:ascii="Times New Roman" w:hAnsi="Times New Roman" w:eastAsia="新宋体" w:cs="Times New Roman"/>
          <w:sz w:val="28"/>
          <w:szCs w:val="28"/>
          <w:highlight w:val="none"/>
          <w:shd w:val="clear"/>
          <w:lang w:val="en-US" w:eastAsia="zh-CN"/>
        </w:rPr>
        <w:t>…………………………… (2)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式中：</w:t>
      </w:r>
      <w:r>
        <w:rPr>
          <w:rFonts w:hint="default" w:ascii="Times New Roman" w:hAnsi="Times New Roman" w:eastAsia="新宋体" w:cs="Times New Roman"/>
          <w:position w:val="-4"/>
          <w:sz w:val="28"/>
          <w:szCs w:val="28"/>
          <w:highlight w:val="none"/>
          <w:shd w:val="clear"/>
          <w:lang w:val="en-US" w:eastAsia="zh-CN"/>
        </w:rPr>
        <w:object>
          <v:shape id="_x0000_i1032" o:spt="75" type="#_x0000_t75" style="height:13pt;width:11pt;" o:ole="t" filled="f" o:preferrelative="t" stroked="f" coordsize="21600,21600">
            <v:path/>
            <v:fill on="f" focussize="0,0"/>
            <v:stroke on="f"/>
            <v:imagedata r:id="rId33" o:title=""/>
            <o:lock v:ext="edit" aspectratio="t"/>
            <w10:wrap type="none"/>
            <w10:anchorlock/>
          </v:shape>
          <o:OLEObject Type="Embed" ProgID="Equation.KSEE3" ShapeID="_x0000_i1032" DrawAspect="Content" ObjectID="_1468075732" r:id="rId32">
            <o:LockedField>false</o:LockedField>
          </o:OLEObject>
        </w:object>
      </w:r>
      <w:r>
        <w:rPr>
          <w:rFonts w:hint="default" w:ascii="Times New Roman" w:hAnsi="Times New Roman" w:eastAsia="新宋体" w:cs="Times New Roman"/>
          <w:sz w:val="28"/>
          <w:szCs w:val="28"/>
          <w:highlight w:val="none"/>
          <w:shd w:val="clear"/>
          <w:lang w:val="en-US" w:eastAsia="zh-CN"/>
        </w:rPr>
        <w:t xml:space="preserve">—— 道路交通噪声平均等效声级，dB（A）；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00" w:firstLineChars="5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6"/>
          <w:sz w:val="28"/>
          <w:szCs w:val="28"/>
          <w:highlight w:val="none"/>
          <w:shd w:val="clear"/>
          <w:lang w:val="en-US" w:eastAsia="zh-CN"/>
        </w:rPr>
        <w:object>
          <v:shape id="_x0000_i1033" o:spt="75" type="#_x0000_t75" style="height:13.95pt;width:6.95pt;" o:ole="t" filled="f" o:preferrelative="t" stroked="f" coordsize="21600,21600">
            <v:path/>
            <v:fill on="f" focussize="0,0"/>
            <v:stroke on="f"/>
            <v:imagedata r:id="rId35" o:title=""/>
            <o:lock v:ext="edit" aspectratio="t"/>
            <w10:wrap type="none"/>
            <w10:anchorlock/>
          </v:shape>
          <o:OLEObject Type="Embed" ProgID="Equation.KSEE3" ShapeID="_x0000_i1033" DrawAspect="Content" ObjectID="_1468075733" r:id="rId34">
            <o:LockedField>false</o:LockedField>
          </o:OLEObject>
        </w:object>
      </w:r>
      <w:r>
        <w:rPr>
          <w:rFonts w:hint="default" w:ascii="Times New Roman" w:hAnsi="Times New Roman" w:eastAsia="新宋体" w:cs="Times New Roman"/>
          <w:sz w:val="28"/>
          <w:szCs w:val="28"/>
          <w:highlight w:val="none"/>
          <w:shd w:val="clear"/>
          <w:lang w:val="en-US" w:eastAsia="zh-CN"/>
        </w:rPr>
        <w:t xml:space="preserve"> —— 监测的路段总长， 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00" w:firstLineChars="5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6"/>
          <w:sz w:val="28"/>
          <w:szCs w:val="28"/>
          <w:highlight w:val="none"/>
          <w:shd w:val="clear"/>
          <w:lang w:val="en-US" w:eastAsia="zh-CN"/>
        </w:rPr>
        <w:object>
          <v:shape id="_x0000_i1034" o:spt="75" type="#_x0000_t75" style="height:13.95pt;width:9pt;" o:ole="t" filled="f" o:preferrelative="t" stroked="f" coordsize="21600,21600">
            <v:path/>
            <v:fill on="f" focussize="0,0"/>
            <v:stroke on="f"/>
            <v:imagedata r:id="rId37" o:title=""/>
            <o:lock v:ext="edit" aspectratio="t"/>
            <w10:wrap type="none"/>
            <w10:anchorlock/>
          </v:shape>
          <o:OLEObject Type="Embed" ProgID="Equation.KSEE3" ShapeID="_x0000_i1034" DrawAspect="Content" ObjectID="_1468075734" r:id="rId36">
            <o:LockedField>false</o:LockedField>
          </o:OLEObject>
        </w:object>
      </w:r>
      <w:r>
        <w:rPr>
          <w:rFonts w:hint="default" w:ascii="Times New Roman" w:hAnsi="Times New Roman" w:eastAsia="新宋体" w:cs="Times New Roman"/>
          <w:sz w:val="28"/>
          <w:szCs w:val="28"/>
          <w:highlight w:val="none"/>
          <w:shd w:val="clear"/>
          <w:lang w:val="en-US" w:eastAsia="zh-CN"/>
        </w:rPr>
        <w:t xml:space="preserve"> —— 第</w:t>
      </w:r>
      <w:r>
        <w:rPr>
          <w:rFonts w:hint="default" w:ascii="Times New Roman" w:hAnsi="Times New Roman" w:eastAsia="新宋体" w:cs="Times New Roman"/>
          <w:position w:val="-6"/>
          <w:sz w:val="28"/>
          <w:szCs w:val="28"/>
          <w:highlight w:val="none"/>
          <w:shd w:val="clear"/>
          <w:lang w:val="en-US" w:eastAsia="zh-CN"/>
        </w:rPr>
        <w:object>
          <v:shape id="_x0000_i1035" o:spt="75" type="#_x0000_t75" style="height:13pt;width:6.95pt;" o:ole="t" filled="f" o:preferrelative="t" stroked="f" coordsize="21600,21600">
            <v:path/>
            <v:fill on="f" focussize="0,0"/>
            <v:stroke on="f"/>
            <v:imagedata r:id="rId39" o:title=""/>
            <o:lock v:ext="edit" aspectratio="t"/>
            <w10:wrap type="none"/>
            <w10:anchorlock/>
          </v:shape>
          <o:OLEObject Type="Embed" ProgID="Equation.KSEE3" ShapeID="_x0000_i1035" DrawAspect="Content" ObjectID="_1468075735" r:id="rId38">
            <o:LockedField>false</o:LockedField>
          </o:OLEObject>
        </w:object>
      </w:r>
      <w:r>
        <w:rPr>
          <w:rFonts w:hint="default" w:ascii="Times New Roman" w:hAnsi="Times New Roman" w:eastAsia="新宋体" w:cs="Times New Roman"/>
          <w:sz w:val="28"/>
          <w:szCs w:val="28"/>
          <w:highlight w:val="none"/>
          <w:shd w:val="clear"/>
          <w:lang w:val="en-US" w:eastAsia="zh-CN"/>
        </w:rPr>
        <w:t xml:space="preserve">测点代表的路段长度，m；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1400" w:firstLineChars="5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position w:val="-6"/>
          <w:sz w:val="28"/>
          <w:szCs w:val="28"/>
          <w:highlight w:val="none"/>
          <w:shd w:val="clear"/>
          <w:lang w:val="en-US" w:eastAsia="zh-CN"/>
        </w:rPr>
        <w:object>
          <v:shape id="_x0000_i1036" o:spt="75" type="#_x0000_t75" style="height:13.95pt;width:13pt;" o:ole="t" filled="f" o:preferrelative="t" stroked="f" coordsize="21600,21600">
            <v:path/>
            <v:fill on="f" focussize="0,0"/>
            <v:stroke on="f"/>
            <v:imagedata r:id="rId41" o:title=""/>
            <o:lock v:ext="edit" aspectratio="t"/>
            <w10:wrap type="none"/>
            <w10:anchorlock/>
          </v:shape>
          <o:OLEObject Type="Embed" ProgID="Equation.KSEE3" ShapeID="_x0000_i1036" DrawAspect="Content" ObjectID="_1468075736" r:id="rId40">
            <o:LockedField>false</o:LockedField>
          </o:OLEObject>
        </w:object>
      </w:r>
      <w:r>
        <w:rPr>
          <w:rFonts w:hint="default" w:ascii="Times New Roman" w:hAnsi="Times New Roman" w:eastAsia="新宋体" w:cs="Times New Roman"/>
          <w:sz w:val="28"/>
          <w:szCs w:val="28"/>
          <w:highlight w:val="none"/>
          <w:shd w:val="clear"/>
          <w:lang w:val="en-US" w:eastAsia="zh-CN"/>
        </w:rPr>
        <w:t xml:space="preserve"> —— 第</w:t>
      </w:r>
      <w:r>
        <w:rPr>
          <w:rFonts w:hint="default" w:ascii="Times New Roman" w:hAnsi="Times New Roman" w:eastAsia="新宋体" w:cs="Times New Roman"/>
          <w:position w:val="-6"/>
          <w:sz w:val="28"/>
          <w:szCs w:val="28"/>
          <w:highlight w:val="none"/>
          <w:shd w:val="clear"/>
          <w:lang w:val="en-US" w:eastAsia="zh-CN"/>
        </w:rPr>
        <w:object>
          <v:shape id="_x0000_i1037" o:spt="75" type="#_x0000_t75" style="height:13pt;width:6.95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42">
            <o:LockedField>false</o:LockedField>
          </o:OLEObject>
        </w:object>
      </w:r>
      <w:r>
        <w:rPr>
          <w:rFonts w:hint="default" w:ascii="Times New Roman" w:hAnsi="Times New Roman" w:eastAsia="新宋体" w:cs="Times New Roman"/>
          <w:sz w:val="28"/>
          <w:szCs w:val="28"/>
          <w:highlight w:val="none"/>
          <w:shd w:val="clear"/>
          <w:lang w:val="en-US" w:eastAsia="zh-CN"/>
        </w:rPr>
        <w:t>测点测得的等效声级</w:t>
      </w:r>
      <w:r>
        <w:rPr>
          <w:rFonts w:hint="default" w:ascii="Times New Roman" w:hAnsi="Times New Roman" w:eastAsia="新宋体" w:cs="Times New Roman"/>
          <w:position w:val="-8"/>
          <w:sz w:val="28"/>
          <w:szCs w:val="28"/>
          <w:highlight w:val="none"/>
          <w:shd w:val="clear"/>
          <w:lang w:val="en-US" w:eastAsia="zh-CN"/>
        </w:rPr>
        <w:object>
          <v:shape id="_x0000_i1038" o:spt="75" type="#_x0000_t75" style="height:15pt;width:18pt;" o:ole="t" filled="f" o:preferrelative="t" stroked="f" coordsize="21600,21600">
            <v:path/>
            <v:fill on="f" focussize="0,0"/>
            <v:stroke on="f"/>
            <v:imagedata r:id="rId44" o:title=""/>
            <o:lock v:ext="edit" aspectratio="t"/>
            <w10:wrap type="none"/>
            <w10:anchorlock/>
          </v:shape>
          <o:OLEObject Type="Embed" ProgID="Equation.KSEE3" ShapeID="_x0000_i1038" DrawAspect="Content" ObjectID="_1468075738" r:id="rId43">
            <o:LockedField>false</o:LockedField>
          </o:OLEObject>
        </w:object>
      </w:r>
      <w:r>
        <w:rPr>
          <w:rFonts w:hint="default" w:ascii="Times New Roman" w:hAnsi="Times New Roman" w:eastAsia="新宋体" w:cs="Times New Roman"/>
          <w:sz w:val="28"/>
          <w:szCs w:val="28"/>
          <w:highlight w:val="none"/>
          <w:shd w:val="clear"/>
          <w:lang w:val="en-US" w:eastAsia="zh-CN"/>
        </w:rPr>
        <w:t>，dB（A）。</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道路交通噪声强度级别按</w:t>
      </w:r>
      <w:r>
        <w:rPr>
          <w:rFonts w:hint="eastAsia" w:ascii="Times New Roman" w:hAnsi="Times New Roman" w:eastAsia="新宋体" w:cs="Times New Roman"/>
          <w:sz w:val="28"/>
          <w:szCs w:val="28"/>
          <w:highlight w:val="none"/>
          <w:shd w:val="clear"/>
          <w:lang w:val="en-US" w:eastAsia="zh-CN"/>
        </w:rPr>
        <w:t>下表</w:t>
      </w:r>
      <w:r>
        <w:rPr>
          <w:rFonts w:hint="default" w:ascii="Times New Roman" w:hAnsi="Times New Roman" w:eastAsia="新宋体" w:cs="Times New Roman"/>
          <w:sz w:val="28"/>
          <w:szCs w:val="28"/>
          <w:highlight w:val="none"/>
          <w:shd w:val="clear"/>
          <w:lang w:val="en-US" w:eastAsia="zh-CN"/>
        </w:rPr>
        <w:t xml:space="preserve">进行评价。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表 3.3-1  道路交通噪声强度等级划分 </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26"/>
        <w:gridCol w:w="1069"/>
        <w:gridCol w:w="1410"/>
        <w:gridCol w:w="1410"/>
        <w:gridCol w:w="1408"/>
        <w:gridCol w:w="153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7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等级</w:t>
            </w:r>
          </w:p>
        </w:tc>
        <w:tc>
          <w:tcPr>
            <w:tcW w:w="10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一级</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二级</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三级</w:t>
            </w:r>
          </w:p>
        </w:tc>
        <w:tc>
          <w:tcPr>
            <w:tcW w:w="14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四级</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五级</w:t>
            </w:r>
          </w:p>
        </w:tc>
        <w:tc>
          <w:tcPr>
            <w:tcW w:w="951" w:type="dxa"/>
            <w:vMerge w:val="restart"/>
            <w:tcBorders>
              <w:tl2br w:val="nil"/>
              <w:tr2bl w:val="nil"/>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新宋体" w:cs="Times New Roman"/>
                <w:sz w:val="24"/>
                <w:szCs w:val="24"/>
                <w:highlight w:val="none"/>
                <w:shd w:val="clear"/>
                <w:vertAlign w:val="baseline"/>
                <w:lang w:val="en-US" w:eastAsia="zh-CN"/>
              </w:rPr>
            </w:pPr>
            <w:r>
              <w:rPr>
                <w:rFonts w:hint="default" w:ascii="Times New Roman" w:hAnsi="Times New Roman" w:eastAsia="新宋体" w:cs="Times New Roman"/>
                <w:sz w:val="24"/>
                <w:szCs w:val="24"/>
                <w:highlight w:val="none"/>
                <w:shd w:val="clear"/>
                <w:vertAlign w:val="baseli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9"/>
              <w:rPr>
                <w:rFonts w:hint="default" w:ascii="Times New Roman" w:hAnsi="Times New Roman" w:eastAsia="新宋体" w:cs="Times New Roman"/>
                <w:sz w:val="24"/>
                <w:szCs w:val="24"/>
                <w:highlight w:val="none"/>
                <w:shd w:val="clear"/>
                <w:vertAlign w:val="baseline"/>
                <w:lang w:val="en-US" w:eastAsia="zh-CN"/>
              </w:rPr>
            </w:pPr>
            <w:r>
              <w:rPr>
                <w:rFonts w:hint="default" w:ascii="Times New Roman" w:hAnsi="Times New Roman" w:eastAsia="新宋体" w:cs="Times New Roman"/>
                <w:sz w:val="24"/>
                <w:szCs w:val="24"/>
                <w:highlight w:val="none"/>
                <w:shd w:val="clear"/>
                <w:vertAlign w:val="baseline"/>
                <w:lang w:val="en-US" w:eastAsia="zh-CN"/>
              </w:rPr>
              <w:t>dB</w:t>
            </w:r>
            <w:r>
              <w:rPr>
                <w:rFonts w:hint="eastAsia" w:ascii="Times New Roman" w:hAnsi="Times New Roman" w:eastAsia="新宋体" w:cs="Times New Roman"/>
                <w:sz w:val="24"/>
                <w:szCs w:val="24"/>
                <w:highlight w:val="none"/>
                <w:shd w:val="clear"/>
                <w:vertAlign w:val="baseline"/>
                <w:lang w:val="en-US" w:eastAsia="zh-CN"/>
              </w:rPr>
              <w:t>(</w:t>
            </w:r>
            <w:r>
              <w:rPr>
                <w:rFonts w:hint="default" w:ascii="Times New Roman" w:hAnsi="Times New Roman" w:eastAsia="新宋体" w:cs="Times New Roman"/>
                <w:sz w:val="24"/>
                <w:szCs w:val="24"/>
                <w:highlight w:val="none"/>
                <w:shd w:val="clear"/>
                <w:vertAlign w:val="baseline"/>
                <w:lang w:val="en-US" w:eastAsia="zh-CN"/>
              </w:rPr>
              <w:t>A</w:t>
            </w:r>
            <w:r>
              <w:rPr>
                <w:rFonts w:hint="eastAsia" w:ascii="Times New Roman" w:hAnsi="Times New Roman" w:eastAsia="新宋体" w:cs="Times New Roman"/>
                <w:sz w:val="24"/>
                <w:szCs w:val="24"/>
                <w:highlight w:val="none"/>
                <w:shd w:val="clear"/>
                <w:vertAlign w:val="baseline"/>
                <w:lang w:val="en-US" w:eastAsia="zh-CN"/>
              </w:rPr>
              <w:t>)</w:t>
            </w:r>
          </w:p>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昼间</w:t>
            </w:r>
          </w:p>
        </w:tc>
        <w:tc>
          <w:tcPr>
            <w:tcW w:w="10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≤68.0</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68.1</w:t>
            </w:r>
            <w:r>
              <w:rPr>
                <w:rStyle w:val="14"/>
                <w:rFonts w:hint="default" w:ascii="Times New Roman" w:hAnsi="Times New Roman" w:eastAsia="新宋体" w:cs="Times New Roman"/>
                <w:b w:val="0"/>
                <w:bCs w:val="0"/>
                <w:sz w:val="24"/>
                <w:szCs w:val="24"/>
                <w:highlight w:val="none"/>
                <w:vertAlign w:val="baseline"/>
                <w:lang w:val="en-US" w:eastAsia="zh-CN" w:bidi="ar"/>
              </w:rPr>
              <w:t>～70.0</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Style w:val="14"/>
                <w:rFonts w:hint="default" w:ascii="Times New Roman" w:hAnsi="Times New Roman" w:eastAsia="新宋体" w:cs="Times New Roman"/>
                <w:b w:val="0"/>
                <w:bCs w:val="0"/>
                <w:sz w:val="24"/>
                <w:szCs w:val="24"/>
                <w:highlight w:val="none"/>
                <w:vertAlign w:val="baseline"/>
                <w:lang w:val="en-US" w:eastAsia="zh-CN" w:bidi="ar"/>
              </w:rPr>
              <w:t>70.1～72.0</w:t>
            </w:r>
          </w:p>
        </w:tc>
        <w:tc>
          <w:tcPr>
            <w:tcW w:w="14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Style w:val="14"/>
                <w:rFonts w:hint="default" w:ascii="Times New Roman" w:hAnsi="Times New Roman" w:eastAsia="新宋体" w:cs="Times New Roman"/>
                <w:b w:val="0"/>
                <w:bCs w:val="0"/>
                <w:sz w:val="24"/>
                <w:szCs w:val="24"/>
                <w:highlight w:val="none"/>
                <w:vertAlign w:val="baseline"/>
                <w:lang w:val="en-US" w:eastAsia="zh-CN" w:bidi="ar"/>
              </w:rPr>
              <w:t>72.1～74.0</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≥74.0</w:t>
            </w:r>
          </w:p>
        </w:tc>
        <w:tc>
          <w:tcPr>
            <w:tcW w:w="951" w:type="dxa"/>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72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夜间</w:t>
            </w:r>
          </w:p>
        </w:tc>
        <w:tc>
          <w:tcPr>
            <w:tcW w:w="10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≤58.0</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58.1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vertAlign w:val="baseline"/>
                <w:lang w:val="en-US" w:eastAsia="zh-CN" w:bidi="ar"/>
              </w:rPr>
              <w:t>60.0</w:t>
            </w:r>
          </w:p>
        </w:tc>
        <w:tc>
          <w:tcPr>
            <w:tcW w:w="141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60.1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vertAlign w:val="baseline"/>
                <w:lang w:val="en-US" w:eastAsia="zh-CN" w:bidi="ar"/>
              </w:rPr>
              <w:t>62</w:t>
            </w:r>
          </w:p>
        </w:tc>
        <w:tc>
          <w:tcPr>
            <w:tcW w:w="140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62.1</w:t>
            </w:r>
            <w:r>
              <w:rPr>
                <w:rStyle w:val="14"/>
                <w:rFonts w:hint="default" w:ascii="Times New Roman" w:hAnsi="Times New Roman" w:eastAsia="新宋体" w:cs="Times New Roman"/>
                <w:b w:val="0"/>
                <w:bCs w:val="0"/>
                <w:sz w:val="24"/>
                <w:szCs w:val="24"/>
                <w:highlight w:val="none"/>
                <w:vertAlign w:val="baseline"/>
                <w:lang w:val="en-US" w:eastAsia="zh-CN" w:bidi="ar"/>
              </w:rPr>
              <w:t>～</w:t>
            </w:r>
            <w:r>
              <w:rPr>
                <w:rStyle w:val="15"/>
                <w:rFonts w:hint="default" w:ascii="Times New Roman" w:hAnsi="Times New Roman" w:eastAsia="新宋体" w:cs="Times New Roman"/>
                <w:b w:val="0"/>
                <w:bCs w:val="0"/>
                <w:sz w:val="24"/>
                <w:szCs w:val="24"/>
                <w:highlight w:val="none"/>
                <w:vertAlign w:val="baseline"/>
                <w:lang w:val="en-US" w:eastAsia="zh-CN" w:bidi="ar"/>
              </w:rPr>
              <w:t>64</w:t>
            </w:r>
          </w:p>
        </w:tc>
        <w:tc>
          <w:tcPr>
            <w:tcW w:w="153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sz w:val="24"/>
                <w:szCs w:val="24"/>
                <w:highlight w:val="none"/>
                <w:u w:val="none"/>
                <w:vertAlign w:val="baseline"/>
                <w:lang w:val="en-US"/>
              </w:rPr>
            </w:pPr>
            <w:r>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t>≥64</w:t>
            </w:r>
          </w:p>
        </w:tc>
        <w:tc>
          <w:tcPr>
            <w:tcW w:w="951" w:type="dxa"/>
            <w:vMerge w:val="continue"/>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新宋体" w:cs="Times New Roman"/>
                <w:b w:val="0"/>
                <w:bCs w:val="0"/>
                <w:i w:val="0"/>
                <w:color w:val="000000"/>
                <w:kern w:val="0"/>
                <w:sz w:val="24"/>
                <w:szCs w:val="24"/>
                <w:highlight w:val="none"/>
                <w:u w:val="none"/>
                <w:vertAlign w:val="baseli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道路交通噪声强度等级“一级”至“五级”可分别对应评价为“好”、“较好”、“一般”、“较差”和“差”。</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3.3.5 2018年城市道路交通</w:t>
      </w:r>
      <w:r>
        <w:rPr>
          <w:rFonts w:hint="default" w:ascii="Times New Roman" w:hAnsi="Times New Roman" w:eastAsia="宋体" w:cs="Times New Roman"/>
          <w:b/>
          <w:bCs/>
          <w:sz w:val="28"/>
          <w:szCs w:val="28"/>
          <w:lang w:val="en-US" w:eastAsia="zh-CN"/>
        </w:rPr>
        <w:t>监测数据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2018年监测路段总长5.70千米，平均路宽13.66米。2018年道路交通监测结果（附表10.2）表明，寻甸县县城昼间道路交通监测噪声等效声级L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范围为60.7～69.9分贝，道路交通噪声平均等效声级L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为65.0dB，平均车流量221辆/20min，夜间道路交通监测噪声等效声级L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范围为48.1～65.2分贝，道路交通噪声平均等效声级L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为56.6dB，平均车流量50辆/20min，监测结果见表3.3-2。</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表3.3-2  寻甸县县城道路交通监测结果统计表</w:t>
      </w:r>
    </w:p>
    <w:tbl>
      <w:tblPr>
        <w:tblStyle w:val="8"/>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65"/>
        <w:gridCol w:w="709"/>
        <w:gridCol w:w="641"/>
        <w:gridCol w:w="640"/>
        <w:gridCol w:w="641"/>
        <w:gridCol w:w="640"/>
        <w:gridCol w:w="641"/>
        <w:gridCol w:w="640"/>
        <w:gridCol w:w="56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年度</w:t>
            </w:r>
          </w:p>
        </w:tc>
        <w:tc>
          <w:tcPr>
            <w:tcW w:w="709"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路段总长</w:t>
            </w:r>
            <w:r>
              <w:rPr>
                <w:rFonts w:hint="eastAsia" w:ascii="Times New Roman" w:hAnsi="Times New Roman" w:eastAsia="宋体" w:cs="Times New Roman"/>
                <w:kern w:val="0"/>
                <w:sz w:val="24"/>
                <w:szCs w:val="24"/>
                <w:lang w:val="en-US" w:eastAsia="zh-CN"/>
              </w:rPr>
              <w:t>/km</w:t>
            </w:r>
          </w:p>
        </w:tc>
        <w:tc>
          <w:tcPr>
            <w:tcW w:w="765" w:type="dxa"/>
            <w:noWrap w:val="0"/>
            <w:vAlign w:val="center"/>
          </w:tcPr>
          <w:p>
            <w:pPr>
              <w:jc w:val="both"/>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平均路宽</w:t>
            </w:r>
            <w:r>
              <w:rPr>
                <w:rFonts w:hint="eastAsia" w:ascii="Times New Roman" w:hAnsi="Times New Roman" w:eastAsia="宋体" w:cs="Times New Roman"/>
                <w:kern w:val="0"/>
                <w:sz w:val="24"/>
                <w:szCs w:val="24"/>
                <w:lang w:val="en-US" w:eastAsia="zh-CN"/>
              </w:rPr>
              <w:t>/m</w:t>
            </w:r>
          </w:p>
        </w:tc>
        <w:tc>
          <w:tcPr>
            <w:tcW w:w="709" w:type="dxa"/>
            <w:noWrap w:val="0"/>
            <w:vAlign w:val="center"/>
          </w:tcPr>
          <w:p>
            <w:pPr>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时段</w:t>
            </w:r>
          </w:p>
        </w:tc>
        <w:tc>
          <w:tcPr>
            <w:tcW w:w="641"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p>
        </w:tc>
        <w:tc>
          <w:tcPr>
            <w:tcW w:w="640"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10</w:t>
            </w:r>
          </w:p>
        </w:tc>
        <w:tc>
          <w:tcPr>
            <w:tcW w:w="641"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50</w:t>
            </w:r>
          </w:p>
        </w:tc>
        <w:tc>
          <w:tcPr>
            <w:tcW w:w="640"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90</w:t>
            </w:r>
          </w:p>
        </w:tc>
        <w:tc>
          <w:tcPr>
            <w:tcW w:w="641"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max</w:t>
            </w:r>
          </w:p>
        </w:tc>
        <w:tc>
          <w:tcPr>
            <w:tcW w:w="640"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min</w:t>
            </w:r>
          </w:p>
        </w:tc>
        <w:tc>
          <w:tcPr>
            <w:tcW w:w="568"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SD</w:t>
            </w:r>
          </w:p>
        </w:tc>
        <w:tc>
          <w:tcPr>
            <w:tcW w:w="1020" w:type="dxa"/>
            <w:noWrap w:val="0"/>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车流量（</w:t>
            </w:r>
            <w:r>
              <w:rPr>
                <w:rFonts w:hint="default" w:ascii="Times New Roman" w:hAnsi="Times New Roman" w:eastAsia="宋体" w:cs="Times New Roman"/>
                <w:sz w:val="24"/>
                <w:szCs w:val="24"/>
              </w:rPr>
              <w:t>辆/20min</w:t>
            </w:r>
            <w:r>
              <w:rPr>
                <w:rFonts w:hint="default"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Merge w:val="restart"/>
            <w:noWrap w:val="0"/>
            <w:vAlign w:val="center"/>
          </w:tcPr>
          <w:p>
            <w:pPr>
              <w:spacing w:line="312" w:lineRule="exact"/>
              <w:jc w:val="both"/>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2018</w:t>
            </w:r>
          </w:p>
        </w:tc>
        <w:tc>
          <w:tcPr>
            <w:tcW w:w="709"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5.70</w:t>
            </w:r>
          </w:p>
        </w:tc>
        <w:tc>
          <w:tcPr>
            <w:tcW w:w="765"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13.66</w:t>
            </w:r>
          </w:p>
        </w:tc>
        <w:tc>
          <w:tcPr>
            <w:tcW w:w="709" w:type="dxa"/>
            <w:noWrap w:val="0"/>
            <w:vAlign w:val="center"/>
          </w:tcPr>
          <w:p>
            <w:pPr>
              <w:spacing w:line="312" w:lineRule="exact"/>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昼间</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65.0</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67.0</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60.3</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54.7</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95.7</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35.4</w:t>
            </w:r>
          </w:p>
        </w:tc>
        <w:tc>
          <w:tcPr>
            <w:tcW w:w="568"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w:t>
            </w:r>
          </w:p>
        </w:tc>
        <w:tc>
          <w:tcPr>
            <w:tcW w:w="102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9"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709"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765"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709" w:type="dxa"/>
            <w:noWrap w:val="0"/>
            <w:vAlign w:val="center"/>
          </w:tcPr>
          <w:p>
            <w:pPr>
              <w:spacing w:line="312" w:lineRule="exact"/>
              <w:jc w:val="cente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夜间</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56.6</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58.5</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47.3</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39.9</w:t>
            </w:r>
          </w:p>
        </w:tc>
        <w:tc>
          <w:tcPr>
            <w:tcW w:w="641"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90.5</w:t>
            </w:r>
          </w:p>
        </w:tc>
        <w:tc>
          <w:tcPr>
            <w:tcW w:w="640"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30.0</w:t>
            </w:r>
          </w:p>
        </w:tc>
        <w:tc>
          <w:tcPr>
            <w:tcW w:w="568"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7.5</w:t>
            </w:r>
          </w:p>
        </w:tc>
        <w:tc>
          <w:tcPr>
            <w:tcW w:w="1020"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50</w:t>
            </w:r>
          </w:p>
        </w:tc>
      </w:tr>
    </w:tbl>
    <w:p>
      <w:pPr>
        <w:pStyle w:val="3"/>
        <w:keepNext w:val="0"/>
        <w:keepLines/>
        <w:pageBreakBefore/>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109" w:name="_Toc3386_WPSOffice_Level2"/>
      <w:r>
        <w:rPr>
          <w:rFonts w:hint="eastAsia" w:ascii="Times New Roman" w:hAnsi="Times New Roman" w:eastAsia="黑体" w:cs="Times New Roman"/>
          <w:b/>
          <w:bCs/>
          <w:sz w:val="28"/>
          <w:szCs w:val="28"/>
          <w:lang w:val="en-US" w:eastAsia="zh-CN"/>
        </w:rPr>
        <w:t>3.4  2018年昼间声环境质量与2017年对比分析</w:t>
      </w:r>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与2017年相比，2018年寻甸县县城建成区区域环境噪声昼间平均等效声级上升了0.3分贝，上升率为0.6%，超标点位10个，点位超标率7.4%，平均等效声级L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值超过60分贝的网格覆盖面积为0.4 km</w:t>
      </w:r>
      <w:r>
        <w:rPr>
          <w:rFonts w:hint="eastAsia" w:ascii="Times New Roman" w:hAnsi="Times New Roman" w:eastAsia="新宋体" w:cs="Times New Roman"/>
          <w:sz w:val="28"/>
          <w:szCs w:val="28"/>
          <w:highlight w:val="none"/>
          <w:shd w:val="clear"/>
          <w:vertAlign w:val="superscript"/>
          <w:lang w:val="en-US" w:eastAsia="zh-CN"/>
        </w:rPr>
        <w:t>2</w:t>
      </w:r>
      <w:r>
        <w:rPr>
          <w:rFonts w:hint="eastAsia" w:ascii="Times New Roman" w:hAnsi="Times New Roman" w:eastAsia="新宋体" w:cs="Times New Roman"/>
          <w:sz w:val="28"/>
          <w:szCs w:val="28"/>
          <w:highlight w:val="none"/>
          <w:shd w:val="clear"/>
          <w:lang w:val="en-US" w:eastAsia="zh-CN"/>
        </w:rPr>
        <w:t>，覆盖人口约为3200人，超标原因是声源多为交通噪声。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与2017年相比，2018年寻甸县县城建成区交通噪声昼间平均等效声级L</w:t>
      </w:r>
      <w:r>
        <w:rPr>
          <w:rFonts w:hint="eastAsia" w:ascii="Times New Roman" w:hAnsi="Times New Roman" w:eastAsia="新宋体" w:cs="Times New Roman"/>
          <w:sz w:val="28"/>
          <w:szCs w:val="28"/>
          <w:highlight w:val="none"/>
          <w:shd w:val="clear"/>
          <w:vertAlign w:val="subscript"/>
          <w:lang w:val="en-US" w:eastAsia="zh-CN"/>
        </w:rPr>
        <w:t>eq</w:t>
      </w:r>
      <w:r>
        <w:rPr>
          <w:rFonts w:hint="eastAsia" w:ascii="Times New Roman" w:hAnsi="Times New Roman" w:eastAsia="新宋体" w:cs="Times New Roman"/>
          <w:sz w:val="28"/>
          <w:szCs w:val="28"/>
          <w:highlight w:val="none"/>
          <w:shd w:val="clear"/>
          <w:lang w:val="en-US" w:eastAsia="zh-CN"/>
        </w:rPr>
        <w:t>下降了0.3分贝，下降率为0.5%。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从声源情况看，2018年与2017年的生活噪声同样居于声源构成的首位，而交通噪声居于声源构成的第二位。</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表3.4-1 寻甸县建成区基本特征对比</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1131"/>
        <w:gridCol w:w="1157"/>
        <w:gridCol w:w="1584"/>
        <w:gridCol w:w="1055"/>
        <w:gridCol w:w="703"/>
        <w:gridCol w:w="105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95"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年度</w:t>
            </w:r>
          </w:p>
        </w:tc>
        <w:tc>
          <w:tcPr>
            <w:tcW w:w="1131"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建成区面积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km</w:t>
            </w:r>
            <w:r>
              <w:rPr>
                <w:rFonts w:hint="default" w:ascii="Times New Roman" w:hAnsi="Times New Roman" w:eastAsia="宋体" w:cs="Times New Roman"/>
                <w:sz w:val="24"/>
                <w:szCs w:val="24"/>
                <w:vertAlign w:val="superscript"/>
              </w:rPr>
              <w:t>2</w:t>
            </w:r>
          </w:p>
        </w:tc>
        <w:tc>
          <w:tcPr>
            <w:tcW w:w="1157"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建成区人口（人）</w:t>
            </w:r>
          </w:p>
        </w:tc>
        <w:tc>
          <w:tcPr>
            <w:tcW w:w="1584"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建成区人口密度</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（人/km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tc>
        <w:tc>
          <w:tcPr>
            <w:tcW w:w="1055"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机动车总数（辆）</w:t>
            </w:r>
          </w:p>
        </w:tc>
        <w:tc>
          <w:tcPr>
            <w:tcW w:w="2982" w:type="dxa"/>
            <w:gridSpan w:val="3"/>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主要交通干道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95" w:type="dxa"/>
            <w:vMerge w:val="continue"/>
            <w:noWrap w:val="0"/>
            <w:vAlign w:val="center"/>
          </w:tcPr>
          <w:p>
            <w:pPr>
              <w:jc w:val="center"/>
              <w:rPr>
                <w:rFonts w:hint="default" w:ascii="Times New Roman" w:hAnsi="Times New Roman" w:eastAsia="宋体" w:cs="Times New Roman"/>
                <w:sz w:val="24"/>
                <w:szCs w:val="24"/>
              </w:rPr>
            </w:pPr>
          </w:p>
        </w:tc>
        <w:tc>
          <w:tcPr>
            <w:tcW w:w="1131" w:type="dxa"/>
            <w:vMerge w:val="continue"/>
            <w:noWrap w:val="0"/>
            <w:vAlign w:val="center"/>
          </w:tcPr>
          <w:p>
            <w:pPr>
              <w:jc w:val="center"/>
              <w:rPr>
                <w:rFonts w:hint="default" w:ascii="Times New Roman" w:hAnsi="Times New Roman" w:eastAsia="宋体" w:cs="Times New Roman"/>
                <w:sz w:val="24"/>
                <w:szCs w:val="24"/>
              </w:rPr>
            </w:pPr>
          </w:p>
        </w:tc>
        <w:tc>
          <w:tcPr>
            <w:tcW w:w="1157" w:type="dxa"/>
            <w:vMerge w:val="continue"/>
            <w:noWrap w:val="0"/>
            <w:vAlign w:val="center"/>
          </w:tcPr>
          <w:p>
            <w:pPr>
              <w:jc w:val="center"/>
              <w:rPr>
                <w:rFonts w:hint="default" w:ascii="Times New Roman" w:hAnsi="Times New Roman" w:eastAsia="宋体" w:cs="Times New Roman"/>
                <w:sz w:val="24"/>
                <w:szCs w:val="24"/>
              </w:rPr>
            </w:pPr>
          </w:p>
        </w:tc>
        <w:tc>
          <w:tcPr>
            <w:tcW w:w="1584" w:type="dxa"/>
            <w:vMerge w:val="continue"/>
            <w:noWrap w:val="0"/>
            <w:vAlign w:val="center"/>
          </w:tcPr>
          <w:p>
            <w:pPr>
              <w:jc w:val="center"/>
              <w:rPr>
                <w:rFonts w:hint="default" w:ascii="Times New Roman" w:hAnsi="Times New Roman" w:eastAsia="宋体" w:cs="Times New Roman"/>
                <w:sz w:val="24"/>
                <w:szCs w:val="24"/>
              </w:rPr>
            </w:pPr>
          </w:p>
        </w:tc>
        <w:tc>
          <w:tcPr>
            <w:tcW w:w="1055" w:type="dxa"/>
            <w:vMerge w:val="continue"/>
            <w:noWrap w:val="0"/>
            <w:vAlign w:val="center"/>
          </w:tcPr>
          <w:p>
            <w:pPr>
              <w:jc w:val="center"/>
              <w:rPr>
                <w:rFonts w:hint="default" w:ascii="Times New Roman" w:hAnsi="Times New Roman" w:eastAsia="宋体" w:cs="Times New Roman"/>
                <w:sz w:val="24"/>
                <w:szCs w:val="24"/>
              </w:rPr>
            </w:pPr>
          </w:p>
        </w:tc>
        <w:tc>
          <w:tcPr>
            <w:tcW w:w="703"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总长</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（km）</w:t>
            </w:r>
          </w:p>
        </w:tc>
        <w:tc>
          <w:tcPr>
            <w:tcW w:w="1054"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平均路宽</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1225"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平均车流量</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（辆/20min）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9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w:t>
            </w:r>
          </w:p>
        </w:tc>
        <w:tc>
          <w:tcPr>
            <w:tcW w:w="113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w:t>
            </w:r>
          </w:p>
        </w:tc>
        <w:tc>
          <w:tcPr>
            <w:tcW w:w="115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49242</w:t>
            </w:r>
          </w:p>
        </w:tc>
        <w:tc>
          <w:tcPr>
            <w:tcW w:w="158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9120</w:t>
            </w:r>
          </w:p>
        </w:tc>
        <w:tc>
          <w:tcPr>
            <w:tcW w:w="105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2592</w:t>
            </w:r>
          </w:p>
        </w:tc>
        <w:tc>
          <w:tcPr>
            <w:tcW w:w="703"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5.55</w:t>
            </w:r>
          </w:p>
        </w:tc>
        <w:tc>
          <w:tcPr>
            <w:tcW w:w="105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13.53</w:t>
            </w:r>
          </w:p>
        </w:tc>
        <w:tc>
          <w:tcPr>
            <w:tcW w:w="122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59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w:t>
            </w:r>
          </w:p>
        </w:tc>
        <w:tc>
          <w:tcPr>
            <w:tcW w:w="1131"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w:t>
            </w:r>
          </w:p>
        </w:tc>
        <w:tc>
          <w:tcPr>
            <w:tcW w:w="115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49820</w:t>
            </w:r>
          </w:p>
        </w:tc>
        <w:tc>
          <w:tcPr>
            <w:tcW w:w="158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9226</w:t>
            </w:r>
          </w:p>
        </w:tc>
        <w:tc>
          <w:tcPr>
            <w:tcW w:w="105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2980</w:t>
            </w:r>
          </w:p>
        </w:tc>
        <w:tc>
          <w:tcPr>
            <w:tcW w:w="703"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5.70</w:t>
            </w:r>
          </w:p>
        </w:tc>
        <w:tc>
          <w:tcPr>
            <w:tcW w:w="105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13.66</w:t>
            </w:r>
          </w:p>
        </w:tc>
        <w:tc>
          <w:tcPr>
            <w:tcW w:w="122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221</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表3.4-2 寻甸县区域噪声监测结果（昼间）统计对比表</w:t>
      </w:r>
    </w:p>
    <w:tbl>
      <w:tblPr>
        <w:tblStyle w:val="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077"/>
        <w:gridCol w:w="709"/>
        <w:gridCol w:w="1417"/>
        <w:gridCol w:w="1020"/>
        <w:gridCol w:w="1020"/>
        <w:gridCol w:w="1020"/>
        <w:gridCol w:w="102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7" w:type="dxa"/>
            <w:noWrap/>
            <w:vAlign w:val="center"/>
          </w:tcPr>
          <w:p>
            <w:pPr>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年度</w:t>
            </w:r>
          </w:p>
        </w:tc>
        <w:tc>
          <w:tcPr>
            <w:tcW w:w="1077" w:type="dxa"/>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网格</w:t>
            </w:r>
          </w:p>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大小</w:t>
            </w:r>
          </w:p>
        </w:tc>
        <w:tc>
          <w:tcPr>
            <w:tcW w:w="709" w:type="dxa"/>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网格</w:t>
            </w:r>
          </w:p>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总数</w:t>
            </w:r>
          </w:p>
        </w:tc>
        <w:tc>
          <w:tcPr>
            <w:tcW w:w="1417" w:type="dxa"/>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网格覆盖人口总数（人）</w:t>
            </w:r>
          </w:p>
        </w:tc>
        <w:tc>
          <w:tcPr>
            <w:tcW w:w="1020" w:type="dxa"/>
            <w:noWrap/>
            <w:vAlign w:val="center"/>
          </w:tcPr>
          <w:p>
            <w:pPr>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平均</w:t>
            </w: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eq</w:t>
            </w:r>
          </w:p>
        </w:tc>
        <w:tc>
          <w:tcPr>
            <w:tcW w:w="1020" w:type="dxa"/>
            <w:noWrap/>
            <w:vAlign w:val="center"/>
          </w:tcPr>
          <w:p>
            <w:pPr>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平均</w:t>
            </w: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10</w:t>
            </w:r>
          </w:p>
        </w:tc>
        <w:tc>
          <w:tcPr>
            <w:tcW w:w="1020" w:type="dxa"/>
            <w:noWrap/>
            <w:vAlign w:val="center"/>
          </w:tcPr>
          <w:p>
            <w:pPr>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平均</w:t>
            </w: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50</w:t>
            </w:r>
          </w:p>
        </w:tc>
        <w:tc>
          <w:tcPr>
            <w:tcW w:w="1020" w:type="dxa"/>
            <w:noWrap/>
            <w:vAlign w:val="center"/>
          </w:tcPr>
          <w:p>
            <w:pPr>
              <w:jc w:val="center"/>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平均</w:t>
            </w: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90</w:t>
            </w:r>
          </w:p>
        </w:tc>
        <w:tc>
          <w:tcPr>
            <w:tcW w:w="560" w:type="dxa"/>
            <w:noWrap/>
            <w:vAlign w:val="center"/>
          </w:tcPr>
          <w:p>
            <w:pPr>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7" w:type="dxa"/>
            <w:noWrap/>
            <w:vAlign w:val="center"/>
          </w:tcPr>
          <w:p>
            <w:pPr>
              <w:spacing w:line="312" w:lineRule="exact"/>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w:t>
            </w:r>
          </w:p>
        </w:tc>
        <w:tc>
          <w:tcPr>
            <w:tcW w:w="1077"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200×200</w:t>
            </w:r>
          </w:p>
        </w:tc>
        <w:tc>
          <w:tcPr>
            <w:tcW w:w="709"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w:t>
            </w:r>
          </w:p>
        </w:tc>
        <w:tc>
          <w:tcPr>
            <w:tcW w:w="1417"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49242</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50.8</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52.7</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46.9</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43.3</w:t>
            </w:r>
          </w:p>
        </w:tc>
        <w:tc>
          <w:tcPr>
            <w:tcW w:w="56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97" w:type="dxa"/>
            <w:noWrap/>
            <w:vAlign w:val="center"/>
          </w:tcPr>
          <w:p>
            <w:pPr>
              <w:spacing w:line="312" w:lineRule="exact"/>
              <w:jc w:val="both"/>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w:t>
            </w:r>
          </w:p>
        </w:tc>
        <w:tc>
          <w:tcPr>
            <w:tcW w:w="1077"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200×200</w:t>
            </w:r>
          </w:p>
        </w:tc>
        <w:tc>
          <w:tcPr>
            <w:tcW w:w="709"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w:t>
            </w:r>
          </w:p>
        </w:tc>
        <w:tc>
          <w:tcPr>
            <w:tcW w:w="1417"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49820</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51.1 </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53.1 </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47.2 </w:t>
            </w:r>
          </w:p>
        </w:tc>
        <w:tc>
          <w:tcPr>
            <w:tcW w:w="102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43.6 </w:t>
            </w:r>
          </w:p>
        </w:tc>
        <w:tc>
          <w:tcPr>
            <w:tcW w:w="560" w:type="dxa"/>
            <w:noWrap/>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表3.4-3 暴露在不同等效声级下的面积和人口分布状况对比</w:t>
      </w:r>
    </w:p>
    <w:tbl>
      <w:tblPr>
        <w:tblStyle w:val="8"/>
        <w:tblW w:w="7937" w:type="dxa"/>
        <w:jc w:val="center"/>
        <w:shd w:val="clear" w:color="auto" w:fill="auto"/>
        <w:tblLayout w:type="fixed"/>
        <w:tblCellMar>
          <w:top w:w="0" w:type="dxa"/>
          <w:left w:w="0" w:type="dxa"/>
          <w:bottom w:w="0" w:type="dxa"/>
          <w:right w:w="0" w:type="dxa"/>
        </w:tblCellMar>
      </w:tblPr>
      <w:tblGrid>
        <w:gridCol w:w="2261"/>
        <w:gridCol w:w="1512"/>
        <w:gridCol w:w="1590"/>
        <w:gridCol w:w="1287"/>
        <w:gridCol w:w="1287"/>
      </w:tblGrid>
      <w:tr>
        <w:tblPrEx>
          <w:shd w:val="clear" w:color="auto" w:fill="auto"/>
          <w:tblCellMar>
            <w:top w:w="0" w:type="dxa"/>
            <w:left w:w="0" w:type="dxa"/>
            <w:bottom w:w="0" w:type="dxa"/>
            <w:right w:w="0" w:type="dxa"/>
          </w:tblCellMar>
        </w:tblPrEx>
        <w:trPr>
          <w:trHeight w:val="340" w:hRule="atLeast"/>
          <w:tblHeader/>
          <w:jc w:val="center"/>
        </w:trPr>
        <w:tc>
          <w:tcPr>
            <w:tcW w:w="2261"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声级范围分贝（</w:t>
            </w:r>
            <w:r>
              <w:rPr>
                <w:rFonts w:hint="default" w:ascii="Times New Roman" w:hAnsi="Times New Roman" w:eastAsia="宋体" w:cs="Times New Roman"/>
                <w:i w:val="0"/>
                <w:color w:val="000000"/>
                <w:kern w:val="0"/>
                <w:sz w:val="24"/>
                <w:szCs w:val="24"/>
                <w:u w:val="none"/>
                <w:lang w:val="en-US" w:eastAsia="zh-CN" w:bidi="ar"/>
              </w:rPr>
              <w:t>A</w:t>
            </w:r>
            <w:r>
              <w:rPr>
                <w:rFonts w:hint="eastAsia" w:ascii="宋体" w:hAnsi="宋体" w:eastAsia="宋体" w:cs="宋体"/>
                <w:i w:val="0"/>
                <w:color w:val="000000"/>
                <w:kern w:val="0"/>
                <w:sz w:val="24"/>
                <w:szCs w:val="24"/>
                <w:u w:val="none"/>
                <w:lang w:val="en-US" w:eastAsia="zh-CN" w:bidi="ar"/>
              </w:rPr>
              <w:t>）</w:t>
            </w:r>
          </w:p>
        </w:tc>
        <w:tc>
          <w:tcPr>
            <w:tcW w:w="3102"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声级覆盖面积</w:t>
            </w:r>
            <w:r>
              <w:rPr>
                <w:rFonts w:hint="default" w:ascii="Times New Roman" w:hAnsi="Times New Roman" w:eastAsia="宋体" w:cs="Times New Roman"/>
                <w:i w:val="0"/>
                <w:color w:val="000000"/>
                <w:kern w:val="0"/>
                <w:sz w:val="24"/>
                <w:szCs w:val="24"/>
                <w:u w:val="none"/>
                <w:lang w:val="en-US" w:eastAsia="zh-CN" w:bidi="ar"/>
              </w:rPr>
              <w:t>(km</w:t>
            </w:r>
            <w:r>
              <w:rPr>
                <w:rFonts w:hint="default" w:ascii="Times New Roman" w:hAnsi="Times New Roman" w:eastAsia="宋体" w:cs="Times New Roman"/>
                <w:i w:val="0"/>
                <w:color w:val="000000"/>
                <w:kern w:val="0"/>
                <w:sz w:val="24"/>
                <w:szCs w:val="24"/>
                <w:u w:val="none"/>
                <w:vertAlign w:val="superscript"/>
                <w:lang w:val="en-US" w:eastAsia="zh-CN" w:bidi="ar"/>
              </w:rPr>
              <w:t>2</w:t>
            </w:r>
            <w:r>
              <w:rPr>
                <w:rFonts w:hint="default" w:ascii="Times New Roman" w:hAnsi="Times New Roman" w:eastAsia="宋体" w:cs="Times New Roman"/>
                <w:i w:val="0"/>
                <w:color w:val="000000"/>
                <w:kern w:val="0"/>
                <w:sz w:val="24"/>
                <w:szCs w:val="24"/>
                <w:u w:val="none"/>
                <w:lang w:val="en-US" w:eastAsia="zh-CN" w:bidi="ar"/>
              </w:rPr>
              <w:t>)</w:t>
            </w:r>
          </w:p>
        </w:tc>
        <w:tc>
          <w:tcPr>
            <w:tcW w:w="2574"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声级覆盖人口（人）</w:t>
            </w:r>
          </w:p>
        </w:tc>
      </w:tr>
      <w:tr>
        <w:tblPrEx>
          <w:tblCellMar>
            <w:top w:w="0" w:type="dxa"/>
            <w:left w:w="0" w:type="dxa"/>
            <w:bottom w:w="0" w:type="dxa"/>
            <w:right w:w="0" w:type="dxa"/>
          </w:tblCellMar>
        </w:tblPrEx>
        <w:trPr>
          <w:trHeight w:val="340" w:hRule="atLeast"/>
          <w:tblHeader/>
          <w:jc w:val="center"/>
        </w:trPr>
        <w:tc>
          <w:tcPr>
            <w:tcW w:w="2261"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2017</w:t>
            </w:r>
            <w:r>
              <w:rPr>
                <w:rFonts w:hint="eastAsia" w:ascii="宋体" w:hAnsi="宋体" w:eastAsia="宋体" w:cs="宋体"/>
                <w:i w:val="0"/>
                <w:color w:val="000000"/>
                <w:kern w:val="0"/>
                <w:sz w:val="24"/>
                <w:szCs w:val="24"/>
                <w:u w:val="none"/>
                <w:lang w:val="en-US" w:eastAsia="zh-CN" w:bidi="ar"/>
              </w:rPr>
              <w:t>年</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w:t>
            </w:r>
            <w:r>
              <w:rPr>
                <w:rFonts w:hint="eastAsia" w:ascii="宋体" w:hAnsi="宋体" w:eastAsia="宋体" w:cs="宋体"/>
                <w:i w:val="0"/>
                <w:color w:val="000000"/>
                <w:kern w:val="0"/>
                <w:sz w:val="24"/>
                <w:szCs w:val="24"/>
                <w:u w:val="none"/>
                <w:lang w:val="en-US" w:eastAsia="zh-CN" w:bidi="ar"/>
              </w:rPr>
              <w:t>年</w:t>
            </w:r>
          </w:p>
        </w:tc>
        <w:tc>
          <w:tcPr>
            <w:tcW w:w="128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2017</w:t>
            </w:r>
            <w:r>
              <w:rPr>
                <w:rFonts w:hint="eastAsia" w:ascii="宋体" w:hAnsi="宋体" w:eastAsia="宋体" w:cs="宋体"/>
                <w:i w:val="0"/>
                <w:color w:val="000000"/>
                <w:kern w:val="0"/>
                <w:sz w:val="24"/>
                <w:szCs w:val="24"/>
                <w:u w:val="none"/>
                <w:lang w:val="en-US" w:eastAsia="zh-CN" w:bidi="ar"/>
              </w:rPr>
              <w:t>年</w:t>
            </w:r>
          </w:p>
        </w:tc>
        <w:tc>
          <w:tcPr>
            <w:tcW w:w="1287"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w:t>
            </w:r>
            <w:r>
              <w:rPr>
                <w:rFonts w:hint="eastAsia" w:ascii="宋体" w:hAnsi="宋体" w:eastAsia="宋体" w:cs="宋体"/>
                <w:i w:val="0"/>
                <w:color w:val="000000"/>
                <w:kern w:val="0"/>
                <w:sz w:val="24"/>
                <w:szCs w:val="24"/>
                <w:u w:val="none"/>
                <w:lang w:val="en-US" w:eastAsia="zh-CN" w:bidi="ar"/>
              </w:rPr>
              <w:t>年</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35.0</w:t>
            </w:r>
            <w:r>
              <w:rPr>
                <w:rFonts w:hint="eastAsia" w:ascii="宋体" w:hAnsi="宋体" w:eastAsia="宋体" w:cs="宋体"/>
                <w:i w:val="0"/>
                <w:color w:val="000000"/>
                <w:kern w:val="0"/>
                <w:sz w:val="24"/>
                <w:szCs w:val="24"/>
                <w:u w:val="none"/>
                <w:lang w:val="en-US" w:eastAsia="zh-CN" w:bidi="ar"/>
              </w:rPr>
              <w:t>以下</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40.0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332</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45.0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0.48</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0.56</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4043</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4021</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50.0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2.08</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1.96</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17519</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18565</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55.0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1.64</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13476</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15476</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60.0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6738</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7738</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65.0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0.36</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3032</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3110</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70.0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75.0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80.0</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340" w:hRule="atLeast"/>
          <w:jc w:val="center"/>
        </w:trPr>
        <w:tc>
          <w:tcPr>
            <w:tcW w:w="2261"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80.1</w:t>
            </w:r>
            <w:r>
              <w:rPr>
                <w:rFonts w:hint="eastAsia" w:ascii="宋体" w:hAnsi="宋体" w:eastAsia="宋体" w:cs="宋体"/>
                <w:i w:val="0"/>
                <w:color w:val="000000"/>
                <w:kern w:val="0"/>
                <w:sz w:val="24"/>
                <w:szCs w:val="24"/>
                <w:u w:val="none"/>
                <w:lang w:val="en-US" w:eastAsia="zh-CN" w:bidi="ar"/>
              </w:rPr>
              <w:t>以上</w:t>
            </w:r>
          </w:p>
        </w:tc>
        <w:tc>
          <w:tcPr>
            <w:tcW w:w="151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5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28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r>
    </w:tbl>
    <w:p>
      <w:pPr>
        <w:spacing w:line="240" w:lineRule="auto"/>
        <w:jc w:val="center"/>
      </w:pPr>
      <w:r>
        <w:drawing>
          <wp:inline distT="0" distB="0" distL="114300" distR="114300">
            <wp:extent cx="5116195" cy="2520315"/>
            <wp:effectExtent l="4445" t="4445" r="22860" b="8890"/>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spacing w:line="240" w:lineRule="auto"/>
        <w:jc w:val="center"/>
        <w:rPr>
          <w:rFonts w:hint="default" w:ascii="宋体" w:hAnsi="宋体" w:eastAsia="宋体" w:cs="宋体"/>
          <w:b/>
          <w:bCs/>
          <w:sz w:val="24"/>
          <w:szCs w:val="24"/>
          <w:lang w:val="en-US" w:eastAsia="zh-CN"/>
        </w:rPr>
      </w:pPr>
      <w:r>
        <w:drawing>
          <wp:inline distT="0" distB="0" distL="114300" distR="114300">
            <wp:extent cx="5039995" cy="2520315"/>
            <wp:effectExtent l="4445" t="4445" r="22860" b="8890"/>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表3.4-4 寻甸县交通噪声年均统计结果对比表</w:t>
      </w:r>
    </w:p>
    <w:tbl>
      <w:tblPr>
        <w:tblStyle w:val="8"/>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
        <w:gridCol w:w="817"/>
        <w:gridCol w:w="817"/>
        <w:gridCol w:w="980"/>
        <w:gridCol w:w="1145"/>
        <w:gridCol w:w="680"/>
        <w:gridCol w:w="680"/>
        <w:gridCol w:w="680"/>
        <w:gridCol w:w="680"/>
        <w:gridCol w:w="817"/>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58"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年度</w:t>
            </w:r>
          </w:p>
        </w:tc>
        <w:tc>
          <w:tcPr>
            <w:tcW w:w="817"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监测点</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位个数</w:t>
            </w:r>
          </w:p>
        </w:tc>
        <w:tc>
          <w:tcPr>
            <w:tcW w:w="817"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路段总长（km）</w:t>
            </w:r>
          </w:p>
        </w:tc>
        <w:tc>
          <w:tcPr>
            <w:tcW w:w="980"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路段平均</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宽度（m）</w:t>
            </w:r>
          </w:p>
        </w:tc>
        <w:tc>
          <w:tcPr>
            <w:tcW w:w="1145"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平均车流量（辆/20min）</w:t>
            </w:r>
          </w:p>
        </w:tc>
        <w:tc>
          <w:tcPr>
            <w:tcW w:w="680" w:type="dxa"/>
            <w:noWrap w:val="0"/>
            <w:vAlign w:val="center"/>
          </w:tcPr>
          <w:p>
            <w:pPr>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r>
              <w:rPr>
                <w:rFonts w:hint="eastAsia" w:ascii="Times New Roman" w:hAnsi="Times New Roman" w:eastAsia="宋体" w:cs="Times New Roman"/>
                <w:sz w:val="24"/>
                <w:szCs w:val="24"/>
                <w:vertAlign w:val="baseline"/>
                <w:lang w:val="en-US" w:eastAsia="zh-CN"/>
              </w:rPr>
              <w:t>/dB</w:t>
            </w:r>
          </w:p>
        </w:tc>
        <w:tc>
          <w:tcPr>
            <w:tcW w:w="680" w:type="dxa"/>
            <w:noWrap w:val="0"/>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10</w:t>
            </w:r>
            <w:r>
              <w:rPr>
                <w:rFonts w:hint="eastAsia" w:ascii="Times New Roman" w:hAnsi="Times New Roman" w:eastAsia="宋体" w:cs="Times New Roman"/>
                <w:sz w:val="24"/>
                <w:szCs w:val="24"/>
                <w:vertAlign w:val="baseline"/>
                <w:lang w:val="en-US" w:eastAsia="zh-CN"/>
              </w:rPr>
              <w:t>/dB</w:t>
            </w:r>
          </w:p>
        </w:tc>
        <w:tc>
          <w:tcPr>
            <w:tcW w:w="680" w:type="dxa"/>
            <w:noWrap w:val="0"/>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50</w:t>
            </w:r>
            <w:r>
              <w:rPr>
                <w:rFonts w:hint="eastAsia" w:ascii="Times New Roman" w:hAnsi="Times New Roman" w:eastAsia="宋体" w:cs="Times New Roman"/>
                <w:sz w:val="24"/>
                <w:szCs w:val="24"/>
                <w:vertAlign w:val="baseline"/>
                <w:lang w:val="en-US" w:eastAsia="zh-CN"/>
              </w:rPr>
              <w:t>/dB</w:t>
            </w:r>
          </w:p>
        </w:tc>
        <w:tc>
          <w:tcPr>
            <w:tcW w:w="680" w:type="dxa"/>
            <w:noWrap w:val="0"/>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90</w:t>
            </w:r>
            <w:r>
              <w:rPr>
                <w:rFonts w:hint="eastAsia" w:ascii="Times New Roman" w:hAnsi="Times New Roman" w:eastAsia="宋体" w:cs="Times New Roman"/>
                <w:sz w:val="24"/>
                <w:szCs w:val="24"/>
                <w:vertAlign w:val="baseline"/>
                <w:lang w:val="en-US" w:eastAsia="zh-CN"/>
              </w:rPr>
              <w:t>/dB</w:t>
            </w:r>
          </w:p>
        </w:tc>
        <w:tc>
          <w:tcPr>
            <w:tcW w:w="817"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超标</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路段数</w:t>
            </w:r>
          </w:p>
        </w:tc>
        <w:tc>
          <w:tcPr>
            <w:tcW w:w="654" w:type="dxa"/>
            <w:noWrap w:val="0"/>
            <w:vAlign w:val="center"/>
          </w:tcPr>
          <w:p>
            <w:pPr>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58"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5.55</w:t>
            </w:r>
          </w:p>
        </w:tc>
        <w:tc>
          <w:tcPr>
            <w:tcW w:w="9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13.53</w:t>
            </w:r>
          </w:p>
        </w:tc>
        <w:tc>
          <w:tcPr>
            <w:tcW w:w="114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213</w:t>
            </w:r>
          </w:p>
        </w:tc>
        <w:tc>
          <w:tcPr>
            <w:tcW w:w="6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65.3</w:t>
            </w:r>
          </w:p>
        </w:tc>
        <w:tc>
          <w:tcPr>
            <w:tcW w:w="680"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67.5 </w:t>
            </w:r>
          </w:p>
        </w:tc>
        <w:tc>
          <w:tcPr>
            <w:tcW w:w="680"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61.6 </w:t>
            </w:r>
          </w:p>
        </w:tc>
        <w:tc>
          <w:tcPr>
            <w:tcW w:w="680"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55.7 </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65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658"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5.55</w:t>
            </w:r>
          </w:p>
        </w:tc>
        <w:tc>
          <w:tcPr>
            <w:tcW w:w="9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13.53</w:t>
            </w:r>
          </w:p>
        </w:tc>
        <w:tc>
          <w:tcPr>
            <w:tcW w:w="114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221</w:t>
            </w:r>
          </w:p>
        </w:tc>
        <w:tc>
          <w:tcPr>
            <w:tcW w:w="6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65.0</w:t>
            </w:r>
          </w:p>
        </w:tc>
        <w:tc>
          <w:tcPr>
            <w:tcW w:w="6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67.0</w:t>
            </w:r>
          </w:p>
        </w:tc>
        <w:tc>
          <w:tcPr>
            <w:tcW w:w="6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60.3</w:t>
            </w:r>
          </w:p>
        </w:tc>
        <w:tc>
          <w:tcPr>
            <w:tcW w:w="680"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54.7</w:t>
            </w:r>
          </w:p>
        </w:tc>
        <w:tc>
          <w:tcPr>
            <w:tcW w:w="817"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c>
          <w:tcPr>
            <w:tcW w:w="654"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表3.4-5 声源构成情况对比</w:t>
      </w:r>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103"/>
        <w:gridCol w:w="905"/>
        <w:gridCol w:w="1033"/>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6" w:type="dxa"/>
            <w:gridSpan w:val="3"/>
            <w:tcBorders>
              <w:tl2br w:val="single" w:color="auto" w:sz="4" w:space="0"/>
            </w:tcBorders>
            <w:noWrap w:val="0"/>
            <w:vAlign w:val="top"/>
          </w:tcPr>
          <w:p>
            <w:pPr>
              <w:spacing w:line="360" w:lineRule="auto"/>
              <w:jc w:val="right"/>
              <w:rPr>
                <w:rFonts w:hint="default" w:ascii="Times New Roman" w:hAnsi="Times New Roman" w:eastAsia="宋体" w:cs="Times New Roman"/>
                <w:kern w:val="0"/>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1581150</wp:posOffset>
                      </wp:positionH>
                      <wp:positionV relativeFrom="paragraph">
                        <wp:posOffset>240030</wp:posOffset>
                      </wp:positionV>
                      <wp:extent cx="1828800" cy="1828800"/>
                      <wp:effectExtent l="0" t="0" r="0" b="0"/>
                      <wp:wrapSquare wrapText="bothSides"/>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  声源类型</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4.5pt;margin-top:18.9pt;height:144pt;width:144pt;mso-wrap-distance-bottom:0pt;mso-wrap-distance-left:9pt;mso-wrap-distance-right:9pt;mso-wrap-distance-top:0pt;mso-wrap-style:none;z-index:251669504;mso-width-relative:page;mso-height-relative:page;" filled="f" stroked="f" coordsize="21600,21600" o:gfxdata="UEsDBAoAAAAAAIdO4kAAAAAAAAAAAAAAAAAEAAAAZHJzL1BLAwQUAAAACACHTuJAa9JiVdkAAAAK&#10;AQAADwAAAGRycy9kb3ducmV2LnhtbE2PwU7DMBBE70j8g7VI3KjThNIS4vRQiV4QBwqCqxNvkyjx&#10;2ordNPD1LCd63NnRzLxiO9tBTDiGzpGC5SIBgVQ701Gj4OP9+W4DIkRNRg+OUME3BtiW11eFzo07&#10;0xtOh9gIDqGQawVtjD6XMtQtWh0WziPx7+hGqyOfYyPNqM8cbgeZJsmDtLojbmi1x12LdX84WQWv&#10;+nMfp7mv970/mi/rq13286LU7c0yeQIRcY7/Zvibz9Oh5E2VO5EJYlCQ3j8yS1SQrRmBDatszULF&#10;QrragCwLeYlQ/gJQSwMEFAAAAAgAh07iQAO5RGE1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BRl&#10;10yh4Icf3w8/fx9+fSPjKE9j/QRRK4u40L4zLZrmdO5xGFm3pVPxCz4Efoi7P4sr2kB4vDQejsd9&#10;uDh8pw3ws8fr1vnwXhhFopFTh+olUdnuzocu9BQSs2mzrKVMFZSaNDm9fn3VTxfOHoBLjRyRRPfY&#10;aIV23R6ZrU2xBzFnus7wli9rJL9jPjwwh1bAgzEs4R5LKQ2SmKNFSWXc13+dx3hUCF5KGrRWTjUm&#10;iRL5QaNybwejEUBD2oyu3gyxcZee9aVHb9WtQe8OMJSWJzPGB3kyS2fUF0zUPOaEi2mOzDkNJ/M2&#10;dO2OieRiPk9B6D3Lwp1eWR6ho5jezrcBgiado0idMkft0H2pUsdJie19uU9Rj3+H2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r0mJV2QAAAAoBAAAPAAAAAAAAAAEAIAAAACIAAABkcnMvZG93bnJl&#10;di54bWxQSwECFAAUAAAACACHTuJAA7lEYTUCAABlBAAADgAAAAAAAAABACAAAAAoAQAAZHJzL2Uy&#10;b0RvYy54bWxQSwUGAAAAAAYABgBZAQAAzwUAAAAA&#10;">
                      <v:fill on="f" focussize="0,0"/>
                      <v:stroke on="f" weight="0.5pt"/>
                      <v:imagedata o:title=""/>
                      <o:lock v:ext="edit" aspectratio="f"/>
                      <v:textbox style="mso-fit-shape-to-text:t;">
                        <w:txbxContent>
                          <w:p>
                            <w:pPr>
                              <w:spacing w:line="360" w:lineRule="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  声源类型</w:t>
                            </w:r>
                          </w:p>
                        </w:txbxContent>
                      </v:textbox>
                      <w10:wrap type="square"/>
                    </v:shape>
                  </w:pict>
                </mc:Fallback>
              </mc:AlternateContent>
            </w:r>
            <w:r>
              <w:rPr>
                <w:rFonts w:hint="default" w:ascii="Times New Roman" w:hAnsi="Times New Roman" w:eastAsia="宋体" w:cs="Times New Roman"/>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-33020</wp:posOffset>
                      </wp:positionH>
                      <wp:positionV relativeFrom="paragraph">
                        <wp:posOffset>22860</wp:posOffset>
                      </wp:positionV>
                      <wp:extent cx="1122045" cy="1180465"/>
                      <wp:effectExtent l="3175" t="3175" r="17780" b="16510"/>
                      <wp:wrapNone/>
                      <wp:docPr id="12" name="直接箭头连接符 12"/>
                      <wp:cNvGraphicFramePr/>
                      <a:graphic xmlns:a="http://schemas.openxmlformats.org/drawingml/2006/main">
                        <a:graphicData uri="http://schemas.microsoft.com/office/word/2010/wordprocessingShape">
                          <wps:wsp>
                            <wps:cNvCnPr/>
                            <wps:spPr>
                              <a:xfrm>
                                <a:off x="0" y="0"/>
                                <a:ext cx="1122045" cy="11804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pt;margin-top:1.8pt;height:92.95pt;width:88.35pt;z-index:251667456;mso-width-relative:page;mso-height-relative:page;" filled="f" stroked="t" coordsize="21600,21600" o:gfxdata="UEsDBAoAAAAAAIdO4kAAAAAAAAAAAAAAAAAEAAAAZHJzL1BLAwQUAAAACACHTuJAkXchU9gAAAAI&#10;AQAADwAAAGRycy9kb3ducmV2LnhtbE2PwU7DMBBE70j8g7VIXFBrJyilTeNUCIkDR9pKXLfxNgnE&#10;6yh2mtKvxz3R26xmNPO22JxtJ040+NaxhmSuQBBXzrRca9jv3mdLED4gG+wck4Zf8rAp7+8KzI2b&#10;+JNO21CLWMI+Rw1NCH0upa8asujnrieO3tENFkM8h1qaAadYbjuZKrWQFluOCw329NZQ9bMdrQby&#10;Y5ao15Wt9x+X6ekrvXxP/U7rx4dErUEEOof/MFzxIzqUkengRjZedBpmWRqTGp4XIK72S5KBOESx&#10;XGUgy0LePlD+AVBLAwQUAAAACACHTuJAXI56WQICAAD0AwAADgAAAGRycy9lMm9Eb2MueG1srVPN&#10;jtMwEL4j8Q6W7zQ/2q6WqOkeWpYLgkrAA7iOk1jynzzepn0JXgCJE3ACTnvfp4HlMRg7oQvLpQdy&#10;cMaemW/m+zxeXO61IjvhQVpT02KWUyIMt400XU3fvrl6ckEJBGYapqwRNT0IoJfLx48Wg6tEaXur&#10;GuEJghioBlfTPgRXZRnwXmgGM+uEQWdrvWYBt77LGs8GRNcqK/P8PBusb5y3XADg6Xp00gnRnwJo&#10;21Zysbb8WgsTRlQvFAtICXrpgC5Tt20reHjVtiACUTVFpiGtWATtbVyz5YJVnWeul3xqgZ3SwgNO&#10;mkmDRY9QaxYYufbyHygtubdg2zDjVmcjkaQIsijyB9q87pkTiQtKDe4oOvw/WP5yt/FENjgJJSWG&#10;abzxu/c3P959uvv29fvHm5+3H6L95TNBP4o1OKgwZ2U2ftqB2/jIfN96Hf/IieyTwIejwGIfCMfD&#10;oijL/GxOCUdfUVzkZ+fziJrdpzsP4bmwmkSjphA8k10fVtYYvEzriyQz272AMCb+Toi1lSFDTZ/O&#10;y1iC4XC2OBRoaocEwXQpF6ySzZVUKmaA77Yr5cmOxQFJ39TQX2GxyJpBP8YlVwxjVS9Y88w0JBwc&#10;KmfwxdDYghYNJUrgA4tWigxMqlMiUQtlUJKo9KhttLa2OSTJ0zkOQxJtGtw4bX/uU/b9Y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F3IVPYAAAACAEAAA8AAAAAAAAAAQAgAAAAIgAAAGRycy9k&#10;b3ducmV2LnhtbFBLAQIUABQAAAAIAIdO4kBcjnpZAgIAAPQDAAAOAAAAAAAAAAEAIAAAACc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宋体" w:cs="Times New Roman"/>
                <w:kern w:val="0"/>
                <w:sz w:val="24"/>
                <w:szCs w:val="24"/>
              </w:rPr>
              <w:t xml:space="preserve">              </w:t>
            </w:r>
          </w:p>
          <w:p>
            <w:pPr>
              <w:spacing w:line="360" w:lineRule="auto"/>
              <w:rPr>
                <w:rFonts w:hint="eastAsia"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w:t>
            </w:r>
            <w:r>
              <w:rPr>
                <w:rFonts w:hint="eastAsia" w:ascii="Times New Roman" w:hAnsi="Times New Roman" w:eastAsia="宋体" w:cs="Times New Roman"/>
                <w:kern w:val="0"/>
                <w:sz w:val="24"/>
                <w:szCs w:val="24"/>
                <w:lang w:val="en-US" w:eastAsia="zh-CN"/>
              </w:rPr>
              <w:t xml:space="preserve">       </w:t>
            </w:r>
          </w:p>
          <w:p>
            <w:pPr>
              <w:spacing w:line="360" w:lineRule="auto"/>
              <w:rPr>
                <w:rFonts w:hint="default" w:ascii="Times New Roman" w:hAnsi="Times New Roman" w:eastAsia="宋体" w:cs="Times New Roman"/>
                <w:kern w:val="0"/>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142875</wp:posOffset>
                      </wp:positionH>
                      <wp:positionV relativeFrom="paragraph">
                        <wp:posOffset>200025</wp:posOffset>
                      </wp:positionV>
                      <wp:extent cx="1828800" cy="1828800"/>
                      <wp:effectExtent l="0" t="0" r="0" b="0"/>
                      <wp:wrapSquare wrapText="bothSides"/>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指标</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25pt;margin-top:15.75pt;height:144pt;width:144pt;mso-wrap-distance-bottom:0pt;mso-wrap-distance-left:9pt;mso-wrap-distance-right:9pt;mso-wrap-distance-top:0pt;mso-wrap-style:none;z-index:251670528;mso-width-relative:page;mso-height-relative:page;" filled="f" stroked="f" coordsize="21600,21600" o:gfxdata="UEsDBAoAAAAAAIdO4kAAAAAAAAAAAAAAAAAEAAAAZHJzL1BLAwQUAAAACACHTuJAs1Fsc9cAAAAJ&#10;AQAADwAAAGRycy9kb3ducmV2LnhtbE2PMU/DMBCFd6T+B+sqsVE7iYogxOlQiS6IgYJgvcTXJEps&#10;R7GbBn491wmme6f39O67YrfYQcw0hc47DclGgSBXe9O5RsPH+/PdA4gQ0RkcvCMN3xRgV65uCsyN&#10;v7g3mo+xEVziQo4a2hjHXMpQt2QxbPxIjr2TnyxGXqdGmgkvXG4HmSp1Ly12ji+0ONK+pbo/nq2G&#10;V/w8xHnp60M/nsyXHat99vOi9e06UU8gIi3xLwxXfEaHkpkqf3YmiEFDmm45qSFLeLKfJYpFdRWP&#10;W5BlIf9/UP4CUEsDBBQAAAAIAIdO4kC01GnpNgIAAGUEAAAOAAAAZHJzL2Uyb0RvYy54bWytVM1u&#10;EzEQviPxDpbvZJOQliTKpgqNgpAqWqkgzo7Xm13Jf7Kd7IYHgDfg1At3nqvPwWdvkkaFQw9cvGPP&#10;+Bt/38zs7KpVkuyE87XROR30+pQIzU1R601Ov3xevRlT4gPTBZNGi5zuhadX89evZo2diqGpjCyE&#10;IwDRftrYnFYh2GmWeV4JxXzPWKHhLI1TLGDrNlnhWAN0JbNhv3+ZNcYV1hkuvMfpsnPSA6J7CaAp&#10;y5qLpeFbJXToUJ2QLICSr2rr6Ty9tiwFD7dl6UUgMqdgGtKKJLDXcc3mMzbdOGarmh+ewF7yhGec&#10;FKs1kp6gliwwsnX1X1Cq5s54U4YeNyrriCRFwGLQf6bNfcWsSFwgtbcn0f3/g+WfdneO1EVOJ5Ro&#10;plDwx58/Hh9+P/76TiZRnsb6KaLuLeJC+960aJrjucdhZN2WTsUv+BD4Ie7+JK5oA+Hx0ng4Hvfh&#10;4vAdN8DPnq5b58MHYRSJRk4dqpdEZbsbH7rQY0jMps2qljJVUGrS5PTy7UU/XTh5AC41ckQS3WOj&#10;Fdp1e2C2NsUexJzpOsNbvqqR/Ib5cMccWgEPxrCEWyylNEhiDhYllXHf/nUe41EheClp0Fo51Zgk&#10;SuRHjcpNBqMRQEPajC7eDbFx5571uUdv1bVB7w4wlJYnM8YHeTRLZ9RXTNQi5oSLaY7MOQ1H8zp0&#10;7Y6J5GKxSEHoPcvCjb63PEJHMb1dbAMETTpHkTplDtqh+1KlDpMS2/t8n6Ke/g7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RbHPXAAAACQEAAA8AAAAAAAAAAQAgAAAAIgAAAGRycy9kb3ducmV2&#10;LnhtbFBLAQIUABQAAAAIAIdO4kC01GnpNgIAAGUEAAAOAAAAAAAAAAEAIAAAACYBAABkcnMvZTJv&#10;RG9jLnhtbFBLBQYAAAAABgAGAFkBAADOBQAAAAA=&#10;">
                      <v:fill on="f" focussize="0,0"/>
                      <v:stroke on="f" weight="0.5pt"/>
                      <v:imagedata o:title=""/>
                      <o:lock v:ext="edit" aspectratio="f"/>
                      <v:textbox style="mso-fit-shape-to-text:t;">
                        <w:txbxContent>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指标</w:t>
                            </w:r>
                          </w:p>
                        </w:txbxContent>
                      </v:textbox>
                      <w10:wrap type="square"/>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1152525</wp:posOffset>
                      </wp:positionH>
                      <wp:positionV relativeFrom="paragraph">
                        <wp:posOffset>121920</wp:posOffset>
                      </wp:positionV>
                      <wp:extent cx="1828800" cy="1828800"/>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年度</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90.75pt;margin-top:9.6pt;height:144pt;width:144pt;mso-wrap-distance-bottom:0pt;mso-wrap-distance-left:9pt;mso-wrap-distance-right:9pt;mso-wrap-distance-top:0pt;mso-wrap-style:none;z-index:251668480;mso-width-relative:page;mso-height-relative:page;" filled="f" stroked="f" coordsize="21600,21600" o:gfxdata="UEsDBAoAAAAAAIdO4kAAAAAAAAAAAAAAAAAEAAAAZHJzL1BLAwQUAAAACACHTuJA8Fesh9kAAAAK&#10;AQAADwAAAGRycy9kb3ducmV2LnhtbE2PzU7DQAyE70i8w8pI3OgmKZQ2ZNNDJXpBHCgIrk7WTaJk&#10;f5TdpoGnx5zozWOPxt8U29kMYqIxdM4qSBcJCLK1051tFHy8P9+tQYSIVuPgLCn4pgDb8vqqwFy7&#10;s32j6RAbwSE25KigjdHnUoa6JYNh4TxZvh3daDCyHBupRzxzuBlkliQrabCz/KFFT7uW6v5wMgpe&#10;8XMfp7mv970/6i/jq93y50Wp25s0eQIRaY7/ZvjDZ3QomalyJ6uDGFiv0we28rDJQLDhfrXhRaVg&#10;mTxmIMtCXlYofwFQSwMEFAAAAAgAh07iQLrNKfU3AgAAZQQAAA4AAABkcnMvZTJvRG9jLnhtbK1U&#10;S27bMBDdF+gdCO4bya6TuIblwE3gokDQBHCLrmmKsgTwB5K2lB6gvUFX2XTfc/kcfaRsx0i7yKIb&#10;asgZvuF7M6PpVack2QrnG6MLOjjLKRGam7LR64J++bx4M6bEB6ZLJo0WBX0Qnl7NXr+atnYihqY2&#10;shSOAET7SWsLWodgJ1nmeS0U82fGCg1nZZxiAVu3zkrHWqArmQ3z/CJrjSutM1x4j9Ob3kn3iO4l&#10;gKaqGi5uDN8ooUOP6oRkAZR83VhPZ+m1VSV4uKsqLwKRBQXTkFYkgb2KazabssnaMVs3fP8E9pIn&#10;POOkWKOR9Ah1wwIjG9f8BaUa7ow3VTjjRmU9kaQIWAzyZ9osa2ZF4gKpvT2K7v8fLP+0vXekKQt6&#10;SYlmCgXf/fyxe/y9+/WdXEZ5WusniFpaxIXuvenQNIdzj8PIuqucil/wIfBD3IejuKILhMdL4+F4&#10;nMPF4TtsgJ89XbfOhw/CKBKNgjpUL4nKtrc+9KGHkJhNm0UjZaqg1KQt6MXb8zxdOHoALjVyRBL9&#10;Y6MVulW3Z7Yy5QOIOdN3hrd80SD5LfPhnjm0Ah6MYQl3WCppkMTsLUpq47796zzGo0LwUtKitQqq&#10;MUmUyI8alXs3GI0AGtJmdH45xMadelanHr1R1wa9O8BQWp7MGB/kwaycUV8xUfOYEy6mOTIXNBzM&#10;69C3OyaSi/k8BaH3LAu3eml5hI5iejvfBAiadI4i9crstUP3pUrtJyW29+k+RT39HW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BXrIfZAAAACgEAAA8AAAAAAAAAAQAgAAAAIgAAAGRycy9kb3du&#10;cmV2LnhtbFBLAQIUABQAAAAIAIdO4kC6zSn1NwIAAGUEAAAOAAAAAAAAAAEAIAAAACgBAABkcnMv&#10;ZTJvRG9jLnhtbFBLBQYAAAAABgAGAFkBAADRBQAAAAA=&#10;">
                      <v:fill on="f" focussize="0,0"/>
                      <v:stroke on="f" weight="0.5pt"/>
                      <v:imagedata o:title=""/>
                      <o:lock v:ext="edit" aspectratio="f"/>
                      <v:textbox style="mso-fit-shape-to-text:t;">
                        <w:txbxContent>
                          <w:p>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年度</w:t>
                            </w:r>
                          </w:p>
                        </w:txbxContent>
                      </v:textbox>
                      <w10:wrap type="square"/>
                    </v:shape>
                  </w:pict>
                </mc:Fallback>
              </mc:AlternateContent>
            </w:r>
          </w:p>
        </w:tc>
        <w:tc>
          <w:tcPr>
            <w:tcW w:w="1033" w:type="dxa"/>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w:t>
            </w:r>
          </w:p>
        </w:tc>
        <w:tc>
          <w:tcPr>
            <w:tcW w:w="1215" w:type="dxa"/>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工业</w:t>
            </w:r>
          </w:p>
        </w:tc>
        <w:tc>
          <w:tcPr>
            <w:tcW w:w="1215" w:type="dxa"/>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w:t>
            </w:r>
          </w:p>
        </w:tc>
        <w:tc>
          <w:tcPr>
            <w:tcW w:w="1215" w:type="dxa"/>
            <w:noWrap w:val="0"/>
            <w:vAlign w:val="center"/>
          </w:tcPr>
          <w:p>
            <w:pPr>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restart"/>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影响测点数</w:t>
            </w:r>
          </w:p>
        </w:tc>
        <w:tc>
          <w:tcPr>
            <w:tcW w:w="2008" w:type="dxa"/>
            <w:gridSpan w:val="2"/>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2017年</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30</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2008" w:type="dxa"/>
            <w:gridSpan w:val="2"/>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2018年</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restart"/>
            <w:noWrap w:val="0"/>
            <w:vAlign w:val="center"/>
          </w:tcPr>
          <w:p>
            <w:pPr>
              <w:spacing w:line="312" w:lineRule="exact"/>
              <w:jc w:val="center"/>
              <w:rPr>
                <w:rFonts w:hint="default" w:ascii="Times New Roman" w:hAnsi="Times New Roman" w:eastAsia="宋体" w:cs="Times New Roman"/>
                <w:sz w:val="24"/>
                <w:szCs w:val="24"/>
              </w:rPr>
            </w:pPr>
            <w:bookmarkStart w:id="110" w:name="OLE_LINK3" w:colFirst="2" w:colLast="2"/>
            <w:bookmarkStart w:id="111" w:name="OLE_LINK1" w:colFirst="2" w:colLast="2"/>
            <w:bookmarkStart w:id="112" w:name="OLE_LINK4" w:colFirst="2" w:colLast="2"/>
            <w:r>
              <w:rPr>
                <w:rFonts w:hint="default" w:ascii="Times New Roman" w:hAnsi="Times New Roman" w:eastAsia="宋体" w:cs="Times New Roman"/>
                <w:sz w:val="24"/>
                <w:szCs w:val="24"/>
              </w:rPr>
              <w:t>声源构成比（%）</w:t>
            </w:r>
          </w:p>
        </w:tc>
        <w:tc>
          <w:tcPr>
            <w:tcW w:w="2008" w:type="dxa"/>
            <w:gridSpan w:val="2"/>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2017年</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22.2</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0.0</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3.0</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2008" w:type="dxa"/>
            <w:gridSpan w:val="2"/>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2018年</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18.5</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0.7</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4.4</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76.3</w:t>
            </w:r>
          </w:p>
        </w:tc>
      </w:tr>
      <w:bookmarkEnd w:id="110"/>
      <w:bookmarkEnd w:id="111"/>
      <w:bookmark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restart"/>
            <w:noWrap w:val="0"/>
            <w:vAlign w:val="center"/>
          </w:tcPr>
          <w:p>
            <w:pPr>
              <w:spacing w:line="312"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eq</w:t>
            </w:r>
          </w:p>
        </w:tc>
        <w:tc>
          <w:tcPr>
            <w:tcW w:w="1103"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2017年</w:t>
            </w:r>
          </w:p>
        </w:tc>
        <w:tc>
          <w:tcPr>
            <w:tcW w:w="90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eq</w:t>
            </w:r>
          </w:p>
        </w:tc>
        <w:tc>
          <w:tcPr>
            <w:tcW w:w="1033"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55.7</w:t>
            </w:r>
          </w:p>
        </w:tc>
        <w:tc>
          <w:tcPr>
            <w:tcW w:w="1215" w:type="dxa"/>
            <w:noWrap w:val="0"/>
            <w:vAlign w:val="center"/>
          </w:tcPr>
          <w:p>
            <w:pPr>
              <w:spacing w:line="312" w:lineRule="exact"/>
              <w:jc w:val="cente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val="en-US" w:eastAsia="zh-CN"/>
              </w:rPr>
              <w:t>—</w:t>
            </w:r>
          </w:p>
        </w:tc>
        <w:tc>
          <w:tcPr>
            <w:tcW w:w="121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55.8</w:t>
            </w:r>
          </w:p>
        </w:tc>
        <w:tc>
          <w:tcPr>
            <w:tcW w:w="121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1103"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90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SD</w:t>
            </w:r>
          </w:p>
        </w:tc>
        <w:tc>
          <w:tcPr>
            <w:tcW w:w="1033"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w:t>
            </w:r>
          </w:p>
        </w:tc>
        <w:tc>
          <w:tcPr>
            <w:tcW w:w="1215" w:type="dxa"/>
            <w:noWrap w:val="0"/>
            <w:vAlign w:val="center"/>
          </w:tcPr>
          <w:p>
            <w:pPr>
              <w:spacing w:line="312"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w:t>
            </w:r>
          </w:p>
        </w:tc>
        <w:tc>
          <w:tcPr>
            <w:tcW w:w="121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w:t>
            </w:r>
          </w:p>
        </w:tc>
        <w:tc>
          <w:tcPr>
            <w:tcW w:w="121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1103" w:type="dxa"/>
            <w:vMerge w:val="restart"/>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2018年</w:t>
            </w:r>
          </w:p>
        </w:tc>
        <w:tc>
          <w:tcPr>
            <w:tcW w:w="90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L</w:t>
            </w:r>
            <w:r>
              <w:rPr>
                <w:rFonts w:hint="default" w:ascii="Times New Roman" w:hAnsi="Times New Roman" w:eastAsia="宋体" w:cs="Times New Roman"/>
                <w:kern w:val="0"/>
                <w:sz w:val="24"/>
                <w:szCs w:val="24"/>
                <w:vertAlign w:val="subscript"/>
              </w:rPr>
              <w:t>eq</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55</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65</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54.8</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8" w:type="dxa"/>
            <w:vMerge w:val="continue"/>
            <w:noWrap w:val="0"/>
            <w:vAlign w:val="center"/>
          </w:tcPr>
          <w:p>
            <w:pPr>
              <w:spacing w:line="312" w:lineRule="exact"/>
              <w:jc w:val="center"/>
              <w:rPr>
                <w:rFonts w:hint="default" w:ascii="Times New Roman" w:hAnsi="Times New Roman" w:eastAsia="宋体" w:cs="Times New Roman"/>
                <w:sz w:val="24"/>
                <w:szCs w:val="24"/>
              </w:rPr>
            </w:pPr>
          </w:p>
        </w:tc>
        <w:tc>
          <w:tcPr>
            <w:tcW w:w="1103" w:type="dxa"/>
            <w:vMerge w:val="continue"/>
            <w:noWrap w:val="0"/>
            <w:vAlign w:val="center"/>
          </w:tcPr>
          <w:p>
            <w:pPr>
              <w:spacing w:line="312" w:lineRule="exact"/>
              <w:jc w:val="center"/>
              <w:rPr>
                <w:rFonts w:hint="default" w:ascii="Times New Roman" w:hAnsi="Times New Roman" w:eastAsia="宋体" w:cs="Times New Roman"/>
                <w:kern w:val="0"/>
                <w:sz w:val="24"/>
                <w:szCs w:val="24"/>
              </w:rPr>
            </w:pPr>
          </w:p>
        </w:tc>
        <w:tc>
          <w:tcPr>
            <w:tcW w:w="905" w:type="dxa"/>
            <w:noWrap w:val="0"/>
            <w:vAlign w:val="center"/>
          </w:tcPr>
          <w:p>
            <w:pPr>
              <w:spacing w:line="312"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SD</w:t>
            </w:r>
          </w:p>
        </w:tc>
        <w:tc>
          <w:tcPr>
            <w:tcW w:w="1033"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5.1</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1.6</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4.5</w:t>
            </w:r>
          </w:p>
        </w:tc>
        <w:tc>
          <w:tcPr>
            <w:tcW w:w="1215" w:type="dxa"/>
            <w:noWrap w:val="0"/>
            <w:vAlign w:val="center"/>
          </w:tcPr>
          <w:p>
            <w:pPr>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r>
    </w:tbl>
    <w:p>
      <w:pPr>
        <w:pStyle w:val="2"/>
        <w:keepNext/>
        <w:keepLines/>
        <w:pageBreakBefore/>
        <w:widowControl w:val="0"/>
        <w:kinsoku/>
        <w:wordWrap/>
        <w:overflowPunct/>
        <w:topLinePunct w:val="0"/>
        <w:autoSpaceDE/>
        <w:autoSpaceDN/>
        <w:bidi w:val="0"/>
        <w:adjustRightInd/>
        <w:snapToGrid/>
        <w:spacing w:line="576" w:lineRule="auto"/>
        <w:textAlignment w:val="auto"/>
        <w:outlineLvl w:val="0"/>
        <w:rPr>
          <w:rFonts w:hint="default" w:ascii="新宋体" w:hAnsi="新宋体" w:eastAsia="新宋体" w:cs="新宋体"/>
          <w:sz w:val="30"/>
          <w:szCs w:val="30"/>
          <w:lang w:val="en-US" w:eastAsia="zh-CN"/>
        </w:rPr>
      </w:pPr>
      <w:bookmarkStart w:id="113" w:name="_Toc2251_WPSOffice_Level1"/>
      <w:r>
        <w:rPr>
          <w:rFonts w:hint="eastAsia" w:ascii="新宋体" w:hAnsi="新宋体" w:eastAsia="新宋体" w:cs="新宋体"/>
          <w:sz w:val="30"/>
          <w:szCs w:val="30"/>
          <w:lang w:val="en-US" w:eastAsia="zh-CN"/>
        </w:rPr>
        <w:t>4. 声环境功能区区划方案</w:t>
      </w:r>
      <w:bookmarkEnd w:id="113"/>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14" w:name="_Toc23112_WPSOffice_Level2"/>
      <w:bookmarkStart w:id="115" w:name="_Toc22180"/>
      <w:bookmarkStart w:id="116" w:name="_Toc30348_WPSOffice_Level2"/>
      <w:r>
        <w:rPr>
          <w:rFonts w:hint="eastAsia" w:ascii="Times New Roman" w:hAnsi="Times New Roman" w:eastAsia="黑体" w:cs="Times New Roman"/>
          <w:b/>
          <w:bCs/>
          <w:sz w:val="28"/>
          <w:szCs w:val="28"/>
          <w:lang w:val="en-US" w:eastAsia="zh-CN"/>
        </w:rPr>
        <w:t>4.1</w:t>
      </w:r>
      <w:r>
        <w:rPr>
          <w:rFonts w:hint="default" w:ascii="Times New Roman" w:hAnsi="Times New Roman" w:eastAsia="黑体" w:cs="Times New Roman"/>
          <w:b/>
          <w:bCs/>
          <w:sz w:val="28"/>
          <w:szCs w:val="28"/>
          <w:lang w:val="en-US" w:eastAsia="zh-CN"/>
        </w:rPr>
        <w:t>各类声环境功能适用区执行标准</w:t>
      </w:r>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17" w:name="_Toc31116"/>
      <w:bookmarkStart w:id="118" w:name="_Toc6612"/>
      <w:bookmarkStart w:id="119" w:name="_Toc24763"/>
      <w:bookmarkStart w:id="120" w:name="_Toc10603_WPSOffice_Level2"/>
      <w:bookmarkStart w:id="121" w:name="_Toc12812_WPSOffice_Level2"/>
      <w:bookmarkStart w:id="122" w:name="_Toc7842"/>
      <w:bookmarkStart w:id="123" w:name="_Toc10072"/>
      <w:bookmarkStart w:id="124" w:name="_Toc8555_WPSOffice_Level2"/>
      <w:bookmarkStart w:id="125" w:name="_Toc14166"/>
      <w:bookmarkStart w:id="126" w:name="_Toc11280_WPSOffice_Level2"/>
      <w:bookmarkStart w:id="127" w:name="_Toc19231"/>
      <w:r>
        <w:rPr>
          <w:rFonts w:hint="eastAsia" w:ascii="Times New Roman" w:hAnsi="Times New Roman" w:eastAsia="宋体" w:cs="Times New Roman"/>
          <w:b/>
          <w:bCs/>
          <w:sz w:val="28"/>
          <w:szCs w:val="28"/>
          <w:lang w:val="en-US" w:eastAsia="zh-CN"/>
        </w:rPr>
        <w:t xml:space="preserve">4.1.1 </w:t>
      </w:r>
      <w:r>
        <w:rPr>
          <w:rFonts w:hint="default" w:ascii="Times New Roman" w:hAnsi="Times New Roman" w:eastAsia="宋体" w:cs="Times New Roman"/>
          <w:b/>
          <w:bCs/>
          <w:sz w:val="28"/>
          <w:szCs w:val="28"/>
          <w:lang w:val="en-US" w:eastAsia="zh-CN"/>
        </w:rPr>
        <w:t>各类声环境功能适用区说明</w:t>
      </w:r>
      <w:bookmarkEnd w:id="117"/>
      <w:bookmarkEnd w:id="118"/>
      <w:bookmarkEnd w:id="119"/>
      <w:bookmarkEnd w:id="120"/>
      <w:bookmarkEnd w:id="121"/>
      <w:bookmarkEnd w:id="122"/>
      <w:bookmarkEnd w:id="123"/>
      <w:bookmarkEnd w:id="124"/>
      <w:bookmarkEnd w:id="125"/>
      <w:bookmarkEnd w:id="126"/>
      <w:bookmarkEnd w:id="127"/>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bookmarkStart w:id="128" w:name="_Toc11557_WPSOffice_Level3"/>
      <w:r>
        <w:rPr>
          <w:rFonts w:hint="default" w:ascii="Times New Roman" w:hAnsi="Times New Roman" w:eastAsia="新宋体" w:cs="Times New Roman"/>
          <w:sz w:val="28"/>
          <w:szCs w:val="28"/>
          <w:highlight w:val="none"/>
          <w:shd w:val="clear"/>
          <w:lang w:val="en-US" w:eastAsia="zh-CN"/>
        </w:rPr>
        <w:t>0类区</w:t>
      </w:r>
    </w:p>
    <w:bookmarkEnd w:id="128"/>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eastAsia="zh-CN"/>
        </w:rPr>
      </w:pPr>
      <w:r>
        <w:rPr>
          <w:rFonts w:hint="default" w:ascii="Times New Roman" w:hAnsi="Times New Roman" w:eastAsia="新宋体" w:cs="Times New Roman"/>
          <w:sz w:val="28"/>
          <w:szCs w:val="28"/>
          <w:highlight w:val="none"/>
          <w:shd w:val="clear"/>
          <w:lang w:eastAsia="zh-CN"/>
        </w:rPr>
        <w:t>0类声环境功能区适用区域：康复疗养区等特别需要安静的区域；自然保护区核心区等珍稀动植物集中分布区。</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bookmarkStart w:id="129" w:name="_Toc23632_WPSOffice_Level3"/>
      <w:r>
        <w:rPr>
          <w:rFonts w:hint="default" w:ascii="Times New Roman" w:hAnsi="Times New Roman" w:eastAsia="新宋体" w:cs="Times New Roman"/>
          <w:sz w:val="28"/>
          <w:szCs w:val="28"/>
          <w:highlight w:val="none"/>
          <w:shd w:val="clear"/>
          <w:lang w:val="en-US" w:eastAsia="zh-CN"/>
        </w:rPr>
        <w:t>1类区</w:t>
      </w:r>
      <w:bookmarkEnd w:id="129"/>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eastAsia="zh-CN"/>
        </w:rPr>
      </w:pPr>
      <w:r>
        <w:rPr>
          <w:rFonts w:hint="default" w:ascii="Times New Roman" w:hAnsi="Times New Roman" w:eastAsia="新宋体" w:cs="Times New Roman"/>
          <w:sz w:val="28"/>
          <w:szCs w:val="28"/>
          <w:highlight w:val="none"/>
          <w:shd w:val="clear"/>
          <w:lang w:eastAsia="zh-CN"/>
        </w:rPr>
        <w:t>1类声功能区适用于2类区、3类区、4类区以外区域，以居民住宅、医疗卫生、文化教育、科研设计、行政办公为主要功能，需要保持安静的区域。</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bookmarkStart w:id="130" w:name="_Toc30831_WPSOffice_Level3"/>
      <w:r>
        <w:rPr>
          <w:rFonts w:hint="default" w:ascii="Times New Roman" w:hAnsi="Times New Roman" w:eastAsia="新宋体" w:cs="Times New Roman"/>
          <w:sz w:val="28"/>
          <w:szCs w:val="28"/>
          <w:highlight w:val="none"/>
          <w:shd w:val="clear"/>
          <w:lang w:val="en-US" w:eastAsia="zh-CN"/>
        </w:rPr>
        <w:t>2类区</w:t>
      </w:r>
      <w:bookmarkEnd w:id="130"/>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eastAsia="zh-CN"/>
        </w:rPr>
      </w:pPr>
      <w:r>
        <w:rPr>
          <w:rFonts w:hint="default" w:ascii="Times New Roman" w:hAnsi="Times New Roman" w:eastAsia="新宋体" w:cs="Times New Roman"/>
          <w:sz w:val="28"/>
          <w:szCs w:val="28"/>
          <w:highlight w:val="none"/>
          <w:shd w:val="clear"/>
          <w:lang w:eastAsia="zh-CN"/>
        </w:rPr>
        <w:t>2类声功能区适用于以商业金融、集市贸易为主要功能，或者居住、商业、工业混杂，需要维护住宅安静的区域。</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bookmarkStart w:id="131" w:name="_Toc27425_WPSOffice_Level3"/>
      <w:r>
        <w:rPr>
          <w:rFonts w:hint="default" w:ascii="Times New Roman" w:hAnsi="Times New Roman" w:eastAsia="新宋体" w:cs="Times New Roman"/>
          <w:sz w:val="28"/>
          <w:szCs w:val="28"/>
          <w:highlight w:val="none"/>
          <w:shd w:val="clear"/>
          <w:lang w:val="en-US" w:eastAsia="zh-CN"/>
        </w:rPr>
        <w:t>3类区</w:t>
      </w:r>
      <w:bookmarkEnd w:id="131"/>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eastAsia="zh-CN"/>
        </w:rPr>
      </w:pPr>
      <w:r>
        <w:rPr>
          <w:rFonts w:hint="default" w:ascii="Times New Roman" w:hAnsi="Times New Roman" w:eastAsia="新宋体" w:cs="Times New Roman"/>
          <w:sz w:val="28"/>
          <w:szCs w:val="28"/>
          <w:highlight w:val="none"/>
          <w:shd w:val="clear"/>
          <w:lang w:eastAsia="zh-CN"/>
        </w:rPr>
        <w:t>3类声功能区适用于以工业生产、仓储物流为主要功能，需要防止工业噪声对周围环境产生严重影响的区域。</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bookmarkStart w:id="132" w:name="_Toc12812_WPSOffice_Level3"/>
      <w:r>
        <w:rPr>
          <w:rFonts w:hint="default" w:ascii="Times New Roman" w:hAnsi="Times New Roman" w:eastAsia="新宋体" w:cs="Times New Roman"/>
          <w:sz w:val="28"/>
          <w:szCs w:val="28"/>
          <w:highlight w:val="none"/>
          <w:shd w:val="clear"/>
          <w:lang w:val="en-US" w:eastAsia="zh-CN"/>
        </w:rPr>
        <w:t>4a类区</w:t>
      </w:r>
      <w:bookmarkEnd w:id="132"/>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eastAsia="zh-CN"/>
        </w:rPr>
        <w:t>4a类区为高速公路、一级公路、二级公路、城市快速路、城市主干路、城市次干路、城市轨道交通（地面段）、内河航道两侧一定距离范围内区域，标准值为昼间70dB(A)、夜间55dB(A)。根据临路建筑的高度及间距等不同情况，4a类区的划分距离具体按以下表中</w:t>
      </w:r>
      <w:r>
        <w:rPr>
          <w:rFonts w:hint="default" w:ascii="Times New Roman" w:hAnsi="Times New Roman" w:eastAsia="新宋体" w:cs="Times New Roman"/>
          <w:sz w:val="28"/>
          <w:szCs w:val="28"/>
          <w:highlight w:val="none"/>
          <w:shd w:val="clear"/>
          <w:lang w:val="en-US" w:eastAsia="zh-CN"/>
        </w:rPr>
        <w:t>要求执行：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表4.</w:t>
      </w:r>
      <w:r>
        <w:rPr>
          <w:rFonts w:hint="eastAsia" w:ascii="宋体" w:hAnsi="宋体" w:eastAsia="宋体" w:cs="宋体"/>
          <w:b/>
          <w:bCs/>
          <w:sz w:val="24"/>
          <w:szCs w:val="24"/>
          <w:lang w:val="en-US" w:eastAsia="zh-CN"/>
        </w:rPr>
        <w:t>1</w:t>
      </w:r>
      <w:r>
        <w:rPr>
          <w:rFonts w:hint="default" w:ascii="宋体" w:hAnsi="宋体" w:eastAsia="宋体" w:cs="宋体"/>
          <w:b/>
          <w:bCs/>
          <w:sz w:val="24"/>
          <w:szCs w:val="24"/>
          <w:lang w:val="en-US" w:eastAsia="zh-CN"/>
        </w:rPr>
        <w:t>-1  交通干线（边界）与相邻声功能区距离表</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0"/>
        <w:gridCol w:w="189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源强类型</w:t>
            </w: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划分距离（m）</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相邻功能区类型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高速公路、城市快速路、一级公路</w:t>
            </w: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80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default" w:ascii="Times New Roman" w:hAnsi="Times New Roman" w:eastAsia="新宋体" w:cs="Times New Roman"/>
                <w:sz w:val="28"/>
                <w:szCs w:val="28"/>
                <w:highlight w:val="none"/>
                <w:shd w:val="clear"/>
                <w:lang w:val="en-US" w:eastAsia="zh-CN"/>
              </w:rPr>
            </w:pP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50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outlineLvl w:val="9"/>
              <w:rPr>
                <w:rFonts w:hint="default" w:ascii="Times New Roman" w:hAnsi="Times New Roman" w:eastAsia="新宋体" w:cs="Times New Roman"/>
                <w:sz w:val="28"/>
                <w:szCs w:val="28"/>
                <w:highlight w:val="none"/>
                <w:shd w:val="clear"/>
                <w:lang w:val="en-US" w:eastAsia="zh-CN"/>
              </w:rPr>
            </w:pP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30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3类区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城市主干路、城市次干路、城市轨道交通（地面段）、二级公路</w:t>
            </w: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50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30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0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p>
        </w:tc>
        <w:tc>
          <w:tcPr>
            <w:tcW w:w="18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20</w:t>
            </w:r>
          </w:p>
        </w:tc>
        <w:tc>
          <w:tcPr>
            <w:tcW w:w="252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3类区</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若临路建筑以低于三层楼房的建筑（含开阔地）为主，将道路边界线外一定距离内区域划为4a类声环境功能区。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若划分距离范围内临路建筑以高于三层楼房以上（含三层）的建筑为主，将第一排建筑面向道路一侧至道路边界线的区域及该建筑物两侧一定纵深距离范围内受交通噪声直达声影响的区域划为4a类声环境功能区。并排的两个建筑物临路一侧的相邻两点间距离小于或等于20米时，视同直线连接。大于20米时，按临路建筑的高度及间距情况重新判断分别执行（1）和（2）要求。第二排的建筑，若其高于前排建筑或虽低于前排建筑但因楼座错落设置使部分楼体探出前排遮挡并受到道路交通噪声的直达声影响，则高出及探出部分的楼层面向道路一侧范围划分为4a类区。其余部分未受到交通噪声直达声影响的区域执行其相邻声环境功能区要求。</w:t>
      </w:r>
      <w:bookmarkStart w:id="133" w:name="_Toc25524_WPSOffice_Level3"/>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4b类区</w:t>
      </w:r>
      <w:bookmarkEnd w:id="133"/>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4b类区为铁路干线两侧区域。4b类声环境功能区的划分适用于铁路干线（正线、站线、段管线、岔线）两侧区域，是指铁路边界外一定距离内的用地范围，距离（不计临路建筑物高度）按下述要求执行：</w:t>
      </w:r>
      <w:bookmarkStart w:id="134" w:name="_Toc20784_WPSOffice_Level3"/>
      <w:bookmarkStart w:id="135" w:name="_Toc18923_WPSOffice_Level2"/>
      <w:bookmarkStart w:id="136" w:name="_Toc15420_WPSOffice_Level2"/>
      <w:bookmarkStart w:id="137" w:name="_Toc9231_WPSOffice_Level2"/>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表4.2-2  4b类功能区两侧距离的划定要求</w:t>
      </w:r>
      <w:bookmarkEnd w:id="134"/>
      <w:bookmarkEnd w:id="135"/>
      <w:bookmarkEnd w:id="136"/>
      <w:bookmarkEnd w:id="137"/>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2665"/>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源强类型</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划分距离</w:t>
            </w:r>
            <w:r>
              <w:rPr>
                <w:rFonts w:hint="default" w:ascii="Times New Roman" w:hAnsi="Times New Roman" w:eastAsia="新宋体" w:cs="Times New Roman"/>
                <w:b w:val="0"/>
                <w:bCs/>
                <w:sz w:val="28"/>
                <w:szCs w:val="28"/>
                <w:highlight w:val="none"/>
                <w:shd w:val="clear"/>
                <w:lang w:val="en-US" w:eastAsia="zh-CN"/>
              </w:rPr>
              <w:t>/</w:t>
            </w:r>
            <w:r>
              <w:rPr>
                <w:rFonts w:hint="default" w:ascii="Times New Roman" w:hAnsi="Times New Roman" w:eastAsia="新宋体" w:cs="Times New Roman"/>
                <w:b w:val="0"/>
                <w:bCs/>
                <w:sz w:val="28"/>
                <w:szCs w:val="28"/>
                <w:highlight w:val="none"/>
                <w:shd w:val="clear"/>
              </w:rPr>
              <w:t>m</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相邻功能区类型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高速铁路干线</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100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60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40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3类区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普速铁路干线</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80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50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30</w:t>
            </w:r>
          </w:p>
        </w:tc>
        <w:tc>
          <w:tcPr>
            <w:tcW w:w="3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新宋体" w:cs="Times New Roman"/>
                <w:b w:val="0"/>
                <w:bCs/>
                <w:sz w:val="28"/>
                <w:szCs w:val="28"/>
                <w:highlight w:val="none"/>
                <w:shd w:val="clear"/>
              </w:rPr>
            </w:pPr>
            <w:r>
              <w:rPr>
                <w:rFonts w:hint="default" w:ascii="Times New Roman" w:hAnsi="Times New Roman" w:eastAsia="新宋体" w:cs="Times New Roman"/>
                <w:b w:val="0"/>
                <w:bCs/>
                <w:sz w:val="28"/>
                <w:szCs w:val="28"/>
                <w:highlight w:val="none"/>
                <w:shd w:val="clear"/>
              </w:rPr>
              <w:t>3类区</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道路边界的认定。地面段公路或城市道路以最外侧非机动车道路或机非混行道路外沿为边界，高路基公路或城市道路以最外侧的边沟或路基边缘为边界，没有辅路的高架公路或城市道路以高架段地面垂直投影的最外侧为边界。铁路、城市轨道交通或高速公路以护网处为边界，没有护网的按一般公路或城市道路相关情况处理。</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38" w:name="_Toc13994"/>
      <w:bookmarkStart w:id="139" w:name="_Toc11705_WPSOffice_Level2"/>
      <w:bookmarkStart w:id="140" w:name="_Toc10460_WPSOffice_Level2"/>
      <w:bookmarkStart w:id="141" w:name="_Toc25524_WPSOffice_Level2"/>
      <w:bookmarkStart w:id="142" w:name="_Toc27485"/>
      <w:bookmarkStart w:id="143" w:name="_Toc16524_WPSOffice_Level2"/>
      <w:bookmarkStart w:id="144" w:name="_Toc12602"/>
      <w:bookmarkStart w:id="145" w:name="_Toc13693"/>
      <w:bookmarkStart w:id="146" w:name="_Toc11504"/>
      <w:bookmarkStart w:id="147" w:name="_Toc22478"/>
      <w:bookmarkStart w:id="148" w:name="_Toc29534_WPSOffice_Level2"/>
      <w:bookmarkStart w:id="149" w:name="_Toc15300_WPSOffice_Level2"/>
      <w:bookmarkStart w:id="150" w:name="_Toc11998"/>
      <w:r>
        <w:rPr>
          <w:rFonts w:hint="eastAsia" w:ascii="Times New Roman" w:hAnsi="Times New Roman" w:eastAsia="宋体" w:cs="Times New Roman"/>
          <w:b/>
          <w:bCs/>
          <w:sz w:val="28"/>
          <w:szCs w:val="28"/>
          <w:lang w:val="en-US" w:eastAsia="zh-CN"/>
        </w:rPr>
        <w:t xml:space="preserve">4.1.2 </w:t>
      </w:r>
      <w:r>
        <w:rPr>
          <w:rFonts w:hint="default" w:ascii="Times New Roman" w:hAnsi="Times New Roman" w:eastAsia="宋体" w:cs="Times New Roman"/>
          <w:b/>
          <w:bCs/>
          <w:sz w:val="28"/>
          <w:szCs w:val="28"/>
          <w:lang w:val="en-US" w:eastAsia="zh-CN"/>
        </w:rPr>
        <w:t>各类声环境功能适用区执行标准</w:t>
      </w:r>
      <w:bookmarkEnd w:id="138"/>
      <w:bookmarkEnd w:id="139"/>
      <w:bookmarkEnd w:id="140"/>
      <w:bookmarkEnd w:id="141"/>
      <w:bookmarkEnd w:id="142"/>
      <w:bookmarkEnd w:id="143"/>
      <w:bookmarkEnd w:id="144"/>
      <w:bookmarkEnd w:id="145"/>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snapToGrid/>
        <w:spacing w:before="100" w:beforeAutospacing="1" w:afterAutospacing="0" w:line="240" w:lineRule="auto"/>
        <w:ind w:firstLine="560" w:firstLineChars="200"/>
        <w:textAlignment w:val="auto"/>
        <w:outlineLvl w:val="9"/>
        <w:rPr>
          <w:rFonts w:hint="eastAsia"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根据《声环境质量标准》（GB3096-2008），各类声环境功能区执行环境噪声标准</w:t>
      </w:r>
      <w:r>
        <w:rPr>
          <w:rFonts w:hint="eastAsia" w:ascii="Times New Roman" w:hAnsi="Times New Roman" w:eastAsia="新宋体" w:cs="Times New Roman"/>
          <w:sz w:val="28"/>
          <w:szCs w:val="28"/>
          <w:highlight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100" w:afterAutospacing="1" w:line="240" w:lineRule="auto"/>
        <w:ind w:firstLine="560" w:firstLineChars="200"/>
        <w:textAlignment w:val="auto"/>
        <w:outlineLvl w:val="9"/>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昼间是指6:00至22:00之间的时段，该时段执行昼间标准；夜间是指22:00至次日6:00之间的时段，该时段执行夜间标准。各类声环境功能区夜间突发噪声，其最大声级超过环境噪声限值的幅度不得高于15dB（A）。4b类声环境功能区环境噪声限值，适用于2015年1月1日起环境影响评价文件通过审批的新建铁路（含新开廊道的增建铁路）干线建设项目两侧区域；穿过城区的既有铁路及改扩建项目，铁路干线两侧区域不通过列车时环境背景噪声限值，按昼间70dB（A）、夜间55dB（A）执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bookmarkStart w:id="151" w:name="_Toc30081_WPSOffice_Level2"/>
      <w:bookmarkStart w:id="152" w:name="_Toc27726_WPSOffice_Level2"/>
      <w:bookmarkStart w:id="153" w:name="_Toc719_WPSOffice_Level2"/>
      <w:bookmarkStart w:id="154" w:name="_Toc28045_WPSOffice_Level2"/>
      <w:bookmarkStart w:id="155" w:name="_Toc16094_WPSOffice_Level2"/>
      <w:bookmarkStart w:id="156" w:name="_Toc1411_WPSOffice_Level2"/>
      <w:bookmarkStart w:id="157" w:name="_Toc20784_WPSOffice_Level2"/>
      <w:r>
        <w:rPr>
          <w:rFonts w:hint="default" w:ascii="宋体" w:hAnsi="宋体" w:eastAsia="宋体" w:cs="宋体"/>
          <w:b/>
          <w:bCs/>
          <w:sz w:val="24"/>
          <w:szCs w:val="24"/>
          <w:lang w:val="en-US" w:eastAsia="zh-CN"/>
        </w:rPr>
        <w:t>表4.2-3  各类声环境功能区适用区执行环境噪声标准</w:t>
      </w:r>
      <w:bookmarkEnd w:id="151"/>
      <w:bookmarkEnd w:id="152"/>
      <w:bookmarkEnd w:id="153"/>
      <w:bookmarkEnd w:id="154"/>
      <w:bookmarkEnd w:id="155"/>
      <w:bookmarkEnd w:id="156"/>
      <w:bookmarkEnd w:id="157"/>
    </w:p>
    <w:tbl>
      <w:tblPr>
        <w:tblStyle w:val="8"/>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377"/>
        <w:gridCol w:w="2425"/>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gridSpan w:val="2"/>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类别</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昼间[dB(A)]</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gridSpan w:val="2"/>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0类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50</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gridSpan w:val="2"/>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1类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55</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gridSpan w:val="2"/>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2类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60</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gridSpan w:val="2"/>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3类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65</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1" w:type="dxa"/>
            <w:vMerge w:val="restart"/>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4类</w:t>
            </w:r>
          </w:p>
        </w:tc>
        <w:tc>
          <w:tcPr>
            <w:tcW w:w="137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4a类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70</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1" w:type="dxa"/>
            <w:vMerge w:val="continue"/>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p>
        </w:tc>
        <w:tc>
          <w:tcPr>
            <w:tcW w:w="137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4b类</w:t>
            </w:r>
          </w:p>
        </w:tc>
        <w:tc>
          <w:tcPr>
            <w:tcW w:w="2425"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70</w:t>
            </w:r>
          </w:p>
        </w:tc>
        <w:tc>
          <w:tcPr>
            <w:tcW w:w="2427" w:type="dxa"/>
            <w:vAlign w:val="center"/>
          </w:tcPr>
          <w:p>
            <w:pPr>
              <w:kinsoku/>
              <w:wordWrap/>
              <w:overflowPunct/>
              <w:topLinePunct w:val="0"/>
              <w:autoSpaceDE/>
              <w:autoSpaceDN/>
              <w:bidi w:val="0"/>
              <w:adjustRightInd/>
              <w:snapToGrid/>
              <w:spacing w:line="480" w:lineRule="auto"/>
              <w:jc w:val="center"/>
              <w:outlineLvl w:val="9"/>
              <w:rPr>
                <w:rFonts w:hint="default" w:ascii="Times New Roman" w:hAnsi="Times New Roman" w:eastAsia="宋体" w:cs="Times New Roman"/>
                <w:b w:val="0"/>
                <w:bCs/>
                <w:sz w:val="24"/>
                <w:szCs w:val="24"/>
                <w:highlight w:val="none"/>
                <w:shd w:val="clear"/>
              </w:rPr>
            </w:pPr>
            <w:r>
              <w:rPr>
                <w:rFonts w:hint="default" w:ascii="Times New Roman" w:hAnsi="Times New Roman" w:eastAsia="宋体" w:cs="Times New Roman"/>
                <w:b w:val="0"/>
                <w:bCs/>
                <w:sz w:val="24"/>
                <w:szCs w:val="24"/>
                <w:highlight w:val="none"/>
                <w:shd w:val="clear"/>
              </w:rPr>
              <w:t>60</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58" w:name="_Toc27270_WPSOffice_Level2"/>
      <w:bookmarkStart w:id="159" w:name="_Toc7595"/>
      <w:bookmarkStart w:id="160" w:name="_Toc30565_WPSOffice_Level2"/>
      <w:r>
        <w:rPr>
          <w:rFonts w:hint="eastAsia" w:ascii="Times New Roman" w:hAnsi="Times New Roman" w:eastAsia="黑体" w:cs="Times New Roman"/>
          <w:b/>
          <w:bCs/>
          <w:sz w:val="28"/>
          <w:szCs w:val="28"/>
          <w:lang w:val="en-US" w:eastAsia="zh-CN"/>
        </w:rPr>
        <w:t>4.2</w:t>
      </w:r>
      <w:r>
        <w:rPr>
          <w:rFonts w:hint="default" w:ascii="Times New Roman" w:hAnsi="Times New Roman" w:eastAsia="黑体" w:cs="Times New Roman"/>
          <w:b/>
          <w:bCs/>
          <w:sz w:val="28"/>
          <w:szCs w:val="28"/>
          <w:lang w:val="en-US" w:eastAsia="zh-CN"/>
        </w:rPr>
        <w:t>区划方法</w:t>
      </w:r>
      <w:bookmarkEnd w:id="158"/>
      <w:bookmarkEnd w:id="159"/>
      <w:bookmarkEnd w:id="16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区划宜首先对0、1、3类声环境功能区确认划分，余下区域划分2类声环境功能区，在此基础上划分4类声环境功能区。</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61" w:name="_Toc7694"/>
      <w:bookmarkStart w:id="162" w:name="_Toc29276"/>
      <w:r>
        <w:rPr>
          <w:rFonts w:hint="eastAsia" w:ascii="Times New Roman" w:hAnsi="Times New Roman" w:eastAsia="宋体" w:cs="Times New Roman"/>
          <w:b/>
          <w:bCs/>
          <w:sz w:val="28"/>
          <w:szCs w:val="28"/>
          <w:lang w:val="en-US" w:eastAsia="zh-CN"/>
        </w:rPr>
        <w:t xml:space="preserve">4.2.1 </w:t>
      </w:r>
      <w:r>
        <w:rPr>
          <w:rFonts w:hint="default" w:ascii="Times New Roman" w:hAnsi="Times New Roman" w:eastAsia="宋体" w:cs="Times New Roman"/>
          <w:b/>
          <w:bCs/>
          <w:sz w:val="28"/>
          <w:szCs w:val="28"/>
          <w:lang w:val="en-US" w:eastAsia="zh-CN"/>
        </w:rPr>
        <w:t>0～3类声环境功能区划分方法：</w:t>
      </w:r>
      <w:bookmarkEnd w:id="161"/>
      <w:bookmarkEnd w:id="162"/>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0类声环境功能区：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适用于康复疗养区等特别需要安静的区域。该区域内及附近区域应无明显噪声源，区域界限明确。</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1类声环境功能区：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城市用地现状已形成一定规模或近期规划已明确主要功能的区域，其用地性质符合以居民住宅、医疗卫生、文化教育、科研设计、行政办公为主要功能，需要保持安静的区域；1类用地占地率大于70%（含70%）的混合用地区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3）</w:t>
      </w:r>
      <w:r>
        <w:rPr>
          <w:rFonts w:hint="default" w:ascii="Times New Roman" w:hAnsi="Times New Roman" w:eastAsia="新宋体" w:cs="Times New Roman"/>
          <w:sz w:val="28"/>
          <w:szCs w:val="28"/>
          <w:highlight w:val="none"/>
          <w:shd w:val="clear"/>
          <w:lang w:val="en-US" w:eastAsia="zh-CN"/>
        </w:rPr>
        <w:t>2类声环境功能区：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城市用地现状已形成一定规模或近期规划已明确主要功能的区域，其用地性质符合以商业金融、集市贸易为主要功能，或者居住、商业、工业混杂，需要维护住宅安静的区域；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划定的0、1、3类声环境功能区以外居住、商业、工业混杂区域。</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4）</w:t>
      </w:r>
      <w:r>
        <w:rPr>
          <w:rFonts w:hint="default" w:ascii="Times New Roman" w:hAnsi="Times New Roman" w:eastAsia="新宋体" w:cs="Times New Roman"/>
          <w:sz w:val="28"/>
          <w:szCs w:val="28"/>
          <w:highlight w:val="none"/>
          <w:shd w:val="clear"/>
          <w:lang w:val="en-US" w:eastAsia="zh-CN"/>
        </w:rPr>
        <w:t>3类声环境功能区：</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城市用地现状已形成一定规模或近期规划已明确主要功能的区域，其用地性质符合以工业生产、仓储物流为主要功能，需要防止工业噪声对周围环境产生严重影响的区域；</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II类用地占地率大于70%（含70%）的混合用地区域。</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bookmarkStart w:id="163" w:name="_Toc29407"/>
      <w:bookmarkStart w:id="164" w:name="_Toc28988"/>
      <w:r>
        <w:rPr>
          <w:rFonts w:hint="eastAsia" w:ascii="Times New Roman" w:hAnsi="Times New Roman" w:eastAsia="宋体" w:cs="Times New Roman"/>
          <w:b/>
          <w:bCs/>
          <w:sz w:val="28"/>
          <w:szCs w:val="28"/>
          <w:lang w:val="en-US" w:eastAsia="zh-CN"/>
        </w:rPr>
        <w:t xml:space="preserve">4.2.2 </w:t>
      </w:r>
      <w:r>
        <w:rPr>
          <w:rFonts w:hint="default" w:ascii="Times New Roman" w:hAnsi="Times New Roman" w:eastAsia="宋体" w:cs="Times New Roman"/>
          <w:b/>
          <w:bCs/>
          <w:sz w:val="28"/>
          <w:szCs w:val="28"/>
          <w:lang w:val="en-US" w:eastAsia="zh-CN"/>
        </w:rPr>
        <w:t>各类声环境功能区划分方法：</w:t>
      </w:r>
      <w:bookmarkEnd w:id="163"/>
      <w:bookmarkEnd w:id="164"/>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1）</w:t>
      </w:r>
      <w:r>
        <w:rPr>
          <w:rFonts w:hint="default" w:ascii="Times New Roman" w:hAnsi="Times New Roman" w:eastAsia="新宋体" w:cs="Times New Roman"/>
          <w:sz w:val="28"/>
          <w:szCs w:val="28"/>
          <w:highlight w:val="none"/>
          <w:shd w:val="clear"/>
          <w:lang w:val="en-US" w:eastAsia="zh-CN"/>
        </w:rPr>
        <w:t>4a类声环境功能区：将交通干线边界线外一定距离内的区域划分为4a类声环境功能区。距离的确定方法如下：</w:t>
      </w:r>
    </w:p>
    <w:p>
      <w:pPr>
        <w:keepNext w:val="0"/>
        <w:keepLines w:val="0"/>
        <w:pageBreakBefore w:val="0"/>
        <w:widowControl w:val="0"/>
        <w:numPr>
          <w:ilvl w:val="0"/>
          <w:numId w:val="10"/>
        </w:numPr>
        <w:kinsoku/>
        <w:wordWrap/>
        <w:overflowPunct/>
        <w:topLinePunct w:val="0"/>
        <w:autoSpaceDE/>
        <w:autoSpaceDN/>
        <w:bidi w:val="0"/>
        <w:adjustRightInd/>
        <w:snapToGrid/>
        <w:spacing w:before="100" w:beforeAutospacing="1" w:after="100" w:afterAutospacing="1"/>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相邻区域为1类声环境功能区，距离为50m</w:t>
      </w:r>
      <w:r>
        <w:rPr>
          <w:rFonts w:hint="eastAsia" w:ascii="Times New Roman" w:hAnsi="Times New Roman" w:eastAsia="新宋体" w:cs="Times New Roman"/>
          <w:sz w:val="28"/>
          <w:szCs w:val="28"/>
          <w:highlight w:val="none"/>
          <w:shd w:val="clear"/>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before="100" w:beforeAutospacing="1" w:after="100" w:afterAutospacing="1"/>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相邻区域为2类声环境功能区，距离为35m±5m；</w:t>
      </w:r>
    </w:p>
    <w:p>
      <w:pPr>
        <w:keepNext w:val="0"/>
        <w:keepLines w:val="0"/>
        <w:pageBreakBefore w:val="0"/>
        <w:widowControl w:val="0"/>
        <w:numPr>
          <w:ilvl w:val="0"/>
          <w:numId w:val="10"/>
        </w:numPr>
        <w:kinsoku/>
        <w:wordWrap/>
        <w:overflowPunct/>
        <w:topLinePunct w:val="0"/>
        <w:autoSpaceDE/>
        <w:autoSpaceDN/>
        <w:bidi w:val="0"/>
        <w:adjustRightInd/>
        <w:snapToGrid/>
        <w:spacing w:before="100" w:beforeAutospacing="1" w:after="100" w:afterAutospacing="1"/>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相邻区域为3类声环境功能区，距离为20m±5m。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Times New Roman" w:hAnsi="Times New Roman" w:eastAsia="新宋体" w:cs="Times New Roman"/>
          <w:sz w:val="28"/>
          <w:szCs w:val="28"/>
          <w:highlight w:val="none"/>
          <w:shd w:val="clear"/>
          <w:lang w:val="en-US" w:eastAsia="zh-CN"/>
        </w:rPr>
      </w:pPr>
      <w:r>
        <w:rPr>
          <w:rFonts w:hint="default" w:ascii="Times New Roman" w:hAnsi="Times New Roman" w:eastAsia="新宋体" w:cs="Times New Roman"/>
          <w:sz w:val="28"/>
          <w:szCs w:val="28"/>
          <w:highlight w:val="none"/>
          <w:shd w:val="clear"/>
          <w:lang w:val="en-US" w:eastAsia="zh-CN"/>
        </w:rPr>
        <w:t>当临街建筑高于三层楼房以上（含三层）时，将临街建筑面向交通干线一侧至交通干线边界线的区域定为4a类声环境功能区。</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新宋体" w:cs="Times New Roman"/>
          <w:sz w:val="28"/>
          <w:szCs w:val="28"/>
          <w:highlight w:val="none"/>
          <w:shd w:val="clear"/>
          <w:lang w:val="en-US" w:eastAsia="zh-CN"/>
        </w:rPr>
      </w:pPr>
      <w:r>
        <w:rPr>
          <w:rFonts w:hint="eastAsia" w:ascii="Times New Roman" w:hAnsi="Times New Roman" w:eastAsia="新宋体" w:cs="Times New Roman"/>
          <w:sz w:val="28"/>
          <w:szCs w:val="28"/>
          <w:highlight w:val="none"/>
          <w:shd w:val="clear"/>
          <w:lang w:val="en-US" w:eastAsia="zh-CN"/>
        </w:rPr>
        <w:t>2）</w:t>
      </w:r>
      <w:r>
        <w:rPr>
          <w:rFonts w:hint="default" w:ascii="Times New Roman" w:hAnsi="Times New Roman" w:eastAsia="新宋体" w:cs="Times New Roman"/>
          <w:sz w:val="28"/>
          <w:szCs w:val="28"/>
          <w:highlight w:val="none"/>
          <w:shd w:val="clear"/>
          <w:lang w:val="en-US" w:eastAsia="zh-CN"/>
        </w:rPr>
        <w:t>4b类声环境功能区划分：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cs="Times New Roman"/>
          <w:b w:val="0"/>
          <w:bCs w:val="0"/>
          <w:sz w:val="32"/>
          <w:szCs w:val="32"/>
          <w:lang w:val="en-US" w:eastAsia="zh-CN"/>
        </w:rPr>
      </w:pPr>
      <w:r>
        <w:rPr>
          <w:rFonts w:hint="default" w:ascii="Times New Roman" w:hAnsi="Times New Roman" w:eastAsia="新宋体" w:cs="Times New Roman"/>
          <w:sz w:val="28"/>
          <w:szCs w:val="28"/>
          <w:highlight w:val="none"/>
          <w:shd w:val="clear"/>
          <w:lang w:val="en-US" w:eastAsia="zh-CN"/>
        </w:rPr>
        <w:t>交通干线边界线外一定距离以内的区域划分为4b类声环境功能区。距离的确定方法同上。划分4类声环境功能区时，不同的道路、不同的路路段的两侧及道路的同侧其距离可以不统一。</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165" w:name="_Toc3553_WPSOffice_Level2"/>
      <w:r>
        <w:rPr>
          <w:rFonts w:hint="eastAsia" w:ascii="Times New Roman" w:hAnsi="Times New Roman" w:eastAsia="黑体" w:cs="Times New Roman"/>
          <w:b/>
          <w:bCs/>
          <w:sz w:val="28"/>
          <w:szCs w:val="28"/>
          <w:lang w:val="en-US" w:eastAsia="zh-CN"/>
        </w:rPr>
        <w:t>4.3 区划片区</w:t>
      </w:r>
      <w:bookmarkEnd w:id="165"/>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4.3.1区划片区依据</w:t>
      </w:r>
    </w:p>
    <w:p>
      <w:pPr>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1）片区划分依据</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片区划分合计11个，是进行声环境区划小单元前的一个大片区划分管理，主要利用城市的主干道和规划路、规划红线。</w:t>
      </w:r>
    </w:p>
    <w:p>
      <w:pPr>
        <w:keepNext w:val="0"/>
        <w:keepLines w:val="0"/>
        <w:pageBreakBefore/>
        <w:widowControl w:val="0"/>
        <w:kinsoku/>
        <w:wordWrap/>
        <w:overflowPunct/>
        <w:topLinePunct w:val="0"/>
        <w:autoSpaceDE/>
        <w:autoSpaceDN/>
        <w:bidi w:val="0"/>
        <w:adjustRightInd/>
        <w:snapToGrid/>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2）</w:t>
      </w:r>
      <w:r>
        <w:rPr>
          <w:rFonts w:hint="eastAsia" w:ascii="宋体" w:hAnsi="宋体"/>
          <w:b/>
          <w:bCs/>
          <w:sz w:val="28"/>
          <w:szCs w:val="28"/>
          <w:lang w:val="en-US" w:eastAsia="zh-CN"/>
        </w:rPr>
        <w:t>片区区划</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表</w:t>
      </w:r>
      <w:r>
        <w:rPr>
          <w:rFonts w:hint="default" w:ascii="宋体" w:hAnsi="宋体" w:eastAsia="宋体" w:cs="宋体"/>
          <w:b/>
          <w:bCs/>
          <w:sz w:val="24"/>
          <w:szCs w:val="24"/>
          <w:lang w:val="en-US" w:eastAsia="zh-CN"/>
        </w:rPr>
        <w:t>4.3-1</w:t>
      </w:r>
      <w:r>
        <w:rPr>
          <w:rFonts w:hint="eastAsia" w:ascii="宋体" w:hAnsi="宋体" w:eastAsia="宋体" w:cs="宋体"/>
          <w:b/>
          <w:bCs/>
          <w:sz w:val="24"/>
          <w:szCs w:val="24"/>
          <w:lang w:val="en-US" w:eastAsia="zh-CN"/>
        </w:rPr>
        <w:t>：</w:t>
      </w:r>
      <w:r>
        <w:rPr>
          <w:rFonts w:hint="default" w:ascii="宋体" w:hAnsi="宋体" w:eastAsia="宋体" w:cs="宋体"/>
          <w:b/>
          <w:bCs/>
          <w:sz w:val="24"/>
          <w:szCs w:val="24"/>
          <w:lang w:val="en-US" w:eastAsia="zh-CN"/>
        </w:rPr>
        <w:t>片区区划概况</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10"/>
        <w:gridCol w:w="1200"/>
        <w:gridCol w:w="2168"/>
        <w:gridCol w:w="4364"/>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4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范围</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vertAlign w:val="superscript"/>
                <w:lang w:val="en-US"/>
              </w:rPr>
            </w:pPr>
            <w:r>
              <w:rPr>
                <w:rFonts w:hint="default" w:ascii="Times New Roman" w:hAnsi="Times New Roman" w:eastAsia="宋体" w:cs="Times New Roman"/>
                <w:i w:val="0"/>
                <w:color w:val="000000"/>
                <w:kern w:val="0"/>
                <w:sz w:val="24"/>
                <w:szCs w:val="24"/>
                <w:u w:val="none"/>
                <w:lang w:val="en-US" w:eastAsia="zh-CN" w:bidi="ar"/>
              </w:rPr>
              <w:t>面积</w:t>
            </w:r>
            <w:r>
              <w:rPr>
                <w:rFonts w:hint="eastAsia" w:ascii="Times New Roman" w:hAnsi="Times New Roman" w:eastAsia="宋体" w:cs="Times New Roman"/>
                <w:i w:val="0"/>
                <w:color w:val="000000"/>
                <w:kern w:val="0"/>
                <w:sz w:val="24"/>
                <w:szCs w:val="24"/>
                <w:u w:val="none"/>
                <w:lang w:val="en-US" w:eastAsia="zh-CN" w:bidi="ar"/>
              </w:rPr>
              <w:t>/km</w:t>
            </w:r>
            <w:r>
              <w:rPr>
                <w:rFonts w:hint="eastAsia"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PQ01</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山地休闲度假主题公园</w:t>
            </w:r>
          </w:p>
        </w:tc>
        <w:tc>
          <w:tcPr>
            <w:tcW w:w="4364"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城市规划区西北部，东川铁路以西，规划范围线以内</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r>
              <w:rPr>
                <w:rFonts w:hint="eastAsia" w:ascii="Times New Roman" w:hAnsi="Times New Roman" w:eastAsia="宋体" w:cs="Times New Roman"/>
                <w:i w:val="0"/>
                <w:color w:val="000000"/>
                <w:kern w:val="0"/>
                <w:sz w:val="24"/>
                <w:szCs w:val="24"/>
                <w:u w:val="none"/>
                <w:lang w:val="en-US" w:eastAsia="zh-CN" w:bidi="ar"/>
              </w:rPr>
              <w:t>2</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PQ02</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三月三休闲主题公园</w:t>
            </w:r>
          </w:p>
        </w:tc>
        <w:tc>
          <w:tcPr>
            <w:tcW w:w="4364" w:type="dxa"/>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城市规划区西南部，来龙路以西，规划范围线以内</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PQ03</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民俗文化主题公园</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北至北二环（凤龙路），南至月秀路，西至XD zdA7-007规划29号路，东至东部规划范围线</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r>
              <w:rPr>
                <w:rFonts w:hint="eastAsia" w:ascii="Times New Roman" w:hAnsi="Times New Roman" w:eastAsia="宋体" w:cs="Times New Roman"/>
                <w:i w:val="0"/>
                <w:color w:val="000000"/>
                <w:kern w:val="0"/>
                <w:sz w:val="24"/>
                <w:szCs w:val="24"/>
                <w:u w:val="none"/>
                <w:lang w:val="en-US" w:eastAsia="zh-CN" w:bidi="ar"/>
              </w:rPr>
              <w:t>3</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PQ04</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农园风情主题观光园</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城市规划区东南部，XD zdA8-008规划1号路以东、规划范围线以西地区</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PQ05</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西部防护林</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东川铁路两侧狭长区域，东至月甲路-钟灵路，西至西部规划范围线，贯穿县城西部</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50</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PQ06</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特色旅游城区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东至凤梧路，西至文苑路-月甲路（包括文苑路西部政府机关），南至大花桥</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r>
              <w:rPr>
                <w:rFonts w:hint="eastAsia" w:ascii="Times New Roman" w:hAnsi="Times New Roman" w:eastAsia="宋体" w:cs="Times New Roman"/>
                <w:i w:val="0"/>
                <w:color w:val="000000"/>
                <w:kern w:val="0"/>
                <w:sz w:val="24"/>
                <w:szCs w:val="24"/>
                <w:u w:val="none"/>
                <w:lang w:val="en-US" w:eastAsia="zh-CN" w:bidi="ar"/>
              </w:rPr>
              <w:t>8</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PQ07</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商务文化中心区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南至星河路，北至北二环（凤龙路），东至XD zdA7-007规划29号路，西至凤梧路</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89</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PQ08</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中央公园片区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北至星河路，南至月秀路，东至XD zdA7-007规划29号路，西至凤梧路</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21</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PQ09</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城市中轴线片区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南至月中路，北至月秀路，东至XD zdA8-008规划1号路，西至凤梧路</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r>
              <w:rPr>
                <w:rFonts w:hint="eastAsia" w:ascii="Times New Roman" w:hAnsi="Times New Roman" w:eastAsia="宋体" w:cs="Times New Roman"/>
                <w:i w:val="0"/>
                <w:color w:val="000000"/>
                <w:kern w:val="0"/>
                <w:sz w:val="24"/>
                <w:szCs w:val="24"/>
                <w:u w:val="none"/>
                <w:lang w:val="en-US" w:eastAsia="zh-CN" w:bidi="ar"/>
              </w:rPr>
              <w:t>6</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PQ10</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翡翠项链规划片区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北至月中路，南至XD hdA15-015规划12号线，西至钟灵路，东至 zdA8-008规划1号路</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1.76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6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PQ11</w:t>
            </w:r>
          </w:p>
        </w:tc>
        <w:tc>
          <w:tcPr>
            <w:tcW w:w="216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南部片区</w:t>
            </w:r>
          </w:p>
        </w:tc>
        <w:tc>
          <w:tcPr>
            <w:tcW w:w="4364"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北至XD hdA15-015规划12号线，南至城市南部规划范围线，西至钟灵路，东至 zdA8-008规划1号路</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Times New Roman" w:hAnsi="Times New Roman" w:eastAsia="宋体" w:cs="Times New Roman"/>
                <w:i w:val="0"/>
                <w:color w:val="000000"/>
                <w:kern w:val="0"/>
                <w:sz w:val="24"/>
                <w:szCs w:val="24"/>
                <w:u w:val="none"/>
                <w:lang w:val="en-US" w:eastAsia="zh-CN" w:bidi="ar"/>
              </w:rPr>
              <w:t>1</w:t>
            </w:r>
            <w:r>
              <w:rPr>
                <w:rFonts w:hint="default" w:ascii="Times New Roman" w:hAnsi="Times New Roman" w:eastAsia="宋体" w:cs="Times New Roman"/>
                <w:i w:val="0"/>
                <w:color w:val="000000"/>
                <w:kern w:val="0"/>
                <w:sz w:val="24"/>
                <w:szCs w:val="24"/>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8342" w:type="dxa"/>
            <w:gridSpan w:val="4"/>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合计</w:t>
            </w:r>
          </w:p>
        </w:tc>
        <w:tc>
          <w:tcPr>
            <w:tcW w:w="121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21.96</w:t>
            </w:r>
          </w:p>
        </w:tc>
      </w:tr>
    </w:tbl>
    <w:p>
      <w:pPr>
        <w:sectPr>
          <w:footerReference r:id="rId8" w:type="default"/>
          <w:pgSz w:w="11906" w:h="16838"/>
          <w:pgMar w:top="1440" w:right="1800" w:bottom="1440" w:left="1800" w:header="851" w:footer="992" w:gutter="0"/>
          <w:pgNumType w:fmt="decimal"/>
          <w:cols w:space="425" w:num="1"/>
          <w:docGrid w:type="lines" w:linePitch="312" w:charSpace="0"/>
        </w:sectPr>
      </w:pPr>
    </w:p>
    <w:p>
      <w:pPr>
        <w:pStyle w:val="3"/>
        <w:keepNext w:val="0"/>
        <w:keepLines/>
        <w:pageBreakBefore w:val="0"/>
        <w:widowControl w:val="0"/>
        <w:numPr>
          <w:ilvl w:val="0"/>
          <w:numId w:val="0"/>
        </w:numPr>
        <w:kinsoku/>
        <w:wordWrap/>
        <w:overflowPunct/>
        <w:topLinePunct w:val="0"/>
        <w:autoSpaceDE/>
        <w:autoSpaceDN/>
        <w:bidi w:val="0"/>
        <w:adjustRightInd/>
        <w:snapToGrid/>
        <w:spacing w:before="220" w:after="220" w:line="400" w:lineRule="exact"/>
        <w:ind w:leftChars="-67"/>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4）单元区划</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新宋体" w:cs="Times New Roman"/>
          <w:b/>
          <w:bCs/>
          <w:sz w:val="24"/>
          <w:szCs w:val="24"/>
          <w:highlight w:val="none"/>
          <w:shd w:val="clear"/>
          <w:lang w:val="en-US" w:eastAsia="zh-CN"/>
        </w:rPr>
      </w:pPr>
      <w:r>
        <w:rPr>
          <w:rFonts w:hint="eastAsia" w:ascii="Times New Roman" w:hAnsi="Times New Roman" w:eastAsia="新宋体" w:cs="Times New Roman"/>
          <w:b/>
          <w:bCs/>
          <w:sz w:val="24"/>
          <w:szCs w:val="24"/>
          <w:highlight w:val="none"/>
          <w:shd w:val="clear"/>
          <w:lang w:val="en-US" w:eastAsia="zh-CN"/>
        </w:rPr>
        <w:t>表4.3-2：单元区划统计</w:t>
      </w:r>
    </w:p>
    <w:tbl>
      <w:tblPr>
        <w:tblStyle w:val="8"/>
        <w:tblW w:w="13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70"/>
        <w:gridCol w:w="1746"/>
        <w:gridCol w:w="1479"/>
        <w:gridCol w:w="4620"/>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blHeader/>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14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所属区域</w:t>
            </w:r>
          </w:p>
        </w:tc>
        <w:tc>
          <w:tcPr>
            <w:tcW w:w="46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范围</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XD-P1-D101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山地休闲度假主题公园</w:t>
            </w:r>
          </w:p>
        </w:tc>
        <w:tc>
          <w:tcPr>
            <w:tcW w:w="14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山地休闲度假主题公园</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城市规划区西北部，东川铁路以西，规划范围线以内</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山地休闲度假主题公园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XD-P2-D102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三月三滨水休闲主题公园</w:t>
            </w:r>
          </w:p>
        </w:tc>
        <w:tc>
          <w:tcPr>
            <w:tcW w:w="14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三月三滨水休闲主题公园</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城市规划区西南部，来龙路以西，规划范围线以内</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三月三滨水休闲主题公园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XD-P3.1-D103</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民俗文化主题公园</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民俗文化主题公园</w:t>
            </w:r>
          </w:p>
        </w:tc>
        <w:tc>
          <w:tcPr>
            <w:tcW w:w="4620" w:type="dxa"/>
            <w:vMerge w:val="restart"/>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北至北二环（凤龙路），南至月秀路，西至XD zdA7-007规划29号路，东至东部规划范围路</w:t>
            </w:r>
          </w:p>
        </w:tc>
        <w:tc>
          <w:tcPr>
            <w:tcW w:w="412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民俗文化主题公园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XD-P3.2-D104</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vMerge w:val="continue"/>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4124"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XD-P4-D105</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农清风光主题观光</w:t>
            </w:r>
          </w:p>
        </w:tc>
        <w:tc>
          <w:tcPr>
            <w:tcW w:w="147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农园风情</w:t>
            </w:r>
            <w:r>
              <w:rPr>
                <w:rFonts w:hint="default" w:ascii="Times New Roman" w:hAnsi="Times New Roman" w:eastAsia="宋体" w:cs="Times New Roman"/>
                <w:i w:val="0"/>
                <w:color w:val="000000"/>
                <w:kern w:val="0"/>
                <w:sz w:val="24"/>
                <w:szCs w:val="24"/>
                <w:u w:val="none"/>
                <w:lang w:val="en-US" w:eastAsia="zh-CN" w:bidi="ar"/>
              </w:rPr>
              <w:t>主题观光</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城市规划区东南部，XD zdA8-008规划1号路以东、规划范围路以西地区</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农园风情</w:t>
            </w:r>
            <w:r>
              <w:rPr>
                <w:rFonts w:hint="default" w:ascii="Times New Roman" w:hAnsi="Times New Roman" w:eastAsia="宋体" w:cs="Times New Roman"/>
                <w:i w:val="0"/>
                <w:color w:val="000000"/>
                <w:kern w:val="0"/>
                <w:sz w:val="24"/>
                <w:szCs w:val="24"/>
                <w:u w:val="none"/>
                <w:lang w:val="en-US" w:eastAsia="zh-CN" w:bidi="ar"/>
              </w:rPr>
              <w:t>主题观光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XD-P5-D128</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西部防护林片区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西部防护林片区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东川铁路两侧狭长区域，东至月甲路-钟灵路，西至西部规划范围路，贯穿县城西部</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西部防护林片区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XD-P5-D4b01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东川火车站</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月中路南部、钟灵路西部</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东川火车站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XD-P6.1-D201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老城区行政商业混合区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特色旅游城区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翠屏路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玉屏街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西门街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北营街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青龙路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县防疾站住宅区、人民银行住宅区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XD-P6.2-D202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老城区商贸中心</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东门街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规划1号路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翠屏路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青龙路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国永康农贸市场、通汇家世界、东发村、仁德一小、县公安局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XD-P6.3-D127</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休闲广场区（文化馆）</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广场北路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广场西路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广场北路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寻甸文化馆、文化中心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XD-P6.4-D106</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西北行政学校区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西北防护林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文苑路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北观路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北营街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西门路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西北防护林</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北观社区、民政局、县国土局、民族中学、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XD-P6.5-D107</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老城区北部学校区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北观路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东门街</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青龙路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北观路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民德小学、仁德镇小学示范村、县委党校、仁德财政所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XD-P6.6-D108</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西门河月秀社区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规划一号路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月甲路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规划一号路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法院生活区、西安中医院、月秀社区、馨苑花园、休闲广场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XD-P6.7-D109</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老城南区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月甲路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馨苑花园、县财保、县农业局种子公园、电信局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XD-P7.1-D110</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西北学校下村区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商务文化中心区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北观路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文苑路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昆明水电工程学校、下村、市公路运输局寻甸分局、北观村、康泰骨科医院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XD-P7.2-D111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仁德街道办事处区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翠苑路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北观路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仁德小集镇、仁德一中、教育局住宅空地、县委住宅小区、县国税局、仁德街道办事处、寻甸科技馆、县检察院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XD-P7.3-D112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县体育馆区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屏月北路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翠苑东路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县体育馆、上古城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XD-P7.4-D113</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北部行政区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翠苑路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凤凰路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空地、县人大，规划为行政办公用地和水域绿地建设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XD-P7.5-D114</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中古城区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凤龙路-牧靡路-翠苑东路-规划25号路-凤龙路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中桥村、中古城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XD-P7.6-D115</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中桥社区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凤龙路-规划29号路-翠苑东路-牧靡路-凤龙路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中桥社区、洗马河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XD-P7.7-D203</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北部商务区1</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唯美路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凤苑路—屏月北路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凤梧佳苑、玉麟瑞村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XD-P7.8-D204</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北部商务区</w:t>
            </w:r>
            <w:r>
              <w:rPr>
                <w:rStyle w:val="18"/>
                <w:rFonts w:hint="default" w:ascii="Times New Roman" w:hAnsi="Times New Roman" w:eastAsia="宋体" w:cs="Times New Roman"/>
                <w:sz w:val="24"/>
                <w:szCs w:val="24"/>
                <w:lang w:val="en-US" w:eastAsia="zh-CN" w:bidi="ar"/>
              </w:rPr>
              <w:t>2</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凤龙路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25</w:t>
            </w:r>
            <w:r>
              <w:rPr>
                <w:rFonts w:hint="default" w:ascii="Times New Roman" w:hAnsi="Times New Roman" w:eastAsia="宋体" w:cs="Times New Roman"/>
                <w:i w:val="0"/>
                <w:color w:val="000000"/>
                <w:kern w:val="0"/>
                <w:sz w:val="24"/>
                <w:szCs w:val="24"/>
                <w:u w:val="none"/>
                <w:lang w:val="en-US" w:eastAsia="zh-CN" w:bidi="ar"/>
              </w:rPr>
              <w:t>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凤苑街-归厚路-凤龙路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XD-P8.1-D205</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凤梧路东侧商业区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中央公园片区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翠苑路-旭盛路-青江路南侧（寻甸河滨文化公园北侧）-凤梧路-翠苑路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水果市场、联华超市、金世纪大酒店、县便民服务中心、县烟草专卖局、县审计局、县社保局、县机枪局、县交通运输管理局、县电力公司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XD-P8.2-D206</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尚居商业中心区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屏江南路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尚居商业中心、汇通大厦、公园尚居雅苑（怡苑）、雅居高档礼品经营部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XD-P8.3-D207</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欣荣街商业区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欣荣街-清河路-海秀街-海坝路（屏月西路）—欣荣街</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现状空地，规划商业用地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XD-P8.4-D116</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旭东区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翠苑路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青江路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旭盛路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翠苑路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计划局住宿区、水泥厂住宿区、旭东小区南区、政府小区、永兴小区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XD-P8.5-D117</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寻甸河滨文化公园区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寻甸河滨文化公园</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寻甸河滨文化公园、和谐园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XD-P8.6-D118</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汇龙湿地公园</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汇龙湿地公园</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汇龙湿地公园、居住区、绿地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XD-P8.7-D119</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海秀街住房区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欣荣街-海坝路（屏月西路）-海秀街-清河路-欣荣街-牧靡路-月秀街-龙泉路-欣荣街</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龙苑尚居、仁德一小、华隆小区、祥和医院、中坝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XD-P8.8-D120</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中部公园东侧居住区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翠苑东路-规划29号路-月秀路-牧靡路—翠苑东路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规划居住用地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XD-P9.1-D208</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城市中轴商业区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城市中轴路片区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规划17号路（城德路）-清河路-月中路-海坝路（屏月西路）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规划商业用地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XD-P9.2-D121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月华路西部居住区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月中路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凤梧路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南磷小区、园丁小区、信合小区、农业局居住地、灵秀园、锦湖花园、福兴小区、玉秀苑、国能小区、龙华家园、常青苑、亚兴小区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XD-P9.3-D122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月华路中部居住区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月秀路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牧靡路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月中路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龙泉路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月秀路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龙苑尚居、仁德一小、华隆小区、祥和医院、中坝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XD-P9.4-D123</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月华路东部居住区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月秀路-规划#2号路（城市规划范围路）-月中路-月秀路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规划居住区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XD-P9.5-D4a01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县客运站</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海坝路（屏月西路）</w:t>
            </w:r>
            <w:r>
              <w:rPr>
                <w:rStyle w:val="18"/>
                <w:rFonts w:hint="default" w:ascii="Times New Roman" w:hAnsi="Times New Roman" w:eastAsia="宋体" w:cs="Times New Roman"/>
                <w:sz w:val="24"/>
                <w:szCs w:val="24"/>
                <w:lang w:val="en-US" w:eastAsia="zh-CN" w:bidi="ar"/>
              </w:rPr>
              <w:t>-</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现状县客运站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XD-P9.6-D4a02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规划公路用地</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规划9号路-牧靡路-月中路-清河路-规划9号路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规划公路用地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XD-P10.1-D301</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物流园区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翡翠项链规划片区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钟灵路东侧沿路-规划水域</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规划物流用地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XD-P10.2-D124</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南部翡翠居住区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月中路-规划#1号路-规划12号路-钟灵路-月中路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XD-P10.3-D125</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翡翠绿地</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规划15号路-清河路-规划12号路-海坝路（屏月西路）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规划水域和绿地用地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XD-P11.1-D302</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南部工业区</w:t>
            </w:r>
          </w:p>
        </w:tc>
        <w:tc>
          <w:tcPr>
            <w:tcW w:w="147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南部片区</w:t>
            </w: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清河路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牧靡路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屏月西路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p>
        </w:tc>
        <w:tc>
          <w:tcPr>
            <w:tcW w:w="4124" w:type="dxa"/>
            <w:shd w:val="clear" w:color="auto" w:fill="auto"/>
            <w:tcMar>
              <w:top w:w="15" w:type="dxa"/>
              <w:left w:w="15" w:type="dxa"/>
              <w:right w:w="15" w:type="dxa"/>
            </w:tcMar>
            <w:vAlign w:val="center"/>
          </w:tcPr>
          <w:p>
            <w:pPr>
              <w:jc w:val="center"/>
              <w:rPr>
                <w:rFonts w:hint="eastAsia"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规划工业用地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XD-P11.2-D209</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南部商业规划区</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清河路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牧靡路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屏月西路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规划商业建设用地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XD-P11.3-D126</w:t>
            </w:r>
          </w:p>
        </w:tc>
        <w:tc>
          <w:tcPr>
            <w:tcW w:w="174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c>
          <w:tcPr>
            <w:tcW w:w="1479"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4620" w:type="dxa"/>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w:t>
            </w:r>
            <w:r>
              <w:rPr>
                <w:rFonts w:hint="default" w:ascii="Times New Roman" w:hAnsi="Times New Roman" w:eastAsia="宋体" w:cs="Times New Roman"/>
                <w:i w:val="0"/>
                <w:color w:val="000000"/>
                <w:kern w:val="0"/>
                <w:sz w:val="24"/>
                <w:szCs w:val="24"/>
                <w:u w:val="none"/>
                <w:lang w:val="en-US" w:eastAsia="zh-CN" w:bidi="ar"/>
              </w:rPr>
              <w:t>号路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产业园东侧</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牧靡路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清河路</w:t>
            </w:r>
            <w:r>
              <w:rPr>
                <w:rStyle w:val="18"/>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i w:val="0"/>
                <w:color w:val="000000"/>
                <w:kern w:val="0"/>
                <w:sz w:val="24"/>
                <w:szCs w:val="24"/>
                <w:u w:val="none"/>
                <w:lang w:val="en-US" w:eastAsia="zh-CN" w:bidi="ar"/>
              </w:rPr>
              <w:t>规划</w:t>
            </w:r>
            <w:r>
              <w:rPr>
                <w:rStyle w:val="18"/>
                <w:rFonts w:hint="default" w:ascii="Times New Roman" w:hAnsi="Times New Roman" w:eastAsia="宋体" w:cs="Times New Roman"/>
                <w:sz w:val="24"/>
                <w:szCs w:val="24"/>
                <w:lang w:val="en-US" w:eastAsia="zh-CN" w:bidi="ar"/>
              </w:rPr>
              <w:t>12</w:t>
            </w:r>
            <w:r>
              <w:rPr>
                <w:rFonts w:hint="default" w:ascii="Times New Roman" w:hAnsi="Times New Roman" w:eastAsia="宋体" w:cs="Times New Roman"/>
                <w:i w:val="0"/>
                <w:color w:val="000000"/>
                <w:kern w:val="0"/>
                <w:sz w:val="24"/>
                <w:szCs w:val="24"/>
                <w:u w:val="none"/>
                <w:lang w:val="en-US" w:eastAsia="zh-CN" w:bidi="ar"/>
              </w:rPr>
              <w:t>号路</w:t>
            </w:r>
          </w:p>
        </w:tc>
        <w:tc>
          <w:tcPr>
            <w:tcW w:w="41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4.3.2道路区划依据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新宋体" w:cs="Times New Roman"/>
          <w:b/>
          <w:bCs/>
          <w:sz w:val="24"/>
          <w:szCs w:val="24"/>
          <w:highlight w:val="none"/>
          <w:shd w:val="clear"/>
          <w:lang w:val="en-US" w:eastAsia="zh-CN"/>
        </w:rPr>
        <w:t>表4.3-2：道路区划统计</w:t>
      </w:r>
    </w:p>
    <w:tbl>
      <w:tblPr>
        <w:tblStyle w:val="8"/>
        <w:tblW w:w="11905" w:type="dxa"/>
        <w:jc w:val="center"/>
        <w:shd w:val="clear" w:color="auto" w:fill="auto"/>
        <w:tblLayout w:type="fixed"/>
        <w:tblCellMar>
          <w:top w:w="0" w:type="dxa"/>
          <w:left w:w="0" w:type="dxa"/>
          <w:bottom w:w="0" w:type="dxa"/>
          <w:right w:w="0" w:type="dxa"/>
        </w:tblCellMar>
      </w:tblPr>
      <w:tblGrid>
        <w:gridCol w:w="1152"/>
        <w:gridCol w:w="1904"/>
        <w:gridCol w:w="2609"/>
        <w:gridCol w:w="2336"/>
        <w:gridCol w:w="1440"/>
        <w:gridCol w:w="1152"/>
        <w:gridCol w:w="1312"/>
      </w:tblGrid>
      <w:tr>
        <w:tblPrEx>
          <w:shd w:val="clear" w:color="auto" w:fill="auto"/>
          <w:tblCellMar>
            <w:top w:w="0" w:type="dxa"/>
            <w:left w:w="0" w:type="dxa"/>
            <w:bottom w:w="0" w:type="dxa"/>
            <w:right w:w="0" w:type="dxa"/>
          </w:tblCellMar>
        </w:tblPrEx>
        <w:trPr>
          <w:trHeight w:val="386" w:hRule="atLeast"/>
          <w:tblHeader/>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编号</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名称</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起点</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止点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等级</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宽度/m</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zdA1</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文苑路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zdA2</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月甲路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s207</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zdA3</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大花桥</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zdA4</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文苑路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月中路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zdA5</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月中路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凤龙路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60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牧靡路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规划12号路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zdA7</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规划29号路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月中路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XD-zdA8</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规划#2号路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hdA9</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东仁路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hdA10</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星河路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45</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hdA11</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月秀路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玉屏南街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36</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hdA12</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月华路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XD-hdA13</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月中路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XD-hdA14</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规划15号路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hdA15</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规划12号路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zdB1</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0016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北观路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zdB2</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0017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屏江北路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旭东路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zdB3</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0018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屏月北路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翠苑东路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zdB4</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规划25号路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星河路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zdB5</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规划27号路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规划12号路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玉屏南街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月甲路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zdB7</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屏江南路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月中路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zdB8</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屏月西路（海坝路）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欣荣街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zdB9</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清河路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欣荣街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zdB10</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北二环（凤龙路）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hdB11</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北一环（凤凰路）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hdB12</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翠苑路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hdB13</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翠苑东路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东仁路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hdB14</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文苑路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北苑路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hdB15</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东门街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北苑路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文苑路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青江路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青江路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月秀路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规划20号路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北一环（凤凰路）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牧靡路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欣荣街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东仁路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25</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规划11号路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牧靡路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规划16号路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规划#1号路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钟灵路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屏江中路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东仁路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海秀街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屏江南路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39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hdE16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039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民德路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hdE16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东钟街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青龙路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学府路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hdE16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南钟街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学府路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hdD16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东门街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月甲路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玉屏路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hdD16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旭盛路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星河路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青江路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主街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广场北路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广场西路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广场北路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月秀路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学府路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北营街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东钟街</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东影路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49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hdB16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049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通站路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次干道</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50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050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旭东路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51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051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旭东西路</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龙泉路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支路</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386"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52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XD</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hdC16</w:t>
            </w:r>
            <w:r>
              <w:rPr>
                <w:rFonts w:hint="eastAsia" w:ascii="Times New Roman" w:hAnsi="Times New Roman" w:eastAsia="新宋体" w:cs="Times New Roman"/>
                <w:i w:val="0"/>
                <w:color w:val="000000"/>
                <w:kern w:val="0"/>
                <w:sz w:val="24"/>
                <w:szCs w:val="24"/>
                <w:u w:val="none"/>
                <w:lang w:val="en-US" w:eastAsia="zh-CN" w:bidi="ar"/>
              </w:rPr>
              <w:t>-</w:t>
            </w:r>
            <w:r>
              <w:rPr>
                <w:rFonts w:hint="default" w:ascii="Times New Roman" w:hAnsi="Times New Roman" w:eastAsia="新宋体" w:cs="Times New Roman"/>
                <w:i w:val="0"/>
                <w:color w:val="000000"/>
                <w:kern w:val="0"/>
                <w:sz w:val="24"/>
                <w:szCs w:val="24"/>
                <w:u w:val="none"/>
                <w:lang w:val="en-US" w:eastAsia="zh-CN" w:bidi="ar"/>
              </w:rPr>
              <w:t>052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南屏街</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翠屏路</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凤梧路</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次街</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新宋体" w:cs="Times New Roman"/>
                <w:i w:val="0"/>
                <w:color w:val="000000"/>
                <w:sz w:val="24"/>
                <w:szCs w:val="24"/>
                <w:u w:val="none"/>
              </w:rPr>
            </w:pPr>
            <w:r>
              <w:rPr>
                <w:rFonts w:hint="default" w:ascii="Times New Roman" w:hAnsi="Times New Roman" w:eastAsia="新宋体" w:cs="Times New Roman"/>
                <w:i w:val="0"/>
                <w:color w:val="000000"/>
                <w:kern w:val="0"/>
                <w:sz w:val="24"/>
                <w:szCs w:val="24"/>
                <w:u w:val="none"/>
                <w:lang w:val="en-US" w:eastAsia="zh-CN" w:bidi="ar"/>
              </w:rPr>
              <w:t>10</w:t>
            </w:r>
          </w:p>
        </w:tc>
      </w:tr>
    </w:tbl>
    <w:p>
      <w:pPr>
        <w:sectPr>
          <w:pgSz w:w="16838" w:h="11906" w:orient="landscape"/>
          <w:pgMar w:top="1800" w:right="1440" w:bottom="1800" w:left="1440" w:header="851" w:footer="992" w:gutter="0"/>
          <w:pgNumType w:fmt="decimal"/>
          <w:cols w:space="425" w:num="1"/>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66" w:name="_Toc20738_WPSOffice_Level2"/>
      <w:r>
        <w:rPr>
          <w:rFonts w:hint="eastAsia" w:ascii="Times New Roman" w:hAnsi="Times New Roman" w:eastAsia="黑体" w:cs="Times New Roman"/>
          <w:b/>
          <w:bCs/>
          <w:sz w:val="28"/>
          <w:szCs w:val="28"/>
          <w:lang w:val="en-US" w:eastAsia="zh-CN"/>
        </w:rPr>
        <w:t>4.4 主城区0</w:t>
      </w:r>
      <w:r>
        <w:rPr>
          <w:rFonts w:hint="default" w:ascii="Times New Roman" w:hAnsi="Times New Roman" w:eastAsia="黑体" w:cs="Times New Roman"/>
          <w:b/>
          <w:bCs/>
          <w:sz w:val="28"/>
          <w:szCs w:val="28"/>
          <w:lang w:val="en-US" w:eastAsia="zh-CN"/>
        </w:rPr>
        <w:t>-3类区划分结果</w:t>
      </w:r>
      <w:bookmarkEnd w:id="166"/>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4.4.1 </w:t>
      </w:r>
      <w:r>
        <w:rPr>
          <w:rFonts w:hint="default" w:ascii="Times New Roman" w:hAnsi="Times New Roman" w:eastAsia="宋体" w:cs="Times New Roman"/>
          <w:b/>
          <w:bCs/>
          <w:sz w:val="28"/>
          <w:szCs w:val="28"/>
          <w:lang w:val="en-US" w:eastAsia="zh-CN"/>
        </w:rPr>
        <w:t>0类区区划结果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2"/>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val="0"/>
          <w:bCs w:val="0"/>
          <w:color w:val="auto"/>
          <w:sz w:val="28"/>
          <w:szCs w:val="28"/>
        </w:rPr>
        <w:t>考虑到</w:t>
      </w:r>
      <w:r>
        <w:rPr>
          <w:rFonts w:hint="default" w:ascii="Times New Roman" w:hAnsi="Times New Roman" w:cs="Times New Roman" w:eastAsiaTheme="minorEastAsia"/>
          <w:b w:val="0"/>
          <w:bCs w:val="0"/>
          <w:color w:val="auto"/>
          <w:sz w:val="28"/>
          <w:szCs w:val="28"/>
          <w:lang w:val="en-US" w:eastAsia="zh-CN"/>
        </w:rPr>
        <w:t>寻甸回族彝族自治县</w:t>
      </w:r>
      <w:r>
        <w:rPr>
          <w:rFonts w:hint="default" w:ascii="Times New Roman" w:hAnsi="Times New Roman" w:cs="Times New Roman" w:eastAsiaTheme="minorEastAsia"/>
          <w:b w:val="0"/>
          <w:bCs w:val="0"/>
          <w:color w:val="auto"/>
          <w:sz w:val="28"/>
          <w:szCs w:val="28"/>
        </w:rPr>
        <w:t>市中心城区规划无明显特别安静的疗养区、高级宾馆和别墅区，本着无此类区域的城市不要求硬性划定的原则，</w:t>
      </w:r>
      <w:r>
        <w:rPr>
          <w:rFonts w:hint="default" w:ascii="Times New Roman" w:hAnsi="Times New Roman" w:cs="Times New Roman" w:eastAsiaTheme="minorEastAsia"/>
          <w:b w:val="0"/>
          <w:bCs w:val="0"/>
          <w:color w:val="auto"/>
          <w:sz w:val="28"/>
          <w:szCs w:val="28"/>
          <w:lang w:val="en-US" w:eastAsia="zh-CN"/>
        </w:rPr>
        <w:t>不作划分。</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4.4.2 </w:t>
      </w:r>
      <w:r>
        <w:rPr>
          <w:rFonts w:hint="default" w:ascii="Times New Roman" w:hAnsi="Times New Roman" w:eastAsia="宋体" w:cs="Times New Roman"/>
          <w:b/>
          <w:bCs/>
          <w:sz w:val="28"/>
          <w:szCs w:val="28"/>
          <w:lang w:val="en-US" w:eastAsia="zh-CN"/>
        </w:rPr>
        <w:t>1类区区划结果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2"/>
        <w:textAlignment w:val="auto"/>
        <w:rPr>
          <w:rFonts w:hint="eastAsia"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val="0"/>
          <w:bCs w:val="0"/>
          <w:color w:val="auto"/>
          <w:sz w:val="28"/>
          <w:szCs w:val="28"/>
          <w:lang w:val="en-US" w:eastAsia="zh-CN"/>
        </w:rPr>
        <w:t>1类区为居住、文教区。新规划适用区划分中</w:t>
      </w:r>
      <w:r>
        <w:rPr>
          <w:rFonts w:hint="default" w:ascii="Times New Roman" w:hAnsi="Times New Roman" w:cs="Times New Roman" w:eastAsiaTheme="minorEastAsia"/>
          <w:b w:val="0"/>
          <w:bCs w:val="0"/>
          <w:color w:val="auto"/>
          <w:sz w:val="28"/>
          <w:szCs w:val="28"/>
        </w:rPr>
        <w:t>1类区共</w:t>
      </w:r>
      <w:r>
        <w:rPr>
          <w:rFonts w:hint="eastAsia" w:ascii="Times New Roman" w:hAnsi="Times New Roman" w:cs="Times New Roman" w:eastAsiaTheme="minorEastAsia"/>
          <w:b w:val="0"/>
          <w:bCs w:val="0"/>
          <w:color w:val="auto"/>
          <w:sz w:val="28"/>
          <w:szCs w:val="28"/>
          <w:lang w:val="en-US" w:eastAsia="zh-CN"/>
        </w:rPr>
        <w:t>28</w:t>
      </w:r>
      <w:r>
        <w:rPr>
          <w:rFonts w:hint="default" w:ascii="Times New Roman" w:hAnsi="Times New Roman" w:cs="Times New Roman" w:eastAsiaTheme="minorEastAsia"/>
          <w:b w:val="0"/>
          <w:bCs w:val="0"/>
          <w:color w:val="auto"/>
          <w:sz w:val="28"/>
          <w:szCs w:val="28"/>
        </w:rPr>
        <w:t>个单元</w:t>
      </w:r>
      <w:r>
        <w:rPr>
          <w:rFonts w:hint="eastAsia" w:ascii="Times New Roman" w:hAnsi="Times New Roman" w:cs="Times New Roman" w:eastAsiaTheme="minorEastAsia"/>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区划面积</w:t>
      </w:r>
      <w:r>
        <w:rPr>
          <w:rFonts w:hint="eastAsia" w:ascii="Times New Roman" w:hAnsi="Times New Roman" w:cs="Times New Roman" w:eastAsiaTheme="minorEastAsia"/>
          <w:b w:val="0"/>
          <w:bCs w:val="0"/>
          <w:color w:val="auto"/>
          <w:sz w:val="28"/>
          <w:szCs w:val="28"/>
          <w:lang w:val="en-US" w:eastAsia="zh-CN"/>
        </w:rPr>
        <w:t>16.80</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新宋体" w:cs="Times New Roman"/>
          <w:b/>
          <w:bCs/>
          <w:sz w:val="24"/>
          <w:szCs w:val="24"/>
          <w:highlight w:val="none"/>
          <w:shd w:val="clear"/>
          <w:lang w:val="en-US" w:eastAsia="zh-CN"/>
        </w:rPr>
      </w:pPr>
      <w:bookmarkStart w:id="167" w:name="_Toc19051_WPSOffice_Level2"/>
      <w:r>
        <w:rPr>
          <w:rFonts w:hint="eastAsia" w:ascii="Times New Roman" w:hAnsi="Times New Roman" w:eastAsia="新宋体" w:cs="Times New Roman"/>
          <w:b/>
          <w:bCs/>
          <w:sz w:val="24"/>
          <w:szCs w:val="24"/>
          <w:highlight w:val="none"/>
          <w:shd w:val="clear"/>
          <w:lang w:val="en-US" w:eastAsia="zh-CN"/>
        </w:rPr>
        <w:t>4.4-1 1类区区划单元结果</w:t>
      </w:r>
      <w:bookmarkEnd w:id="167"/>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10"/>
        <w:gridCol w:w="2203"/>
        <w:gridCol w:w="272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blHeader/>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面积</w:t>
            </w:r>
            <w:r>
              <w:rPr>
                <w:rFonts w:hint="eastAsia" w:ascii="Times New Roman" w:hAnsi="Times New Roman" w:eastAsia="宋体" w:cs="Times New Roman"/>
                <w:i w:val="0"/>
                <w:color w:val="000000"/>
                <w:kern w:val="0"/>
                <w:sz w:val="24"/>
                <w:szCs w:val="24"/>
                <w:u w:val="none"/>
                <w:lang w:val="en-US" w:eastAsia="zh-CN" w:bidi="ar"/>
              </w:rPr>
              <w:t>/km</w:t>
            </w:r>
            <w:r>
              <w:rPr>
                <w:rFonts w:hint="eastAsia"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XD-P1-D101</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山地休闲度假主题公园</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XD-P2-D102</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三月三滨水休闲主题公园</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XD-P3.1-D103</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民俗文化主题公园</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XD-P3.2-D104</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XD-P4-D105</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农园风情主题观光（范围内）</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XD-P6.4-D106</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西北行政学校区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107</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XD-P6.5-D107</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老城区北部学校区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108</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XD-P6.6-D108</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西门河月秀社区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XD-P6.7-D109</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老城南区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XD-P7.1-D110</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西北学校下村区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XD-P7.2-D111</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仁德街道办事处区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XD-P7.3-D112</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县体育馆区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XD-P7.4-D113</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北部行政区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XD-P7.5-D114</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中古城区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XD-P7.6-D115</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中桥社区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XD-P8.4-D116</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旭东区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XD-P8.5-D117</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寻甸河滨文化公园区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XD-P8.6-D118</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汇龙湿地公园</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119</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XD-P8.7-D119</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海秀街住房区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XD-P8.8-D120</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中部公园东侧居住区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121</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XD-P9.2-D121</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月华路西部居住区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0.4689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XD-P9.3-D122</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月华路中部居住区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123</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XD-P9.4-D123</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月华路东部居住区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124</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XD-P10.2-D124</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南部翡翠居住区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0.9931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125</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XD-P10.3-D125</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翡翠绿地</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XD-P11.3-D126</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城市发展备用地</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127</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XD-P6.3-D127</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休闲广场区（文化馆）</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0.0494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81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128</w:t>
            </w:r>
          </w:p>
        </w:tc>
        <w:tc>
          <w:tcPr>
            <w:tcW w:w="22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XD-P5-D128</w:t>
            </w:r>
          </w:p>
        </w:tc>
        <w:tc>
          <w:tcPr>
            <w:tcW w:w="272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西部防护林片区</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738"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19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16.8039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4.4.3 </w:t>
      </w:r>
      <w:r>
        <w:rPr>
          <w:rFonts w:hint="default" w:ascii="Times New Roman" w:hAnsi="Times New Roman" w:eastAsia="宋体" w:cs="Times New Roman"/>
          <w:b/>
          <w:bCs/>
          <w:sz w:val="28"/>
          <w:szCs w:val="28"/>
          <w:lang w:val="en-US" w:eastAsia="zh-CN"/>
        </w:rPr>
        <w:t>2类区区划结果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before="100" w:beforeAutospacing="1" w:after="100" w:afterAutospacing="1" w:line="240" w:lineRule="auto"/>
        <w:ind w:firstLine="482"/>
        <w:textAlignment w:val="auto"/>
        <w:rPr>
          <w:rFonts w:hint="default" w:ascii="Times New Roman" w:hAnsi="Times New Roman" w:cs="Times New Roman" w:eastAsiaTheme="minorEastAsia"/>
          <w:b w:val="0"/>
          <w:bCs w:val="0"/>
          <w:color w:val="auto"/>
          <w:sz w:val="28"/>
          <w:szCs w:val="28"/>
        </w:rPr>
      </w:pPr>
      <w:r>
        <w:rPr>
          <w:rFonts w:hint="default" w:ascii="Times New Roman" w:hAnsi="Times New Roman" w:cs="Times New Roman" w:eastAsiaTheme="minorEastAsia"/>
          <w:b w:val="0"/>
          <w:bCs w:val="0"/>
          <w:color w:val="auto"/>
          <w:sz w:val="28"/>
          <w:szCs w:val="28"/>
        </w:rPr>
        <w:t>2</w:t>
      </w:r>
      <w:r>
        <w:rPr>
          <w:rFonts w:hint="default" w:ascii="Times New Roman" w:hAnsi="Times New Roman" w:cs="Times New Roman" w:eastAsiaTheme="minorEastAsia"/>
          <w:b w:val="0"/>
          <w:bCs w:val="0"/>
          <w:color w:val="auto"/>
          <w:sz w:val="28"/>
          <w:szCs w:val="28"/>
          <w:highlight w:val="none"/>
        </w:rPr>
        <w:t>类区为</w:t>
      </w:r>
      <w:r>
        <w:rPr>
          <w:rFonts w:hint="default" w:ascii="Times New Roman" w:hAnsi="Times New Roman" w:cs="Times New Roman" w:eastAsiaTheme="minorEastAsia"/>
          <w:b w:val="0"/>
          <w:bCs w:val="0"/>
          <w:color w:val="auto"/>
          <w:sz w:val="28"/>
          <w:szCs w:val="28"/>
        </w:rPr>
        <w:t>居住、商业、工业混杂区。适用区划分中2类区共</w:t>
      </w:r>
      <w:r>
        <w:rPr>
          <w:rFonts w:hint="eastAsia" w:ascii="Times New Roman" w:hAnsi="Times New Roman" w:cs="Times New Roman"/>
          <w:b w:val="0"/>
          <w:bCs w:val="0"/>
          <w:color w:val="auto"/>
          <w:sz w:val="28"/>
          <w:szCs w:val="28"/>
          <w:lang w:val="en-US" w:eastAsia="zh-CN"/>
        </w:rPr>
        <w:t>9</w:t>
      </w:r>
      <w:r>
        <w:rPr>
          <w:rFonts w:hint="default" w:ascii="Times New Roman" w:hAnsi="Times New Roman" w:cs="Times New Roman" w:eastAsiaTheme="minorEastAsia"/>
          <w:b w:val="0"/>
          <w:bCs w:val="0"/>
          <w:color w:val="auto"/>
          <w:sz w:val="28"/>
          <w:szCs w:val="28"/>
        </w:rPr>
        <w:t>个单元，区划面积</w:t>
      </w:r>
      <w:r>
        <w:rPr>
          <w:rFonts w:hint="default" w:ascii="Times New Roman" w:hAnsi="Times New Roman" w:cs="Times New Roman"/>
          <w:b w:val="0"/>
          <w:bCs w:val="0"/>
          <w:color w:val="auto"/>
          <w:sz w:val="28"/>
          <w:szCs w:val="28"/>
          <w:lang w:val="en-US" w:eastAsia="zh-CN"/>
        </w:rPr>
        <w:t>1.</w:t>
      </w:r>
      <w:r>
        <w:rPr>
          <w:rFonts w:hint="eastAsia" w:ascii="Times New Roman" w:hAnsi="Times New Roman" w:cs="Times New Roman"/>
          <w:b w:val="0"/>
          <w:bCs w:val="0"/>
          <w:color w:val="auto"/>
          <w:sz w:val="28"/>
          <w:szCs w:val="28"/>
          <w:lang w:val="en-US" w:eastAsia="zh-CN"/>
        </w:rPr>
        <w:t>185</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新宋体" w:cs="Times New Roman"/>
          <w:b/>
          <w:bCs/>
          <w:sz w:val="24"/>
          <w:szCs w:val="24"/>
          <w:highlight w:val="none"/>
          <w:shd w:val="clear"/>
          <w:lang w:val="en-US" w:eastAsia="zh-CN"/>
        </w:rPr>
      </w:pPr>
      <w:bookmarkStart w:id="168" w:name="_Toc12286_WPSOffice_Level2"/>
      <w:r>
        <w:rPr>
          <w:rFonts w:hint="eastAsia" w:ascii="Times New Roman" w:hAnsi="Times New Roman" w:eastAsia="新宋体" w:cs="Times New Roman"/>
          <w:b/>
          <w:bCs/>
          <w:sz w:val="24"/>
          <w:szCs w:val="24"/>
          <w:highlight w:val="none"/>
          <w:shd w:val="clear"/>
          <w:lang w:val="en-US" w:eastAsia="zh-CN"/>
        </w:rPr>
        <w:t>4.4-2 2类区区划单元结果</w:t>
      </w:r>
      <w:bookmarkEnd w:id="168"/>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11"/>
        <w:gridCol w:w="2166"/>
        <w:gridCol w:w="309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vertAlign w:val="superscript"/>
                <w:lang w:val="en-US"/>
              </w:rPr>
            </w:pPr>
            <w:r>
              <w:rPr>
                <w:rFonts w:hint="default" w:ascii="Times New Roman" w:hAnsi="Times New Roman" w:eastAsia="宋体" w:cs="Times New Roman"/>
                <w:i w:val="0"/>
                <w:color w:val="000000"/>
                <w:kern w:val="0"/>
                <w:sz w:val="24"/>
                <w:szCs w:val="24"/>
                <w:u w:val="none"/>
                <w:lang w:val="en-US" w:eastAsia="zh-CN" w:bidi="ar"/>
              </w:rPr>
              <w:t>面积</w:t>
            </w:r>
            <w:r>
              <w:rPr>
                <w:rFonts w:hint="eastAsia" w:ascii="Times New Roman" w:hAnsi="Times New Roman" w:eastAsia="宋体" w:cs="Times New Roman"/>
                <w:i w:val="0"/>
                <w:color w:val="000000"/>
                <w:kern w:val="0"/>
                <w:sz w:val="24"/>
                <w:szCs w:val="24"/>
                <w:u w:val="none"/>
                <w:lang w:val="en-US" w:eastAsia="zh-CN" w:bidi="ar"/>
              </w:rPr>
              <w:t>/km</w:t>
            </w:r>
            <w:r>
              <w:rPr>
                <w:rFonts w:hint="eastAsia"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XD-P6.1-D201</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老城区行政商业混合区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0.163855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XD-P6.2-D202</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老城区商贸中心</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0.174903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203</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XD-P7.7-D203</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北部商务区1</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204</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XD-P7.8-D204</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北部商务区2</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0.085283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XD-P8.1-D205</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凤梧路东侧商业区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0.081953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206</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XD-P8.2-D206</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尚居商业中心区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0.110105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207</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XD-P8.3-D207</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欣荣街商业区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0.114509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208</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XD-P9.1-D208</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城市中轴商业区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0.202142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3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209</w:t>
            </w:r>
          </w:p>
        </w:tc>
        <w:tc>
          <w:tcPr>
            <w:tcW w:w="21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XD-P11.2-D209</w:t>
            </w:r>
          </w:p>
        </w:tc>
        <w:tc>
          <w:tcPr>
            <w:tcW w:w="309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南部商业规划区</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0.165807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6573"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合计</w:t>
            </w:r>
          </w:p>
        </w:tc>
        <w:tc>
          <w:tcPr>
            <w:tcW w:w="136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1.184848</w:t>
            </w:r>
          </w:p>
        </w:tc>
      </w:tr>
    </w:tbl>
    <w:p>
      <w:pPr>
        <w:keepNext w:val="0"/>
        <w:keepLines w:val="0"/>
        <w:pageBreakBefore/>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4.4.4 </w:t>
      </w:r>
      <w:r>
        <w:rPr>
          <w:rFonts w:hint="default" w:ascii="Times New Roman" w:hAnsi="Times New Roman" w:eastAsia="宋体" w:cs="Times New Roman"/>
          <w:b/>
          <w:bCs/>
          <w:sz w:val="28"/>
          <w:szCs w:val="28"/>
          <w:lang w:val="en-US" w:eastAsia="zh-CN"/>
        </w:rPr>
        <w:t>3类区区划结果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beforeAutospacing="0" w:afterAutospacing="0" w:line="480" w:lineRule="auto"/>
        <w:ind w:firstLine="560"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eastAsiaTheme="minorEastAsia"/>
          <w:b w:val="0"/>
          <w:bCs w:val="0"/>
          <w:color w:val="auto"/>
          <w:sz w:val="28"/>
          <w:szCs w:val="28"/>
        </w:rPr>
        <w:t>3</w:t>
      </w:r>
      <w:r>
        <w:rPr>
          <w:rFonts w:hint="default" w:ascii="Times New Roman" w:hAnsi="Times New Roman" w:cs="Times New Roman" w:eastAsiaTheme="minorEastAsia"/>
          <w:b w:val="0"/>
          <w:bCs w:val="0"/>
          <w:color w:val="auto"/>
          <w:sz w:val="28"/>
          <w:szCs w:val="28"/>
          <w:highlight w:val="none"/>
        </w:rPr>
        <w:t>类区为</w:t>
      </w:r>
      <w:r>
        <w:rPr>
          <w:rFonts w:hint="default" w:ascii="Times New Roman" w:hAnsi="Times New Roman" w:cs="Times New Roman" w:eastAsiaTheme="minorEastAsia"/>
          <w:b w:val="0"/>
          <w:bCs w:val="0"/>
          <w:color w:val="auto"/>
          <w:sz w:val="28"/>
          <w:szCs w:val="28"/>
        </w:rPr>
        <w:t>工业区。适用区划分中</w:t>
      </w:r>
      <w:r>
        <w:rPr>
          <w:rFonts w:hint="default" w:ascii="Times New Roman" w:hAnsi="Times New Roman" w:cs="Times New Roman"/>
          <w:b w:val="0"/>
          <w:bCs w:val="0"/>
          <w:color w:val="auto"/>
          <w:sz w:val="28"/>
          <w:szCs w:val="28"/>
          <w:lang w:val="en-US" w:eastAsia="zh-CN"/>
        </w:rPr>
        <w:t>2</w:t>
      </w:r>
      <w:r>
        <w:rPr>
          <w:rFonts w:hint="default" w:ascii="Times New Roman" w:hAnsi="Times New Roman" w:cs="Times New Roman" w:eastAsiaTheme="minorEastAsia"/>
          <w:b w:val="0"/>
          <w:bCs w:val="0"/>
          <w:color w:val="auto"/>
          <w:sz w:val="28"/>
          <w:szCs w:val="28"/>
        </w:rPr>
        <w:t>个单元</w:t>
      </w:r>
      <w:r>
        <w:rPr>
          <w:rFonts w:hint="default" w:ascii="Times New Roman" w:hAnsi="Times New Roman" w:cs="Times New Roman"/>
          <w:b w:val="0"/>
          <w:bCs w:val="0"/>
          <w:color w:val="auto"/>
          <w:sz w:val="28"/>
          <w:szCs w:val="28"/>
          <w:lang w:eastAsia="zh-CN"/>
        </w:rPr>
        <w:t>：</w:t>
      </w:r>
      <w:r>
        <w:rPr>
          <w:rFonts w:hint="eastAsia" w:ascii="Times New Roman" w:hAnsi="Times New Roman" w:cs="Times New Roman"/>
          <w:b w:val="0"/>
          <w:bCs w:val="0"/>
          <w:color w:val="auto"/>
          <w:sz w:val="28"/>
          <w:szCs w:val="28"/>
          <w:lang w:val="en-US" w:eastAsia="zh-CN"/>
        </w:rPr>
        <w:t>物流园区、南部工业区，区</w:t>
      </w:r>
      <w:r>
        <w:rPr>
          <w:rFonts w:hint="default" w:ascii="Times New Roman" w:hAnsi="Times New Roman" w:cs="Times New Roman" w:eastAsiaTheme="minorEastAsia"/>
          <w:b w:val="0"/>
          <w:bCs w:val="0"/>
          <w:color w:val="auto"/>
          <w:sz w:val="28"/>
          <w:szCs w:val="28"/>
        </w:rPr>
        <w:t>划面积</w:t>
      </w:r>
      <w:r>
        <w:rPr>
          <w:rFonts w:hint="default" w:ascii="Times New Roman" w:hAnsi="Times New Roman" w:cs="Times New Roman"/>
          <w:b w:val="0"/>
          <w:bCs w:val="0"/>
          <w:color w:val="auto"/>
          <w:sz w:val="28"/>
          <w:szCs w:val="28"/>
          <w:lang w:val="en-US" w:eastAsia="zh-CN"/>
        </w:rPr>
        <w:t>0.</w:t>
      </w:r>
      <w:r>
        <w:rPr>
          <w:rFonts w:hint="eastAsia" w:ascii="Times New Roman" w:hAnsi="Times New Roman" w:cs="Times New Roman"/>
          <w:b w:val="0"/>
          <w:bCs w:val="0"/>
          <w:color w:val="auto"/>
          <w:sz w:val="28"/>
          <w:szCs w:val="28"/>
          <w:lang w:val="en-US" w:eastAsia="zh-CN"/>
        </w:rPr>
        <w:t>84</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lang w:eastAsia="zh-CN"/>
        </w:rPr>
        <w:t>。</w:t>
      </w:r>
      <w:bookmarkStart w:id="169" w:name="_Toc23444_WPSOffice_Level2"/>
    </w:p>
    <w:p>
      <w:pPr>
        <w:keepNext w:val="0"/>
        <w:keepLines w:val="0"/>
        <w:pageBreakBefore w:val="0"/>
        <w:widowControl w:val="0"/>
        <w:kinsoku/>
        <w:wordWrap/>
        <w:overflowPunct/>
        <w:topLinePunct w:val="0"/>
        <w:autoSpaceDE/>
        <w:autoSpaceDN/>
        <w:bidi w:val="0"/>
        <w:adjustRightInd/>
        <w:snapToGrid/>
        <w:spacing w:beforeAutospacing="0" w:after="100" w:afterAutospacing="1" w:line="480" w:lineRule="auto"/>
        <w:jc w:val="center"/>
        <w:textAlignment w:val="auto"/>
        <w:rPr>
          <w:rFonts w:hint="default" w:ascii="Times New Roman" w:hAnsi="Times New Roman" w:cs="Times New Roman" w:eastAsiaTheme="minorEastAsia"/>
          <w:b w:val="0"/>
          <w:bCs w:val="0"/>
          <w:color w:val="auto"/>
          <w:sz w:val="28"/>
          <w:szCs w:val="28"/>
          <w:lang w:eastAsia="zh-CN"/>
        </w:rPr>
      </w:pPr>
      <w:bookmarkStart w:id="170" w:name="_Toc16077_WPSOffice_Level2"/>
      <w:r>
        <w:rPr>
          <w:rFonts w:hint="default" w:ascii="Times New Roman" w:hAnsi="Times New Roman" w:eastAsia="宋体" w:cs="Times New Roman"/>
          <w:b/>
          <w:bCs/>
          <w:sz w:val="24"/>
          <w:szCs w:val="24"/>
          <w:lang w:val="en-US" w:eastAsia="zh-CN"/>
        </w:rPr>
        <w:t>4.4-3 3类区区划单元结果</w:t>
      </w:r>
      <w:bookmarkEnd w:id="169"/>
      <w:bookmarkEnd w:id="170"/>
    </w:p>
    <w:tbl>
      <w:tblPr>
        <w:tblStyle w:val="8"/>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98"/>
        <w:gridCol w:w="2119"/>
        <w:gridCol w:w="2093"/>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09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序号</w:t>
            </w:r>
          </w:p>
        </w:tc>
        <w:tc>
          <w:tcPr>
            <w:tcW w:w="2119"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209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060"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面积/km</w:t>
            </w:r>
            <w:r>
              <w:rPr>
                <w:rFonts w:hint="default"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9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301</w:t>
            </w:r>
          </w:p>
        </w:tc>
        <w:tc>
          <w:tcPr>
            <w:tcW w:w="2119"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XD-P10.1-D301</w:t>
            </w:r>
          </w:p>
        </w:tc>
        <w:tc>
          <w:tcPr>
            <w:tcW w:w="209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物流园区</w:t>
            </w:r>
          </w:p>
        </w:tc>
        <w:tc>
          <w:tcPr>
            <w:tcW w:w="2060"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0.187224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9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302</w:t>
            </w:r>
          </w:p>
        </w:tc>
        <w:tc>
          <w:tcPr>
            <w:tcW w:w="2119"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XD-P11.1-D302</w:t>
            </w:r>
          </w:p>
        </w:tc>
        <w:tc>
          <w:tcPr>
            <w:tcW w:w="209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南部工业区</w:t>
            </w:r>
          </w:p>
        </w:tc>
        <w:tc>
          <w:tcPr>
            <w:tcW w:w="2060"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0.653379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310"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060"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0.840603</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1" w:name="_Toc12050_WPSOffice_Level2"/>
      <w:r>
        <w:rPr>
          <w:rFonts w:hint="eastAsia" w:ascii="Times New Roman" w:hAnsi="Times New Roman" w:eastAsia="黑体" w:cs="Times New Roman"/>
          <w:b/>
          <w:bCs/>
          <w:sz w:val="28"/>
          <w:szCs w:val="28"/>
          <w:lang w:val="en-US" w:eastAsia="zh-CN"/>
        </w:rPr>
        <w:t>4.5 主城区</w:t>
      </w:r>
      <w:r>
        <w:rPr>
          <w:rFonts w:hint="default" w:ascii="Times New Roman" w:hAnsi="Times New Roman" w:eastAsia="黑体" w:cs="Times New Roman"/>
          <w:b/>
          <w:bCs/>
          <w:sz w:val="28"/>
          <w:szCs w:val="28"/>
          <w:lang w:val="en-US" w:eastAsia="zh-CN"/>
        </w:rPr>
        <w:t>4a</w:t>
      </w:r>
      <w:r>
        <w:rPr>
          <w:rFonts w:hint="eastAsia" w:ascii="Times New Roman" w:hAnsi="Times New Roman" w:eastAsia="黑体" w:cs="Times New Roman"/>
          <w:b/>
          <w:bCs/>
          <w:sz w:val="28"/>
          <w:szCs w:val="28"/>
          <w:lang w:val="en-US" w:eastAsia="zh-CN"/>
        </w:rPr>
        <w:t>、4b</w:t>
      </w:r>
      <w:r>
        <w:rPr>
          <w:rFonts w:hint="default" w:ascii="Times New Roman" w:hAnsi="Times New Roman" w:eastAsia="黑体" w:cs="Times New Roman"/>
          <w:b/>
          <w:bCs/>
          <w:sz w:val="28"/>
          <w:szCs w:val="28"/>
          <w:lang w:val="en-US" w:eastAsia="zh-CN"/>
        </w:rPr>
        <w:t>类区划分结果</w:t>
      </w:r>
      <w:bookmarkEnd w:id="171"/>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4.5.1 </w:t>
      </w:r>
      <w:r>
        <w:rPr>
          <w:rFonts w:hint="default" w:ascii="Times New Roman" w:hAnsi="Times New Roman" w:eastAsia="宋体" w:cs="Times New Roman"/>
          <w:b/>
          <w:bCs/>
          <w:sz w:val="28"/>
          <w:szCs w:val="28"/>
          <w:lang w:val="en-US" w:eastAsia="zh-CN"/>
        </w:rPr>
        <w:t>4a类声环境功能区划分结果</w:t>
      </w:r>
    </w:p>
    <w:p>
      <w:p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1）4类区划结果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beforeAutospacing="0" w:afterAutospacing="0" w:line="360" w:lineRule="auto"/>
        <w:ind w:firstLine="560" w:firstLineChars="200"/>
        <w:textAlignment w:val="auto"/>
        <w:rPr>
          <w:rFonts w:hint="default" w:ascii="Times New Roman" w:hAnsi="Times New Roman" w:cs="Times New Roman" w:eastAsiaTheme="minorEastAsia"/>
          <w:b w:val="0"/>
          <w:bCs w:val="0"/>
          <w:color w:val="auto"/>
          <w:sz w:val="28"/>
          <w:szCs w:val="28"/>
          <w:lang w:eastAsia="zh-CN"/>
        </w:rPr>
      </w:pPr>
      <w:r>
        <w:rPr>
          <w:rFonts w:hint="eastAsia" w:ascii="Times New Roman" w:hAnsi="Times New Roman" w:cs="Times New Roman"/>
          <w:b w:val="0"/>
          <w:bCs w:val="0"/>
          <w:color w:val="auto"/>
          <w:sz w:val="28"/>
          <w:szCs w:val="28"/>
          <w:lang w:val="en-US" w:eastAsia="zh-CN"/>
        </w:rPr>
        <w:t>4a类</w:t>
      </w:r>
      <w:r>
        <w:rPr>
          <w:rFonts w:hint="default" w:ascii="Times New Roman" w:hAnsi="Times New Roman" w:cs="Times New Roman" w:eastAsiaTheme="minorEastAsia"/>
          <w:b w:val="0"/>
          <w:bCs w:val="0"/>
          <w:color w:val="auto"/>
          <w:sz w:val="28"/>
          <w:szCs w:val="28"/>
        </w:rPr>
        <w:t>区。适用区划分中</w:t>
      </w:r>
      <w:r>
        <w:rPr>
          <w:rFonts w:hint="default" w:ascii="Times New Roman" w:hAnsi="Times New Roman" w:cs="Times New Roman"/>
          <w:b w:val="0"/>
          <w:bCs w:val="0"/>
          <w:color w:val="auto"/>
          <w:sz w:val="28"/>
          <w:szCs w:val="28"/>
          <w:lang w:val="en-US" w:eastAsia="zh-CN"/>
        </w:rPr>
        <w:t>2</w:t>
      </w:r>
      <w:r>
        <w:rPr>
          <w:rFonts w:hint="default" w:ascii="Times New Roman" w:hAnsi="Times New Roman" w:cs="Times New Roman" w:eastAsiaTheme="minorEastAsia"/>
          <w:b w:val="0"/>
          <w:bCs w:val="0"/>
          <w:color w:val="auto"/>
          <w:sz w:val="28"/>
          <w:szCs w:val="28"/>
        </w:rPr>
        <w:t>个单元</w:t>
      </w:r>
      <w:r>
        <w:rPr>
          <w:rFonts w:hint="default" w:ascii="Times New Roman" w:hAnsi="Times New Roman" w:cs="Times New Roman"/>
          <w:b w:val="0"/>
          <w:bCs w:val="0"/>
          <w:color w:val="auto"/>
          <w:sz w:val="28"/>
          <w:szCs w:val="28"/>
          <w:lang w:eastAsia="zh-CN"/>
        </w:rPr>
        <w:t>：</w:t>
      </w:r>
      <w:r>
        <w:rPr>
          <w:rFonts w:hint="eastAsia" w:ascii="Times New Roman" w:hAnsi="Times New Roman" w:cs="Times New Roman"/>
          <w:b w:val="0"/>
          <w:bCs w:val="0"/>
          <w:color w:val="auto"/>
          <w:sz w:val="28"/>
          <w:szCs w:val="28"/>
          <w:lang w:val="en-US" w:eastAsia="zh-CN"/>
        </w:rPr>
        <w:t>县客运站、规划公路用地，区</w:t>
      </w:r>
      <w:r>
        <w:rPr>
          <w:rFonts w:hint="default" w:ascii="Times New Roman" w:hAnsi="Times New Roman" w:cs="Times New Roman" w:eastAsiaTheme="minorEastAsia"/>
          <w:b w:val="0"/>
          <w:bCs w:val="0"/>
          <w:color w:val="auto"/>
          <w:sz w:val="28"/>
          <w:szCs w:val="28"/>
        </w:rPr>
        <w:t>划面积</w:t>
      </w:r>
      <w:r>
        <w:rPr>
          <w:rFonts w:hint="default" w:ascii="Times New Roman" w:hAnsi="Times New Roman" w:cs="Times New Roman"/>
          <w:b w:val="0"/>
          <w:bCs w:val="0"/>
          <w:color w:val="auto"/>
          <w:sz w:val="28"/>
          <w:szCs w:val="28"/>
          <w:lang w:val="en-US" w:eastAsia="zh-CN"/>
        </w:rPr>
        <w:t>0.</w:t>
      </w:r>
      <w:r>
        <w:rPr>
          <w:rFonts w:hint="eastAsia" w:ascii="Times New Roman" w:hAnsi="Times New Roman" w:cs="Times New Roman"/>
          <w:b w:val="0"/>
          <w:bCs w:val="0"/>
          <w:color w:val="auto"/>
          <w:sz w:val="28"/>
          <w:szCs w:val="28"/>
          <w:lang w:val="en-US" w:eastAsia="zh-CN"/>
        </w:rPr>
        <w:t>84</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4.4-3 3类区区划单元结果</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043"/>
        <w:gridCol w:w="2762"/>
        <w:gridCol w:w="2138"/>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204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序号</w:t>
            </w:r>
          </w:p>
        </w:tc>
        <w:tc>
          <w:tcPr>
            <w:tcW w:w="2762"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213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2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面积/km</w:t>
            </w:r>
            <w:r>
              <w:rPr>
                <w:rFonts w:hint="default"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4001</w:t>
            </w:r>
          </w:p>
        </w:tc>
        <w:tc>
          <w:tcPr>
            <w:tcW w:w="2762"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XD-P9.5-D4a01</w:t>
            </w:r>
          </w:p>
        </w:tc>
        <w:tc>
          <w:tcPr>
            <w:tcW w:w="213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县客运站</w:t>
            </w:r>
          </w:p>
        </w:tc>
        <w:tc>
          <w:tcPr>
            <w:tcW w:w="212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043"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4002</w:t>
            </w:r>
          </w:p>
        </w:tc>
        <w:tc>
          <w:tcPr>
            <w:tcW w:w="2762"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XD-P9.</w:t>
            </w:r>
            <w:r>
              <w:rPr>
                <w:rFonts w:hint="eastAsia" w:ascii="Times New Roman" w:hAnsi="Times New Roman" w:eastAsia="宋体" w:cs="Times New Roman"/>
                <w:i w:val="0"/>
                <w:color w:val="000000"/>
                <w:kern w:val="0"/>
                <w:sz w:val="24"/>
                <w:szCs w:val="24"/>
                <w:u w:val="none"/>
                <w:lang w:val="en-US" w:eastAsia="zh-CN" w:bidi="ar"/>
              </w:rPr>
              <w:t>6</w:t>
            </w:r>
            <w:r>
              <w:rPr>
                <w:rFonts w:hint="default" w:ascii="Times New Roman" w:hAnsi="Times New Roman" w:eastAsia="宋体" w:cs="Times New Roman"/>
                <w:i w:val="0"/>
                <w:color w:val="000000"/>
                <w:kern w:val="0"/>
                <w:sz w:val="24"/>
                <w:szCs w:val="24"/>
                <w:u w:val="none"/>
                <w:lang w:val="en-US" w:eastAsia="zh-CN" w:bidi="ar"/>
              </w:rPr>
              <w:t>-D4a0</w:t>
            </w:r>
            <w:r>
              <w:rPr>
                <w:rFonts w:hint="eastAsia" w:ascii="Times New Roman" w:hAnsi="Times New Roman" w:eastAsia="宋体" w:cs="Times New Roman"/>
                <w:i w:val="0"/>
                <w:color w:val="000000"/>
                <w:kern w:val="0"/>
                <w:sz w:val="24"/>
                <w:szCs w:val="24"/>
                <w:u w:val="none"/>
                <w:lang w:val="en-US" w:eastAsia="zh-CN" w:bidi="ar"/>
              </w:rPr>
              <w:t>2</w:t>
            </w:r>
          </w:p>
        </w:tc>
        <w:tc>
          <w:tcPr>
            <w:tcW w:w="213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规划公路用地</w:t>
            </w:r>
          </w:p>
        </w:tc>
        <w:tc>
          <w:tcPr>
            <w:tcW w:w="212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943"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128" w:type="dxa"/>
            <w:shd w:val="clear" w:color="auto" w:fill="auto"/>
            <w:noWrap/>
            <w:tcMar>
              <w:top w:w="15" w:type="dxa"/>
              <w:left w:w="15" w:type="dxa"/>
              <w:right w:w="15" w:type="dxa"/>
            </w:tcMar>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0.064</w:t>
            </w:r>
          </w:p>
        </w:tc>
      </w:tr>
    </w:tbl>
    <w:p>
      <w:pPr>
        <w:keepNext w:val="0"/>
        <w:keepLines w:val="0"/>
        <w:pageBreakBefore/>
        <w:widowControl w:val="0"/>
        <w:kinsoku/>
        <w:wordWrap/>
        <w:overflowPunct/>
        <w:topLinePunct w:val="0"/>
        <w:autoSpaceDE/>
        <w:autoSpaceDN/>
        <w:bidi w:val="0"/>
        <w:adjustRightInd/>
        <w:snapToGrid/>
        <w:textAlignment w:val="auto"/>
        <w:rPr>
          <w:rFonts w:hint="default"/>
          <w:lang w:val="en-US" w:eastAsia="zh-CN"/>
        </w:rPr>
      </w:pPr>
      <w:r>
        <w:rPr>
          <w:rFonts w:hint="eastAsia" w:ascii="Times New Roman" w:hAnsi="Times New Roman" w:eastAsia="宋体" w:cs="Times New Roman"/>
          <w:b/>
          <w:bCs/>
          <w:sz w:val="28"/>
          <w:szCs w:val="28"/>
          <w:lang w:val="en-US" w:eastAsia="zh-CN"/>
        </w:rPr>
        <w:t>2）城市主干路划分情况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-1 4a类声环境功能区的</w:t>
      </w:r>
      <w:r>
        <w:rPr>
          <w:rFonts w:hint="eastAsia" w:ascii="Times New Roman" w:hAnsi="Times New Roman" w:eastAsia="宋体" w:cs="Times New Roman"/>
          <w:b/>
          <w:bCs/>
          <w:sz w:val="24"/>
          <w:szCs w:val="24"/>
          <w:lang w:val="en-US" w:eastAsia="zh-CN"/>
        </w:rPr>
        <w:t>城市主干路</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85"/>
        <w:gridCol w:w="2162"/>
        <w:gridCol w:w="1985"/>
        <w:gridCol w:w="135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序号</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道路名称</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长度/km</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面积/km</w:t>
            </w:r>
            <w:r>
              <w:rPr>
                <w:rFonts w:hint="default"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文苑路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001</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2.319555</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0.070988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002</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1.509777</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钟灵路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003</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2.025818</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0.059715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凤梧路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zdA4</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004</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3.237339</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0.096854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龙泉路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zdA5</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005</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5.395785</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0.217217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牧靡路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zdA6</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006</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5.37814</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0.216595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规划29号路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zdA7</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007</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2.99597</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0.083294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规划#1号路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XD-zdA8</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008</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2.823812</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北二环（凤龙路）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hdA9</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009</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2.871793</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0.086259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星河路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hdA10</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010</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2.001502</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月秀路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hdA11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011</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2.777865</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0.109974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月华路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hdA12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012</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2.686573</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0.079829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月中路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XD-hdA13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013</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2.618674</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0.102154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规划15号路</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XD-hdA14</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014</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1.799599</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0.054648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0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16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规划12号线</w:t>
            </w:r>
          </w:p>
        </w:tc>
        <w:tc>
          <w:tcPr>
            <w:tcW w:w="19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hdA15</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015</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1.519955</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232"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合计</w:t>
            </w:r>
          </w:p>
        </w:tc>
        <w:tc>
          <w:tcPr>
            <w:tcW w:w="13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41.96</w:t>
            </w:r>
          </w:p>
        </w:tc>
        <w:tc>
          <w:tcPr>
            <w:tcW w:w="135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1.412</w:t>
            </w:r>
          </w:p>
        </w:tc>
      </w:tr>
    </w:tbl>
    <w:p>
      <w:pPr>
        <w:keepNext w:val="0"/>
        <w:keepLines w:val="0"/>
        <w:pageBreakBefore/>
        <w:widowControl w:val="0"/>
        <w:numPr>
          <w:ilvl w:val="0"/>
          <w:numId w:val="0"/>
        </w:numPr>
        <w:tabs>
          <w:tab w:val="left" w:pos="7062"/>
        </w:tabs>
        <w:kinsoku/>
        <w:wordWrap/>
        <w:overflowPunct/>
        <w:topLinePunct w:val="0"/>
        <w:autoSpaceDE/>
        <w:autoSpaceDN/>
        <w:bidi w:val="0"/>
        <w:adjustRightInd/>
        <w:snapToGrid/>
        <w:spacing w:line="360" w:lineRule="auto"/>
        <w:ind w:leftChars="-172" w:right="238" w:rightChars="0"/>
        <w:jc w:val="left"/>
        <w:textAlignment w:val="auto"/>
        <w:outlineLvl w:val="9"/>
        <w:rPr>
          <w:rFonts w:hint="default" w:ascii="Times New Roman" w:hAnsi="Times New Roman" w:cs="Times New Roman" w:eastAsiaTheme="minorEastAsia"/>
          <w:b w:val="0"/>
          <w:bCs w:val="0"/>
          <w:sz w:val="28"/>
          <w:szCs w:val="28"/>
          <w:lang w:eastAsia="zh-CN"/>
        </w:rPr>
      </w:pPr>
      <w:r>
        <w:rPr>
          <w:rFonts w:hint="eastAsia" w:ascii="Times New Roman" w:hAnsi="Times New Roman" w:cs="Times New Roman"/>
          <w:b w:val="0"/>
          <w:bCs w:val="0"/>
          <w:color w:val="000000"/>
          <w:sz w:val="28"/>
          <w:szCs w:val="28"/>
          <w:lang w:val="en-US" w:eastAsia="zh-CN"/>
        </w:rPr>
        <w:t>2）</w:t>
      </w:r>
      <w:r>
        <w:rPr>
          <w:rFonts w:hint="default" w:ascii="Times New Roman" w:hAnsi="Times New Roman" w:cs="Times New Roman" w:eastAsiaTheme="minorEastAsia"/>
          <w:b w:val="0"/>
          <w:bCs w:val="0"/>
          <w:color w:val="000000"/>
          <w:sz w:val="28"/>
          <w:szCs w:val="28"/>
        </w:rPr>
        <w:t>城市</w:t>
      </w:r>
      <w:r>
        <w:rPr>
          <w:rFonts w:hint="eastAsia" w:ascii="Times New Roman" w:hAnsi="Times New Roman" w:cs="Times New Roman"/>
          <w:b w:val="0"/>
          <w:bCs w:val="0"/>
          <w:color w:val="000000"/>
          <w:sz w:val="28"/>
          <w:szCs w:val="28"/>
          <w:lang w:eastAsia="zh-CN"/>
        </w:rPr>
        <w:t>次干道</w:t>
      </w:r>
      <w:r>
        <w:rPr>
          <w:rFonts w:hint="default" w:ascii="Times New Roman" w:hAnsi="Times New Roman" w:cs="Times New Roman" w:eastAsiaTheme="minorEastAsia"/>
          <w:b w:val="0"/>
          <w:bCs w:val="0"/>
          <w:color w:val="000000"/>
          <w:sz w:val="28"/>
          <w:szCs w:val="28"/>
          <w:lang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划分4a类声环境功能区的城市</w:t>
      </w:r>
      <w:r>
        <w:rPr>
          <w:rFonts w:hint="eastAsia" w:ascii="Times New Roman" w:hAnsi="Times New Roman" w:eastAsia="宋体" w:cs="Times New Roman"/>
          <w:b/>
          <w:bCs/>
          <w:sz w:val="24"/>
          <w:szCs w:val="24"/>
          <w:lang w:val="en-US" w:eastAsia="zh-CN"/>
        </w:rPr>
        <w:t>次</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08"/>
        <w:gridCol w:w="2037"/>
        <w:gridCol w:w="2227"/>
        <w:gridCol w:w="1680"/>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序号</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道路名称</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编号</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长度/km</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vertAlign w:val="superscript"/>
                <w:lang w:val="en-US" w:eastAsia="zh-CN" w:bidi="ar"/>
              </w:rPr>
            </w:pPr>
            <w:r>
              <w:rPr>
                <w:rFonts w:hint="eastAsia" w:ascii="Times New Roman" w:hAnsi="Times New Roman" w:eastAsia="宋体" w:cs="Times New Roman"/>
                <w:i w:val="0"/>
                <w:color w:val="000000"/>
                <w:kern w:val="0"/>
                <w:sz w:val="24"/>
                <w:szCs w:val="24"/>
                <w:u w:val="none"/>
                <w:lang w:val="en-US" w:eastAsia="zh-CN" w:bidi="ar"/>
              </w:rPr>
              <w:t>面积km</w:t>
            </w:r>
            <w:r>
              <w:rPr>
                <w:rFonts w:hint="eastAsia"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北观路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016</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1.90656</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0.083082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屏江北路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017</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2.157587</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0.043207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屏月北路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018</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1.192669</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0.023768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规划25号路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zdB4</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019</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1.180184</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0.024945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规划27号路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zdB5</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3.151173</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0.063304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玉屏南街</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zdB6</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021</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1.942096</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0.029603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屏江南路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zdB7</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022</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2.142114</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0.052058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屏月西路（海坝路）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zdB8</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023</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3.380024</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清河路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zdB9</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024</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3.260188</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zdB10</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025</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2.999553</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北一环（凤凰路）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026</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3.408439</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0.067433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翠苑路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hdB12</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027</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0.601326</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翠苑东路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hdB13</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028</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2.127523</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青龙路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hdB14</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029</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0.517165</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东门街</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hdB15</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030</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0.338929</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0.006749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hdB16</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031</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0.636313</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青江路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hdB17</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032</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0.63057</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规划20号路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hdB18</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033</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0.011868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欣荣街</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hdB19</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034</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1.599171</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0.039062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规划11号路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hdB20</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035</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1.337712</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60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203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规划16号路</w:t>
            </w:r>
          </w:p>
        </w:tc>
        <w:tc>
          <w:tcPr>
            <w:tcW w:w="2227"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XD</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hdB21</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036</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1.658228</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872"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合计</w:t>
            </w:r>
          </w:p>
        </w:tc>
        <w:tc>
          <w:tcPr>
            <w:tcW w:w="16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36.768</w:t>
            </w:r>
          </w:p>
        </w:tc>
        <w:tc>
          <w:tcPr>
            <w:tcW w:w="151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0.792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4.5.2 </w:t>
      </w:r>
      <w:r>
        <w:rPr>
          <w:rFonts w:hint="default" w:ascii="Times New Roman" w:hAnsi="Times New Roman" w:eastAsia="宋体" w:cs="Times New Roman"/>
          <w:b/>
          <w:bCs/>
          <w:sz w:val="28"/>
          <w:szCs w:val="28"/>
          <w:lang w:val="en-US" w:eastAsia="zh-CN"/>
        </w:rPr>
        <w:t>4b类区划分结果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表4.3-1  划分4b类声环境功能区的普速铁路干线</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56"/>
        <w:gridCol w:w="948"/>
        <w:gridCol w:w="930"/>
        <w:gridCol w:w="1062"/>
        <w:gridCol w:w="850"/>
        <w:gridCol w:w="1226"/>
        <w:gridCol w:w="1312"/>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45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序号</w:t>
            </w:r>
          </w:p>
        </w:tc>
        <w:tc>
          <w:tcPr>
            <w:tcW w:w="948"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color w:val="000000"/>
                <w:kern w:val="0"/>
                <w:sz w:val="28"/>
                <w:szCs w:val="28"/>
                <w:u w:val="none"/>
                <w:lang w:val="en-US" w:eastAsia="zh-CN" w:bidi="ar"/>
              </w:rPr>
              <w:t>编号</w:t>
            </w:r>
          </w:p>
        </w:tc>
        <w:tc>
          <w:tcPr>
            <w:tcW w:w="93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名称</w:t>
            </w:r>
          </w:p>
        </w:tc>
        <w:tc>
          <w:tcPr>
            <w:tcW w:w="106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等级</w:t>
            </w:r>
          </w:p>
        </w:tc>
        <w:tc>
          <w:tcPr>
            <w:tcW w:w="8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里程</w:t>
            </w:r>
            <w:r>
              <w:rPr>
                <w:rFonts w:hint="eastAsia" w:ascii="Times New Roman" w:hAnsi="Times New Roman"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t>km</w:t>
            </w:r>
          </w:p>
        </w:tc>
        <w:tc>
          <w:tcPr>
            <w:tcW w:w="122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路幅度宽度</w:t>
            </w:r>
            <w:r>
              <w:rPr>
                <w:rFonts w:hint="eastAsia" w:ascii="Times New Roman" w:hAnsi="Times New Roman" w:eastAsia="宋体" w:cs="Times New Roman"/>
                <w:i w:val="0"/>
                <w:color w:val="000000"/>
                <w:kern w:val="0"/>
                <w:sz w:val="28"/>
                <w:szCs w:val="28"/>
                <w:u w:val="none"/>
                <w:lang w:val="en-US" w:eastAsia="zh-CN" w:bidi="ar"/>
              </w:rPr>
              <w:t>/</w:t>
            </w:r>
            <w:r>
              <w:rPr>
                <w:rFonts w:hint="default" w:ascii="Times New Roman" w:hAnsi="Times New Roman" w:eastAsia="宋体" w:cs="Times New Roman"/>
                <w:i w:val="0"/>
                <w:color w:val="000000"/>
                <w:kern w:val="0"/>
                <w:sz w:val="28"/>
                <w:szCs w:val="28"/>
                <w:u w:val="none"/>
                <w:lang w:val="en-US" w:eastAsia="zh-CN" w:bidi="ar"/>
              </w:rPr>
              <w:t>km</w:t>
            </w:r>
          </w:p>
        </w:tc>
        <w:tc>
          <w:tcPr>
            <w:tcW w:w="13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道路面积</w:t>
            </w:r>
            <w:r>
              <w:rPr>
                <w:rFonts w:hint="eastAsia" w:ascii="Times New Roman" w:hAnsi="Times New Roman" w:eastAsia="宋体" w:cs="Times New Roman"/>
                <w:i w:val="0"/>
                <w:color w:val="000000"/>
                <w:kern w:val="0"/>
                <w:sz w:val="28"/>
                <w:szCs w:val="28"/>
                <w:u w:val="none"/>
                <w:lang w:val="en-US" w:eastAsia="zh-CN" w:bidi="ar"/>
              </w:rPr>
              <w:t>/</w:t>
            </w:r>
            <w:r>
              <w:rPr>
                <w:rFonts w:hint="default" w:ascii="Times New Roman" w:hAnsi="Times New Roman" w:eastAsia="宋体" w:cs="Times New Roman"/>
                <w:b w:val="0"/>
                <w:bCs w:val="0"/>
                <w:color w:val="000000"/>
                <w:kern w:val="0"/>
                <w:sz w:val="28"/>
                <w:szCs w:val="28"/>
              </w:rPr>
              <w:t>km</w:t>
            </w:r>
            <w:r>
              <w:rPr>
                <w:rFonts w:hint="default" w:ascii="Times New Roman" w:hAnsi="Times New Roman" w:eastAsia="宋体" w:cs="Times New Roman"/>
                <w:b w:val="0"/>
                <w:bCs w:val="0"/>
                <w:color w:val="000000"/>
                <w:kern w:val="0"/>
                <w:sz w:val="28"/>
                <w:szCs w:val="28"/>
                <w:vertAlign w:val="superscript"/>
              </w:rPr>
              <w:t>2</w:t>
            </w:r>
          </w:p>
        </w:tc>
        <w:tc>
          <w:tcPr>
            <w:tcW w:w="115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区划面积</w:t>
            </w:r>
            <w:r>
              <w:rPr>
                <w:rFonts w:hint="eastAsia" w:ascii="Times New Roman" w:hAnsi="Times New Roman" w:eastAsia="宋体" w:cs="Times New Roman"/>
                <w:i w:val="0"/>
                <w:color w:val="000000"/>
                <w:kern w:val="0"/>
                <w:sz w:val="28"/>
                <w:szCs w:val="28"/>
                <w:u w:val="none"/>
                <w:lang w:val="en-US" w:eastAsia="zh-CN" w:bidi="ar"/>
              </w:rPr>
              <w:t>/</w:t>
            </w:r>
            <w:r>
              <w:rPr>
                <w:rFonts w:hint="default" w:ascii="Times New Roman" w:hAnsi="Times New Roman" w:eastAsia="宋体" w:cs="Times New Roman"/>
                <w:b w:val="0"/>
                <w:bCs w:val="0"/>
                <w:color w:val="000000"/>
                <w:kern w:val="0"/>
                <w:sz w:val="28"/>
                <w:szCs w:val="28"/>
              </w:rPr>
              <w:t>km</w:t>
            </w:r>
            <w:r>
              <w:rPr>
                <w:rFonts w:hint="default" w:ascii="Times New Roman" w:hAnsi="Times New Roman" w:eastAsia="宋体" w:cs="Times New Roman"/>
                <w:b w:val="0"/>
                <w:bCs w:val="0"/>
                <w:color w:val="000000"/>
                <w:kern w:val="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5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color w:val="000000"/>
                <w:sz w:val="28"/>
                <w:szCs w:val="28"/>
                <w:u w:val="none"/>
                <w:lang w:val="en-US" w:eastAsia="zh-CN"/>
              </w:rPr>
              <w:t>1</w:t>
            </w:r>
          </w:p>
        </w:tc>
        <w:tc>
          <w:tcPr>
            <w:tcW w:w="948" w:type="dxa"/>
            <w:tcBorders>
              <w:tl2br w:val="nil"/>
              <w:tr2bl w:val="nil"/>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lang w:val="en-US" w:eastAsia="zh-CN"/>
              </w:rPr>
            </w:pPr>
            <w:r>
              <w:rPr>
                <w:rFonts w:hint="default" w:ascii="Times New Roman" w:hAnsi="Times New Roman" w:eastAsia="宋体" w:cs="Times New Roman"/>
                <w:i w:val="0"/>
                <w:color w:val="000000"/>
                <w:sz w:val="28"/>
                <w:szCs w:val="28"/>
                <w:u w:val="none"/>
                <w:lang w:val="en-US" w:eastAsia="zh-CN"/>
              </w:rPr>
              <w:t>XDtl01</w:t>
            </w:r>
          </w:p>
        </w:tc>
        <w:tc>
          <w:tcPr>
            <w:tcW w:w="93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东川线</w:t>
            </w:r>
          </w:p>
        </w:tc>
        <w:tc>
          <w:tcPr>
            <w:tcW w:w="1062" w:type="dxa"/>
            <w:tcBorders>
              <w:tl2br w:val="nil"/>
              <w:tr2bl w:val="nil"/>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sz w:val="28"/>
                <w:szCs w:val="28"/>
                <w:u w:val="none"/>
                <w:lang w:val="en-US" w:eastAsia="zh-CN"/>
              </w:rPr>
              <w:t>普通铁路线</w:t>
            </w:r>
          </w:p>
        </w:tc>
        <w:tc>
          <w:tcPr>
            <w:tcW w:w="850"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lang w:val="en-US"/>
              </w:rPr>
            </w:pPr>
            <w:r>
              <w:rPr>
                <w:rFonts w:hint="eastAsia" w:ascii="Times New Roman" w:hAnsi="Times New Roman" w:eastAsia="宋体" w:cs="Times New Roman"/>
                <w:i w:val="0"/>
                <w:color w:val="000000"/>
                <w:kern w:val="0"/>
                <w:sz w:val="28"/>
                <w:szCs w:val="28"/>
                <w:u w:val="none"/>
                <w:lang w:val="en-US" w:eastAsia="zh-CN" w:bidi="ar"/>
              </w:rPr>
              <w:t>5.843</w:t>
            </w:r>
          </w:p>
        </w:tc>
        <w:tc>
          <w:tcPr>
            <w:tcW w:w="1226"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0.014</w:t>
            </w:r>
          </w:p>
        </w:tc>
        <w:tc>
          <w:tcPr>
            <w:tcW w:w="1312"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0.054</w:t>
            </w:r>
          </w:p>
        </w:tc>
        <w:tc>
          <w:tcPr>
            <w:tcW w:w="1153" w:type="dxa"/>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8"/>
                <w:szCs w:val="28"/>
                <w:u w:val="none"/>
                <w:lang w:val="en-US" w:eastAsia="zh-CN" w:bidi="ar"/>
              </w:rPr>
            </w:pPr>
            <w:r>
              <w:rPr>
                <w:rFonts w:hint="eastAsia" w:ascii="Times New Roman" w:hAnsi="Times New Roman" w:eastAsia="宋体" w:cs="Times New Roman"/>
                <w:i w:val="0"/>
                <w:color w:val="000000"/>
                <w:kern w:val="0"/>
                <w:sz w:val="28"/>
                <w:szCs w:val="28"/>
                <w:u w:val="none"/>
                <w:lang w:val="en-US" w:eastAsia="zh-CN" w:bidi="ar"/>
              </w:rPr>
              <w:t>0.1201</w:t>
            </w:r>
          </w:p>
        </w:tc>
      </w:tr>
    </w:tbl>
    <w:p>
      <w:pPr>
        <w:keepNext w:val="0"/>
        <w:keepLines w:val="0"/>
        <w:pageBreakBefore w:val="0"/>
        <w:widowControl w:val="0"/>
        <w:kinsoku/>
        <w:wordWrap/>
        <w:overflowPunct/>
        <w:topLinePunct w:val="0"/>
        <w:autoSpaceDE/>
        <w:autoSpaceDN/>
        <w:bidi w:val="0"/>
        <w:adjustRightInd/>
        <w:snapToGrid/>
        <w:spacing w:before="100" w:beforeAutospacing="1" w:line="240" w:lineRule="auto"/>
        <w:ind w:right="238" w:firstLine="560" w:firstLineChars="200"/>
        <w:jc w:val="left"/>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经过</w:t>
      </w:r>
      <w:r>
        <w:rPr>
          <w:rFonts w:hint="default" w:ascii="Times New Roman" w:hAnsi="Times New Roman" w:cs="Times New Roman" w:eastAsiaTheme="minorEastAsia"/>
          <w:b w:val="0"/>
          <w:bCs w:val="0"/>
          <w:color w:val="auto"/>
          <w:sz w:val="28"/>
          <w:szCs w:val="28"/>
          <w:lang w:val="en-US" w:eastAsia="zh-CN"/>
        </w:rPr>
        <w:t>中心城区</w:t>
      </w:r>
      <w:r>
        <w:rPr>
          <w:rFonts w:hint="default" w:ascii="Times New Roman" w:hAnsi="Times New Roman" w:cs="Times New Roman"/>
          <w:b w:val="0"/>
          <w:bCs w:val="0"/>
          <w:color w:val="auto"/>
          <w:sz w:val="28"/>
          <w:szCs w:val="28"/>
          <w:lang w:val="en-US" w:eastAsia="zh-CN"/>
        </w:rPr>
        <w:t>规划范围线的只有一条东川铁路线，东川铁路线位于主城区的西侧，铁路沿线建设里整个的防护片区，东川铁路线里程</w:t>
      </w:r>
      <w:r>
        <w:rPr>
          <w:rFonts w:hint="eastAsia" w:ascii="Times New Roman" w:hAnsi="Times New Roman" w:cs="Times New Roman"/>
          <w:b w:val="0"/>
          <w:bCs w:val="0"/>
          <w:color w:val="auto"/>
          <w:sz w:val="28"/>
          <w:szCs w:val="28"/>
          <w:lang w:val="en-US" w:eastAsia="zh-CN"/>
        </w:rPr>
        <w:t>5.843</w:t>
      </w:r>
      <w:r>
        <w:rPr>
          <w:rFonts w:hint="default" w:ascii="Times New Roman" w:hAnsi="Times New Roman" w:cs="Times New Roman"/>
          <w:b w:val="0"/>
          <w:bCs w:val="0"/>
          <w:color w:val="auto"/>
          <w:sz w:val="28"/>
          <w:szCs w:val="28"/>
          <w:lang w:val="en-US" w:eastAsia="zh-CN"/>
        </w:rPr>
        <w:t>km，按铁路的基准轨道宽度1.435m，路基13m</w:t>
      </w:r>
      <w:r>
        <w:rPr>
          <w:rFonts w:hint="eastAsia" w:ascii="Times New Roman" w:hAnsi="Times New Roman" w:cs="Times New Roman"/>
          <w:b w:val="0"/>
          <w:bCs w:val="0"/>
          <w:color w:val="auto"/>
          <w:sz w:val="28"/>
          <w:szCs w:val="28"/>
          <w:lang w:val="en-US" w:eastAsia="zh-CN"/>
        </w:rPr>
        <w:t>，</w:t>
      </w:r>
      <w:r>
        <w:rPr>
          <w:rFonts w:hint="default" w:ascii="Times New Roman" w:hAnsi="Times New Roman" w:cs="Times New Roman" w:eastAsiaTheme="minorEastAsia"/>
          <w:b w:val="0"/>
          <w:bCs w:val="0"/>
          <w:color w:val="auto"/>
          <w:sz w:val="28"/>
          <w:szCs w:val="28"/>
          <w:lang w:val="en-US" w:eastAsia="zh-CN"/>
        </w:rPr>
        <w:t>故</w:t>
      </w:r>
      <w:r>
        <w:rPr>
          <w:rFonts w:hint="default" w:ascii="Times New Roman" w:hAnsi="Times New Roman" w:cs="Times New Roman"/>
          <w:b w:val="0"/>
          <w:bCs w:val="0"/>
          <w:color w:val="auto"/>
          <w:sz w:val="28"/>
          <w:szCs w:val="28"/>
          <w:lang w:val="en-US" w:eastAsia="zh-CN"/>
        </w:rPr>
        <w:t>道路面积0.054</w:t>
      </w:r>
      <w:r>
        <w:rPr>
          <w:rFonts w:hint="default" w:ascii="Times New Roman" w:hAnsi="Times New Roman" w:cs="Times New Roman" w:eastAsiaTheme="minorEastAsia"/>
          <w:b w:val="0"/>
          <w:bCs w:val="0"/>
          <w:color w:val="auto"/>
          <w:sz w:val="28"/>
          <w:szCs w:val="28"/>
          <w:lang w:val="en-US" w:eastAsia="zh-CN"/>
        </w:rPr>
        <w:t>km</w:t>
      </w:r>
      <w:r>
        <w:rPr>
          <w:rFonts w:hint="default" w:ascii="Times New Roman" w:hAnsi="Times New Roman" w:cs="Times New Roman" w:eastAsiaTheme="minorEastAsia"/>
          <w:b w:val="0"/>
          <w:bCs w:val="0"/>
          <w:color w:val="auto"/>
          <w:sz w:val="28"/>
          <w:szCs w:val="28"/>
          <w:vertAlign w:val="superscript"/>
          <w:lang w:val="en-US" w:eastAsia="zh-CN"/>
        </w:rPr>
        <w:t>2</w:t>
      </w:r>
      <w:r>
        <w:rPr>
          <w:rFonts w:hint="default" w:ascii="Times New Roman" w:hAnsi="Times New Roman" w:cs="Times New Roman"/>
          <w:b w:val="0"/>
          <w:bCs w:val="0"/>
          <w:color w:val="auto"/>
          <w:sz w:val="28"/>
          <w:szCs w:val="28"/>
          <w:vertAlign w:val="baseline"/>
          <w:lang w:val="en-US" w:eastAsia="zh-CN"/>
        </w:rPr>
        <w:t>，</w:t>
      </w:r>
      <w:r>
        <w:rPr>
          <w:rFonts w:hint="default" w:ascii="Times New Roman" w:hAnsi="Times New Roman" w:cs="Times New Roman" w:eastAsiaTheme="minorEastAsia"/>
          <w:b w:val="0"/>
          <w:bCs w:val="0"/>
          <w:color w:val="auto"/>
          <w:sz w:val="28"/>
          <w:szCs w:val="28"/>
          <w:lang w:val="en-US" w:eastAsia="zh-CN"/>
        </w:rPr>
        <w:t>区域面积为</w:t>
      </w:r>
      <w:r>
        <w:rPr>
          <w:rFonts w:hint="default" w:ascii="Times New Roman" w:hAnsi="Times New Roman" w:cs="Times New Roman"/>
          <w:b w:val="0"/>
          <w:bCs w:val="0"/>
          <w:color w:val="auto"/>
          <w:sz w:val="28"/>
          <w:szCs w:val="28"/>
          <w:lang w:val="en-US" w:eastAsia="zh-CN"/>
        </w:rPr>
        <w:t>0.</w:t>
      </w:r>
      <w:r>
        <w:rPr>
          <w:rFonts w:hint="eastAsia" w:ascii="Times New Roman" w:hAnsi="Times New Roman" w:cs="Times New Roman"/>
          <w:b w:val="0"/>
          <w:bCs w:val="0"/>
          <w:color w:val="auto"/>
          <w:sz w:val="28"/>
          <w:szCs w:val="28"/>
          <w:lang w:val="en-US" w:eastAsia="zh-CN"/>
        </w:rPr>
        <w:t>12</w:t>
      </w:r>
      <w:r>
        <w:rPr>
          <w:rFonts w:hint="default" w:ascii="Times New Roman" w:hAnsi="Times New Roman" w:cs="Times New Roman" w:eastAsiaTheme="minorEastAsia"/>
          <w:b w:val="0"/>
          <w:bCs w:val="0"/>
          <w:color w:val="auto"/>
          <w:sz w:val="28"/>
          <w:szCs w:val="28"/>
          <w:lang w:val="en-US" w:eastAsia="zh-CN"/>
        </w:rPr>
        <w:t>km</w:t>
      </w:r>
      <w:r>
        <w:rPr>
          <w:rFonts w:hint="default" w:ascii="Times New Roman" w:hAnsi="Times New Roman" w:cs="Times New Roman" w:eastAsiaTheme="minorEastAsia"/>
          <w:b w:val="0"/>
          <w:bCs w:val="0"/>
          <w:color w:val="auto"/>
          <w:sz w:val="28"/>
          <w:szCs w:val="28"/>
          <w:vertAlign w:val="superscript"/>
          <w:lang w:val="en-US" w:eastAsia="zh-CN"/>
        </w:rPr>
        <w:t>2</w:t>
      </w:r>
      <w:r>
        <w:rPr>
          <w:rFonts w:hint="default" w:ascii="Times New Roman" w:hAnsi="Times New Roman" w:cs="Times New Roman" w:eastAsiaTheme="minorEastAsia"/>
          <w:b w:val="0"/>
          <w:bCs w:val="0"/>
          <w:color w:val="auto"/>
          <w:sz w:val="28"/>
          <w:szCs w:val="28"/>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2" w:name="_Toc21443_WPSOffice_Level2"/>
      <w:r>
        <w:rPr>
          <w:rFonts w:hint="eastAsia" w:ascii="Times New Roman" w:hAnsi="Times New Roman" w:eastAsia="黑体" w:cs="Times New Roman"/>
          <w:b/>
          <w:bCs/>
          <w:sz w:val="28"/>
          <w:szCs w:val="28"/>
          <w:lang w:val="en-US" w:eastAsia="zh-CN"/>
        </w:rPr>
        <w:t>4.6 主城区</w:t>
      </w:r>
      <w:r>
        <w:rPr>
          <w:rFonts w:hint="default" w:ascii="Times New Roman" w:hAnsi="Times New Roman" w:eastAsia="黑体" w:cs="Times New Roman"/>
          <w:b/>
          <w:bCs/>
          <w:sz w:val="28"/>
          <w:szCs w:val="28"/>
          <w:lang w:val="en-US" w:eastAsia="zh-CN"/>
        </w:rPr>
        <w:t>区划结果汇总</w:t>
      </w:r>
      <w:bookmarkEnd w:id="172"/>
    </w:p>
    <w:p>
      <w:pPr>
        <w:numPr>
          <w:ilvl w:val="0"/>
          <w:numId w:val="0"/>
        </w:numPr>
        <w:kinsoku/>
        <w:wordWrap/>
        <w:overflowPunct/>
        <w:topLinePunct w:val="0"/>
        <w:autoSpaceDE/>
        <w:autoSpaceDN/>
        <w:bidi w:val="0"/>
        <w:spacing w:line="360" w:lineRule="auto"/>
        <w:outlineLvl w:val="2"/>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1）</w:t>
      </w:r>
      <w:r>
        <w:rPr>
          <w:rFonts w:hint="default" w:ascii="Times New Roman" w:hAnsi="Times New Roman" w:cs="Times New Roman" w:eastAsiaTheme="minorEastAsia"/>
          <w:b w:val="0"/>
          <w:bCs w:val="0"/>
          <w:sz w:val="28"/>
          <w:szCs w:val="28"/>
          <w:lang w:val="en-US" w:eastAsia="zh-CN"/>
        </w:rPr>
        <w:t>4类功能区交通干线统计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表4.6-1 4类功能区交通干线统计表</w:t>
      </w:r>
    </w:p>
    <w:tbl>
      <w:tblPr>
        <w:tblStyle w:val="8"/>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83"/>
        <w:gridCol w:w="1317"/>
        <w:gridCol w:w="1319"/>
        <w:gridCol w:w="2312"/>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9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类别</w:t>
            </w:r>
          </w:p>
        </w:tc>
        <w:tc>
          <w:tcPr>
            <w:tcW w:w="131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数量(条)</w:t>
            </w:r>
          </w:p>
        </w:tc>
        <w:tc>
          <w:tcPr>
            <w:tcW w:w="131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里程km</w:t>
            </w:r>
          </w:p>
        </w:tc>
        <w:tc>
          <w:tcPr>
            <w:tcW w:w="23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道路平均宽度</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km</w:t>
            </w:r>
          </w:p>
        </w:tc>
        <w:tc>
          <w:tcPr>
            <w:tcW w:w="20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道路</w:t>
            </w:r>
            <w:r>
              <w:rPr>
                <w:rFonts w:hint="eastAsia" w:ascii="Times New Roman" w:hAnsi="Times New Roman" w:eastAsia="宋体" w:cs="Times New Roman"/>
                <w:i w:val="0"/>
                <w:color w:val="000000"/>
                <w:kern w:val="0"/>
                <w:sz w:val="24"/>
                <w:szCs w:val="24"/>
                <w:u w:val="none"/>
                <w:lang w:val="en-US" w:eastAsia="zh-CN" w:bidi="ar"/>
              </w:rPr>
              <w:t>面积/</w:t>
            </w:r>
            <w:r>
              <w:rPr>
                <w:rFonts w:hint="default" w:ascii="Times New Roman" w:hAnsi="Times New Roman" w:eastAsia="宋体" w:cs="Times New Roman"/>
                <w:i w:val="0"/>
                <w:color w:val="000000"/>
                <w:kern w:val="0"/>
                <w:sz w:val="24"/>
                <w:szCs w:val="24"/>
                <w:u w:val="none"/>
                <w:lang w:val="en-US" w:eastAsia="zh-CN" w:bidi="ar"/>
              </w:rPr>
              <w:t>km</w:t>
            </w:r>
            <w:r>
              <w:rPr>
                <w:rFonts w:hint="default"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主干道</w:t>
            </w:r>
          </w:p>
        </w:tc>
        <w:tc>
          <w:tcPr>
            <w:tcW w:w="131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15</w:t>
            </w:r>
          </w:p>
        </w:tc>
        <w:tc>
          <w:tcPr>
            <w:tcW w:w="131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41.96</w:t>
            </w:r>
          </w:p>
        </w:tc>
        <w:tc>
          <w:tcPr>
            <w:tcW w:w="23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0.016 </w:t>
            </w:r>
          </w:p>
        </w:tc>
        <w:tc>
          <w:tcPr>
            <w:tcW w:w="20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次干道</w:t>
            </w:r>
          </w:p>
        </w:tc>
        <w:tc>
          <w:tcPr>
            <w:tcW w:w="131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1</w:t>
            </w:r>
          </w:p>
        </w:tc>
        <w:tc>
          <w:tcPr>
            <w:tcW w:w="131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36.768</w:t>
            </w:r>
          </w:p>
        </w:tc>
        <w:tc>
          <w:tcPr>
            <w:tcW w:w="23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0.025 </w:t>
            </w:r>
          </w:p>
        </w:tc>
        <w:tc>
          <w:tcPr>
            <w:tcW w:w="20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铁路4b</w:t>
            </w:r>
          </w:p>
        </w:tc>
        <w:tc>
          <w:tcPr>
            <w:tcW w:w="131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31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5.84</w:t>
            </w:r>
          </w:p>
        </w:tc>
        <w:tc>
          <w:tcPr>
            <w:tcW w:w="23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0.014 </w:t>
            </w:r>
          </w:p>
        </w:tc>
        <w:tc>
          <w:tcPr>
            <w:tcW w:w="20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8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合计</w:t>
            </w:r>
          </w:p>
        </w:tc>
        <w:tc>
          <w:tcPr>
            <w:tcW w:w="131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37</w:t>
            </w:r>
          </w:p>
        </w:tc>
        <w:tc>
          <w:tcPr>
            <w:tcW w:w="1319"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84.57</w:t>
            </w:r>
          </w:p>
        </w:tc>
        <w:tc>
          <w:tcPr>
            <w:tcW w:w="2312"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20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2.324</w:t>
            </w:r>
          </w:p>
        </w:tc>
      </w:tr>
    </w:tbl>
    <w:p>
      <w:pPr>
        <w:keepNext w:val="0"/>
        <w:keepLines w:val="0"/>
        <w:pageBreakBefore/>
        <w:widowControl w:val="0"/>
        <w:numPr>
          <w:ilvl w:val="0"/>
          <w:numId w:val="11"/>
        </w:numPr>
        <w:kinsoku/>
        <w:wordWrap/>
        <w:overflowPunct/>
        <w:topLinePunct w:val="0"/>
        <w:autoSpaceDE/>
        <w:autoSpaceDN/>
        <w:bidi w:val="0"/>
        <w:adjustRightInd/>
        <w:snapToGrid/>
        <w:spacing w:before="300" w:after="300" w:line="480" w:lineRule="auto"/>
        <w:jc w:val="both"/>
        <w:textAlignment w:val="auto"/>
        <w:outlineLvl w:val="2"/>
        <w:rPr>
          <w:rFonts w:hint="eastAsia" w:ascii="宋体" w:hAnsi="宋体" w:eastAsia="宋体" w:cs="宋体"/>
          <w:b w:val="0"/>
          <w:bCs w:val="0"/>
          <w:sz w:val="28"/>
          <w:szCs w:val="28"/>
          <w:lang w:val="en-US" w:eastAsia="zh-CN"/>
        </w:rPr>
      </w:pPr>
      <w:r>
        <w:rPr>
          <w:rFonts w:hint="eastAsia" w:ascii="Times New Roman" w:hAnsi="Times New Roman" w:cs="Times New Roman"/>
          <w:b w:val="0"/>
          <w:bCs w:val="0"/>
          <w:sz w:val="28"/>
          <w:szCs w:val="28"/>
          <w:lang w:val="en-US" w:eastAsia="zh-CN"/>
        </w:rPr>
        <w:t>声</w:t>
      </w:r>
      <w:r>
        <w:rPr>
          <w:rFonts w:hint="default" w:ascii="Times New Roman" w:hAnsi="Times New Roman" w:cs="Times New Roman" w:eastAsiaTheme="minorEastAsia"/>
          <w:b w:val="0"/>
          <w:bCs w:val="0"/>
          <w:sz w:val="28"/>
          <w:szCs w:val="28"/>
          <w:lang w:val="en-US" w:eastAsia="zh-CN"/>
        </w:rPr>
        <w:t>环境功能区区划成果汇总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表4.6-2 0-4类声环境功能区统计表</w:t>
      </w:r>
    </w:p>
    <w:tbl>
      <w:tblPr>
        <w:tblStyle w:val="9"/>
        <w:tblW w:w="8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90"/>
        <w:gridCol w:w="1304"/>
        <w:gridCol w:w="1238"/>
        <w:gridCol w:w="1080"/>
        <w:gridCol w:w="1365"/>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类别</w:t>
            </w:r>
          </w:p>
        </w:tc>
        <w:tc>
          <w:tcPr>
            <w:tcW w:w="1304"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单元数量</w:t>
            </w:r>
          </w:p>
        </w:tc>
        <w:tc>
          <w:tcPr>
            <w:tcW w:w="1238" w:type="dxa"/>
            <w:vMerge w:val="restart"/>
            <w:vAlign w:val="center"/>
          </w:tcPr>
          <w:p>
            <w:pPr>
              <w:kinsoku/>
              <w:wordWrap/>
              <w:overflowPunct/>
              <w:topLinePunct w:val="0"/>
              <w:autoSpaceDE/>
              <w:autoSpaceDN/>
              <w:bidi w:val="0"/>
              <w:spacing w:line="360" w:lineRule="auto"/>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面积/km </w:t>
            </w:r>
            <w:r>
              <w:rPr>
                <w:rFonts w:hint="default" w:ascii="Times New Roman" w:hAnsi="Times New Roman" w:eastAsia="宋体" w:cs="Times New Roman"/>
                <w:b w:val="0"/>
                <w:bCs w:val="0"/>
                <w:sz w:val="24"/>
                <w:szCs w:val="24"/>
                <w:vertAlign w:val="superscript"/>
                <w:lang w:val="en-US" w:eastAsia="zh-CN"/>
              </w:rPr>
              <w:t>2</w:t>
            </w:r>
          </w:p>
        </w:tc>
        <w:tc>
          <w:tcPr>
            <w:tcW w:w="1080"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比例%</w:t>
            </w:r>
          </w:p>
        </w:tc>
        <w:tc>
          <w:tcPr>
            <w:tcW w:w="2684" w:type="dxa"/>
            <w:gridSpan w:val="2"/>
            <w:vAlign w:val="center"/>
          </w:tcPr>
          <w:p>
            <w:pPr>
              <w:kinsoku/>
              <w:wordWrap/>
              <w:overflowPunct/>
              <w:topLinePunct w:val="0"/>
              <w:autoSpaceDE/>
              <w:autoSpaceDN/>
              <w:bidi w:val="0"/>
              <w:spacing w:line="360" w:lineRule="auto"/>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执</w:t>
            </w:r>
            <w:r>
              <w:rPr>
                <w:rFonts w:hint="eastAsia" w:ascii="Times New Roman" w:hAnsi="Times New Roman" w:eastAsia="宋体" w:cs="Times New Roman"/>
                <w:b w:val="0"/>
                <w:bCs w:val="0"/>
                <w:sz w:val="24"/>
                <w:szCs w:val="24"/>
                <w:vertAlign w:val="baseline"/>
                <w:lang w:val="en-US" w:eastAsia="zh-CN"/>
              </w:rPr>
              <w:t>行</w:t>
            </w:r>
            <w:r>
              <w:rPr>
                <w:rFonts w:hint="default" w:ascii="Times New Roman" w:hAnsi="Times New Roman" w:eastAsia="宋体" w:cs="Times New Roman"/>
                <w:b w:val="0"/>
                <w:bCs w:val="0"/>
                <w:sz w:val="24"/>
                <w:szCs w:val="24"/>
                <w:vertAlign w:val="baseline"/>
                <w:lang w:val="en-US" w:eastAsia="zh-CN"/>
              </w:rPr>
              <w:t>标准L</w:t>
            </w:r>
            <w:r>
              <w:rPr>
                <w:rFonts w:hint="default" w:ascii="Times New Roman" w:hAnsi="Times New Roman" w:eastAsia="宋体" w:cs="Times New Roman"/>
                <w:b w:val="0"/>
                <w:bCs w:val="0"/>
                <w:sz w:val="24"/>
                <w:szCs w:val="24"/>
                <w:vertAlign w:val="subscript"/>
                <w:lang w:val="en-US" w:eastAsia="zh-CN"/>
              </w:rPr>
              <w:t>Aep</w:t>
            </w:r>
            <w:r>
              <w:rPr>
                <w:rFonts w:hint="default" w:ascii="Times New Roman" w:hAnsi="Times New Roman" w:eastAsia="宋体" w:cs="Times New Roman"/>
                <w:b w:val="0"/>
                <w:bCs w:val="0"/>
                <w:sz w:val="24"/>
                <w:szCs w:val="24"/>
                <w:vertAlign w:val="baseli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Merge w:val="continue"/>
            <w:vAlign w:val="center"/>
          </w:tcPr>
          <w:p>
            <w:pPr>
              <w:kinsoku/>
              <w:wordWrap/>
              <w:overflowPunct/>
              <w:topLinePunct w:val="0"/>
              <w:autoSpaceDE/>
              <w:autoSpaceDN/>
              <w:bidi w:val="0"/>
              <w:spacing w:line="360" w:lineRule="auto"/>
              <w:rPr>
                <w:rFonts w:hint="default" w:ascii="Times New Roman" w:hAnsi="Times New Roman" w:eastAsia="宋体" w:cs="Times New Roman"/>
                <w:b w:val="0"/>
                <w:bCs w:val="0"/>
                <w:sz w:val="24"/>
                <w:szCs w:val="24"/>
                <w:vertAlign w:val="baseline"/>
                <w:lang w:val="en-US" w:eastAsia="zh-CN"/>
              </w:rPr>
            </w:pPr>
          </w:p>
        </w:tc>
        <w:tc>
          <w:tcPr>
            <w:tcW w:w="1304" w:type="dxa"/>
            <w:vMerge w:val="continue"/>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238" w:type="dxa"/>
            <w:vMerge w:val="continue"/>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080" w:type="dxa"/>
            <w:vMerge w:val="continue"/>
            <w:vAlign w:val="center"/>
          </w:tcPr>
          <w:p>
            <w:pPr>
              <w:kinsoku/>
              <w:wordWrap/>
              <w:overflowPunct/>
              <w:topLinePunct w:val="0"/>
              <w:autoSpaceDE/>
              <w:autoSpaceDN/>
              <w:bidi w:val="0"/>
              <w:spacing w:line="360" w:lineRule="auto"/>
              <w:rPr>
                <w:rFonts w:hint="default" w:ascii="Times New Roman" w:hAnsi="Times New Roman" w:eastAsia="宋体" w:cs="Times New Roman"/>
                <w:b w:val="0"/>
                <w:bCs w:val="0"/>
                <w:sz w:val="24"/>
                <w:szCs w:val="24"/>
                <w:vertAlign w:val="baseline"/>
                <w:lang w:val="en-US" w:eastAsia="zh-CN"/>
              </w:rPr>
            </w:pPr>
          </w:p>
        </w:tc>
        <w:tc>
          <w:tcPr>
            <w:tcW w:w="136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昼</w:t>
            </w:r>
          </w:p>
        </w:tc>
        <w:tc>
          <w:tcPr>
            <w:tcW w:w="1319"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0类功能区</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1类功能区</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28</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16.8039</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79.50</w:t>
            </w:r>
            <w:r>
              <w:rPr>
                <w:rFonts w:hint="default" w:ascii="Times New Roman" w:hAnsi="Times New Roman" w:eastAsia="宋体" w:cs="Times New Roman"/>
                <w:i w:val="0"/>
                <w:color w:val="000000"/>
                <w:kern w:val="0"/>
                <w:sz w:val="24"/>
                <w:szCs w:val="24"/>
                <w:u w:val="none"/>
                <w:lang w:val="en-US" w:eastAsia="zh-CN" w:bidi="ar"/>
              </w:rPr>
              <w:t>%</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55</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2类功能区</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9</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1.1848</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5.61</w:t>
            </w:r>
            <w:r>
              <w:rPr>
                <w:rFonts w:hint="default" w:ascii="Times New Roman" w:hAnsi="Times New Roman" w:eastAsia="宋体" w:cs="Times New Roman"/>
                <w:i w:val="0"/>
                <w:color w:val="000000"/>
                <w:kern w:val="0"/>
                <w:sz w:val="24"/>
                <w:szCs w:val="24"/>
                <w:u w:val="none"/>
                <w:lang w:val="en-US" w:eastAsia="zh-CN" w:bidi="ar"/>
              </w:rPr>
              <w:t>%</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3类功能区</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2</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0.8406</w:t>
            </w:r>
            <w:r>
              <w:rPr>
                <w:rFonts w:hint="default" w:ascii="Times New Roman" w:hAnsi="Times New Roman" w:eastAsia="宋体" w:cs="Times New Roman"/>
                <w:i w:val="0"/>
                <w:color w:val="000000"/>
                <w:kern w:val="0"/>
                <w:sz w:val="24"/>
                <w:szCs w:val="24"/>
                <w:u w:val="none"/>
                <w:lang w:val="en-US" w:eastAsia="zh-CN" w:bidi="ar"/>
              </w:rPr>
              <w:t xml:space="preserve"> </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3.98</w:t>
            </w:r>
            <w:r>
              <w:rPr>
                <w:rFonts w:hint="default" w:ascii="Times New Roman" w:hAnsi="Times New Roman" w:eastAsia="宋体" w:cs="Times New Roman"/>
                <w:i w:val="0"/>
                <w:color w:val="000000"/>
                <w:kern w:val="0"/>
                <w:sz w:val="24"/>
                <w:szCs w:val="24"/>
                <w:u w:val="none"/>
                <w:lang w:val="en-US" w:eastAsia="zh-CN" w:bidi="ar"/>
              </w:rPr>
              <w:t>%</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65</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4类功能区</w:t>
            </w:r>
          </w:p>
        </w:tc>
        <w:tc>
          <w:tcPr>
            <w:tcW w:w="990"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4</w:t>
            </w:r>
            <w:r>
              <w:rPr>
                <w:rFonts w:hint="eastAsia" w:ascii="Times New Roman" w:hAnsi="Times New Roman" w:eastAsia="宋体" w:cs="Times New Roman"/>
                <w:b w:val="0"/>
                <w:bCs w:val="0"/>
                <w:sz w:val="24"/>
                <w:szCs w:val="24"/>
                <w:vertAlign w:val="baseline"/>
                <w:lang w:val="en-US" w:eastAsia="zh-CN"/>
              </w:rPr>
              <w:t>a</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2</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0.0644</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0.305</w:t>
            </w:r>
            <w:r>
              <w:rPr>
                <w:rFonts w:hint="default" w:ascii="Times New Roman" w:hAnsi="Times New Roman" w:eastAsia="宋体" w:cs="Times New Roman"/>
                <w:i w:val="0"/>
                <w:color w:val="000000"/>
                <w:kern w:val="0"/>
                <w:sz w:val="24"/>
                <w:szCs w:val="24"/>
                <w:u w:val="none"/>
                <w:lang w:val="en-US" w:eastAsia="zh-CN" w:bidi="ar"/>
              </w:rPr>
              <w:t>%</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70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990"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4b</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0.015</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0.071%</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Merge w:val="restart"/>
            <w:vAlign w:val="center"/>
          </w:tcPr>
          <w:p>
            <w:pPr>
              <w:kinsoku/>
              <w:wordWrap/>
              <w:overflowPunct/>
              <w:topLinePunct w:val="0"/>
              <w:autoSpaceDE/>
              <w:autoSpaceDN/>
              <w:bidi w:val="0"/>
              <w:spacing w:line="360" w:lineRule="auto"/>
              <w:jc w:val="center"/>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道路面</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公路36条</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2.204</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10.43%</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Merge w:val="continue"/>
            <w:vAlign w:val="center"/>
          </w:tcPr>
          <w:p>
            <w:pPr>
              <w:kinsoku/>
              <w:wordWrap/>
              <w:overflowPunct/>
              <w:topLinePunct w:val="0"/>
              <w:autoSpaceDE/>
              <w:autoSpaceDN/>
              <w:bidi w:val="0"/>
              <w:spacing w:line="360" w:lineRule="auto"/>
              <w:jc w:val="center"/>
              <w:rPr>
                <w:rFonts w:hint="eastAsia" w:ascii="Times New Roman" w:hAnsi="Times New Roman" w:eastAsia="宋体" w:cs="Times New Roman"/>
                <w:b w:val="0"/>
                <w:bCs w:val="0"/>
                <w:sz w:val="24"/>
                <w:szCs w:val="24"/>
                <w:vertAlign w:val="baseline"/>
                <w:lang w:val="en-US" w:eastAsia="zh-CN"/>
              </w:rPr>
            </w:pP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铁路1条</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0.1201</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0.568%</w:t>
            </w:r>
          </w:p>
        </w:tc>
        <w:tc>
          <w:tcPr>
            <w:tcW w:w="136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70</w:t>
            </w:r>
          </w:p>
        </w:tc>
        <w:tc>
          <w:tcPr>
            <w:tcW w:w="131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水域面</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w:t>
            </w:r>
          </w:p>
        </w:tc>
        <w:tc>
          <w:tcPr>
            <w:tcW w:w="1238"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0.7442</w:t>
            </w:r>
          </w:p>
        </w:tc>
        <w:tc>
          <w:tcPr>
            <w:tcW w:w="108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3.52%</w:t>
            </w:r>
          </w:p>
        </w:tc>
        <w:tc>
          <w:tcPr>
            <w:tcW w:w="1365" w:type="dxa"/>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val="0"/>
                <w:bCs w:val="0"/>
                <w:sz w:val="24"/>
                <w:szCs w:val="24"/>
                <w:vertAlign w:val="baseline"/>
                <w:lang w:val="en-US" w:eastAsia="zh-CN"/>
              </w:rPr>
              <w:t>——</w:t>
            </w:r>
          </w:p>
        </w:tc>
        <w:tc>
          <w:tcPr>
            <w:tcW w:w="1319" w:type="dxa"/>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2"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合计</w:t>
            </w:r>
          </w:p>
        </w:tc>
        <w:tc>
          <w:tcPr>
            <w:tcW w:w="1304"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238"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21.1364</w:t>
            </w:r>
          </w:p>
        </w:tc>
        <w:tc>
          <w:tcPr>
            <w:tcW w:w="1080"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100%</w:t>
            </w:r>
          </w:p>
        </w:tc>
        <w:tc>
          <w:tcPr>
            <w:tcW w:w="136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c>
          <w:tcPr>
            <w:tcW w:w="1319"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eastAsiaTheme="minorEastAsia"/>
          <w:b w:val="0"/>
          <w:bCs w:val="0"/>
          <w:sz w:val="28"/>
          <w:szCs w:val="28"/>
          <w:vertAlign w:val="baseline"/>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eastAsiaTheme="minorEastAsia"/>
          <w:b w:val="0"/>
          <w:bCs w:val="0"/>
          <w:sz w:val="28"/>
          <w:szCs w:val="28"/>
        </w:rPr>
        <w:t>0、1、2、3</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环境功能区划总面积</w:t>
      </w:r>
      <w:r>
        <w:rPr>
          <w:rFonts w:hint="eastAsia" w:ascii="Times New Roman" w:hAnsi="Times New Roman" w:cs="Times New Roman"/>
          <w:b w:val="0"/>
          <w:bCs w:val="0"/>
          <w:sz w:val="28"/>
          <w:szCs w:val="28"/>
          <w:lang w:val="en-US" w:eastAsia="zh-CN"/>
        </w:rPr>
        <w:t>17.99</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，其中：1</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eastAsia" w:ascii="Times New Roman" w:hAnsi="Times New Roman" w:cs="Times New Roman"/>
          <w:b w:val="0"/>
          <w:bCs w:val="0"/>
          <w:sz w:val="28"/>
          <w:szCs w:val="28"/>
          <w:lang w:val="en-US" w:eastAsia="zh-CN"/>
        </w:rPr>
        <w:t>28</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eastAsia" w:ascii="Times New Roman" w:hAnsi="Times New Roman" w:cs="Times New Roman"/>
          <w:b w:val="0"/>
          <w:bCs w:val="0"/>
          <w:sz w:val="28"/>
          <w:szCs w:val="28"/>
          <w:lang w:val="en-US" w:eastAsia="zh-CN"/>
        </w:rPr>
        <w:t>16.80</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eastAsia="zh-CN"/>
        </w:rPr>
        <w:t>总区划面积的</w:t>
      </w:r>
      <w:r>
        <w:rPr>
          <w:rFonts w:hint="eastAsia" w:ascii="Times New Roman" w:hAnsi="Times New Roman" w:cs="Times New Roman"/>
          <w:b w:val="0"/>
          <w:bCs w:val="0"/>
          <w:sz w:val="28"/>
          <w:szCs w:val="28"/>
          <w:lang w:val="en-US" w:eastAsia="zh-CN"/>
        </w:rPr>
        <w:t>79.50</w:t>
      </w:r>
      <w:r>
        <w:rPr>
          <w:rFonts w:hint="default" w:ascii="Times New Roman" w:hAnsi="Times New Roman" w:cs="Times New Roman" w:eastAsiaTheme="minorEastAsia"/>
          <w:b w:val="0"/>
          <w:bCs w:val="0"/>
          <w:sz w:val="28"/>
          <w:szCs w:val="28"/>
        </w:rPr>
        <w:t>%</w:t>
      </w:r>
      <w:r>
        <w:rPr>
          <w:rFonts w:hint="eastAsia" w:ascii="Times New Roman" w:hAnsi="Times New Roman" w:cs="Times New Roman"/>
          <w:b w:val="0"/>
          <w:bCs w:val="0"/>
          <w:sz w:val="28"/>
          <w:szCs w:val="28"/>
          <w:lang w:eastAsia="zh-CN"/>
        </w:rPr>
        <w:t>（下同）</w:t>
      </w:r>
      <w:r>
        <w:rPr>
          <w:rFonts w:hint="default" w:ascii="Times New Roman" w:hAnsi="Times New Roman" w:cs="Times New Roman" w:eastAsiaTheme="minorEastAsia"/>
          <w:b w:val="0"/>
          <w:bCs w:val="0"/>
          <w:sz w:val="28"/>
          <w:szCs w:val="28"/>
        </w:rPr>
        <w:t>；2</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w:t>
      </w:r>
      <w:r>
        <w:rPr>
          <w:rFonts w:hint="eastAsia" w:ascii="Times New Roman" w:hAnsi="Times New Roman" w:cs="Times New Roman"/>
          <w:b w:val="0"/>
          <w:bCs w:val="0"/>
          <w:sz w:val="28"/>
          <w:szCs w:val="28"/>
          <w:lang w:val="en-US" w:eastAsia="zh-CN"/>
        </w:rPr>
        <w:t>9</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eastAsia" w:ascii="Times New Roman" w:hAnsi="Times New Roman" w:cs="Times New Roman"/>
          <w:b w:val="0"/>
          <w:bCs w:val="0"/>
          <w:sz w:val="28"/>
          <w:szCs w:val="28"/>
          <w:lang w:val="en-US" w:eastAsia="zh-CN"/>
        </w:rPr>
        <w:t>1.19</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val="en-US" w:eastAsia="zh-CN"/>
        </w:rPr>
        <w:t>5.61</w:t>
      </w:r>
      <w:r>
        <w:rPr>
          <w:rFonts w:hint="default" w:ascii="Times New Roman" w:hAnsi="Times New Roman" w:cs="Times New Roman" w:eastAsiaTheme="minorEastAsia"/>
          <w:b w:val="0"/>
          <w:bCs w:val="0"/>
          <w:sz w:val="28"/>
          <w:szCs w:val="28"/>
        </w:rPr>
        <w:t>%；3</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default" w:ascii="Times New Roman" w:hAnsi="Times New Roman" w:cs="Times New Roman"/>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default" w:ascii="Times New Roman" w:hAnsi="Times New Roman" w:cs="Times New Roman"/>
          <w:b w:val="0"/>
          <w:bCs w:val="0"/>
          <w:sz w:val="28"/>
          <w:szCs w:val="28"/>
          <w:lang w:val="en-US" w:eastAsia="zh-CN"/>
        </w:rPr>
        <w:t>0.</w:t>
      </w:r>
      <w:r>
        <w:rPr>
          <w:rFonts w:hint="eastAsia" w:ascii="Times New Roman" w:hAnsi="Times New Roman" w:cs="Times New Roman"/>
          <w:b w:val="0"/>
          <w:bCs w:val="0"/>
          <w:sz w:val="28"/>
          <w:szCs w:val="28"/>
          <w:lang w:val="en-US" w:eastAsia="zh-CN"/>
        </w:rPr>
        <w:t>84</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val="en-US" w:eastAsia="zh-CN"/>
        </w:rPr>
        <w:t>3.98</w:t>
      </w:r>
      <w:r>
        <w:rPr>
          <w:rFonts w:hint="default" w:ascii="Times New Roman" w:hAnsi="Times New Roman" w:cs="Times New Roman" w:eastAsiaTheme="minorEastAsia"/>
          <w:b w:val="0"/>
          <w:bCs w:val="0"/>
          <w:sz w:val="28"/>
          <w:szCs w:val="28"/>
        </w:rPr>
        <w:t>%。4</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环境功能区包括</w:t>
      </w:r>
      <w:r>
        <w:rPr>
          <w:rFonts w:hint="eastAsia" w:ascii="Times New Roman" w:hAnsi="Times New Roman" w:cs="Times New Roman"/>
          <w:b w:val="0"/>
          <w:bCs w:val="0"/>
          <w:sz w:val="28"/>
          <w:szCs w:val="28"/>
          <w:lang w:val="en-US" w:eastAsia="zh-CN"/>
        </w:rPr>
        <w:t>2</w:t>
      </w:r>
      <w:r>
        <w:rPr>
          <w:rFonts w:hint="eastAsia" w:ascii="Times New Roman" w:hAnsi="Times New Roman" w:cs="Times New Roman"/>
          <w:b w:val="0"/>
          <w:bCs w:val="0"/>
          <w:sz w:val="28"/>
          <w:szCs w:val="28"/>
          <w:lang w:eastAsia="zh-CN"/>
        </w:rPr>
        <w:t>个</w:t>
      </w:r>
      <w:r>
        <w:rPr>
          <w:rFonts w:hint="eastAsia" w:ascii="Times New Roman" w:hAnsi="Times New Roman" w:cs="Times New Roman"/>
          <w:b w:val="0"/>
          <w:bCs w:val="0"/>
          <w:sz w:val="28"/>
          <w:szCs w:val="28"/>
          <w:lang w:val="en-US" w:eastAsia="zh-CN"/>
        </w:rPr>
        <w:t>4a</w:t>
      </w:r>
      <w:r>
        <w:rPr>
          <w:rFonts w:hint="eastAsia" w:ascii="Times New Roman" w:hAnsi="Times New Roman" w:cs="Times New Roman"/>
          <w:b w:val="0"/>
          <w:bCs w:val="0"/>
          <w:sz w:val="28"/>
          <w:szCs w:val="28"/>
          <w:lang w:eastAsia="zh-CN"/>
        </w:rPr>
        <w:t>单元面积</w:t>
      </w:r>
      <w:r>
        <w:rPr>
          <w:rFonts w:hint="eastAsia" w:ascii="Times New Roman" w:hAnsi="Times New Roman" w:cs="Times New Roman"/>
          <w:b w:val="0"/>
          <w:bCs w:val="0"/>
          <w:sz w:val="28"/>
          <w:szCs w:val="28"/>
          <w:lang w:val="en-US" w:eastAsia="zh-CN"/>
        </w:rPr>
        <w:t>0.0644km</w:t>
      </w:r>
      <w:r>
        <w:rPr>
          <w:rFonts w:hint="eastAsia" w:ascii="Times New Roman" w:hAnsi="Times New Roman" w:cs="Times New Roman"/>
          <w:b w:val="0"/>
          <w:bCs w:val="0"/>
          <w:sz w:val="28"/>
          <w:szCs w:val="28"/>
          <w:vertAlign w:val="superscript"/>
          <w:lang w:val="en-US" w:eastAsia="zh-CN"/>
        </w:rPr>
        <w:t>2</w:t>
      </w:r>
      <w:r>
        <w:rPr>
          <w:rFonts w:hint="eastAsia" w:ascii="Times New Roman" w:hAnsi="Times New Roman" w:cs="Times New Roman"/>
          <w:b w:val="0"/>
          <w:bCs w:val="0"/>
          <w:sz w:val="28"/>
          <w:szCs w:val="28"/>
          <w:vertAlign w:val="baseline"/>
          <w:lang w:val="en-US" w:eastAsia="zh-CN"/>
        </w:rPr>
        <w:t>，1个4b类单元面积0.015km</w:t>
      </w:r>
      <w:r>
        <w:rPr>
          <w:rFonts w:hint="eastAsia" w:ascii="Times New Roman" w:hAnsi="Times New Roman" w:cs="Times New Roman"/>
          <w:b w:val="0"/>
          <w:bCs w:val="0"/>
          <w:sz w:val="28"/>
          <w:szCs w:val="28"/>
          <w:vertAlign w:val="superscript"/>
          <w:lang w:val="en-US" w:eastAsia="zh-CN"/>
        </w:rPr>
        <w:t>2</w:t>
      </w:r>
      <w:r>
        <w:rPr>
          <w:rFonts w:hint="eastAsia" w:ascii="Times New Roman" w:hAnsi="Times New Roman" w:cs="Times New Roman"/>
          <w:b w:val="0"/>
          <w:bCs w:val="0"/>
          <w:sz w:val="28"/>
          <w:szCs w:val="28"/>
          <w:vertAlign w:val="baseline"/>
          <w:lang w:val="en-US" w:eastAsia="zh-CN"/>
        </w:rPr>
        <w:t>以及</w:t>
      </w:r>
      <w:r>
        <w:rPr>
          <w:rFonts w:hint="default" w:ascii="Times New Roman" w:hAnsi="Times New Roman" w:cs="Times New Roman" w:eastAsiaTheme="minorEastAsia"/>
          <w:b w:val="0"/>
          <w:bCs w:val="0"/>
          <w:sz w:val="28"/>
          <w:szCs w:val="28"/>
        </w:rPr>
        <w:t>交通干线</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特定路段两侧一定距离范围内区域</w:t>
      </w:r>
      <w:r>
        <w:rPr>
          <w:rFonts w:hint="default" w:ascii="Times New Roman" w:hAnsi="Times New Roman" w:cs="Times New Roman" w:eastAsiaTheme="minorEastAsia"/>
          <w:b w:val="0"/>
          <w:bCs w:val="0"/>
          <w:sz w:val="28"/>
          <w:szCs w:val="28"/>
          <w:lang w:val="en-US" w:eastAsia="zh-CN"/>
        </w:rPr>
        <w:t>及</w:t>
      </w:r>
      <w:r>
        <w:rPr>
          <w:rFonts w:hint="default" w:ascii="Times New Roman" w:hAnsi="Times New Roman" w:cs="Times New Roman" w:eastAsiaTheme="minorEastAsia"/>
          <w:b w:val="0"/>
          <w:bCs w:val="0"/>
          <w:sz w:val="28"/>
          <w:szCs w:val="28"/>
        </w:rPr>
        <w:t>具有一定规模的交通服务区域</w:t>
      </w:r>
      <w:r>
        <w:rPr>
          <w:rFonts w:hint="eastAsia" w:ascii="Times New Roman" w:hAnsi="Times New Roman" w:cs="Times New Roman"/>
          <w:b w:val="0"/>
          <w:bCs w:val="0"/>
          <w:sz w:val="28"/>
          <w:szCs w:val="28"/>
          <w:lang w:eastAsia="zh-CN"/>
        </w:rPr>
        <w:t>总面积</w:t>
      </w:r>
      <w:r>
        <w:rPr>
          <w:rFonts w:hint="eastAsia" w:ascii="Times New Roman" w:hAnsi="Times New Roman" w:cs="Times New Roman"/>
          <w:b w:val="0"/>
          <w:bCs w:val="0"/>
          <w:sz w:val="28"/>
          <w:szCs w:val="28"/>
          <w:lang w:val="en-US" w:eastAsia="zh-CN"/>
        </w:rPr>
        <w:t>3.083km</w:t>
      </w:r>
      <w:r>
        <w:rPr>
          <w:rFonts w:hint="eastAsia" w:ascii="Times New Roman" w:hAnsi="Times New Roman" w:cs="Times New Roman"/>
          <w:b w:val="0"/>
          <w:bCs w:val="0"/>
          <w:sz w:val="28"/>
          <w:szCs w:val="28"/>
          <w:vertAlign w:val="superscript"/>
          <w:lang w:val="en-US" w:eastAsia="zh-CN"/>
        </w:rPr>
        <w:t>2</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rPr>
        <w:t>4</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eastAsia" w:ascii="Times New Roman" w:hAnsi="Times New Roman" w:cs="Times New Roman"/>
          <w:b w:val="0"/>
          <w:bCs w:val="0"/>
          <w:sz w:val="28"/>
          <w:szCs w:val="28"/>
          <w:lang w:eastAsia="zh-CN"/>
        </w:rPr>
        <w:t>道路</w:t>
      </w:r>
      <w:r>
        <w:rPr>
          <w:rFonts w:hint="default" w:ascii="Times New Roman" w:hAnsi="Times New Roman" w:cs="Times New Roman" w:eastAsiaTheme="minorEastAsia"/>
          <w:b w:val="0"/>
          <w:bCs w:val="0"/>
          <w:sz w:val="28"/>
          <w:szCs w:val="28"/>
          <w:lang w:val="en-US" w:eastAsia="zh-CN"/>
        </w:rPr>
        <w:t>面积</w:t>
      </w:r>
      <w:r>
        <w:rPr>
          <w:rFonts w:hint="default" w:ascii="Times New Roman" w:hAnsi="Times New Roman" w:cs="Times New Roman" w:eastAsiaTheme="minorEastAsia"/>
          <w:b w:val="0"/>
          <w:bCs w:val="0"/>
          <w:sz w:val="28"/>
          <w:szCs w:val="28"/>
        </w:rPr>
        <w:t>约</w:t>
      </w:r>
      <w:r>
        <w:rPr>
          <w:rFonts w:hint="eastAsia" w:ascii="Times New Roman" w:hAnsi="Times New Roman" w:cs="Times New Roman"/>
          <w:b w:val="0"/>
          <w:bCs w:val="0"/>
          <w:sz w:val="28"/>
          <w:szCs w:val="28"/>
          <w:lang w:val="en-US" w:eastAsia="zh-CN"/>
        </w:rPr>
        <w:t>2.324</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vertAlign w:val="baseline"/>
          <w:lang w:eastAsia="zh-CN"/>
        </w:rPr>
        <w:t>。</w:t>
      </w:r>
      <w:r>
        <w:rPr>
          <w:rFonts w:hint="default" w:ascii="Times New Roman" w:hAnsi="Times New Roman" w:cs="Times New Roman" w:eastAsiaTheme="minorEastAsia"/>
          <w:b w:val="0"/>
          <w:bCs w:val="0"/>
          <w:sz w:val="28"/>
          <w:szCs w:val="28"/>
        </w:rPr>
        <w:t>交通干线</w:t>
      </w:r>
      <w:r>
        <w:rPr>
          <w:rFonts w:hint="eastAsia" w:ascii="Times New Roman" w:hAnsi="Times New Roman" w:cs="Times New Roman"/>
          <w:b w:val="0"/>
          <w:bCs w:val="0"/>
          <w:sz w:val="28"/>
          <w:szCs w:val="28"/>
          <w:lang w:val="en-US" w:eastAsia="zh-CN"/>
        </w:rPr>
        <w:t>37</w:t>
      </w:r>
      <w:r>
        <w:rPr>
          <w:rFonts w:hint="default" w:ascii="Times New Roman" w:hAnsi="Times New Roman" w:cs="Times New Roman" w:eastAsiaTheme="minorEastAsia"/>
          <w:b w:val="0"/>
          <w:bCs w:val="0"/>
          <w:sz w:val="28"/>
          <w:szCs w:val="28"/>
        </w:rPr>
        <w:t>条，包括4a类交通干线</w:t>
      </w:r>
      <w:r>
        <w:rPr>
          <w:rFonts w:hint="eastAsia" w:ascii="Times New Roman" w:hAnsi="Times New Roman" w:cs="Times New Roman"/>
          <w:b w:val="0"/>
          <w:bCs w:val="0"/>
          <w:sz w:val="28"/>
          <w:szCs w:val="28"/>
          <w:lang w:val="en-US" w:eastAsia="zh-CN"/>
        </w:rPr>
        <w:t>36</w:t>
      </w:r>
      <w:r>
        <w:rPr>
          <w:rFonts w:hint="default" w:ascii="Times New Roman" w:hAnsi="Times New Roman" w:cs="Times New Roman" w:eastAsiaTheme="minorEastAsia"/>
          <w:b w:val="0"/>
          <w:bCs w:val="0"/>
          <w:sz w:val="28"/>
          <w:szCs w:val="28"/>
        </w:rPr>
        <w:t>条（城市主干路</w:t>
      </w:r>
      <w:r>
        <w:rPr>
          <w:rFonts w:hint="default" w:ascii="Times New Roman" w:hAnsi="Times New Roman" w:cs="Times New Roman"/>
          <w:b w:val="0"/>
          <w:bCs w:val="0"/>
          <w:sz w:val="28"/>
          <w:szCs w:val="28"/>
          <w:lang w:val="en-US" w:eastAsia="zh-CN"/>
        </w:rPr>
        <w:t>1</w:t>
      </w:r>
      <w:r>
        <w:rPr>
          <w:rFonts w:hint="eastAsia" w:ascii="Times New Roman" w:hAnsi="Times New Roman" w:cs="Times New Roman"/>
          <w:b w:val="0"/>
          <w:bCs w:val="0"/>
          <w:sz w:val="28"/>
          <w:szCs w:val="28"/>
          <w:lang w:val="en-US" w:eastAsia="zh-CN"/>
        </w:rPr>
        <w:t>5</w:t>
      </w:r>
      <w:r>
        <w:rPr>
          <w:rFonts w:hint="default" w:ascii="Times New Roman" w:hAnsi="Times New Roman" w:cs="Times New Roman" w:eastAsiaTheme="minorEastAsia"/>
          <w:b w:val="0"/>
          <w:bCs w:val="0"/>
          <w:sz w:val="28"/>
          <w:szCs w:val="28"/>
        </w:rPr>
        <w:t>条</w:t>
      </w:r>
      <w:r>
        <w:rPr>
          <w:rFonts w:hint="default" w:ascii="Times New Roman" w:hAnsi="Times New Roman" w:cs="Times New Roman" w:eastAsiaTheme="minorEastAsia"/>
          <w:b w:val="0"/>
          <w:bCs w:val="0"/>
          <w:color w:val="000000" w:themeColor="text1"/>
          <w:sz w:val="28"/>
          <w:szCs w:val="28"/>
          <w14:textFill>
            <w14:solidFill>
              <w14:schemeClr w14:val="tx1"/>
            </w14:solidFill>
          </w14:textFill>
        </w:rPr>
        <w:t>、</w:t>
      </w:r>
      <w:r>
        <w:rPr>
          <w:rFonts w:hint="default" w:ascii="Times New Roman" w:hAnsi="Times New Roman" w:cs="Times New Roman" w:eastAsiaTheme="minorEastAsia"/>
          <w:b w:val="0"/>
          <w:bCs w:val="0"/>
          <w:sz w:val="28"/>
          <w:szCs w:val="28"/>
        </w:rPr>
        <w:t>城市次干路</w:t>
      </w:r>
      <w:r>
        <w:rPr>
          <w:rFonts w:hint="eastAsia" w:ascii="Times New Roman" w:hAnsi="Times New Roman" w:cs="Times New Roman"/>
          <w:b w:val="0"/>
          <w:bCs w:val="0"/>
          <w:sz w:val="28"/>
          <w:szCs w:val="28"/>
          <w:lang w:val="en-US" w:eastAsia="zh-CN"/>
        </w:rPr>
        <w:t>21</w:t>
      </w:r>
      <w:r>
        <w:rPr>
          <w:rFonts w:hint="default" w:ascii="Times New Roman" w:hAnsi="Times New Roman" w:cs="Times New Roman" w:eastAsiaTheme="minorEastAsia"/>
          <w:b w:val="0"/>
          <w:bCs w:val="0"/>
          <w:sz w:val="28"/>
          <w:szCs w:val="28"/>
        </w:rPr>
        <w:t>条），4b类交通干线</w:t>
      </w:r>
      <w:r>
        <w:rPr>
          <w:rFonts w:hint="default" w:ascii="Times New Roman" w:hAnsi="Times New Roman" w:cs="Times New Roman" w:eastAsiaTheme="minorEastAsia"/>
          <w:b w:val="0"/>
          <w:bCs w:val="0"/>
          <w:sz w:val="28"/>
          <w:szCs w:val="28"/>
          <w:lang w:val="en-US" w:eastAsia="zh-CN"/>
        </w:rPr>
        <w:t>1</w:t>
      </w:r>
      <w:r>
        <w:rPr>
          <w:rFonts w:hint="default" w:ascii="Times New Roman" w:hAnsi="Times New Roman" w:cs="Times New Roman" w:eastAsiaTheme="minorEastAsia"/>
          <w:b w:val="0"/>
          <w:bCs w:val="0"/>
          <w:sz w:val="28"/>
          <w:szCs w:val="28"/>
        </w:rPr>
        <w:t>条</w:t>
      </w:r>
      <w:r>
        <w:rPr>
          <w:rFonts w:hint="eastAsia" w:ascii="Times New Roman" w:hAnsi="Times New Roman" w:cs="Times New Roman"/>
          <w:b w:val="0"/>
          <w:bCs w:val="0"/>
          <w:sz w:val="28"/>
          <w:szCs w:val="28"/>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3" w:name="_Toc24037_WPSOffice_Level2"/>
      <w:r>
        <w:rPr>
          <w:rFonts w:hint="eastAsia" w:ascii="Times New Roman" w:hAnsi="Times New Roman" w:eastAsia="黑体" w:cs="Times New Roman"/>
          <w:b/>
          <w:bCs/>
          <w:sz w:val="28"/>
          <w:szCs w:val="28"/>
          <w:lang w:val="en-US" w:eastAsia="zh-CN"/>
        </w:rPr>
        <w:t>4.7 主城区</w:t>
      </w:r>
      <w:r>
        <w:rPr>
          <w:rFonts w:hint="default" w:ascii="Times New Roman" w:hAnsi="Times New Roman" w:eastAsia="黑体" w:cs="Times New Roman"/>
          <w:b/>
          <w:bCs/>
          <w:sz w:val="28"/>
          <w:szCs w:val="28"/>
          <w:lang w:val="en-US" w:eastAsia="zh-CN"/>
        </w:rPr>
        <w:t>与原区划对比分析</w:t>
      </w:r>
      <w:bookmarkEnd w:id="173"/>
    </w:p>
    <w:p>
      <w:pPr>
        <w:kinsoku/>
        <w:wordWrap/>
        <w:overflowPunct/>
        <w:topLinePunct w:val="0"/>
        <w:autoSpaceDE/>
        <w:autoSpaceDN/>
        <w:bidi w:val="0"/>
        <w:spacing w:line="360" w:lineRule="auto"/>
        <w:ind w:firstLine="560" w:firstLineChars="200"/>
        <w:rPr>
          <w:rFonts w:hint="default"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寻甸县</w:t>
      </w:r>
      <w:r>
        <w:rPr>
          <w:rFonts w:hint="default" w:ascii="Times New Roman" w:hAnsi="Times New Roman" w:cs="Times New Roman" w:eastAsiaTheme="minorEastAsia"/>
          <w:b w:val="0"/>
          <w:bCs w:val="0"/>
          <w:sz w:val="28"/>
          <w:szCs w:val="28"/>
          <w:lang w:val="en-US" w:eastAsia="zh-CN"/>
        </w:rPr>
        <w:t>原区划</w:t>
      </w:r>
      <w:r>
        <w:rPr>
          <w:rFonts w:hint="default" w:ascii="Times New Roman" w:hAnsi="Times New Roman" w:cs="Times New Roman"/>
          <w:b w:val="0"/>
          <w:bCs w:val="0"/>
          <w:sz w:val="28"/>
          <w:szCs w:val="28"/>
          <w:lang w:val="en-US" w:eastAsia="zh-CN"/>
        </w:rPr>
        <w:t>是对整个县进行简单声环境功能区划分，如下图所示：</w:t>
      </w:r>
    </w:p>
    <w:p>
      <w:pPr>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i w:val="0"/>
          <w:color w:val="000000"/>
          <w:kern w:val="0"/>
          <w:sz w:val="28"/>
          <w:szCs w:val="28"/>
          <w:u w:val="none"/>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b w:val="0"/>
          <w:bCs w:val="0"/>
          <w:i w:val="0"/>
          <w:color w:val="000000"/>
          <w:kern w:val="0"/>
          <w:sz w:val="28"/>
          <w:szCs w:val="28"/>
          <w:u w:val="none"/>
          <w:lang w:val="en-US" w:eastAsia="zh-CN" w:bidi="ar"/>
        </w:rPr>
        <w:drawing>
          <wp:inline distT="0" distB="0" distL="114300" distR="114300">
            <wp:extent cx="5788660" cy="4093845"/>
            <wp:effectExtent l="0" t="0" r="2540" b="1905"/>
            <wp:docPr id="2" name="图片 2" descr="附图7  声环境功能区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图7  声环境功能区划图"/>
                    <pic:cNvPicPr>
                      <a:picLocks noChangeAspect="1"/>
                    </pic:cNvPicPr>
                  </pic:nvPicPr>
                  <pic:blipFill>
                    <a:blip r:embed="rId47"/>
                    <a:stretch>
                      <a:fillRect/>
                    </a:stretch>
                  </pic:blipFill>
                  <pic:spPr>
                    <a:xfrm>
                      <a:off x="0" y="0"/>
                      <a:ext cx="5788660" cy="4093845"/>
                    </a:xfrm>
                    <a:prstGeom prst="rect">
                      <a:avLst/>
                    </a:prstGeom>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4" w:name="_Toc3279_WPSOffice_Level2"/>
      <w:r>
        <w:rPr>
          <w:rFonts w:hint="eastAsia" w:ascii="Times New Roman" w:hAnsi="Times New Roman" w:eastAsia="黑体" w:cs="Times New Roman"/>
          <w:b/>
          <w:bCs/>
          <w:sz w:val="28"/>
          <w:szCs w:val="28"/>
          <w:lang w:val="en-US" w:eastAsia="zh-CN"/>
        </w:rPr>
        <w:t>4.8 金所片区0-3</w:t>
      </w:r>
      <w:r>
        <w:rPr>
          <w:rFonts w:hint="default" w:ascii="Times New Roman" w:hAnsi="Times New Roman" w:eastAsia="黑体" w:cs="Times New Roman"/>
          <w:b/>
          <w:bCs/>
          <w:sz w:val="28"/>
          <w:szCs w:val="28"/>
          <w:lang w:val="en-US" w:eastAsia="zh-CN"/>
        </w:rPr>
        <w:t>类区划分结果</w:t>
      </w:r>
      <w:bookmarkEnd w:id="174"/>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4.8.1 </w:t>
      </w:r>
      <w:r>
        <w:rPr>
          <w:rFonts w:hint="default" w:ascii="Times New Roman" w:hAnsi="Times New Roman" w:eastAsia="宋体" w:cs="Times New Roman"/>
          <w:b/>
          <w:bCs/>
          <w:sz w:val="28"/>
          <w:szCs w:val="28"/>
          <w:lang w:val="en-US" w:eastAsia="zh-CN"/>
        </w:rPr>
        <w:t>0类区区划结果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2"/>
        <w:textAlignment w:val="auto"/>
        <w:rPr>
          <w:rFonts w:hint="default" w:ascii="Times New Roman" w:hAnsi="Times New Roman" w:cs="Times New Roman" w:eastAsiaTheme="minorEastAsia"/>
          <w:b w:val="0"/>
          <w:bCs w:val="0"/>
          <w:color w:val="auto"/>
          <w:sz w:val="28"/>
          <w:szCs w:val="28"/>
          <w:lang w:val="en-US" w:eastAsia="zh-CN"/>
        </w:rPr>
      </w:pPr>
      <w:r>
        <w:rPr>
          <w:rFonts w:hint="default" w:ascii="Times New Roman" w:hAnsi="Times New Roman" w:cs="Times New Roman" w:eastAsiaTheme="minorEastAsia"/>
          <w:b w:val="0"/>
          <w:bCs w:val="0"/>
          <w:color w:val="auto"/>
          <w:sz w:val="28"/>
          <w:szCs w:val="28"/>
        </w:rPr>
        <w:t>考虑到</w:t>
      </w:r>
      <w:r>
        <w:rPr>
          <w:rFonts w:hint="default" w:ascii="Times New Roman" w:hAnsi="Times New Roman" w:cs="Times New Roman" w:eastAsiaTheme="minorEastAsia"/>
          <w:b w:val="0"/>
          <w:bCs w:val="0"/>
          <w:color w:val="auto"/>
          <w:sz w:val="28"/>
          <w:szCs w:val="28"/>
          <w:lang w:val="en-US" w:eastAsia="zh-CN"/>
        </w:rPr>
        <w:t>寻甸回族彝族自治县</w:t>
      </w:r>
      <w:r>
        <w:rPr>
          <w:rFonts w:hint="default" w:ascii="Times New Roman" w:hAnsi="Times New Roman" w:cs="Times New Roman" w:eastAsiaTheme="minorEastAsia"/>
          <w:b w:val="0"/>
          <w:bCs w:val="0"/>
          <w:color w:val="auto"/>
          <w:sz w:val="28"/>
          <w:szCs w:val="28"/>
        </w:rPr>
        <w:t>市</w:t>
      </w:r>
      <w:r>
        <w:rPr>
          <w:rFonts w:hint="eastAsia" w:ascii="Times New Roman" w:hAnsi="Times New Roman" w:cs="Times New Roman"/>
          <w:b w:val="0"/>
          <w:bCs w:val="0"/>
          <w:color w:val="auto"/>
          <w:sz w:val="28"/>
          <w:szCs w:val="28"/>
          <w:lang w:eastAsia="zh-CN"/>
        </w:rPr>
        <w:t>金所片区</w:t>
      </w:r>
      <w:r>
        <w:rPr>
          <w:rFonts w:hint="default" w:ascii="Times New Roman" w:hAnsi="Times New Roman" w:cs="Times New Roman" w:eastAsiaTheme="minorEastAsia"/>
          <w:b w:val="0"/>
          <w:bCs w:val="0"/>
          <w:color w:val="auto"/>
          <w:sz w:val="28"/>
          <w:szCs w:val="28"/>
        </w:rPr>
        <w:t>规划无明显特别安静的疗养区、高级宾馆和别墅区，本着无此类区域的城市不要求硬性划定的原则，</w:t>
      </w:r>
      <w:r>
        <w:rPr>
          <w:rFonts w:hint="default" w:ascii="Times New Roman" w:hAnsi="Times New Roman" w:cs="Times New Roman" w:eastAsiaTheme="minorEastAsia"/>
          <w:b w:val="0"/>
          <w:bCs w:val="0"/>
          <w:color w:val="auto"/>
          <w:sz w:val="28"/>
          <w:szCs w:val="28"/>
          <w:lang w:val="en-US" w:eastAsia="zh-CN"/>
        </w:rPr>
        <w:t>不作划分。</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4.8.2 </w:t>
      </w:r>
      <w:r>
        <w:rPr>
          <w:rFonts w:hint="default" w:ascii="Times New Roman" w:hAnsi="Times New Roman" w:eastAsia="宋体" w:cs="Times New Roman"/>
          <w:b/>
          <w:bCs/>
          <w:sz w:val="28"/>
          <w:szCs w:val="28"/>
          <w:lang w:val="en-US" w:eastAsia="zh-CN"/>
        </w:rPr>
        <w:t>1类区区划结果</w:t>
      </w:r>
    </w:p>
    <w:p>
      <w:pPr>
        <w:numPr>
          <w:ilvl w:val="0"/>
          <w:numId w:val="0"/>
        </w:numPr>
        <w:tabs>
          <w:tab w:val="left" w:pos="2700"/>
          <w:tab w:val="left" w:pos="5220"/>
        </w:tabs>
        <w:kinsoku/>
        <w:wordWrap/>
        <w:overflowPunct/>
        <w:topLinePunct w:val="0"/>
        <w:autoSpaceDE/>
        <w:autoSpaceDN/>
        <w:bidi w:val="0"/>
        <w:spacing w:line="360" w:lineRule="auto"/>
        <w:ind w:leftChars="0" w:firstLine="560" w:firstLineChars="200"/>
        <w:outlineLvl w:val="9"/>
        <w:rPr>
          <w:rFonts w:hint="default" w:ascii="Times New Roman" w:hAnsi="Times New Roman" w:cs="Times New Roman"/>
          <w:b w:val="0"/>
          <w:bCs w:val="0"/>
          <w:color w:val="auto"/>
          <w:sz w:val="28"/>
          <w:szCs w:val="28"/>
          <w:vertAlign w:val="baseline"/>
          <w:lang w:eastAsia="zh-CN"/>
        </w:rPr>
      </w:pPr>
      <w:r>
        <w:rPr>
          <w:rFonts w:hint="default" w:ascii="Times New Roman" w:hAnsi="Times New Roman" w:cs="Times New Roman" w:eastAsiaTheme="minorEastAsia"/>
          <w:b w:val="0"/>
          <w:bCs w:val="0"/>
          <w:color w:val="auto"/>
          <w:sz w:val="28"/>
          <w:szCs w:val="28"/>
        </w:rPr>
        <w:t>1类区为居住、文教区。新规划适用区划分中1类区共</w:t>
      </w:r>
      <w:r>
        <w:rPr>
          <w:rFonts w:hint="eastAsia" w:ascii="Times New Roman" w:hAnsi="Times New Roman" w:cs="Times New Roman"/>
          <w:b w:val="0"/>
          <w:bCs w:val="0"/>
          <w:color w:val="auto"/>
          <w:sz w:val="28"/>
          <w:szCs w:val="28"/>
          <w:lang w:val="en-US" w:eastAsia="zh-CN"/>
        </w:rPr>
        <w:t>3</w:t>
      </w:r>
      <w:r>
        <w:rPr>
          <w:rFonts w:hint="default" w:ascii="Times New Roman" w:hAnsi="Times New Roman" w:cs="Times New Roman" w:eastAsiaTheme="minorEastAsia"/>
          <w:b w:val="0"/>
          <w:bCs w:val="0"/>
          <w:color w:val="auto"/>
          <w:sz w:val="28"/>
          <w:szCs w:val="28"/>
        </w:rPr>
        <w:t>个单元</w:t>
      </w:r>
      <w:r>
        <w:rPr>
          <w:rFonts w:hint="eastAsia" w:ascii="Times New Roman" w:hAnsi="Times New Roman" w:cs="Times New Roman"/>
          <w:b w:val="0"/>
          <w:bCs w:val="0"/>
          <w:color w:val="auto"/>
          <w:sz w:val="28"/>
          <w:szCs w:val="28"/>
          <w:lang w:eastAsia="zh-CN"/>
        </w:rPr>
        <w:t>，</w:t>
      </w:r>
      <w:r>
        <w:rPr>
          <w:rFonts w:hint="default" w:ascii="Times New Roman" w:hAnsi="Times New Roman" w:cs="Times New Roman" w:eastAsiaTheme="minorEastAsia"/>
          <w:b w:val="0"/>
          <w:bCs w:val="0"/>
          <w:color w:val="auto"/>
          <w:sz w:val="28"/>
          <w:szCs w:val="28"/>
        </w:rPr>
        <w:t>区划面积</w:t>
      </w:r>
      <w:r>
        <w:rPr>
          <w:rFonts w:hint="eastAsia" w:ascii="Times New Roman" w:hAnsi="Times New Roman" w:cs="Times New Roman"/>
          <w:b w:val="0"/>
          <w:bCs w:val="0"/>
          <w:color w:val="auto"/>
          <w:sz w:val="28"/>
          <w:szCs w:val="28"/>
          <w:lang w:val="en-US" w:eastAsia="zh-CN"/>
        </w:rPr>
        <w:t>2.46</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b w:val="0"/>
          <w:bCs w:val="0"/>
          <w:color w:val="auto"/>
          <w:sz w:val="28"/>
          <w:szCs w:val="28"/>
          <w:vertAlign w:val="baseline"/>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表4.8-1 1类区区划单元结果</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26"/>
        <w:gridCol w:w="2518"/>
        <w:gridCol w:w="3114"/>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4" w:hRule="atLeast"/>
          <w:jc w:val="center"/>
        </w:trPr>
        <w:tc>
          <w:tcPr>
            <w:tcW w:w="926" w:type="dxa"/>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251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编号</w:t>
            </w:r>
          </w:p>
        </w:tc>
        <w:tc>
          <w:tcPr>
            <w:tcW w:w="311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面积</w:t>
            </w:r>
            <w:r>
              <w:rPr>
                <w:rFonts w:hint="eastAsia" w:ascii="Times New Roman" w:hAnsi="Times New Roman" w:eastAsia="宋体" w:cs="Times New Roman"/>
                <w:i w:val="0"/>
                <w:color w:val="000000"/>
                <w:kern w:val="0"/>
                <w:sz w:val="24"/>
                <w:szCs w:val="24"/>
                <w:u w:val="none"/>
                <w:lang w:val="en-US" w:eastAsia="zh-CN" w:bidi="ar"/>
              </w:rPr>
              <w:t>/km</w:t>
            </w:r>
            <w:r>
              <w:rPr>
                <w:rFonts w:hint="eastAsia"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2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251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JS-101-04</w:t>
            </w:r>
          </w:p>
        </w:tc>
        <w:tc>
          <w:tcPr>
            <w:tcW w:w="311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村庄建设区</w:t>
            </w:r>
          </w:p>
        </w:tc>
        <w:tc>
          <w:tcPr>
            <w:tcW w:w="2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0.964253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2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251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JS-102-05</w:t>
            </w:r>
          </w:p>
        </w:tc>
        <w:tc>
          <w:tcPr>
            <w:tcW w:w="311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绿色景观</w:t>
            </w:r>
          </w:p>
        </w:tc>
        <w:tc>
          <w:tcPr>
            <w:tcW w:w="2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0.899061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92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251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JS-103-11</w:t>
            </w:r>
          </w:p>
        </w:tc>
        <w:tc>
          <w:tcPr>
            <w:tcW w:w="3114"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防护绿地</w:t>
            </w:r>
          </w:p>
        </w:tc>
        <w:tc>
          <w:tcPr>
            <w:tcW w:w="2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0.596789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6558"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合计</w:t>
            </w:r>
          </w:p>
        </w:tc>
        <w:tc>
          <w:tcPr>
            <w:tcW w:w="251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2.46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4.8.3 2</w:t>
      </w:r>
      <w:r>
        <w:rPr>
          <w:rFonts w:hint="default" w:ascii="Times New Roman" w:hAnsi="Times New Roman" w:eastAsia="宋体" w:cs="Times New Roman"/>
          <w:b/>
          <w:bCs/>
          <w:sz w:val="28"/>
          <w:szCs w:val="28"/>
          <w:lang w:val="en-US" w:eastAsia="zh-CN"/>
        </w:rPr>
        <w:t>类区区划结果</w:t>
      </w:r>
    </w:p>
    <w:p>
      <w:pPr>
        <w:keepNext w:val="0"/>
        <w:keepLines w:val="0"/>
        <w:pageBreakBefore w:val="0"/>
        <w:widowControl w:val="0"/>
        <w:tabs>
          <w:tab w:val="left" w:pos="2700"/>
          <w:tab w:val="left" w:pos="5220"/>
        </w:tabs>
        <w:kinsoku/>
        <w:wordWrap/>
        <w:overflowPunct/>
        <w:topLinePunct w:val="0"/>
        <w:autoSpaceDE/>
        <w:autoSpaceDN/>
        <w:bidi w:val="0"/>
        <w:adjustRightInd/>
        <w:snapToGrid/>
        <w:spacing w:line="240" w:lineRule="auto"/>
        <w:ind w:firstLine="482"/>
        <w:textAlignment w:val="auto"/>
        <w:rPr>
          <w:rFonts w:hint="default" w:ascii="Times New Roman" w:hAnsi="Times New Roman" w:cs="Times New Roman" w:eastAsiaTheme="minorEastAsia"/>
          <w:b w:val="0"/>
          <w:bCs w:val="0"/>
          <w:color w:val="auto"/>
          <w:sz w:val="28"/>
          <w:szCs w:val="28"/>
        </w:rPr>
      </w:pPr>
      <w:r>
        <w:rPr>
          <w:rFonts w:hint="default" w:ascii="Times New Roman" w:hAnsi="Times New Roman" w:cs="Times New Roman" w:eastAsiaTheme="minorEastAsia"/>
          <w:b w:val="0"/>
          <w:bCs w:val="0"/>
          <w:color w:val="auto"/>
          <w:sz w:val="28"/>
          <w:szCs w:val="28"/>
        </w:rPr>
        <w:t>2</w:t>
      </w:r>
      <w:r>
        <w:rPr>
          <w:rFonts w:hint="default" w:ascii="Times New Roman" w:hAnsi="Times New Roman" w:cs="Times New Roman" w:eastAsiaTheme="minorEastAsia"/>
          <w:b w:val="0"/>
          <w:bCs w:val="0"/>
          <w:color w:val="auto"/>
          <w:sz w:val="28"/>
          <w:szCs w:val="28"/>
          <w:highlight w:val="none"/>
        </w:rPr>
        <w:t>类区为</w:t>
      </w:r>
      <w:r>
        <w:rPr>
          <w:rFonts w:hint="default" w:ascii="Times New Roman" w:hAnsi="Times New Roman" w:cs="Times New Roman" w:eastAsiaTheme="minorEastAsia"/>
          <w:b w:val="0"/>
          <w:bCs w:val="0"/>
          <w:color w:val="auto"/>
          <w:sz w:val="28"/>
          <w:szCs w:val="28"/>
        </w:rPr>
        <w:t>居住、商业、工业混杂区。适用区划分中2类区共</w:t>
      </w:r>
      <w:r>
        <w:rPr>
          <w:rFonts w:hint="eastAsia" w:ascii="Times New Roman" w:hAnsi="Times New Roman" w:cs="Times New Roman"/>
          <w:b w:val="0"/>
          <w:bCs w:val="0"/>
          <w:color w:val="auto"/>
          <w:sz w:val="28"/>
          <w:szCs w:val="28"/>
          <w:lang w:val="en-US" w:eastAsia="zh-CN"/>
        </w:rPr>
        <w:t>1</w:t>
      </w:r>
      <w:r>
        <w:rPr>
          <w:rFonts w:hint="default" w:ascii="Times New Roman" w:hAnsi="Times New Roman" w:cs="Times New Roman" w:eastAsiaTheme="minorEastAsia"/>
          <w:b w:val="0"/>
          <w:bCs w:val="0"/>
          <w:color w:val="auto"/>
          <w:sz w:val="28"/>
          <w:szCs w:val="28"/>
        </w:rPr>
        <w:t>个单元，区划面积</w:t>
      </w:r>
      <w:r>
        <w:rPr>
          <w:rFonts w:hint="eastAsia" w:ascii="Times New Roman" w:hAnsi="Times New Roman" w:cs="Times New Roman"/>
          <w:b w:val="0"/>
          <w:bCs w:val="0"/>
          <w:color w:val="auto"/>
          <w:sz w:val="28"/>
          <w:szCs w:val="28"/>
          <w:lang w:val="en-US" w:eastAsia="zh-CN"/>
        </w:rPr>
        <w:t>0.86</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表4.8-2 2类区区划单元结果</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65"/>
        <w:gridCol w:w="2523"/>
        <w:gridCol w:w="309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165" w:type="dxa"/>
            <w:shd w:val="clear" w:color="auto" w:fill="auto"/>
            <w:noWrap/>
            <w:tcMar>
              <w:top w:w="15" w:type="dxa"/>
              <w:left w:w="15" w:type="dxa"/>
              <w:right w:w="15" w:type="dxa"/>
            </w:tcMar>
            <w:vAlign w:val="center"/>
          </w:tcPr>
          <w:p>
            <w:pPr>
              <w:keepNext w:val="0"/>
              <w:keepLines w:val="0"/>
              <w:widowControl/>
              <w:suppressLineNumbers w:val="0"/>
              <w:tabs>
                <w:tab w:val="center" w:pos="567"/>
                <w:tab w:val="right" w:pos="1255"/>
              </w:tabs>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52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编号</w:t>
            </w:r>
          </w:p>
        </w:tc>
        <w:tc>
          <w:tcPr>
            <w:tcW w:w="30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名称</w:t>
            </w:r>
          </w:p>
        </w:tc>
        <w:tc>
          <w:tcPr>
            <w:tcW w:w="277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vertAlign w:val="superscript"/>
                <w:lang w:val="en-US" w:eastAsia="zh-CN" w:bidi="ar"/>
              </w:rPr>
            </w:pPr>
            <w:r>
              <w:rPr>
                <w:rFonts w:hint="eastAsia" w:ascii="宋体" w:hAnsi="宋体" w:eastAsia="宋体" w:cs="宋体"/>
                <w:i w:val="0"/>
                <w:color w:val="000000"/>
                <w:kern w:val="0"/>
                <w:sz w:val="24"/>
                <w:szCs w:val="24"/>
                <w:u w:val="none"/>
                <w:lang w:val="en-US" w:eastAsia="zh-CN" w:bidi="ar"/>
              </w:rPr>
              <w:t>面积/km</w:t>
            </w:r>
            <w:r>
              <w:rPr>
                <w:rFonts w:hint="eastAsia" w:ascii="宋体" w:hAnsi="宋体" w:eastAsia="宋体" w:cs="宋体"/>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165" w:type="dxa"/>
            <w:shd w:val="clear" w:color="auto" w:fill="auto"/>
            <w:noWrap/>
            <w:tcMar>
              <w:top w:w="15" w:type="dxa"/>
              <w:left w:w="15" w:type="dxa"/>
              <w:right w:w="15" w:type="dxa"/>
            </w:tcMar>
            <w:vAlign w:val="center"/>
          </w:tcPr>
          <w:p>
            <w:pPr>
              <w:keepNext w:val="0"/>
              <w:keepLines w:val="0"/>
              <w:widowControl/>
              <w:suppressLineNumbers w:val="0"/>
              <w:tabs>
                <w:tab w:val="center" w:pos="567"/>
                <w:tab w:val="right" w:pos="1255"/>
              </w:tabs>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201</w:t>
            </w:r>
          </w:p>
        </w:tc>
        <w:tc>
          <w:tcPr>
            <w:tcW w:w="252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JS-201-10</w:t>
            </w:r>
          </w:p>
        </w:tc>
        <w:tc>
          <w:tcPr>
            <w:tcW w:w="30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金锁综合服务区</w:t>
            </w:r>
          </w:p>
        </w:tc>
        <w:tc>
          <w:tcPr>
            <w:tcW w:w="277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0.855424</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4.8.4 </w:t>
      </w:r>
      <w:r>
        <w:rPr>
          <w:rFonts w:hint="default" w:ascii="Times New Roman" w:hAnsi="Times New Roman" w:eastAsia="宋体" w:cs="Times New Roman"/>
          <w:b/>
          <w:bCs/>
          <w:sz w:val="28"/>
          <w:szCs w:val="28"/>
          <w:lang w:val="en-US" w:eastAsia="zh-CN"/>
        </w:rPr>
        <w:t>3类区区划结果</w:t>
      </w:r>
    </w:p>
    <w:p>
      <w:pPr>
        <w:tabs>
          <w:tab w:val="left" w:pos="2700"/>
          <w:tab w:val="left" w:pos="5220"/>
        </w:tabs>
        <w:kinsoku/>
        <w:wordWrap/>
        <w:overflowPunct/>
        <w:topLinePunct w:val="0"/>
        <w:autoSpaceDE/>
        <w:autoSpaceDN/>
        <w:bidi w:val="0"/>
        <w:spacing w:line="360" w:lineRule="auto"/>
        <w:ind w:firstLine="560" w:firstLineChars="200"/>
        <w:rPr>
          <w:rFonts w:hint="default" w:ascii="Times New Roman" w:hAnsi="Times New Roman" w:cs="Times New Roman" w:eastAsiaTheme="minorEastAsia"/>
          <w:b w:val="0"/>
          <w:bCs w:val="0"/>
          <w:color w:val="auto"/>
          <w:sz w:val="28"/>
          <w:szCs w:val="28"/>
          <w:lang w:eastAsia="zh-CN"/>
        </w:rPr>
      </w:pPr>
      <w:r>
        <w:rPr>
          <w:rFonts w:hint="default" w:ascii="Times New Roman" w:hAnsi="Times New Roman" w:cs="Times New Roman" w:eastAsiaTheme="minorEastAsia"/>
          <w:b w:val="0"/>
          <w:bCs w:val="0"/>
          <w:color w:val="auto"/>
          <w:sz w:val="28"/>
          <w:szCs w:val="28"/>
        </w:rPr>
        <w:t>3</w:t>
      </w:r>
      <w:r>
        <w:rPr>
          <w:rFonts w:hint="default" w:ascii="Times New Roman" w:hAnsi="Times New Roman" w:cs="Times New Roman" w:eastAsiaTheme="minorEastAsia"/>
          <w:b w:val="0"/>
          <w:bCs w:val="0"/>
          <w:color w:val="auto"/>
          <w:sz w:val="28"/>
          <w:szCs w:val="28"/>
          <w:highlight w:val="none"/>
        </w:rPr>
        <w:t>类区为</w:t>
      </w:r>
      <w:r>
        <w:rPr>
          <w:rFonts w:hint="default" w:ascii="Times New Roman" w:hAnsi="Times New Roman" w:cs="Times New Roman" w:eastAsiaTheme="minorEastAsia"/>
          <w:b w:val="0"/>
          <w:bCs w:val="0"/>
          <w:color w:val="auto"/>
          <w:sz w:val="28"/>
          <w:szCs w:val="28"/>
        </w:rPr>
        <w:t>工业区。适用区划分中</w:t>
      </w:r>
      <w:r>
        <w:rPr>
          <w:rFonts w:hint="eastAsia" w:ascii="Times New Roman" w:hAnsi="Times New Roman" w:cs="Times New Roman"/>
          <w:b w:val="0"/>
          <w:bCs w:val="0"/>
          <w:color w:val="auto"/>
          <w:sz w:val="28"/>
          <w:szCs w:val="28"/>
          <w:lang w:val="en-US" w:eastAsia="zh-CN"/>
        </w:rPr>
        <w:t>7</w:t>
      </w:r>
      <w:r>
        <w:rPr>
          <w:rFonts w:hint="default" w:ascii="Times New Roman" w:hAnsi="Times New Roman" w:cs="Times New Roman" w:eastAsiaTheme="minorEastAsia"/>
          <w:b w:val="0"/>
          <w:bCs w:val="0"/>
          <w:color w:val="auto"/>
          <w:sz w:val="28"/>
          <w:szCs w:val="28"/>
        </w:rPr>
        <w:t>个单元</w:t>
      </w:r>
      <w:r>
        <w:rPr>
          <w:rFonts w:hint="eastAsia" w:ascii="Times New Roman" w:hAnsi="Times New Roman" w:cs="Times New Roman"/>
          <w:b w:val="0"/>
          <w:bCs w:val="0"/>
          <w:color w:val="auto"/>
          <w:sz w:val="28"/>
          <w:szCs w:val="28"/>
          <w:lang w:val="en-US" w:eastAsia="zh-CN"/>
        </w:rPr>
        <w:t>，区</w:t>
      </w:r>
      <w:r>
        <w:rPr>
          <w:rFonts w:hint="default" w:ascii="Times New Roman" w:hAnsi="Times New Roman" w:cs="Times New Roman" w:eastAsiaTheme="minorEastAsia"/>
          <w:b w:val="0"/>
          <w:bCs w:val="0"/>
          <w:color w:val="auto"/>
          <w:sz w:val="28"/>
          <w:szCs w:val="28"/>
        </w:rPr>
        <w:t>划面积</w:t>
      </w:r>
      <w:r>
        <w:rPr>
          <w:rFonts w:hint="default" w:ascii="Times New Roman" w:hAnsi="Times New Roman" w:cs="Times New Roman"/>
          <w:b w:val="0"/>
          <w:bCs w:val="0"/>
          <w:color w:val="auto"/>
          <w:sz w:val="28"/>
          <w:szCs w:val="28"/>
          <w:lang w:val="en-US" w:eastAsia="zh-CN"/>
        </w:rPr>
        <w:t>0.</w:t>
      </w:r>
      <w:r>
        <w:rPr>
          <w:rFonts w:hint="eastAsia" w:ascii="Times New Roman" w:hAnsi="Times New Roman" w:cs="Times New Roman"/>
          <w:b w:val="0"/>
          <w:bCs w:val="0"/>
          <w:color w:val="auto"/>
          <w:sz w:val="28"/>
          <w:szCs w:val="28"/>
          <w:lang w:val="en-US" w:eastAsia="zh-CN"/>
        </w:rPr>
        <w:t>84</w:t>
      </w:r>
      <w:r>
        <w:rPr>
          <w:rFonts w:hint="default" w:ascii="Times New Roman" w:hAnsi="Times New Roman" w:cs="Times New Roman" w:eastAsiaTheme="minorEastAsia"/>
          <w:b w:val="0"/>
          <w:bCs w:val="0"/>
          <w:color w:val="auto"/>
          <w:sz w:val="28"/>
          <w:szCs w:val="28"/>
        </w:rPr>
        <w:t>km</w:t>
      </w:r>
      <w:r>
        <w:rPr>
          <w:rFonts w:hint="default" w:ascii="Times New Roman" w:hAnsi="Times New Roman" w:cs="Times New Roman" w:eastAsiaTheme="minorEastAsia"/>
          <w:b w:val="0"/>
          <w:bCs w:val="0"/>
          <w:color w:val="auto"/>
          <w:sz w:val="28"/>
          <w:szCs w:val="28"/>
          <w:vertAlign w:val="superscript"/>
        </w:rPr>
        <w:t>2</w:t>
      </w:r>
      <w:r>
        <w:rPr>
          <w:rFonts w:hint="default" w:ascii="Times New Roman" w:hAnsi="Times New Roman" w:cs="Times New Roman" w:eastAsiaTheme="minorEastAsia"/>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表4.8-3 3类区区划单元结果</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95"/>
        <w:gridCol w:w="3131"/>
        <w:gridCol w:w="296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序号</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编号</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vertAlign w:val="superscript"/>
                <w:lang w:val="en-US"/>
              </w:rPr>
            </w:pPr>
            <w:r>
              <w:rPr>
                <w:rFonts w:hint="eastAsia" w:ascii="宋体" w:hAnsi="宋体" w:eastAsia="宋体" w:cs="宋体"/>
                <w:i w:val="0"/>
                <w:color w:val="000000"/>
                <w:kern w:val="0"/>
                <w:sz w:val="24"/>
                <w:szCs w:val="24"/>
                <w:u w:val="none"/>
                <w:lang w:val="en-US" w:eastAsia="zh-CN" w:bidi="ar"/>
              </w:rPr>
              <w:t>面积/km</w:t>
            </w:r>
            <w:r>
              <w:rPr>
                <w:rFonts w:hint="eastAsia" w:ascii="宋体" w:hAnsi="宋体" w:eastAsia="宋体" w:cs="宋体"/>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301</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JS-301-01</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新型建材产业区1</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302</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JS-302-02</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新型建材产业区1</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0.794692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303</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JS-303-03</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盛飞胶囊片区</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0.397893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304</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JS-304-06</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龙蟒集团</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305</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JS-305-07</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污水处理厂片区</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0.913739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306</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JS-306-08</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规划工业扩充区</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307</w:t>
            </w:r>
          </w:p>
        </w:tc>
        <w:tc>
          <w:tcPr>
            <w:tcW w:w="313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JS-307-09</w:t>
            </w:r>
          </w:p>
        </w:tc>
        <w:tc>
          <w:tcPr>
            <w:tcW w:w="29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南磷集团</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0.376905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92"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6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6.203918</w:t>
            </w:r>
          </w:p>
        </w:tc>
      </w:tr>
    </w:tbl>
    <w:p>
      <w:pPr>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175" w:name="_Toc13901_WPSOffice_Level2"/>
      <w:r>
        <w:rPr>
          <w:rFonts w:hint="eastAsia" w:ascii="Times New Roman" w:hAnsi="Times New Roman" w:eastAsia="黑体" w:cs="Times New Roman"/>
          <w:b/>
          <w:bCs/>
          <w:sz w:val="28"/>
          <w:szCs w:val="28"/>
          <w:lang w:val="en-US" w:eastAsia="zh-CN"/>
        </w:rPr>
        <w:t>4.9 金所片区4</w:t>
      </w:r>
      <w:r>
        <w:rPr>
          <w:rFonts w:hint="default" w:ascii="Times New Roman" w:hAnsi="Times New Roman" w:eastAsia="黑体" w:cs="Times New Roman"/>
          <w:b/>
          <w:bCs/>
          <w:sz w:val="28"/>
          <w:szCs w:val="28"/>
          <w:lang w:val="en-US" w:eastAsia="zh-CN"/>
        </w:rPr>
        <w:t>类区划分结果</w:t>
      </w:r>
      <w:bookmarkEnd w:id="175"/>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表4.</w:t>
      </w:r>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-1 4a类声环境功能区的</w:t>
      </w:r>
      <w:r>
        <w:rPr>
          <w:rFonts w:hint="eastAsia" w:ascii="Times New Roman" w:hAnsi="Times New Roman" w:eastAsia="宋体" w:cs="Times New Roman"/>
          <w:b/>
          <w:bCs/>
          <w:sz w:val="24"/>
          <w:szCs w:val="24"/>
          <w:lang w:val="en-US" w:eastAsia="zh-CN"/>
        </w:rPr>
        <w:t>城市道路</w:t>
      </w:r>
    </w:p>
    <w:tbl>
      <w:tblPr>
        <w:tblStyle w:val="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05"/>
        <w:gridCol w:w="2156"/>
        <w:gridCol w:w="1341"/>
        <w:gridCol w:w="1341"/>
        <w:gridCol w:w="1485"/>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tblHeader/>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序号</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道路名称</w:t>
            </w: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eastAsia="zh-CN"/>
              </w:rPr>
            </w:pPr>
            <w:r>
              <w:rPr>
                <w:rFonts w:hint="eastAsia" w:ascii="Times New Roman" w:hAnsi="Times New Roman" w:eastAsia="宋体" w:cs="Times New Roman"/>
                <w:i w:val="0"/>
                <w:color w:val="000000"/>
                <w:sz w:val="24"/>
                <w:szCs w:val="24"/>
                <w:u w:val="none"/>
                <w:lang w:eastAsia="zh-CN"/>
              </w:rPr>
              <w:t>道路等级</w:t>
            </w: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道路编号</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eastAsia="zh-CN"/>
              </w:rPr>
              <w:t>长度</w:t>
            </w:r>
            <w:r>
              <w:rPr>
                <w:rFonts w:hint="default" w:ascii="Times New Roman" w:hAnsi="Times New Roman" w:eastAsia="宋体" w:cs="Times New Roman"/>
                <w:i w:val="0"/>
                <w:color w:val="000000"/>
                <w:sz w:val="24"/>
                <w:szCs w:val="24"/>
                <w:u w:val="none"/>
                <w:lang w:val="en-US" w:eastAsia="zh-CN"/>
              </w:rPr>
              <w:t>/km</w:t>
            </w:r>
          </w:p>
        </w:tc>
        <w:tc>
          <w:tcPr>
            <w:tcW w:w="1359"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vertAlign w:val="superscript"/>
                <w:lang w:val="en-US" w:eastAsia="zh-CN"/>
              </w:rPr>
            </w:pPr>
            <w:r>
              <w:rPr>
                <w:rFonts w:hint="default" w:ascii="Times New Roman" w:hAnsi="Times New Roman" w:eastAsia="宋体" w:cs="Times New Roman"/>
                <w:i w:val="0"/>
                <w:color w:val="000000"/>
                <w:sz w:val="24"/>
                <w:szCs w:val="24"/>
                <w:u w:val="none"/>
                <w:lang w:eastAsia="zh-CN"/>
              </w:rPr>
              <w:t>面积</w:t>
            </w:r>
            <w:r>
              <w:rPr>
                <w:rFonts w:hint="default" w:ascii="Times New Roman" w:hAnsi="Times New Roman" w:eastAsia="宋体" w:cs="Times New Roman"/>
                <w:i w:val="0"/>
                <w:color w:val="000000"/>
                <w:sz w:val="24"/>
                <w:szCs w:val="24"/>
                <w:u w:val="none"/>
                <w:lang w:val="en-US" w:eastAsia="zh-CN"/>
              </w:rPr>
              <w:t>/km</w:t>
            </w:r>
            <w:r>
              <w:rPr>
                <w:rFonts w:hint="default" w:ascii="Times New Roman" w:hAnsi="Times New Roman" w:eastAsia="宋体" w:cs="Times New Roman"/>
                <w:i w:val="0"/>
                <w:color w:val="000000"/>
                <w:sz w:val="24"/>
                <w:szCs w:val="24"/>
                <w:u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渝昆高速</w:t>
            </w:r>
          </w:p>
        </w:tc>
        <w:tc>
          <w:tcPr>
            <w:tcW w:w="1341"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高速路</w:t>
            </w: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JS-GS-01</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4.516661</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0.117241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G213</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JS-GS-02</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4.451887</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0.106886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金锁中线#号路</w:t>
            </w:r>
          </w:p>
        </w:tc>
        <w:tc>
          <w:tcPr>
            <w:tcW w:w="1341"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快速路</w:t>
            </w: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JS-A1-03</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5.160557</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0.214682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A77县道</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JS-A2-04</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3.765321</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0.132037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规划#1号路</w:t>
            </w:r>
          </w:p>
        </w:tc>
        <w:tc>
          <w:tcPr>
            <w:tcW w:w="1341"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次干路</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JS-B1-05</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4.518911</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0.103924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JS-B2-06</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1.177623</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JS-B3-07</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1.291928</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0.034786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JS-B4-08</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1.817709</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规划#2号路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JS-B5-09</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1.501183</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0.025236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规划#3号路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JS-B6-010</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1.381174</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0.037135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Fonts w:hint="eastAsia" w:ascii="Times New Roman" w:hAnsi="Times New Roman" w:eastAsia="宋体" w:cs="Times New Roman"/>
                <w:i w:val="0"/>
                <w:color w:val="000000"/>
                <w:kern w:val="0"/>
                <w:sz w:val="24"/>
                <w:szCs w:val="24"/>
                <w:u w:val="none"/>
                <w:lang w:val="en-US" w:eastAsia="zh-CN" w:bidi="ar"/>
              </w:rPr>
              <w:t>5</w:t>
            </w:r>
            <w:r>
              <w:rPr>
                <w:rFonts w:hint="default" w:ascii="Times New Roman" w:hAnsi="Times New Roman" w:eastAsia="宋体" w:cs="Times New Roman"/>
                <w:i w:val="0"/>
                <w:color w:val="000000"/>
                <w:kern w:val="0"/>
                <w:sz w:val="24"/>
                <w:szCs w:val="24"/>
                <w:u w:val="none"/>
                <w:lang w:val="en-US" w:eastAsia="zh-CN" w:bidi="ar"/>
              </w:rPr>
              <w:t>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JS-B7-011</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1.72701</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0.049718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034X</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w:t>
            </w:r>
            <w:r>
              <w:rPr>
                <w:rFonts w:hint="eastAsia" w:ascii="Times New Roman" w:hAnsi="Times New Roman" w:eastAsia="宋体" w:cs="Times New Roman"/>
                <w:i w:val="0"/>
                <w:color w:val="000000"/>
                <w:kern w:val="0"/>
                <w:sz w:val="24"/>
                <w:szCs w:val="24"/>
                <w:u w:val="none"/>
                <w:lang w:val="en-US" w:eastAsia="zh-CN" w:bidi="ar"/>
              </w:rPr>
              <w:t>8</w:t>
            </w:r>
            <w:r>
              <w:rPr>
                <w:rFonts w:hint="default" w:ascii="Times New Roman" w:hAnsi="Times New Roman" w:eastAsia="宋体" w:cs="Times New Roman"/>
                <w:i w:val="0"/>
                <w:color w:val="000000"/>
                <w:kern w:val="0"/>
                <w:sz w:val="24"/>
                <w:szCs w:val="24"/>
                <w:u w:val="none"/>
                <w:lang w:val="en-US" w:eastAsia="zh-CN" w:bidi="ar"/>
              </w:rPr>
              <w:t>-12</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1.574008</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0.035738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规划#4号路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JS-B2-09</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1.030159</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30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156"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#4号路</w:t>
            </w:r>
          </w:p>
        </w:tc>
        <w:tc>
          <w:tcPr>
            <w:tcW w:w="13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p>
        </w:tc>
        <w:tc>
          <w:tcPr>
            <w:tcW w:w="13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JS-C2-09</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1.242038</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0.020387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143" w:type="dxa"/>
            <w:gridSpan w:val="4"/>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合计</w:t>
            </w:r>
          </w:p>
        </w:tc>
        <w:tc>
          <w:tcPr>
            <w:tcW w:w="148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r>
              <w:rPr>
                <w:rFonts w:hint="eastAsia" w:ascii="Times New Roman" w:hAnsi="Times New Roman" w:eastAsia="宋体" w:cs="Times New Roman"/>
                <w:i w:val="0"/>
                <w:color w:val="000000"/>
                <w:kern w:val="0"/>
                <w:sz w:val="24"/>
                <w:szCs w:val="24"/>
                <w:u w:val="none"/>
                <w:lang w:val="en-US" w:eastAsia="zh-CN" w:bidi="ar"/>
              </w:rPr>
              <w:t>6</w:t>
            </w:r>
          </w:p>
        </w:tc>
        <w:tc>
          <w:tcPr>
            <w:tcW w:w="13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0.974</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6" w:name="_Toc31892_WPSOffice_Level2"/>
      <w:r>
        <w:rPr>
          <w:rFonts w:hint="eastAsia" w:ascii="Times New Roman" w:hAnsi="Times New Roman" w:eastAsia="黑体" w:cs="Times New Roman"/>
          <w:b/>
          <w:bCs/>
          <w:sz w:val="28"/>
          <w:szCs w:val="28"/>
          <w:lang w:val="en-US" w:eastAsia="zh-CN"/>
        </w:rPr>
        <w:t xml:space="preserve">4.10 </w:t>
      </w:r>
      <w:r>
        <w:rPr>
          <w:rFonts w:hint="eastAsia" w:ascii="Times New Roman" w:hAnsi="Times New Roman" w:cs="Times New Roman"/>
          <w:b/>
          <w:bCs/>
          <w:sz w:val="28"/>
          <w:szCs w:val="28"/>
          <w:lang w:val="en-US" w:eastAsia="zh-CN"/>
        </w:rPr>
        <w:t>金所片区</w:t>
      </w:r>
      <w:r>
        <w:rPr>
          <w:rFonts w:hint="default" w:ascii="Times New Roman" w:hAnsi="Times New Roman" w:eastAsia="黑体" w:cs="Times New Roman"/>
          <w:b/>
          <w:bCs/>
          <w:sz w:val="28"/>
          <w:szCs w:val="28"/>
          <w:lang w:val="en-US" w:eastAsia="zh-CN"/>
        </w:rPr>
        <w:t>区划结果汇总</w:t>
      </w:r>
      <w:bookmarkEnd w:id="176"/>
    </w:p>
    <w:p>
      <w:pPr>
        <w:numPr>
          <w:ilvl w:val="0"/>
          <w:numId w:val="0"/>
        </w:numPr>
        <w:kinsoku/>
        <w:wordWrap/>
        <w:overflowPunct/>
        <w:topLinePunct w:val="0"/>
        <w:autoSpaceDE/>
        <w:autoSpaceDN/>
        <w:bidi w:val="0"/>
        <w:spacing w:line="360" w:lineRule="auto"/>
        <w:outlineLvl w:val="2"/>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1）</w:t>
      </w:r>
      <w:r>
        <w:rPr>
          <w:rFonts w:hint="default" w:ascii="Times New Roman" w:hAnsi="Times New Roman" w:cs="Times New Roman" w:eastAsiaTheme="minorEastAsia"/>
          <w:b w:val="0"/>
          <w:bCs w:val="0"/>
          <w:sz w:val="28"/>
          <w:szCs w:val="28"/>
          <w:lang w:val="en-US" w:eastAsia="zh-CN"/>
        </w:rPr>
        <w:t>4</w:t>
      </w:r>
      <w:r>
        <w:rPr>
          <w:rFonts w:hint="eastAsia" w:ascii="Times New Roman" w:hAnsi="Times New Roman" w:cs="Times New Roman"/>
          <w:b w:val="0"/>
          <w:bCs w:val="0"/>
          <w:sz w:val="28"/>
          <w:szCs w:val="28"/>
          <w:lang w:val="en-US" w:eastAsia="zh-CN"/>
        </w:rPr>
        <w:t>a</w:t>
      </w:r>
      <w:r>
        <w:rPr>
          <w:rFonts w:hint="default" w:ascii="Times New Roman" w:hAnsi="Times New Roman" w:cs="Times New Roman" w:eastAsiaTheme="minorEastAsia"/>
          <w:b w:val="0"/>
          <w:bCs w:val="0"/>
          <w:sz w:val="28"/>
          <w:szCs w:val="28"/>
          <w:lang w:val="en-US" w:eastAsia="zh-CN"/>
        </w:rPr>
        <w:t>类功能区交通干线统计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表4.10-1 4类功能区交通干线统计表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23"/>
        <w:gridCol w:w="1506"/>
        <w:gridCol w:w="1507"/>
        <w:gridCol w:w="3278"/>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atLeast"/>
          <w:jc w:val="center"/>
        </w:trPr>
        <w:tc>
          <w:tcPr>
            <w:tcW w:w="112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类别</w:t>
            </w:r>
          </w:p>
        </w:tc>
        <w:tc>
          <w:tcPr>
            <w:tcW w:w="15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数量(条)</w:t>
            </w:r>
          </w:p>
        </w:tc>
        <w:tc>
          <w:tcPr>
            <w:tcW w:w="15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里程</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km</w:t>
            </w:r>
          </w:p>
        </w:tc>
        <w:tc>
          <w:tcPr>
            <w:tcW w:w="327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道路平均宽度</w:t>
            </w:r>
            <w:r>
              <w:rPr>
                <w:rFonts w:hint="eastAsia"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km</w:t>
            </w:r>
          </w:p>
        </w:tc>
        <w:tc>
          <w:tcPr>
            <w:tcW w:w="165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道路</w:t>
            </w:r>
            <w:r>
              <w:rPr>
                <w:rFonts w:hint="eastAsia" w:ascii="Times New Roman" w:hAnsi="Times New Roman" w:eastAsia="宋体" w:cs="Times New Roman"/>
                <w:i w:val="0"/>
                <w:color w:val="000000"/>
                <w:kern w:val="0"/>
                <w:sz w:val="24"/>
                <w:szCs w:val="24"/>
                <w:u w:val="none"/>
                <w:lang w:val="en-US" w:eastAsia="zh-CN" w:bidi="ar"/>
              </w:rPr>
              <w:t>面积/</w:t>
            </w:r>
            <w:r>
              <w:rPr>
                <w:rFonts w:hint="default" w:ascii="Times New Roman" w:hAnsi="Times New Roman" w:eastAsia="宋体" w:cs="Times New Roman"/>
                <w:i w:val="0"/>
                <w:color w:val="000000"/>
                <w:kern w:val="0"/>
                <w:sz w:val="24"/>
                <w:szCs w:val="24"/>
                <w:u w:val="none"/>
                <w:lang w:val="en-US" w:eastAsia="zh-CN" w:bidi="ar"/>
              </w:rPr>
              <w:t>km</w:t>
            </w:r>
            <w:r>
              <w:rPr>
                <w:rFonts w:hint="default" w:ascii="Times New Roman" w:hAnsi="Times New Roman" w:eastAsia="宋体" w:cs="Times New Roman"/>
                <w:i w:val="0"/>
                <w:color w:val="000000"/>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2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高</w:t>
            </w:r>
            <w:r>
              <w:rPr>
                <w:rFonts w:hint="default" w:ascii="Times New Roman" w:hAnsi="Times New Roman" w:eastAsia="宋体" w:cs="Times New Roman"/>
                <w:i w:val="0"/>
                <w:color w:val="000000"/>
                <w:kern w:val="0"/>
                <w:sz w:val="24"/>
                <w:szCs w:val="24"/>
                <w:u w:val="none"/>
                <w:lang w:val="en-US" w:eastAsia="zh-CN" w:bidi="ar"/>
              </w:rPr>
              <w:t>速</w:t>
            </w:r>
            <w:r>
              <w:rPr>
                <w:rFonts w:hint="eastAsia" w:ascii="Times New Roman" w:hAnsi="Times New Roman" w:eastAsia="宋体" w:cs="Times New Roman"/>
                <w:i w:val="0"/>
                <w:color w:val="000000"/>
                <w:kern w:val="0"/>
                <w:sz w:val="24"/>
                <w:szCs w:val="24"/>
                <w:u w:val="none"/>
                <w:lang w:val="en-US" w:eastAsia="zh-CN" w:bidi="ar"/>
              </w:rPr>
              <w:t>路</w:t>
            </w:r>
          </w:p>
        </w:tc>
        <w:tc>
          <w:tcPr>
            <w:tcW w:w="15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5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8.97</w:t>
            </w:r>
          </w:p>
        </w:tc>
        <w:tc>
          <w:tcPr>
            <w:tcW w:w="327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0.020 </w:t>
            </w:r>
          </w:p>
        </w:tc>
        <w:tc>
          <w:tcPr>
            <w:tcW w:w="165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2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主干道</w:t>
            </w:r>
          </w:p>
        </w:tc>
        <w:tc>
          <w:tcPr>
            <w:tcW w:w="15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2</w:t>
            </w:r>
          </w:p>
        </w:tc>
        <w:tc>
          <w:tcPr>
            <w:tcW w:w="15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8.93</w:t>
            </w:r>
          </w:p>
        </w:tc>
        <w:tc>
          <w:tcPr>
            <w:tcW w:w="327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0.016 </w:t>
            </w:r>
          </w:p>
        </w:tc>
        <w:tc>
          <w:tcPr>
            <w:tcW w:w="165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2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次干道</w:t>
            </w:r>
          </w:p>
        </w:tc>
        <w:tc>
          <w:tcPr>
            <w:tcW w:w="15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10</w:t>
            </w:r>
          </w:p>
        </w:tc>
        <w:tc>
          <w:tcPr>
            <w:tcW w:w="15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17.26</w:t>
            </w:r>
          </w:p>
        </w:tc>
        <w:tc>
          <w:tcPr>
            <w:tcW w:w="327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0.025 </w:t>
            </w:r>
          </w:p>
        </w:tc>
        <w:tc>
          <w:tcPr>
            <w:tcW w:w="165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123"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合计</w:t>
            </w:r>
          </w:p>
        </w:tc>
        <w:tc>
          <w:tcPr>
            <w:tcW w:w="1506"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14</w:t>
            </w:r>
          </w:p>
        </w:tc>
        <w:tc>
          <w:tcPr>
            <w:tcW w:w="150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35.16</w:t>
            </w:r>
          </w:p>
        </w:tc>
        <w:tc>
          <w:tcPr>
            <w:tcW w:w="3278"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657" w:type="dxa"/>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0.974</w:t>
            </w:r>
          </w:p>
        </w:tc>
      </w:tr>
    </w:tbl>
    <w:p>
      <w:pPr>
        <w:numPr>
          <w:ilvl w:val="0"/>
          <w:numId w:val="0"/>
        </w:numPr>
        <w:kinsoku/>
        <w:wordWrap/>
        <w:overflowPunct/>
        <w:topLinePunct w:val="0"/>
        <w:autoSpaceDE/>
        <w:autoSpaceDN/>
        <w:bidi w:val="0"/>
        <w:spacing w:line="360" w:lineRule="auto"/>
        <w:outlineLvl w:val="2"/>
        <w:rPr>
          <w:rFonts w:hint="default" w:ascii="Times New Roman" w:hAnsi="Times New Roman" w:cs="Times New Roman" w:eastAsiaTheme="minorEastAsia"/>
          <w:b w:val="0"/>
          <w:bCs w:val="0"/>
          <w:sz w:val="28"/>
          <w:szCs w:val="28"/>
          <w:lang w:val="en-US" w:eastAsia="zh-CN"/>
        </w:rPr>
      </w:pPr>
      <w:r>
        <w:rPr>
          <w:rFonts w:hint="eastAsia" w:ascii="Times New Roman" w:hAnsi="Times New Roman" w:cs="Times New Roman"/>
          <w:b w:val="0"/>
          <w:bCs w:val="0"/>
          <w:sz w:val="28"/>
          <w:szCs w:val="28"/>
          <w:lang w:val="en-US" w:eastAsia="zh-CN"/>
        </w:rPr>
        <w:t>2）</w:t>
      </w:r>
      <w:r>
        <w:rPr>
          <w:rFonts w:hint="default" w:ascii="Times New Roman" w:hAnsi="Times New Roman" w:cs="Times New Roman" w:eastAsiaTheme="minorEastAsia"/>
          <w:b w:val="0"/>
          <w:bCs w:val="0"/>
          <w:sz w:val="28"/>
          <w:szCs w:val="28"/>
          <w:lang w:val="en-US" w:eastAsia="zh-CN"/>
        </w:rPr>
        <w:t>声环境功能区区划成果汇总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表4.10-2 0-4类声环境功能区统计表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2055"/>
        <w:gridCol w:w="1395"/>
        <w:gridCol w:w="1860"/>
        <w:gridCol w:w="130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类别</w:t>
            </w:r>
          </w:p>
        </w:tc>
        <w:tc>
          <w:tcPr>
            <w:tcW w:w="2055"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单元数量</w:t>
            </w:r>
          </w:p>
        </w:tc>
        <w:tc>
          <w:tcPr>
            <w:tcW w:w="1395"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 xml:space="preserve">面积/km </w:t>
            </w:r>
            <w:r>
              <w:rPr>
                <w:rFonts w:hint="default" w:ascii="Times New Roman" w:hAnsi="Times New Roman" w:eastAsia="宋体" w:cs="Times New Roman"/>
                <w:b w:val="0"/>
                <w:bCs w:val="0"/>
                <w:sz w:val="24"/>
                <w:szCs w:val="24"/>
                <w:vertAlign w:val="superscript"/>
                <w:lang w:val="en-US" w:eastAsia="zh-CN"/>
              </w:rPr>
              <w:t>2</w:t>
            </w:r>
          </w:p>
        </w:tc>
        <w:tc>
          <w:tcPr>
            <w:tcW w:w="1860" w:type="dxa"/>
            <w:vMerge w:val="restart"/>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比例%</w:t>
            </w:r>
          </w:p>
        </w:tc>
        <w:tc>
          <w:tcPr>
            <w:tcW w:w="2603" w:type="dxa"/>
            <w:gridSpan w:val="2"/>
            <w:vAlign w:val="center"/>
          </w:tcPr>
          <w:p>
            <w:pPr>
              <w:kinsoku/>
              <w:wordWrap/>
              <w:overflowPunct/>
              <w:topLinePunct w:val="0"/>
              <w:autoSpaceDE/>
              <w:autoSpaceDN/>
              <w:bidi w:val="0"/>
              <w:spacing w:line="360" w:lineRule="auto"/>
              <w:jc w:val="both"/>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执行标准L</w:t>
            </w:r>
            <w:r>
              <w:rPr>
                <w:rFonts w:hint="default" w:ascii="Times New Roman" w:hAnsi="Times New Roman" w:eastAsia="宋体" w:cs="Times New Roman"/>
                <w:b w:val="0"/>
                <w:bCs w:val="0"/>
                <w:sz w:val="24"/>
                <w:szCs w:val="24"/>
                <w:vertAlign w:val="subscript"/>
                <w:lang w:val="en-US" w:eastAsia="zh-CN"/>
              </w:rPr>
              <w:t>Aep</w:t>
            </w:r>
            <w:r>
              <w:rPr>
                <w:rFonts w:hint="default" w:ascii="Times New Roman" w:hAnsi="Times New Roman" w:eastAsia="宋体" w:cs="Times New Roman"/>
                <w:b w:val="0"/>
                <w:bCs w:val="0"/>
                <w:sz w:val="24"/>
                <w:szCs w:val="24"/>
                <w:vertAlign w:val="baseli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Merge w:val="continue"/>
            <w:vAlign w:val="center"/>
          </w:tcPr>
          <w:p>
            <w:pPr>
              <w:kinsoku/>
              <w:wordWrap/>
              <w:overflowPunct/>
              <w:topLinePunct w:val="0"/>
              <w:autoSpaceDE/>
              <w:autoSpaceDN/>
              <w:bidi w:val="0"/>
              <w:spacing w:line="360" w:lineRule="auto"/>
              <w:rPr>
                <w:rFonts w:hint="default" w:ascii="Times New Roman" w:hAnsi="Times New Roman" w:eastAsia="宋体" w:cs="Times New Roman"/>
                <w:b w:val="0"/>
                <w:bCs w:val="0"/>
                <w:sz w:val="24"/>
                <w:szCs w:val="24"/>
                <w:vertAlign w:val="baseline"/>
                <w:lang w:val="en-US" w:eastAsia="zh-CN"/>
              </w:rPr>
            </w:pPr>
          </w:p>
        </w:tc>
        <w:tc>
          <w:tcPr>
            <w:tcW w:w="2055" w:type="dxa"/>
            <w:vMerge w:val="continue"/>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395" w:type="dxa"/>
            <w:vMerge w:val="continue"/>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860" w:type="dxa"/>
            <w:vMerge w:val="continue"/>
            <w:vAlign w:val="center"/>
          </w:tcPr>
          <w:p>
            <w:pPr>
              <w:kinsoku/>
              <w:wordWrap/>
              <w:overflowPunct/>
              <w:topLinePunct w:val="0"/>
              <w:autoSpaceDE/>
              <w:autoSpaceDN/>
              <w:bidi w:val="0"/>
              <w:spacing w:line="360" w:lineRule="auto"/>
              <w:rPr>
                <w:rFonts w:hint="default" w:ascii="Times New Roman" w:hAnsi="Times New Roman" w:eastAsia="宋体" w:cs="Times New Roman"/>
                <w:b w:val="0"/>
                <w:bCs w:val="0"/>
                <w:sz w:val="24"/>
                <w:szCs w:val="24"/>
                <w:vertAlign w:val="baseline"/>
                <w:lang w:val="en-US" w:eastAsia="zh-CN"/>
              </w:rPr>
            </w:pPr>
          </w:p>
        </w:tc>
        <w:tc>
          <w:tcPr>
            <w:tcW w:w="1304"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昼</w:t>
            </w:r>
          </w:p>
        </w:tc>
        <w:tc>
          <w:tcPr>
            <w:tcW w:w="1299"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0类功能区</w:t>
            </w:r>
          </w:p>
        </w:tc>
        <w:tc>
          <w:tcPr>
            <w:tcW w:w="20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39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0</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50</w:t>
            </w:r>
          </w:p>
        </w:tc>
        <w:tc>
          <w:tcPr>
            <w:tcW w:w="129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1类功能区</w:t>
            </w:r>
          </w:p>
        </w:tc>
        <w:tc>
          <w:tcPr>
            <w:tcW w:w="20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3</w:t>
            </w:r>
          </w:p>
        </w:tc>
        <w:tc>
          <w:tcPr>
            <w:tcW w:w="139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2.46</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23.23</w:t>
            </w:r>
            <w:r>
              <w:rPr>
                <w:rFonts w:hint="default" w:ascii="Times New Roman" w:hAnsi="Times New Roman" w:eastAsia="宋体" w:cs="Times New Roman"/>
                <w:i w:val="0"/>
                <w:color w:val="000000"/>
                <w:kern w:val="0"/>
                <w:sz w:val="24"/>
                <w:szCs w:val="24"/>
                <w:u w:val="none"/>
                <w:lang w:val="en-US" w:eastAsia="zh-CN" w:bidi="ar"/>
              </w:rPr>
              <w:t>%</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55</w:t>
            </w:r>
          </w:p>
        </w:tc>
        <w:tc>
          <w:tcPr>
            <w:tcW w:w="129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2类功能区</w:t>
            </w:r>
          </w:p>
        </w:tc>
        <w:tc>
          <w:tcPr>
            <w:tcW w:w="20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1</w:t>
            </w:r>
          </w:p>
        </w:tc>
        <w:tc>
          <w:tcPr>
            <w:tcW w:w="139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0.855</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8.07</w:t>
            </w:r>
            <w:r>
              <w:rPr>
                <w:rFonts w:hint="default" w:ascii="Times New Roman" w:hAnsi="Times New Roman" w:eastAsia="宋体" w:cs="Times New Roman"/>
                <w:i w:val="0"/>
                <w:color w:val="000000"/>
                <w:kern w:val="0"/>
                <w:sz w:val="24"/>
                <w:szCs w:val="24"/>
                <w:u w:val="none"/>
                <w:lang w:val="en-US" w:eastAsia="zh-CN" w:bidi="ar"/>
              </w:rPr>
              <w:t>%</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60</w:t>
            </w:r>
          </w:p>
        </w:tc>
        <w:tc>
          <w:tcPr>
            <w:tcW w:w="129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3类功能区</w:t>
            </w:r>
          </w:p>
        </w:tc>
        <w:tc>
          <w:tcPr>
            <w:tcW w:w="205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7</w:t>
            </w:r>
          </w:p>
        </w:tc>
        <w:tc>
          <w:tcPr>
            <w:tcW w:w="1395"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6.204</w:t>
            </w:r>
            <w:r>
              <w:rPr>
                <w:rFonts w:hint="default" w:ascii="Times New Roman" w:hAnsi="Times New Roman" w:eastAsia="宋体" w:cs="Times New Roman"/>
                <w:i w:val="0"/>
                <w:color w:val="000000"/>
                <w:kern w:val="0"/>
                <w:sz w:val="24"/>
                <w:szCs w:val="24"/>
                <w:u w:val="none"/>
                <w:lang w:val="en-US" w:eastAsia="zh-CN" w:bidi="ar"/>
              </w:rPr>
              <w:t xml:space="preserve"> </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i w:val="0"/>
                <w:color w:val="000000"/>
                <w:kern w:val="0"/>
                <w:sz w:val="24"/>
                <w:szCs w:val="24"/>
                <w:u w:val="none"/>
                <w:lang w:val="en-US" w:eastAsia="zh-CN" w:bidi="ar"/>
              </w:rPr>
              <w:t>58.58</w:t>
            </w:r>
            <w:r>
              <w:rPr>
                <w:rFonts w:hint="default" w:ascii="Times New Roman" w:hAnsi="Times New Roman" w:eastAsia="宋体" w:cs="Times New Roman"/>
                <w:i w:val="0"/>
                <w:color w:val="000000"/>
                <w:kern w:val="0"/>
                <w:sz w:val="24"/>
                <w:szCs w:val="24"/>
                <w:u w:val="none"/>
                <w:lang w:val="en-US" w:eastAsia="zh-CN" w:bidi="ar"/>
              </w:rPr>
              <w:t>%</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65</w:t>
            </w:r>
          </w:p>
        </w:tc>
        <w:tc>
          <w:tcPr>
            <w:tcW w:w="1299"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4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道路面</w:t>
            </w:r>
          </w:p>
        </w:tc>
        <w:tc>
          <w:tcPr>
            <w:tcW w:w="205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公路14条+</w:t>
            </w:r>
          </w:p>
        </w:tc>
        <w:tc>
          <w:tcPr>
            <w:tcW w:w="139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1.073</w:t>
            </w:r>
          </w:p>
        </w:tc>
        <w:tc>
          <w:tcPr>
            <w:tcW w:w="18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10.13%</w:t>
            </w:r>
          </w:p>
        </w:tc>
        <w:tc>
          <w:tcPr>
            <w:tcW w:w="1304"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70</w:t>
            </w:r>
          </w:p>
        </w:tc>
        <w:tc>
          <w:tcPr>
            <w:tcW w:w="129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00" w:type="dxa"/>
            <w:gridSpan w:val="2"/>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合计</w:t>
            </w:r>
          </w:p>
        </w:tc>
        <w:tc>
          <w:tcPr>
            <w:tcW w:w="1395"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10.59</w:t>
            </w:r>
          </w:p>
        </w:tc>
        <w:tc>
          <w:tcPr>
            <w:tcW w:w="1860"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100%</w:t>
            </w:r>
          </w:p>
        </w:tc>
        <w:tc>
          <w:tcPr>
            <w:tcW w:w="1304"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c>
          <w:tcPr>
            <w:tcW w:w="1299" w:type="dxa"/>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560" w:firstLineChars="200"/>
        <w:textAlignment w:val="auto"/>
        <w:rPr>
          <w:rFonts w:hint="default" w:ascii="Times New Roman" w:hAnsi="Times New Roman" w:cs="Times New Roman" w:eastAsiaTheme="minorEastAsia"/>
          <w:b w:val="0"/>
          <w:bCs w:val="0"/>
          <w:sz w:val="28"/>
          <w:szCs w:val="28"/>
          <w:vertAlign w:val="baseline"/>
          <w:lang w:eastAsia="zh-CN"/>
        </w:rPr>
      </w:pPr>
      <w:r>
        <w:rPr>
          <w:rFonts w:hint="default" w:ascii="Times New Roman" w:hAnsi="Times New Roman" w:cs="Times New Roman" w:eastAsiaTheme="minorEastAsia"/>
          <w:b w:val="0"/>
          <w:bCs w:val="0"/>
          <w:sz w:val="28"/>
          <w:szCs w:val="28"/>
        </w:rPr>
        <w:t>0、1、2、3</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环境功能区划总面积</w:t>
      </w:r>
      <w:r>
        <w:rPr>
          <w:rFonts w:hint="default" w:ascii="Times New Roman" w:hAnsi="Times New Roman" w:cs="Times New Roman"/>
          <w:b w:val="0"/>
          <w:bCs w:val="0"/>
          <w:sz w:val="28"/>
          <w:szCs w:val="28"/>
          <w:lang w:val="en-US" w:eastAsia="zh-CN"/>
        </w:rPr>
        <w:t>6.123</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，其中：1</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eastAsia" w:ascii="Times New Roman" w:hAnsi="Times New Roman" w:cs="Times New Roman"/>
          <w:b w:val="0"/>
          <w:bCs w:val="0"/>
          <w:sz w:val="28"/>
          <w:szCs w:val="28"/>
          <w:lang w:val="en-US" w:eastAsia="zh-CN"/>
        </w:rPr>
        <w:t>3</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eastAsia" w:ascii="Times New Roman" w:hAnsi="Times New Roman" w:cs="Times New Roman"/>
          <w:b w:val="0"/>
          <w:bCs w:val="0"/>
          <w:sz w:val="28"/>
          <w:szCs w:val="28"/>
          <w:lang w:val="en-US" w:eastAsia="zh-CN"/>
        </w:rPr>
        <w:t>2.46</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val="en-US" w:eastAsia="zh-CN"/>
        </w:rPr>
        <w:t>23.23</w:t>
      </w:r>
      <w:r>
        <w:rPr>
          <w:rFonts w:hint="default" w:ascii="Times New Roman" w:hAnsi="Times New Roman" w:cs="Times New Roman" w:eastAsiaTheme="minorEastAsia"/>
          <w:b w:val="0"/>
          <w:bCs w:val="0"/>
          <w:sz w:val="28"/>
          <w:szCs w:val="28"/>
        </w:rPr>
        <w:t>%；2</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w:t>
      </w:r>
      <w:r>
        <w:rPr>
          <w:rFonts w:hint="eastAsia" w:ascii="Times New Roman" w:hAnsi="Times New Roman" w:cs="Times New Roman"/>
          <w:b w:val="0"/>
          <w:bCs w:val="0"/>
          <w:sz w:val="28"/>
          <w:szCs w:val="28"/>
          <w:lang w:eastAsia="zh-CN"/>
        </w:rPr>
        <w:t>能区</w:t>
      </w:r>
      <w:r>
        <w:rPr>
          <w:rFonts w:hint="eastAsia" w:ascii="Times New Roman" w:hAnsi="Times New Roman" w:cs="Times New Roman"/>
          <w:b w:val="0"/>
          <w:bCs w:val="0"/>
          <w:sz w:val="28"/>
          <w:szCs w:val="28"/>
          <w:lang w:val="en-US" w:eastAsia="zh-CN"/>
        </w:rPr>
        <w:t>1</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eastAsia" w:ascii="Times New Roman" w:hAnsi="Times New Roman" w:cs="Times New Roman"/>
          <w:b w:val="0"/>
          <w:bCs w:val="0"/>
          <w:sz w:val="28"/>
          <w:szCs w:val="28"/>
          <w:lang w:val="en-US" w:eastAsia="zh-CN"/>
        </w:rPr>
        <w:t>0.855</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val="en-US" w:eastAsia="zh-CN"/>
        </w:rPr>
        <w:t>8.07</w:t>
      </w:r>
      <w:r>
        <w:rPr>
          <w:rFonts w:hint="default" w:ascii="Times New Roman" w:hAnsi="Times New Roman" w:cs="Times New Roman" w:eastAsiaTheme="minorEastAsia"/>
          <w:b w:val="0"/>
          <w:bCs w:val="0"/>
          <w:sz w:val="28"/>
          <w:szCs w:val="28"/>
        </w:rPr>
        <w:t>%；3</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eastAsia" w:ascii="Times New Roman" w:hAnsi="Times New Roman" w:cs="Times New Roman"/>
          <w:b w:val="0"/>
          <w:bCs w:val="0"/>
          <w:sz w:val="28"/>
          <w:szCs w:val="28"/>
          <w:lang w:val="en-US" w:eastAsia="zh-CN"/>
        </w:rPr>
        <w:t>7</w:t>
      </w:r>
      <w:r>
        <w:rPr>
          <w:rFonts w:hint="default" w:ascii="Times New Roman" w:hAnsi="Times New Roman" w:cs="Times New Roman" w:eastAsiaTheme="minorEastAsia"/>
          <w:b w:val="0"/>
          <w:bCs w:val="0"/>
          <w:sz w:val="28"/>
          <w:szCs w:val="28"/>
          <w:lang w:val="en-US" w:eastAsia="zh-CN"/>
        </w:rPr>
        <w:t>个</w:t>
      </w:r>
      <w:r>
        <w:rPr>
          <w:rFonts w:hint="eastAsia" w:ascii="Times New Roman" w:hAnsi="Times New Roman" w:cs="Times New Roman"/>
          <w:b w:val="0"/>
          <w:bCs w:val="0"/>
          <w:sz w:val="28"/>
          <w:szCs w:val="28"/>
          <w:lang w:val="en-US" w:eastAsia="zh-CN"/>
        </w:rPr>
        <w:t>单元</w:t>
      </w:r>
      <w:r>
        <w:rPr>
          <w:rFonts w:hint="default" w:ascii="Times New Roman" w:hAnsi="Times New Roman" w:cs="Times New Roman" w:eastAsiaTheme="minorEastAsia"/>
          <w:b w:val="0"/>
          <w:bCs w:val="0"/>
          <w:sz w:val="28"/>
          <w:szCs w:val="28"/>
        </w:rPr>
        <w:t>面积</w:t>
      </w:r>
      <w:r>
        <w:rPr>
          <w:rFonts w:hint="eastAsia" w:ascii="Times New Roman" w:hAnsi="Times New Roman" w:cs="Times New Roman"/>
          <w:b w:val="0"/>
          <w:bCs w:val="0"/>
          <w:sz w:val="28"/>
          <w:szCs w:val="28"/>
          <w:lang w:val="en-US" w:eastAsia="zh-CN"/>
        </w:rPr>
        <w:t>6.204</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rPr>
        <w:t>，占</w:t>
      </w:r>
      <w:r>
        <w:rPr>
          <w:rFonts w:hint="eastAsia" w:ascii="Times New Roman" w:hAnsi="Times New Roman" w:cs="Times New Roman"/>
          <w:b w:val="0"/>
          <w:bCs w:val="0"/>
          <w:sz w:val="28"/>
          <w:szCs w:val="28"/>
          <w:lang w:val="en-US" w:eastAsia="zh-CN"/>
        </w:rPr>
        <w:t>58.58</w:t>
      </w:r>
      <w:r>
        <w:rPr>
          <w:rFonts w:hint="default" w:ascii="Times New Roman" w:hAnsi="Times New Roman" w:cs="Times New Roman" w:eastAsiaTheme="minorEastAsia"/>
          <w:b w:val="0"/>
          <w:bCs w:val="0"/>
          <w:sz w:val="28"/>
          <w:szCs w:val="28"/>
        </w:rPr>
        <w:t>%。4</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环境功能区包括交通干线</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特定路段两侧一定距离范围内区域</w:t>
      </w:r>
      <w:r>
        <w:rPr>
          <w:rFonts w:hint="default" w:ascii="Times New Roman" w:hAnsi="Times New Roman" w:cs="Times New Roman" w:eastAsiaTheme="minorEastAsia"/>
          <w:b w:val="0"/>
          <w:bCs w:val="0"/>
          <w:sz w:val="28"/>
          <w:szCs w:val="28"/>
          <w:lang w:val="en-US" w:eastAsia="zh-CN"/>
        </w:rPr>
        <w:t>及</w:t>
      </w:r>
      <w:r>
        <w:rPr>
          <w:rFonts w:hint="default" w:ascii="Times New Roman" w:hAnsi="Times New Roman" w:cs="Times New Roman" w:eastAsiaTheme="minorEastAsia"/>
          <w:b w:val="0"/>
          <w:bCs w:val="0"/>
          <w:sz w:val="28"/>
          <w:szCs w:val="28"/>
        </w:rPr>
        <w:t>具有一定规模的交通服务区域</w:t>
      </w:r>
      <w:r>
        <w:rPr>
          <w:rFonts w:hint="default" w:ascii="Times New Roman" w:hAnsi="Times New Roman" w:cs="Times New Roman" w:eastAsiaTheme="minorEastAsia"/>
          <w:b w:val="0"/>
          <w:bCs w:val="0"/>
          <w:sz w:val="28"/>
          <w:szCs w:val="28"/>
          <w:lang w:eastAsia="zh-CN"/>
        </w:rPr>
        <w:t>，</w:t>
      </w:r>
      <w:r>
        <w:rPr>
          <w:rFonts w:hint="default" w:ascii="Times New Roman" w:hAnsi="Times New Roman" w:cs="Times New Roman" w:eastAsiaTheme="minorEastAsia"/>
          <w:b w:val="0"/>
          <w:bCs w:val="0"/>
          <w:sz w:val="28"/>
          <w:szCs w:val="28"/>
        </w:rPr>
        <w:t>4</w:t>
      </w:r>
      <w:r>
        <w:rPr>
          <w:rFonts w:hint="default" w:ascii="Times New Roman" w:hAnsi="Times New Roman" w:cs="Times New Roman" w:eastAsiaTheme="minorEastAsia"/>
          <w:b w:val="0"/>
          <w:bCs w:val="0"/>
          <w:sz w:val="28"/>
          <w:szCs w:val="28"/>
          <w:highlight w:val="none"/>
        </w:rPr>
        <w:t>类声</w:t>
      </w:r>
      <w:r>
        <w:rPr>
          <w:rFonts w:hint="default" w:ascii="Times New Roman" w:hAnsi="Times New Roman" w:cs="Times New Roman" w:eastAsiaTheme="minorEastAsia"/>
          <w:b w:val="0"/>
          <w:bCs w:val="0"/>
          <w:sz w:val="28"/>
          <w:szCs w:val="28"/>
        </w:rPr>
        <w:t>环境功能区</w:t>
      </w:r>
      <w:r>
        <w:rPr>
          <w:rFonts w:hint="eastAsia" w:ascii="Times New Roman" w:hAnsi="Times New Roman" w:cs="Times New Roman"/>
          <w:b w:val="0"/>
          <w:bCs w:val="0"/>
          <w:sz w:val="28"/>
          <w:szCs w:val="28"/>
          <w:lang w:eastAsia="zh-CN"/>
        </w:rPr>
        <w:t>道路</w:t>
      </w:r>
      <w:r>
        <w:rPr>
          <w:rFonts w:hint="default" w:ascii="Times New Roman" w:hAnsi="Times New Roman" w:cs="Times New Roman" w:eastAsiaTheme="minorEastAsia"/>
          <w:b w:val="0"/>
          <w:bCs w:val="0"/>
          <w:sz w:val="28"/>
          <w:szCs w:val="28"/>
          <w:lang w:val="en-US" w:eastAsia="zh-CN"/>
        </w:rPr>
        <w:t>面积</w:t>
      </w:r>
      <w:r>
        <w:rPr>
          <w:rFonts w:hint="default" w:ascii="Times New Roman" w:hAnsi="Times New Roman" w:cs="Times New Roman" w:eastAsiaTheme="minorEastAsia"/>
          <w:b w:val="0"/>
          <w:bCs w:val="0"/>
          <w:sz w:val="28"/>
          <w:szCs w:val="28"/>
        </w:rPr>
        <w:t>约</w:t>
      </w:r>
      <w:r>
        <w:rPr>
          <w:rFonts w:hint="default" w:ascii="Times New Roman" w:hAnsi="Times New Roman" w:cs="Times New Roman"/>
          <w:b w:val="0"/>
          <w:bCs w:val="0"/>
          <w:sz w:val="28"/>
          <w:szCs w:val="28"/>
          <w:lang w:val="en-US" w:eastAsia="zh-CN"/>
        </w:rPr>
        <w:t>1.0</w:t>
      </w:r>
      <w:r>
        <w:rPr>
          <w:rFonts w:hint="eastAsia" w:ascii="Times New Roman" w:hAnsi="Times New Roman" w:cs="Times New Roman"/>
          <w:b w:val="0"/>
          <w:bCs w:val="0"/>
          <w:sz w:val="28"/>
          <w:szCs w:val="28"/>
          <w:lang w:val="en-US" w:eastAsia="zh-CN"/>
        </w:rPr>
        <w:t>73</w:t>
      </w:r>
      <w:r>
        <w:rPr>
          <w:rFonts w:hint="default" w:ascii="Times New Roman" w:hAnsi="Times New Roman" w:cs="Times New Roman" w:eastAsiaTheme="minorEastAsia"/>
          <w:b w:val="0"/>
          <w:bCs w:val="0"/>
          <w:sz w:val="28"/>
          <w:szCs w:val="28"/>
        </w:rPr>
        <w:t>km</w:t>
      </w:r>
      <w:r>
        <w:rPr>
          <w:rFonts w:hint="default" w:ascii="Times New Roman" w:hAnsi="Times New Roman" w:cs="Times New Roman" w:eastAsiaTheme="minorEastAsia"/>
          <w:b w:val="0"/>
          <w:bCs w:val="0"/>
          <w:sz w:val="28"/>
          <w:szCs w:val="28"/>
          <w:vertAlign w:val="superscript"/>
        </w:rPr>
        <w:t>2</w:t>
      </w:r>
      <w:r>
        <w:rPr>
          <w:rFonts w:hint="default" w:ascii="Times New Roman" w:hAnsi="Times New Roman" w:cs="Times New Roman" w:eastAsiaTheme="minorEastAsia"/>
          <w:b w:val="0"/>
          <w:bCs w:val="0"/>
          <w:sz w:val="28"/>
          <w:szCs w:val="28"/>
          <w:vertAlign w:val="baseline"/>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cs="Times New Roman" w:eastAsiaTheme="minorEastAsia"/>
          <w:b w:val="0"/>
          <w:bCs w:val="0"/>
          <w:sz w:val="28"/>
          <w:szCs w:val="28"/>
          <w:vertAlign w:val="baseline"/>
          <w:lang w:eastAsia="zh-CN"/>
        </w:rPr>
      </w:pPr>
      <w:bookmarkStart w:id="177" w:name="_Toc28973_WPSOffice_Level2"/>
      <w:r>
        <w:rPr>
          <w:rFonts w:hint="eastAsia" w:ascii="Times New Roman" w:hAnsi="Times New Roman" w:eastAsia="黑体" w:cs="Times New Roman"/>
          <w:b/>
          <w:bCs/>
          <w:sz w:val="28"/>
          <w:szCs w:val="28"/>
          <w:lang w:val="en-US" w:eastAsia="zh-CN"/>
        </w:rPr>
        <w:t>4.1</w:t>
      </w:r>
      <w:r>
        <w:rPr>
          <w:rFonts w:hint="eastAsia" w:ascii="Times New Roman" w:hAnsi="Times New Roman" w:cs="Times New Roman"/>
          <w:b/>
          <w:bCs/>
          <w:sz w:val="28"/>
          <w:szCs w:val="28"/>
          <w:lang w:val="en-US" w:eastAsia="zh-CN"/>
        </w:rPr>
        <w:t>1</w:t>
      </w:r>
      <w:r>
        <w:rPr>
          <w:rFonts w:hint="eastAsia"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区划结果汇总</w:t>
      </w:r>
      <w:bookmarkEnd w:id="177"/>
    </w:p>
    <w:tbl>
      <w:tblPr>
        <w:tblStyle w:val="8"/>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1"/>
        <w:gridCol w:w="941"/>
        <w:gridCol w:w="903"/>
        <w:gridCol w:w="1072"/>
        <w:gridCol w:w="1029"/>
        <w:gridCol w:w="963"/>
        <w:gridCol w:w="963"/>
        <w:gridCol w:w="960"/>
        <w:gridCol w:w="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711"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分区</w:t>
            </w:r>
          </w:p>
        </w:tc>
        <w:tc>
          <w:tcPr>
            <w:tcW w:w="941"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0类</w:t>
            </w:r>
            <w:r>
              <w:rPr>
                <w:rFonts w:hint="eastAsia" w:ascii="Times New Roman" w:hAnsi="Times New Roman" w:eastAsia="宋体" w:cs="Times New Roman"/>
                <w:i w:val="0"/>
                <w:color w:val="000000"/>
                <w:kern w:val="0"/>
                <w:sz w:val="24"/>
                <w:szCs w:val="24"/>
                <w:u w:val="none"/>
                <w:lang w:val="en-US" w:eastAsia="zh-CN" w:bidi="ar"/>
              </w:rPr>
              <w:t>区</w:t>
            </w:r>
          </w:p>
        </w:tc>
        <w:tc>
          <w:tcPr>
            <w:tcW w:w="90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1类</w:t>
            </w:r>
            <w:r>
              <w:rPr>
                <w:rFonts w:hint="eastAsia" w:ascii="Times New Roman" w:hAnsi="Times New Roman" w:eastAsia="宋体" w:cs="Times New Roman"/>
                <w:i w:val="0"/>
                <w:color w:val="000000"/>
                <w:kern w:val="0"/>
                <w:sz w:val="24"/>
                <w:szCs w:val="24"/>
                <w:u w:val="none"/>
                <w:lang w:val="en-US" w:eastAsia="zh-CN" w:bidi="ar"/>
              </w:rPr>
              <w:t>区</w:t>
            </w:r>
          </w:p>
        </w:tc>
        <w:tc>
          <w:tcPr>
            <w:tcW w:w="1072"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2类区</w:t>
            </w:r>
          </w:p>
        </w:tc>
        <w:tc>
          <w:tcPr>
            <w:tcW w:w="1029"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3类区</w:t>
            </w:r>
          </w:p>
        </w:tc>
        <w:tc>
          <w:tcPr>
            <w:tcW w:w="9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4a类区</w:t>
            </w:r>
          </w:p>
        </w:tc>
        <w:tc>
          <w:tcPr>
            <w:tcW w:w="963"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4b类区</w:t>
            </w:r>
          </w:p>
        </w:tc>
        <w:tc>
          <w:tcPr>
            <w:tcW w:w="1922" w:type="dxa"/>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道路面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941"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903"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1072"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1029"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963"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963"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sz w:val="24"/>
                <w:szCs w:val="24"/>
              </w:rPr>
            </w:pPr>
          </w:p>
        </w:tc>
        <w:tc>
          <w:tcPr>
            <w:tcW w:w="9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公路</w:t>
            </w:r>
          </w:p>
        </w:tc>
        <w:tc>
          <w:tcPr>
            <w:tcW w:w="962"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t>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主城区</w:t>
            </w:r>
          </w:p>
        </w:tc>
        <w:tc>
          <w:tcPr>
            <w:tcW w:w="9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9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16.8</w:t>
            </w:r>
          </w:p>
        </w:tc>
        <w:tc>
          <w:tcPr>
            <w:tcW w:w="107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10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0.84</w:t>
            </w:r>
          </w:p>
        </w:tc>
        <w:tc>
          <w:tcPr>
            <w:tcW w:w="9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0.0644</w:t>
            </w:r>
          </w:p>
        </w:tc>
        <w:tc>
          <w:tcPr>
            <w:tcW w:w="9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0.015</w:t>
            </w:r>
          </w:p>
        </w:tc>
        <w:tc>
          <w:tcPr>
            <w:tcW w:w="96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2.204</w:t>
            </w:r>
          </w:p>
        </w:tc>
        <w:tc>
          <w:tcPr>
            <w:tcW w:w="9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金所片区</w:t>
            </w:r>
          </w:p>
        </w:tc>
        <w:tc>
          <w:tcPr>
            <w:tcW w:w="941"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90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2.46</w:t>
            </w:r>
          </w:p>
        </w:tc>
        <w:tc>
          <w:tcPr>
            <w:tcW w:w="107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0.86</w:t>
            </w:r>
          </w:p>
        </w:tc>
        <w:tc>
          <w:tcPr>
            <w:tcW w:w="102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9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63"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c>
          <w:tcPr>
            <w:tcW w:w="963"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0.974</w:t>
            </w:r>
          </w:p>
        </w:tc>
        <w:tc>
          <w:tcPr>
            <w:tcW w:w="959"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0</w:t>
            </w:r>
          </w:p>
        </w:tc>
      </w:tr>
    </w:tbl>
    <w:p>
      <w:pPr>
        <w:pStyle w:val="2"/>
        <w:keepNext/>
        <w:keepLines/>
        <w:pageBreakBefore/>
        <w:widowControl w:val="0"/>
        <w:kinsoku/>
        <w:wordWrap/>
        <w:overflowPunct/>
        <w:topLinePunct w:val="0"/>
        <w:autoSpaceDE/>
        <w:autoSpaceDN/>
        <w:bidi w:val="0"/>
        <w:adjustRightInd/>
        <w:snapToGrid/>
        <w:spacing w:line="576" w:lineRule="auto"/>
        <w:textAlignment w:val="auto"/>
        <w:outlineLvl w:val="0"/>
        <w:rPr>
          <w:rFonts w:hint="default" w:ascii="新宋体" w:hAnsi="新宋体" w:eastAsia="新宋体" w:cs="新宋体"/>
          <w:sz w:val="30"/>
          <w:szCs w:val="30"/>
          <w:lang w:val="en-US" w:eastAsia="zh-CN"/>
        </w:rPr>
      </w:pPr>
      <w:bookmarkStart w:id="178" w:name="_Toc3406_WPSOffice_Level1"/>
      <w:r>
        <w:rPr>
          <w:rFonts w:hint="eastAsia" w:ascii="新宋体" w:hAnsi="新宋体" w:eastAsia="新宋体" w:cs="新宋体"/>
          <w:sz w:val="30"/>
          <w:szCs w:val="30"/>
          <w:lang w:val="en-US" w:eastAsia="zh-CN"/>
        </w:rPr>
        <w:t>5.达标分析</w:t>
      </w:r>
      <w:bookmarkEnd w:id="178"/>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79" w:name="_Toc19973_WPSOffice_Level2"/>
      <w:r>
        <w:rPr>
          <w:rFonts w:hint="eastAsia" w:ascii="Times New Roman" w:hAnsi="Times New Roman" w:eastAsia="黑体" w:cs="Times New Roman"/>
          <w:b/>
          <w:bCs/>
          <w:sz w:val="28"/>
          <w:szCs w:val="28"/>
          <w:lang w:val="en-US" w:eastAsia="zh-CN"/>
        </w:rPr>
        <w:t xml:space="preserve">5.1 </w:t>
      </w:r>
      <w:r>
        <w:rPr>
          <w:rFonts w:hint="default" w:ascii="Times New Roman" w:hAnsi="Times New Roman" w:eastAsia="黑体" w:cs="Times New Roman"/>
          <w:b/>
          <w:bCs/>
          <w:sz w:val="28"/>
          <w:szCs w:val="28"/>
          <w:lang w:val="en-US" w:eastAsia="zh-CN"/>
        </w:rPr>
        <w:t>中心城区区域声环境监测结果</w:t>
      </w:r>
      <w:bookmarkEnd w:id="179"/>
    </w:p>
    <w:p>
      <w:pPr>
        <w:pStyle w:val="3"/>
        <w:keepNext/>
        <w:keepLines/>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outlineLvl w:val="2"/>
        <w:rPr>
          <w:rFonts w:hint="default" w:ascii="Times New Roman" w:hAnsi="Times New Roman" w:cs="Times New Roman" w:eastAsiaTheme="minorEastAsia"/>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w:t>
      </w:r>
      <w:r>
        <w:rPr>
          <w:rFonts w:hint="default" w:ascii="Times New Roman" w:hAnsi="Times New Roman" w:cs="Times New Roman" w:eastAsiaTheme="minorEastAsia"/>
          <w:b w:val="0"/>
          <w:bCs w:val="0"/>
          <w:color w:val="auto"/>
          <w:sz w:val="28"/>
          <w:szCs w:val="28"/>
          <w:lang w:val="en-US" w:eastAsia="zh-CN"/>
        </w:rPr>
        <w:t>区域监测的昼间、夜间监测数据统计如下：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.2-1 2018寻甸回族彝族自治县中心城区区域声环境监测结果统计表（昼夜）</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551"/>
        <w:gridCol w:w="2221"/>
        <w:gridCol w:w="750"/>
        <w:gridCol w:w="911"/>
        <w:gridCol w:w="668"/>
        <w:gridCol w:w="882"/>
        <w:gridCol w:w="869"/>
        <w:gridCol w:w="584"/>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67" w:hRule="atLeast"/>
          <w:tblHeader/>
          <w:jc w:val="center"/>
        </w:trPr>
        <w:tc>
          <w:tcPr>
            <w:tcW w:w="9071"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eastAsiaTheme="minorEastAsia"/>
                <w:i w:val="0"/>
                <w:color w:val="000000"/>
                <w:kern w:val="0"/>
                <w:sz w:val="24"/>
                <w:szCs w:val="24"/>
                <w:highlight w:val="none"/>
                <w:u w:val="none"/>
                <w:lang w:val="en-US" w:eastAsia="zh-CN" w:bidi="ar"/>
              </w:rPr>
            </w:pPr>
            <w:r>
              <w:rPr>
                <w:rFonts w:hint="default" w:ascii="Times New Roman" w:hAnsi="Times New Roman" w:cs="Times New Roman" w:eastAsiaTheme="minorEastAsia"/>
                <w:i w:val="0"/>
                <w:color w:val="000000"/>
                <w:kern w:val="0"/>
                <w:sz w:val="24"/>
                <w:szCs w:val="24"/>
                <w:highlight w:val="none"/>
                <w:u w:val="none"/>
                <w:lang w:val="en-US" w:eastAsia="zh-CN" w:bidi="ar"/>
              </w:rPr>
              <w:t>监测时间，昼间：2018.9.11日～9.25日</w:t>
            </w:r>
            <w:r>
              <w:rPr>
                <w:rFonts w:hint="eastAsia" w:ascii="Times New Roman" w:hAnsi="Times New Roman" w:cs="Times New Roman"/>
                <w:i w:val="0"/>
                <w:color w:val="000000"/>
                <w:kern w:val="0"/>
                <w:sz w:val="24"/>
                <w:szCs w:val="24"/>
                <w:highlight w:val="none"/>
                <w:u w:val="none"/>
                <w:lang w:val="en-US" w:eastAsia="zh-CN" w:bidi="ar"/>
              </w:rPr>
              <w:t xml:space="preserve"> </w:t>
            </w:r>
            <w:r>
              <w:rPr>
                <w:rFonts w:hint="default" w:ascii="Times New Roman" w:hAnsi="Times New Roman" w:cs="Times New Roman" w:eastAsiaTheme="minorEastAsia"/>
                <w:i w:val="0"/>
                <w:color w:val="000000"/>
                <w:kern w:val="0"/>
                <w:sz w:val="24"/>
                <w:szCs w:val="24"/>
                <w:highlight w:val="none"/>
                <w:u w:val="none"/>
                <w:lang w:val="en-US" w:eastAsia="zh-CN" w:bidi="ar"/>
              </w:rPr>
              <w:t>夜间：2018.9.25日～9.30日   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551" w:type="dxa"/>
            <w:vMerge w:val="restart"/>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网格代码</w:t>
            </w:r>
          </w:p>
        </w:tc>
        <w:tc>
          <w:tcPr>
            <w:tcW w:w="2221" w:type="dxa"/>
            <w:vMerge w:val="restart"/>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测 点 名 称</w:t>
            </w:r>
          </w:p>
        </w:tc>
        <w:tc>
          <w:tcPr>
            <w:tcW w:w="2329" w:type="dxa"/>
            <w:gridSpan w:val="3"/>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昼间</w:t>
            </w:r>
          </w:p>
        </w:tc>
        <w:tc>
          <w:tcPr>
            <w:tcW w:w="2335" w:type="dxa"/>
            <w:gridSpan w:val="3"/>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夜间</w:t>
            </w:r>
          </w:p>
        </w:tc>
        <w:tc>
          <w:tcPr>
            <w:tcW w:w="635" w:type="dxa"/>
            <w:vMerge w:val="restart"/>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551"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cs="Times New Roman" w:eastAsiaTheme="minorEastAsia"/>
                <w:i w:val="0"/>
                <w:color w:val="000000"/>
                <w:sz w:val="24"/>
                <w:szCs w:val="24"/>
                <w:highlight w:val="none"/>
                <w:u w:val="none"/>
              </w:rPr>
            </w:pPr>
          </w:p>
        </w:tc>
        <w:tc>
          <w:tcPr>
            <w:tcW w:w="2221"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cs="Times New Roman" w:eastAsiaTheme="minorEastAsia"/>
                <w:i w:val="0"/>
                <w:color w:val="000000"/>
                <w:sz w:val="24"/>
                <w:szCs w:val="24"/>
                <w:highlight w:val="none"/>
                <w:u w:val="none"/>
              </w:rPr>
            </w:pP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昼间测值L</w:t>
            </w:r>
            <w:r>
              <w:rPr>
                <w:rFonts w:hint="default" w:ascii="Times New Roman" w:hAnsi="Times New Roman" w:cs="Times New Roman" w:eastAsiaTheme="minorEastAsia"/>
                <w:i w:val="0"/>
                <w:color w:val="000000"/>
                <w:kern w:val="0"/>
                <w:sz w:val="24"/>
                <w:szCs w:val="24"/>
                <w:highlight w:val="none"/>
                <w:u w:val="none"/>
                <w:vertAlign w:val="subscript"/>
                <w:lang w:val="en-US" w:eastAsia="zh-CN" w:bidi="ar"/>
              </w:rPr>
              <w:t>eq</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标准值</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是否达标</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夜间测值L</w:t>
            </w:r>
            <w:r>
              <w:rPr>
                <w:rFonts w:hint="default" w:ascii="Times New Roman" w:hAnsi="Times New Roman" w:cs="Times New Roman" w:eastAsiaTheme="minorEastAsia"/>
                <w:i w:val="0"/>
                <w:color w:val="000000"/>
                <w:kern w:val="0"/>
                <w:sz w:val="24"/>
                <w:szCs w:val="24"/>
                <w:highlight w:val="none"/>
                <w:u w:val="none"/>
                <w:vertAlign w:val="subscript"/>
                <w:lang w:val="en-US" w:eastAsia="zh-CN" w:bidi="ar"/>
              </w:rPr>
              <w:t>eq</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标准值</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是否达标</w:t>
            </w:r>
          </w:p>
        </w:tc>
        <w:tc>
          <w:tcPr>
            <w:tcW w:w="635"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cs="Times New Roman" w:eastAsiaTheme="minorEastAsia"/>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寻甸县烟叶复烤厂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县民政局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县交通运政管理所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县民族中学北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检察院住宅区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56.1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37.5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康泰骨科医院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祥和医院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仁德小集镇</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35.3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530129100009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仁德一中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56.4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县新一中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寻甸县体育中心北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eastAsia"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37.4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雨布村</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县民族中学南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61.5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37.5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县畜牧局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仁德财政所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寻甸卫生局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县委住宅小区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37.7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润天凯怡</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530129100019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寻甸县体育中心西</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default" w:ascii="Times New Roman" w:hAnsi="Times New Roman" w:cs="Times New Roman" w:eastAsiaTheme="minorEastAsia"/>
                <w:i w:val="0"/>
                <w:color w:val="000000"/>
                <w:kern w:val="0"/>
                <w:sz w:val="24"/>
                <w:szCs w:val="24"/>
                <w:highlight w:val="none"/>
                <w:u w:val="none"/>
                <w:shd w:val="clear" w:color="auto" w:fill="auto"/>
                <w:lang w:val="en-US" w:eastAsia="zh-CN" w:bidi="ar"/>
              </w:rPr>
              <w:t>530129100020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default" w:ascii="Times New Roman" w:hAnsi="Times New Roman" w:cs="Times New Roman" w:eastAsiaTheme="minorEastAsia"/>
                <w:i w:val="0"/>
                <w:color w:val="000000"/>
                <w:kern w:val="0"/>
                <w:sz w:val="24"/>
                <w:szCs w:val="24"/>
                <w:highlight w:val="none"/>
                <w:u w:val="none"/>
                <w:shd w:val="clear" w:color="auto" w:fill="auto"/>
                <w:lang w:val="en-US" w:eastAsia="zh-CN" w:bidi="ar"/>
              </w:rPr>
              <w:t>寻甸县体育中心南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default" w:ascii="Times New Roman" w:hAnsi="Times New Roman" w:cs="Times New Roman" w:eastAsiaTheme="minorEastAsia"/>
                <w:i w:val="0"/>
                <w:color w:val="000000"/>
                <w:kern w:val="0"/>
                <w:sz w:val="24"/>
                <w:szCs w:val="24"/>
                <w:highlight w:val="none"/>
                <w:u w:val="none"/>
                <w:shd w:val="clear" w:color="auto" w:fill="auto"/>
                <w:lang w:val="en-US" w:eastAsia="zh-CN" w:bidi="ar"/>
              </w:rPr>
              <w:t>55.6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lang w:val="en-US"/>
              </w:rPr>
            </w:pPr>
            <w:r>
              <w:rPr>
                <w:rFonts w:hint="eastAsia" w:ascii="Times New Roman" w:hAnsi="Times New Roman" w:cs="Times New Roman"/>
                <w:i w:val="0"/>
                <w:color w:val="000000"/>
                <w:kern w:val="0"/>
                <w:sz w:val="24"/>
                <w:szCs w:val="24"/>
                <w:highlight w:val="none"/>
                <w:u w:val="none"/>
                <w:shd w:val="clear" w:color="auto" w:fill="auto"/>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eastAsia" w:ascii="Times New Roman" w:hAnsi="Times New Roman" w:cs="Times New Roman"/>
                <w:i w:val="0"/>
                <w:color w:val="000000"/>
                <w:kern w:val="0"/>
                <w:sz w:val="24"/>
                <w:szCs w:val="24"/>
                <w:highlight w:val="none"/>
                <w:u w:val="none"/>
                <w:shd w:val="clear" w:color="auto" w:fill="auto"/>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default" w:ascii="Times New Roman" w:hAnsi="Times New Roman" w:cs="Times New Roman" w:eastAsiaTheme="minorEastAsia"/>
                <w:i w:val="0"/>
                <w:color w:val="000000"/>
                <w:kern w:val="0"/>
                <w:sz w:val="24"/>
                <w:szCs w:val="24"/>
                <w:highlight w:val="none"/>
                <w:u w:val="none"/>
                <w:shd w:val="clear" w:color="auto" w:fill="auto"/>
                <w:lang w:val="en-US" w:eastAsia="zh-CN" w:bidi="ar"/>
              </w:rPr>
              <w:t>47.3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lang w:val="en-US"/>
              </w:rPr>
            </w:pPr>
            <w:r>
              <w:rPr>
                <w:rFonts w:hint="eastAsia" w:ascii="Times New Roman" w:hAnsi="Times New Roman" w:cs="Times New Roman"/>
                <w:i w:val="0"/>
                <w:color w:val="000000"/>
                <w:kern w:val="0"/>
                <w:sz w:val="24"/>
                <w:szCs w:val="24"/>
                <w:highlight w:val="none"/>
                <w:u w:val="none"/>
                <w:shd w:val="clear" w:color="auto" w:fill="auto"/>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eastAsia" w:ascii="Times New Roman" w:hAnsi="Times New Roman" w:cs="Times New Roman"/>
                <w:i w:val="0"/>
                <w:color w:val="000000"/>
                <w:kern w:val="0"/>
                <w:sz w:val="24"/>
                <w:szCs w:val="24"/>
                <w:highlight w:val="none"/>
                <w:u w:val="none"/>
                <w:shd w:val="clear" w:color="auto" w:fill="auto"/>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shd w:val="clear" w:color="auto" w:fill="auto"/>
              </w:rPr>
            </w:pPr>
            <w:r>
              <w:rPr>
                <w:rFonts w:hint="eastAsia" w:ascii="Times New Roman" w:hAnsi="Times New Roman" w:cs="Times New Roman"/>
                <w:i w:val="0"/>
                <w:color w:val="000000"/>
                <w:kern w:val="0"/>
                <w:sz w:val="24"/>
                <w:szCs w:val="24"/>
                <w:highlight w:val="none"/>
                <w:u w:val="none"/>
                <w:shd w:val="clear" w:color="auto" w:fill="auto"/>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公安局办公大楼东</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38.9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老县自来水厂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青少年宫</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县林业局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仁德二小</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寻甸县地税局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水务局住宿区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仙湖饭店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56.7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530129100029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公务员小区北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公务员小区东</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公务员小区2期东面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县人民医院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寻甸县环境监测站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西门河</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老党校</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东盛</w:t>
            </w:r>
            <w:r>
              <w:rPr>
                <w:rFonts w:hint="eastAsia" w:ascii="Times New Roman" w:hAnsi="Times New Roman" w:cs="Times New Roman"/>
                <w:i w:val="0"/>
                <w:color w:val="000000"/>
                <w:kern w:val="0"/>
                <w:sz w:val="24"/>
                <w:szCs w:val="24"/>
                <w:highlight w:val="none"/>
                <w:u w:val="none"/>
                <w:lang w:val="en-US" w:eastAsia="zh-CN" w:bidi="ar"/>
              </w:rPr>
              <w:t>停车场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古城加油站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公务员小区南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38.6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530129100039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中古城</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上古城</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老铁路客运站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县水务局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老县幼儿园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老粮管所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38.7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福康小区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城建局住宿区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寻甸县幼儿园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eastAsia"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北极光东面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54.2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530129100049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中央公园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寻甸第一中学旧址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eastAsia"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eastAsia"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w:t>
            </w:r>
            <w:r>
              <w:rPr>
                <w:rFonts w:hint="eastAsia" w:ascii="Times New Roman" w:hAnsi="Times New Roman" w:cs="Times New Roman"/>
                <w:i w:val="0"/>
                <w:color w:val="000000"/>
                <w:kern w:val="0"/>
                <w:sz w:val="24"/>
                <w:szCs w:val="24"/>
                <w:highlight w:val="none"/>
                <w:u w:val="none"/>
                <w:lang w:val="en-US" w:eastAsia="zh-CN" w:bidi="ar"/>
              </w:rPr>
              <w:t>县委</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老工商银行</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工商局南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水果市场东</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发改局住宿区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河口镇小区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老县邮电局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供销社大厦</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530129100059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寻甸县人民政府</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仁德一小老校区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烟草公司住宿区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新农贸市场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政府小区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老工商局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38.8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县电影院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39.1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老县公安局住宿区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东山汽修厂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36.6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县审计局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530129100069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县审计局东面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车为客汽车美容</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县中医院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馨苑花园D2区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中国联通县营业厅西面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地方公路管理站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54.2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公园尚居2期别墅区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润天煤气公司</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县自来水厂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殡仪馆</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530129100079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馨苑花园B区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休闲广场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电力大厦东面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下菜园村</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公园尚居2期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公园尚居4期北面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看守所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月甲村1号</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馨苑花园A区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公积金中心</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530129100089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南磷小区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公园尚居1期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eastAsia="zh-CN"/>
              </w:rPr>
            </w:pPr>
            <w:r>
              <w:rPr>
                <w:rFonts w:hint="eastAsia" w:ascii="Times New Roman" w:hAnsi="Times New Roman" w:cs="Times New Roman"/>
                <w:i w:val="0"/>
                <w:color w:val="000000"/>
                <w:sz w:val="24"/>
                <w:szCs w:val="24"/>
                <w:highlight w:val="none"/>
                <w:u w:val="none"/>
                <w:lang w:val="en-US" w:eastAsia="zh-CN"/>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公园尚居4期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57.7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苗圃</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月甲村93号</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电信局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寻甸县路政管理大队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园丁小区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信合小区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公园尚居3期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530129100099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农业局防虫中心</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县城污水处理厂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果园山庄</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65.3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羊羊牛菜馆</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月甲村145号</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64.8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中石化加油站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西拉龙矿泉水公司</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55.5</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县地震局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消防队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新客运站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70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530129100109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仁德一小新区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60.7</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老县日化厂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和平加油站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东环汽修</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44.3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仁德烟叶站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县疾病预防控制中心</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61.6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玉秀苑小区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寻甸县新邮政局</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eastAsia"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河口搬迁小区</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60</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50</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三月三变电站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530129100119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农机局培训站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50.9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城关农机加油站</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56.9</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寻甸县交警大队</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41.7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老仁德二中</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54.4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43.7</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都市名苑</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刘家坝村</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45.5</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中坝</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530129100126</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三月三大鱼谷</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42.6</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530129100127</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粮油公司</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54.4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40.3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530129100128</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回龙村15号</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49.6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45.3</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eastAsia="zh-CN"/>
              </w:rPr>
            </w:pPr>
            <w:r>
              <w:rPr>
                <w:rFonts w:hint="default" w:ascii="Times New Roman" w:hAnsi="Times New Roman" w:cs="Times New Roman" w:eastAsiaTheme="minorEastAsia"/>
                <w:i w:val="0"/>
                <w:color w:val="000000"/>
                <w:sz w:val="24"/>
                <w:szCs w:val="24"/>
                <w:highlight w:val="none"/>
                <w:u w:val="none"/>
                <w:lang w:val="en-US" w:eastAsia="zh-CN"/>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530129100129</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仁德三小</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62</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530129100130</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城关变电站北面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51.8</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54.2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530129100131</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纤维板厂</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46.6</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eastAsiaTheme="minorEastAsia"/>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48.2</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530129100132</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长安汽车销售点</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52.3</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是</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47.9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530129100133</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东宝大酒店南面</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61.1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48.8</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eastAsia="zh-CN"/>
              </w:rPr>
            </w:pPr>
            <w:r>
              <w:rPr>
                <w:rFonts w:hint="default" w:ascii="Times New Roman" w:hAnsi="Times New Roman" w:cs="Times New Roman"/>
                <w:i w:val="0"/>
                <w:color w:val="000000"/>
                <w:sz w:val="24"/>
                <w:szCs w:val="24"/>
                <w:highlight w:val="none"/>
                <w:u w:val="none"/>
                <w:lang w:eastAsia="zh-CN"/>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530129100134</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奇瑞汽车专卖店</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58.4</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60.4</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530129100135</w:t>
            </w:r>
          </w:p>
        </w:tc>
        <w:tc>
          <w:tcPr>
            <w:tcW w:w="222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洪峰汽车销售公司</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56.1</w:t>
            </w:r>
          </w:p>
        </w:tc>
        <w:tc>
          <w:tcPr>
            <w:tcW w:w="911"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55</w:t>
            </w:r>
          </w:p>
        </w:tc>
        <w:tc>
          <w:tcPr>
            <w:tcW w:w="668"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否</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55.9</w:t>
            </w:r>
          </w:p>
        </w:tc>
        <w:tc>
          <w:tcPr>
            <w:tcW w:w="869"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lang w:val="en-US"/>
              </w:rPr>
            </w:pPr>
            <w:r>
              <w:rPr>
                <w:rFonts w:hint="default" w:ascii="Times New Roman" w:hAnsi="Times New Roman" w:cs="Times New Roman"/>
                <w:i w:val="0"/>
                <w:color w:val="000000"/>
                <w:kern w:val="0"/>
                <w:sz w:val="24"/>
                <w:szCs w:val="24"/>
                <w:highlight w:val="none"/>
                <w:u w:val="none"/>
                <w:lang w:val="en-US" w:eastAsia="zh-CN" w:bidi="ar"/>
              </w:rPr>
              <w:t>45</w:t>
            </w:r>
          </w:p>
        </w:tc>
        <w:tc>
          <w:tcPr>
            <w:tcW w:w="584"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否</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i w:val="0"/>
                <w:color w:val="000000"/>
                <w:kern w:val="0"/>
                <w:sz w:val="24"/>
                <w:szCs w:val="24"/>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772" w:type="dxa"/>
            <w:gridSpan w:val="2"/>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平均L</w:t>
            </w:r>
            <w:r>
              <w:rPr>
                <w:rFonts w:hint="default" w:ascii="Times New Roman" w:hAnsi="Times New Roman" w:cs="Times New Roman" w:eastAsiaTheme="minorEastAsia"/>
                <w:i w:val="0"/>
                <w:color w:val="000000"/>
                <w:kern w:val="0"/>
                <w:sz w:val="24"/>
                <w:szCs w:val="24"/>
                <w:highlight w:val="none"/>
                <w:u w:val="none"/>
                <w:vertAlign w:val="subscript"/>
                <w:lang w:val="en-US" w:eastAsia="zh-CN" w:bidi="ar"/>
              </w:rPr>
              <w:t>eq</w:t>
            </w:r>
          </w:p>
        </w:tc>
        <w:tc>
          <w:tcPr>
            <w:tcW w:w="750"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51.14</w:t>
            </w:r>
          </w:p>
        </w:tc>
        <w:tc>
          <w:tcPr>
            <w:tcW w:w="1579" w:type="dxa"/>
            <w:gridSpan w:val="2"/>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w:t>
            </w:r>
          </w:p>
        </w:tc>
        <w:tc>
          <w:tcPr>
            <w:tcW w:w="882"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43.73</w:t>
            </w:r>
          </w:p>
        </w:tc>
        <w:tc>
          <w:tcPr>
            <w:tcW w:w="1453" w:type="dxa"/>
            <w:gridSpan w:val="2"/>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w:t>
            </w:r>
          </w:p>
        </w:tc>
        <w:tc>
          <w:tcPr>
            <w:tcW w:w="635" w:type="dxa"/>
            <w:shd w:val="clear" w:color="auto" w:fill="auto"/>
            <w:vAlign w:val="center"/>
          </w:tcPr>
          <w:p>
            <w:pPr>
              <w:keepNext w:val="0"/>
              <w:keepLines w:val="0"/>
              <w:widowControl/>
              <w:suppressLineNumbers w:val="0"/>
              <w:kinsoku/>
              <w:wordWrap/>
              <w:overflowPunct/>
              <w:topLinePunct w:val="0"/>
              <w:autoSpaceDE/>
              <w:autoSpaceDN/>
              <w:bidi w:val="0"/>
              <w:spacing w:line="360" w:lineRule="auto"/>
              <w:jc w:val="center"/>
              <w:textAlignment w:val="center"/>
              <w:rPr>
                <w:rFonts w:hint="default" w:ascii="Times New Roman" w:hAnsi="Times New Roman" w:cs="Times New Roman" w:eastAsiaTheme="minorEastAsia"/>
                <w:i w:val="0"/>
                <w:color w:val="000000"/>
                <w:sz w:val="24"/>
                <w:szCs w:val="24"/>
                <w:highlight w:val="none"/>
                <w:u w:val="none"/>
              </w:rPr>
            </w:pPr>
            <w:r>
              <w:rPr>
                <w:rFonts w:hint="default" w:ascii="Times New Roman" w:hAnsi="Times New Roman" w:cs="Times New Roman" w:eastAsiaTheme="minorEastAsia"/>
                <w:i w:val="0"/>
                <w:color w:val="000000"/>
                <w:kern w:val="0"/>
                <w:sz w:val="24"/>
                <w:szCs w:val="24"/>
                <w:highlight w:val="none"/>
                <w:u w:val="none"/>
                <w:lang w:val="en-US" w:eastAsia="zh-CN" w:bidi="ar"/>
              </w:rPr>
              <w:t>—</w:t>
            </w:r>
          </w:p>
        </w:tc>
      </w:tr>
    </w:tbl>
    <w:p>
      <w:pPr>
        <w:kinsoku/>
        <w:wordWrap/>
        <w:overflowPunct/>
        <w:topLinePunct w:val="0"/>
        <w:autoSpaceDE/>
        <w:autoSpaceDN/>
        <w:bidi w:val="0"/>
        <w:spacing w:line="360" w:lineRule="auto"/>
        <w:ind w:firstLine="280" w:firstLineChars="100"/>
        <w:outlineLvl w:val="9"/>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eastAsiaTheme="minorEastAsia"/>
          <w:b w:val="0"/>
          <w:bCs w:val="0"/>
          <w:color w:val="auto"/>
          <w:sz w:val="28"/>
          <w:szCs w:val="28"/>
          <w:lang w:val="en-US" w:eastAsia="zh-CN"/>
        </w:rPr>
        <w:t>区域监测的昼间平均等效</w:t>
      </w:r>
      <w:r>
        <w:rPr>
          <w:rFonts w:hint="default" w:ascii="Times New Roman" w:hAnsi="Times New Roman" w:cs="Times New Roman" w:eastAsiaTheme="minorEastAsia"/>
          <w:b w:val="0"/>
          <w:bCs w:val="0"/>
          <w:color w:val="auto"/>
          <w:sz w:val="28"/>
          <w:szCs w:val="28"/>
          <w:highlight w:val="none"/>
          <w:lang w:val="en-US" w:eastAsia="zh-CN"/>
        </w:rPr>
        <w:t>声值为</w:t>
      </w:r>
      <w:r>
        <w:rPr>
          <w:rFonts w:hint="default" w:ascii="Times New Roman" w:hAnsi="Times New Roman" w:cs="Times New Roman" w:eastAsiaTheme="minorEastAsia"/>
          <w:b w:val="0"/>
          <w:bCs w:val="0"/>
          <w:color w:val="auto"/>
          <w:sz w:val="28"/>
          <w:szCs w:val="28"/>
          <w:lang w:val="en-US" w:eastAsia="zh-CN"/>
        </w:rPr>
        <w:t>51.14dB(A)，夜间平均等效</w:t>
      </w:r>
      <w:r>
        <w:rPr>
          <w:rFonts w:hint="default" w:ascii="Times New Roman" w:hAnsi="Times New Roman" w:cs="Times New Roman" w:eastAsiaTheme="minorEastAsia"/>
          <w:b w:val="0"/>
          <w:bCs w:val="0"/>
          <w:color w:val="auto"/>
          <w:sz w:val="28"/>
          <w:szCs w:val="28"/>
          <w:highlight w:val="none"/>
          <w:lang w:val="en-US" w:eastAsia="zh-CN"/>
        </w:rPr>
        <w:t>声值为</w:t>
      </w:r>
      <w:r>
        <w:rPr>
          <w:rFonts w:hint="default" w:ascii="Times New Roman" w:hAnsi="Times New Roman" w:cs="Times New Roman" w:eastAsiaTheme="minorEastAsia"/>
          <w:b w:val="0"/>
          <w:bCs w:val="0"/>
          <w:color w:val="auto"/>
          <w:sz w:val="28"/>
          <w:szCs w:val="28"/>
          <w:lang w:val="en-US" w:eastAsia="zh-CN"/>
        </w:rPr>
        <w:t>43.73dB(A)</w:t>
      </w:r>
      <w:r>
        <w:rPr>
          <w:rFonts w:hint="default" w:ascii="Times New Roman" w:hAnsi="Times New Roman" w:cs="Times New Roman"/>
          <w:b w:val="0"/>
          <w:bCs w:val="0"/>
          <w:color w:val="auto"/>
          <w:sz w:val="28"/>
          <w:szCs w:val="28"/>
          <w:lang w:val="en-US" w:eastAsia="zh-CN"/>
        </w:rPr>
        <w:t>。</w:t>
      </w:r>
    </w:p>
    <w:p>
      <w:pPr>
        <w:numPr>
          <w:ilvl w:val="0"/>
          <w:numId w:val="12"/>
        </w:numPr>
        <w:kinsoku/>
        <w:wordWrap/>
        <w:overflowPunct/>
        <w:topLinePunct w:val="0"/>
        <w:autoSpaceDE/>
        <w:autoSpaceDN/>
        <w:bidi w:val="0"/>
        <w:spacing w:line="360" w:lineRule="auto"/>
        <w:ind w:firstLine="280" w:firstLineChars="100"/>
        <w:outlineLvl w:val="2"/>
        <w:rPr>
          <w:rFonts w:hint="eastAsia" w:eastAsia="新宋体" w:cs="Times New Roman"/>
          <w:sz w:val="28"/>
          <w:szCs w:val="28"/>
          <w:lang w:val="en-US" w:eastAsia="zh-CN"/>
        </w:rPr>
      </w:pPr>
      <w:r>
        <w:rPr>
          <w:rFonts w:hint="eastAsia" w:ascii="Times New Roman" w:hAnsi="Times New Roman" w:eastAsia="新宋体" w:cs="Times New Roman"/>
          <w:sz w:val="28"/>
          <w:szCs w:val="28"/>
          <w:lang w:val="en-US" w:eastAsia="zh-CN"/>
        </w:rPr>
        <w:t>区域声环境</w:t>
      </w:r>
      <w:r>
        <w:rPr>
          <w:rFonts w:hint="eastAsia" w:eastAsia="新宋体" w:cs="Times New Roman"/>
          <w:sz w:val="28"/>
          <w:szCs w:val="28"/>
          <w:lang w:val="en-US" w:eastAsia="zh-CN"/>
        </w:rPr>
        <w:t>监测情况概述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表5.</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区域声环境监测</w:t>
      </w:r>
      <w:r>
        <w:rPr>
          <w:rFonts w:hint="eastAsia" w:ascii="Times New Roman" w:hAnsi="Times New Roman" w:eastAsia="宋体" w:cs="Times New Roman"/>
          <w:b/>
          <w:bCs/>
          <w:sz w:val="24"/>
          <w:szCs w:val="24"/>
          <w:lang w:val="en-US" w:eastAsia="zh-CN"/>
        </w:rPr>
        <w:t>布点</w:t>
      </w:r>
      <w:r>
        <w:rPr>
          <w:rFonts w:hint="default" w:ascii="Times New Roman" w:hAnsi="Times New Roman" w:eastAsia="宋体" w:cs="Times New Roman"/>
          <w:b/>
          <w:bCs/>
          <w:sz w:val="24"/>
          <w:szCs w:val="24"/>
          <w:lang w:val="en-US" w:eastAsia="zh-CN"/>
        </w:rPr>
        <w:t>统计表</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038"/>
        <w:gridCol w:w="2114"/>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2" w:type="dxa"/>
          </w:tcPr>
          <w:p>
            <w:pPr>
              <w:pStyle w:val="19"/>
              <w:widowControl w:val="0"/>
              <w:numPr>
                <w:ilvl w:val="0"/>
                <w:numId w:val="0"/>
              </w:numPr>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功能区</w:t>
            </w:r>
          </w:p>
        </w:tc>
        <w:tc>
          <w:tcPr>
            <w:tcW w:w="2038" w:type="dxa"/>
          </w:tcPr>
          <w:p>
            <w:pPr>
              <w:pStyle w:val="19"/>
              <w:widowControl w:val="0"/>
              <w:numPr>
                <w:ilvl w:val="0"/>
                <w:numId w:val="0"/>
              </w:numPr>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网格覆盖点数</w:t>
            </w:r>
          </w:p>
        </w:tc>
        <w:tc>
          <w:tcPr>
            <w:tcW w:w="2114" w:type="dxa"/>
          </w:tcPr>
          <w:p>
            <w:pPr>
              <w:pStyle w:val="19"/>
              <w:widowControl w:val="0"/>
              <w:numPr>
                <w:ilvl w:val="0"/>
                <w:numId w:val="0"/>
              </w:numPr>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覆盖面积km</w:t>
            </w:r>
            <w:r>
              <w:rPr>
                <w:rFonts w:hint="default" w:ascii="Times New Roman" w:hAnsi="Times New Roman" w:eastAsia="宋体" w:cs="Times New Roman"/>
                <w:sz w:val="28"/>
                <w:szCs w:val="28"/>
                <w:vertAlign w:val="superscript"/>
                <w:lang w:val="en-US" w:eastAsia="zh-CN"/>
              </w:rPr>
              <w:t>2</w:t>
            </w:r>
          </w:p>
        </w:tc>
        <w:tc>
          <w:tcPr>
            <w:tcW w:w="1990" w:type="dxa"/>
          </w:tcPr>
          <w:p>
            <w:pPr>
              <w:pStyle w:val="19"/>
              <w:widowControl w:val="0"/>
              <w:numPr>
                <w:ilvl w:val="0"/>
                <w:numId w:val="0"/>
              </w:numPr>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网格覆盖比例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2" w:type="dxa"/>
          </w:tcPr>
          <w:p>
            <w:pPr>
              <w:pStyle w:val="19"/>
              <w:widowControl w:val="0"/>
              <w:numPr>
                <w:ilvl w:val="0"/>
                <w:numId w:val="0"/>
              </w:numPr>
              <w:jc w:val="both"/>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1类声环境功能区</w:t>
            </w:r>
          </w:p>
        </w:tc>
        <w:tc>
          <w:tcPr>
            <w:tcW w:w="2038"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102</w:t>
            </w:r>
          </w:p>
        </w:tc>
        <w:tc>
          <w:tcPr>
            <w:tcW w:w="2114" w:type="dxa"/>
            <w:vAlign w:val="top"/>
          </w:tcPr>
          <w:p>
            <w:pPr>
              <w:keepNext w:val="0"/>
              <w:keepLines w:val="0"/>
              <w:widowControl/>
              <w:suppressLineNumbers w:val="0"/>
              <w:jc w:val="center"/>
              <w:textAlignment w:val="top"/>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4.08</w:t>
            </w:r>
          </w:p>
        </w:tc>
        <w:tc>
          <w:tcPr>
            <w:tcW w:w="1990"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75.56%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2" w:type="dxa"/>
          </w:tcPr>
          <w:p>
            <w:pPr>
              <w:pStyle w:val="19"/>
              <w:widowControl w:val="0"/>
              <w:numPr>
                <w:ilvl w:val="0"/>
                <w:numId w:val="0"/>
              </w:numPr>
              <w:jc w:val="both"/>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2类声环境功能区</w:t>
            </w:r>
          </w:p>
        </w:tc>
        <w:tc>
          <w:tcPr>
            <w:tcW w:w="2038"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33</w:t>
            </w:r>
          </w:p>
        </w:tc>
        <w:tc>
          <w:tcPr>
            <w:tcW w:w="2114" w:type="dxa"/>
            <w:vAlign w:val="top"/>
          </w:tcPr>
          <w:p>
            <w:pPr>
              <w:keepNext w:val="0"/>
              <w:keepLines w:val="0"/>
              <w:widowControl/>
              <w:suppressLineNumbers w:val="0"/>
              <w:jc w:val="center"/>
              <w:textAlignment w:val="top"/>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1.32</w:t>
            </w:r>
          </w:p>
        </w:tc>
        <w:tc>
          <w:tcPr>
            <w:tcW w:w="1990"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62" w:type="dxa"/>
          </w:tcPr>
          <w:p>
            <w:pPr>
              <w:pStyle w:val="19"/>
              <w:widowControl w:val="0"/>
              <w:numPr>
                <w:ilvl w:val="0"/>
                <w:numId w:val="0"/>
              </w:numPr>
              <w:jc w:val="both"/>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3类声环境功能区</w:t>
            </w:r>
          </w:p>
        </w:tc>
        <w:tc>
          <w:tcPr>
            <w:tcW w:w="2038"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0</w:t>
            </w:r>
          </w:p>
        </w:tc>
        <w:tc>
          <w:tcPr>
            <w:tcW w:w="2114" w:type="dxa"/>
            <w:vAlign w:val="top"/>
          </w:tcPr>
          <w:p>
            <w:pPr>
              <w:keepNext w:val="0"/>
              <w:keepLines w:val="0"/>
              <w:widowControl/>
              <w:suppressLineNumbers w:val="0"/>
              <w:jc w:val="center"/>
              <w:textAlignment w:val="top"/>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0</w:t>
            </w:r>
          </w:p>
        </w:tc>
        <w:tc>
          <w:tcPr>
            <w:tcW w:w="1990" w:type="dxa"/>
            <w:vAlign w:val="center"/>
          </w:tcPr>
          <w:p>
            <w:pPr>
              <w:keepNext w:val="0"/>
              <w:keepLines w:val="0"/>
              <w:widowControl/>
              <w:suppressLineNumbers w:val="0"/>
              <w:jc w:val="center"/>
              <w:textAlignment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i w:val="0"/>
                <w:color w:val="000000"/>
                <w:kern w:val="0"/>
                <w:sz w:val="28"/>
                <w:szCs w:val="28"/>
                <w:u w:val="none"/>
                <w:lang w:val="en-US" w:eastAsia="zh-CN" w:bidi="ar"/>
              </w:rPr>
              <w:t>0.00%</w:t>
            </w:r>
          </w:p>
        </w:tc>
      </w:tr>
    </w:tbl>
    <w:p>
      <w:pPr>
        <w:pStyle w:val="3"/>
        <w:keepNext w:val="0"/>
        <w:keepLines/>
        <w:pageBreakBefore/>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default" w:ascii="Times New Roman" w:hAnsi="Times New Roman" w:eastAsia="黑体" w:cs="Times New Roman"/>
          <w:b/>
          <w:bCs/>
          <w:sz w:val="28"/>
          <w:szCs w:val="28"/>
          <w:lang w:val="en-US" w:eastAsia="zh-CN"/>
        </w:rPr>
      </w:pPr>
      <w:bookmarkStart w:id="180" w:name="_Toc5318_WPSOffice_Level2"/>
      <w:r>
        <w:rPr>
          <w:rFonts w:hint="eastAsia" w:ascii="Times New Roman" w:hAnsi="Times New Roman" w:eastAsia="黑体" w:cs="Times New Roman"/>
          <w:b/>
          <w:bCs/>
          <w:sz w:val="28"/>
          <w:szCs w:val="28"/>
          <w:lang w:val="en-US" w:eastAsia="zh-CN"/>
        </w:rPr>
        <w:t>5.</w:t>
      </w:r>
      <w:r>
        <w:rPr>
          <w:rFonts w:hint="eastAsia" w:ascii="Times New Roman" w:hAnsi="Times New Roman" w:cs="Times New Roman"/>
          <w:b/>
          <w:bCs/>
          <w:sz w:val="28"/>
          <w:szCs w:val="28"/>
          <w:lang w:val="en-US" w:eastAsia="zh-CN"/>
        </w:rPr>
        <w:t>2</w:t>
      </w:r>
      <w:r>
        <w:rPr>
          <w:rFonts w:hint="eastAsia" w:ascii="Times New Roman" w:hAnsi="Times New Roman" w:eastAsia="黑体" w:cs="Times New Roman"/>
          <w:b/>
          <w:bCs/>
          <w:sz w:val="28"/>
          <w:szCs w:val="28"/>
          <w:lang w:val="en-US" w:eastAsia="zh-CN"/>
        </w:rPr>
        <w:t xml:space="preserve"> </w:t>
      </w:r>
      <w:r>
        <w:rPr>
          <w:rFonts w:hint="default" w:ascii="Times New Roman" w:hAnsi="Times New Roman" w:eastAsia="黑体" w:cs="Times New Roman"/>
          <w:b/>
          <w:bCs/>
          <w:sz w:val="28"/>
          <w:szCs w:val="28"/>
          <w:lang w:val="en-US" w:eastAsia="zh-CN"/>
        </w:rPr>
        <w:t>区域声环境监测结果达标性分析</w:t>
      </w:r>
      <w:bookmarkEnd w:id="180"/>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5.2.1 </w:t>
      </w:r>
      <w:r>
        <w:rPr>
          <w:rFonts w:hint="default" w:ascii="Times New Roman" w:hAnsi="Times New Roman" w:eastAsia="宋体" w:cs="Times New Roman"/>
          <w:b/>
          <w:bCs/>
          <w:sz w:val="28"/>
          <w:szCs w:val="28"/>
          <w:lang w:val="en-US" w:eastAsia="zh-CN"/>
        </w:rPr>
        <w:t>昼间-区域声环境监测结果达标性分析</w:t>
      </w:r>
    </w:p>
    <w:p>
      <w:pPr>
        <w:numPr>
          <w:ilvl w:val="0"/>
          <w:numId w:val="0"/>
        </w:numPr>
        <w:ind w:leftChars="0"/>
        <w:outlineLvl w:val="9"/>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（1）区域声环境不达标检测结果统计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8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表5.</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 xml:space="preserve"> 区域声环境（昼）监测结果不达标统计表</w:t>
      </w:r>
    </w:p>
    <w:tbl>
      <w:tblPr>
        <w:tblStyle w:val="8"/>
        <w:tblW w:w="9559" w:type="dxa"/>
        <w:jc w:val="center"/>
        <w:shd w:val="clear" w:color="auto" w:fill="auto"/>
        <w:tblLayout w:type="fixed"/>
        <w:tblCellMar>
          <w:top w:w="0" w:type="dxa"/>
          <w:left w:w="0" w:type="dxa"/>
          <w:bottom w:w="0" w:type="dxa"/>
          <w:right w:w="0" w:type="dxa"/>
        </w:tblCellMar>
      </w:tblPr>
      <w:tblGrid>
        <w:gridCol w:w="1816"/>
        <w:gridCol w:w="3004"/>
        <w:gridCol w:w="1660"/>
        <w:gridCol w:w="928"/>
        <w:gridCol w:w="1224"/>
        <w:gridCol w:w="927"/>
      </w:tblGrid>
      <w:tr>
        <w:tblPrEx>
          <w:shd w:val="clear" w:color="auto" w:fill="auto"/>
          <w:tblCellMar>
            <w:top w:w="0" w:type="dxa"/>
            <w:left w:w="0" w:type="dxa"/>
            <w:bottom w:w="0" w:type="dxa"/>
            <w:right w:w="0" w:type="dxa"/>
          </w:tblCellMar>
        </w:tblPrEx>
        <w:trPr>
          <w:trHeight w:val="567" w:hRule="atLeast"/>
          <w:tblHeader/>
          <w:jc w:val="center"/>
        </w:trPr>
        <w:tc>
          <w:tcPr>
            <w:tcW w:w="955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监测时间，昼间：</w:t>
            </w:r>
            <w:r>
              <w:rPr>
                <w:rStyle w:val="20"/>
                <w:rFonts w:eastAsia="宋体"/>
                <w:sz w:val="24"/>
                <w:szCs w:val="24"/>
                <w:lang w:val="en-US" w:eastAsia="zh-CN" w:bidi="ar"/>
              </w:rPr>
              <w:t>2018.9.11</w:t>
            </w:r>
            <w:r>
              <w:rPr>
                <w:rFonts w:hint="eastAsia" w:ascii="宋体" w:hAnsi="宋体" w:eastAsia="宋体" w:cs="宋体"/>
                <w:i w:val="0"/>
                <w:color w:val="000000"/>
                <w:kern w:val="0"/>
                <w:sz w:val="24"/>
                <w:szCs w:val="24"/>
                <w:u w:val="none"/>
                <w:lang w:val="en-US" w:eastAsia="zh-CN" w:bidi="ar"/>
              </w:rPr>
              <w:t>日～</w:t>
            </w:r>
            <w:r>
              <w:rPr>
                <w:rStyle w:val="20"/>
                <w:rFonts w:eastAsia="宋体"/>
                <w:sz w:val="24"/>
                <w:szCs w:val="24"/>
                <w:lang w:val="en-US" w:eastAsia="zh-CN" w:bidi="ar"/>
              </w:rPr>
              <w:t>9.25</w:t>
            </w:r>
            <w:r>
              <w:rPr>
                <w:rFonts w:hint="eastAsia" w:ascii="宋体" w:hAnsi="宋体" w:eastAsia="宋体" w:cs="宋体"/>
                <w:i w:val="0"/>
                <w:color w:val="000000"/>
                <w:kern w:val="0"/>
                <w:sz w:val="24"/>
                <w:szCs w:val="24"/>
                <w:u w:val="none"/>
                <w:lang w:val="en-US" w:eastAsia="zh-CN" w:bidi="ar"/>
              </w:rPr>
              <w:t>日；</w:t>
            </w:r>
            <w:r>
              <w:rPr>
                <w:rStyle w:val="20"/>
                <w:rFonts w:eastAsia="宋体"/>
                <w:sz w:val="24"/>
                <w:szCs w:val="24"/>
                <w:lang w:val="en-US" w:eastAsia="zh-CN" w:bidi="ar"/>
              </w:rPr>
              <w:t xml:space="preserve"> </w:t>
            </w:r>
            <w:r>
              <w:rPr>
                <w:rFonts w:hint="eastAsia" w:ascii="宋体" w:hAnsi="宋体" w:eastAsia="宋体" w:cs="宋体"/>
                <w:i w:val="0"/>
                <w:color w:val="000000"/>
                <w:kern w:val="0"/>
                <w:sz w:val="24"/>
                <w:szCs w:val="24"/>
                <w:u w:val="none"/>
                <w:lang w:val="en-US" w:eastAsia="zh-CN" w:bidi="ar"/>
              </w:rPr>
              <w:t>夜间：</w:t>
            </w:r>
            <w:r>
              <w:rPr>
                <w:rStyle w:val="20"/>
                <w:rFonts w:eastAsia="宋体"/>
                <w:sz w:val="24"/>
                <w:szCs w:val="24"/>
                <w:lang w:val="en-US" w:eastAsia="zh-CN" w:bidi="ar"/>
              </w:rPr>
              <w:t>2018.9.25</w:t>
            </w:r>
            <w:r>
              <w:rPr>
                <w:rFonts w:hint="eastAsia" w:ascii="宋体" w:hAnsi="宋体" w:eastAsia="宋体" w:cs="宋体"/>
                <w:i w:val="0"/>
                <w:color w:val="000000"/>
                <w:kern w:val="0"/>
                <w:sz w:val="24"/>
                <w:szCs w:val="24"/>
                <w:u w:val="none"/>
                <w:lang w:val="en-US" w:eastAsia="zh-CN" w:bidi="ar"/>
              </w:rPr>
              <w:t>日～</w:t>
            </w:r>
            <w:r>
              <w:rPr>
                <w:rStyle w:val="20"/>
                <w:rFonts w:eastAsia="宋体"/>
                <w:sz w:val="24"/>
                <w:szCs w:val="24"/>
                <w:lang w:val="en-US" w:eastAsia="zh-CN" w:bidi="ar"/>
              </w:rPr>
              <w:t>9.30</w:t>
            </w:r>
            <w:r>
              <w:rPr>
                <w:rFonts w:hint="eastAsia" w:ascii="宋体" w:hAnsi="宋体" w:eastAsia="宋体" w:cs="宋体"/>
                <w:i w:val="0"/>
                <w:color w:val="000000"/>
                <w:kern w:val="0"/>
                <w:sz w:val="24"/>
                <w:szCs w:val="24"/>
                <w:u w:val="none"/>
                <w:lang w:val="en-US" w:eastAsia="zh-CN" w:bidi="ar"/>
              </w:rPr>
              <w:t>日</w:t>
            </w:r>
            <w:r>
              <w:rPr>
                <w:rStyle w:val="20"/>
                <w:rFonts w:eastAsia="宋体"/>
                <w:sz w:val="24"/>
                <w:szCs w:val="24"/>
                <w:lang w:val="en-US" w:eastAsia="zh-CN" w:bidi="ar"/>
              </w:rPr>
              <w:t xml:space="preserve">   </w:t>
            </w:r>
            <w:r>
              <w:rPr>
                <w:rFonts w:hint="eastAsia" w:ascii="宋体" w:hAnsi="宋体" w:eastAsia="宋体" w:cs="宋体"/>
                <w:i w:val="0"/>
                <w:color w:val="000000"/>
                <w:kern w:val="0"/>
                <w:sz w:val="24"/>
                <w:szCs w:val="24"/>
                <w:u w:val="none"/>
                <w:lang w:val="en-US" w:eastAsia="zh-CN" w:bidi="ar"/>
              </w:rPr>
              <w:t>单位</w:t>
            </w:r>
            <w:r>
              <w:rPr>
                <w:rStyle w:val="20"/>
                <w:rFonts w:eastAsia="宋体"/>
                <w:sz w:val="24"/>
                <w:szCs w:val="24"/>
                <w:lang w:val="en-US" w:eastAsia="zh-CN" w:bidi="ar"/>
              </w:rPr>
              <w:t>[dB(A)]</w:t>
            </w:r>
          </w:p>
        </w:tc>
      </w:tr>
      <w:tr>
        <w:tblPrEx>
          <w:tblCellMar>
            <w:top w:w="0" w:type="dxa"/>
            <w:left w:w="0" w:type="dxa"/>
            <w:bottom w:w="0" w:type="dxa"/>
            <w:right w:w="0" w:type="dxa"/>
          </w:tblCellMar>
        </w:tblPrEx>
        <w:trPr>
          <w:trHeight w:val="567" w:hRule="atLeast"/>
          <w:tblHeader/>
          <w:jc w:val="center"/>
        </w:trPr>
        <w:tc>
          <w:tcPr>
            <w:tcW w:w="18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网格代码</w:t>
            </w:r>
          </w:p>
        </w:tc>
        <w:tc>
          <w:tcPr>
            <w:tcW w:w="30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测</w:t>
            </w:r>
            <w:r>
              <w:rPr>
                <w:rStyle w:val="20"/>
                <w:rFonts w:eastAsia="宋体"/>
                <w:sz w:val="24"/>
                <w:szCs w:val="24"/>
                <w:lang w:val="en-US" w:eastAsia="zh-CN" w:bidi="ar"/>
              </w:rPr>
              <w:t xml:space="preserve"> </w:t>
            </w:r>
            <w:r>
              <w:rPr>
                <w:rFonts w:hint="eastAsia" w:ascii="宋体" w:hAnsi="宋体" w:eastAsia="宋体" w:cs="宋体"/>
                <w:i w:val="0"/>
                <w:color w:val="000000"/>
                <w:kern w:val="0"/>
                <w:sz w:val="24"/>
                <w:szCs w:val="24"/>
                <w:u w:val="none"/>
                <w:lang w:val="en-US" w:eastAsia="zh-CN" w:bidi="ar"/>
              </w:rPr>
              <w:t>点</w:t>
            </w:r>
            <w:r>
              <w:rPr>
                <w:rStyle w:val="20"/>
                <w:rFonts w:eastAsia="宋体"/>
                <w:sz w:val="24"/>
                <w:szCs w:val="24"/>
                <w:lang w:val="en-US" w:eastAsia="zh-CN" w:bidi="ar"/>
              </w:rPr>
              <w:t xml:space="preserve"> </w:t>
            </w:r>
            <w:r>
              <w:rPr>
                <w:rFonts w:hint="eastAsia" w:ascii="宋体" w:hAnsi="宋体" w:eastAsia="宋体" w:cs="宋体"/>
                <w:i w:val="0"/>
                <w:color w:val="000000"/>
                <w:kern w:val="0"/>
                <w:sz w:val="24"/>
                <w:szCs w:val="24"/>
                <w:u w:val="none"/>
                <w:lang w:val="en-US" w:eastAsia="zh-CN" w:bidi="ar"/>
              </w:rPr>
              <w:t>名</w:t>
            </w:r>
            <w:r>
              <w:rPr>
                <w:rStyle w:val="20"/>
                <w:rFonts w:eastAsia="宋体"/>
                <w:sz w:val="24"/>
                <w:szCs w:val="24"/>
                <w:lang w:val="en-US" w:eastAsia="zh-CN" w:bidi="ar"/>
              </w:rPr>
              <w:t xml:space="preserve"> </w:t>
            </w:r>
            <w:r>
              <w:rPr>
                <w:rFonts w:hint="eastAsia" w:ascii="宋体" w:hAnsi="宋体" w:eastAsia="宋体" w:cs="宋体"/>
                <w:i w:val="0"/>
                <w:color w:val="000000"/>
                <w:kern w:val="0"/>
                <w:sz w:val="24"/>
                <w:szCs w:val="24"/>
                <w:u w:val="none"/>
                <w:lang w:val="en-US" w:eastAsia="zh-CN" w:bidi="ar"/>
              </w:rPr>
              <w:t>称</w:t>
            </w:r>
          </w:p>
        </w:tc>
        <w:tc>
          <w:tcPr>
            <w:tcW w:w="38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昼间</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功能区</w:t>
            </w:r>
          </w:p>
        </w:tc>
      </w:tr>
      <w:tr>
        <w:tblPrEx>
          <w:tblCellMar>
            <w:top w:w="0" w:type="dxa"/>
            <w:left w:w="0" w:type="dxa"/>
            <w:bottom w:w="0" w:type="dxa"/>
            <w:right w:w="0" w:type="dxa"/>
          </w:tblCellMar>
        </w:tblPrEx>
        <w:trPr>
          <w:trHeight w:val="567" w:hRule="atLeast"/>
          <w:tblHeader/>
          <w:jc w:val="center"/>
        </w:trPr>
        <w:tc>
          <w:tcPr>
            <w:tcW w:w="18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昼间测值</w:t>
            </w:r>
            <w:r>
              <w:rPr>
                <w:rStyle w:val="20"/>
                <w:rFonts w:eastAsia="宋体"/>
                <w:sz w:val="24"/>
                <w:szCs w:val="24"/>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标准值</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是否达标</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530129100005</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检察院住宅区</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康泰骨科医院</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530129100009</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仁德一中</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530129100011</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寻甸县体育中心北</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530129100013</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县民族中学南</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530129100017</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县委住宅小区</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寻甸县体育中心南</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530129100028</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仙湖饭店</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530129100047</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寻甸县幼儿园</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寻甸第一中学旧址</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530129100056</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河口镇小区</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新农贸市场</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530129100065</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县电影院</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530129100073</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中国联通县营业厅西面</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530129100081</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电力大厦东面</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530129100092</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苗圃</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530129100103</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月甲村</w:t>
            </w:r>
            <w:r>
              <w:rPr>
                <w:rStyle w:val="20"/>
                <w:rFonts w:eastAsia="宋体"/>
                <w:sz w:val="24"/>
                <w:szCs w:val="24"/>
                <w:lang w:val="en-US" w:eastAsia="zh-CN" w:bidi="ar"/>
              </w:rPr>
              <w:t>145</w:t>
            </w:r>
            <w:r>
              <w:rPr>
                <w:rFonts w:hint="eastAsia" w:ascii="宋体" w:hAnsi="宋体" w:eastAsia="宋体" w:cs="宋体"/>
                <w:i w:val="0"/>
                <w:color w:val="000000"/>
                <w:kern w:val="0"/>
                <w:sz w:val="24"/>
                <w:szCs w:val="24"/>
                <w:u w:val="none"/>
                <w:lang w:val="en-US" w:eastAsia="zh-CN" w:bidi="ar"/>
              </w:rPr>
              <w:t>号</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县疾病预防控制中心</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城关农机加油站</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530129100129</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仁德三小</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530129100133</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东宝大酒店南面</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530129100134</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奇瑞汽车专卖店</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530129100135</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洪峰汽车销售公司</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4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类功能区超标点位汇总</w:t>
            </w: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58.14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超标</w:t>
            </w:r>
            <w:r>
              <w:rPr>
                <w:rFonts w:hint="default" w:ascii="Times New Roman" w:hAnsi="Times New Roman" w:eastAsia="宋体" w:cs="Times New Roman"/>
                <w:i w:val="0"/>
                <w:color w:val="000000"/>
                <w:kern w:val="0"/>
                <w:sz w:val="24"/>
                <w:szCs w:val="24"/>
                <w:u w:val="none"/>
                <w:lang w:val="en-US" w:eastAsia="zh-CN" w:bidi="ar"/>
              </w:rPr>
              <w:t>23</w:t>
            </w:r>
            <w:r>
              <w:rPr>
                <w:rFonts w:hint="eastAsia" w:ascii="宋体" w:hAnsi="宋体" w:eastAsia="宋体" w:cs="宋体"/>
                <w:i w:val="0"/>
                <w:color w:val="000000"/>
                <w:kern w:val="0"/>
                <w:sz w:val="24"/>
                <w:szCs w:val="24"/>
                <w:u w:val="none"/>
                <w:lang w:val="en-US" w:eastAsia="zh-CN" w:bidi="ar"/>
              </w:rPr>
              <w:t>个</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530129100100</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县城污水处理厂</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530129100101</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果园山庄</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65.3</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jc w:val="center"/>
        </w:trPr>
        <w:tc>
          <w:tcPr>
            <w:tcW w:w="1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530129100109</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仁德一小新区</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jc w:val="center"/>
        </w:trPr>
        <w:tc>
          <w:tcPr>
            <w:tcW w:w="4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类功能区超标点位汇总</w:t>
            </w: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1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63.67</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超标</w:t>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个</w:t>
            </w:r>
          </w:p>
        </w:tc>
      </w:tr>
    </w:tbl>
    <w:p>
      <w:pPr>
        <w:kinsoku/>
        <w:wordWrap/>
        <w:overflowPunct/>
        <w:topLinePunct w:val="0"/>
        <w:autoSpaceDE/>
        <w:autoSpaceDN/>
        <w:bidi w:val="0"/>
        <w:spacing w:line="360" w:lineRule="auto"/>
        <w:ind w:left="210" w:leftChars="100" w:firstLine="280" w:firstLineChars="100"/>
        <w:rPr>
          <w:rFonts w:hint="default" w:ascii="Times New Roman" w:hAnsi="Times New Roman"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寻甸回族彝族自治县</w:t>
      </w:r>
      <w:r>
        <w:rPr>
          <w:rFonts w:hint="default" w:ascii="Times New Roman" w:hAnsi="Times New Roman" w:eastAsia="宋体" w:cs="Times New Roman"/>
          <w:b w:val="0"/>
          <w:bCs w:val="0"/>
          <w:sz w:val="28"/>
          <w:szCs w:val="28"/>
        </w:rPr>
        <w:t>中心城区区域环境噪声共设监测范围</w:t>
      </w:r>
      <w:r>
        <w:rPr>
          <w:rFonts w:hint="default"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rPr>
        <w:t>00m×</w:t>
      </w:r>
      <w:r>
        <w:rPr>
          <w:rFonts w:hint="default"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rPr>
        <w:t>00m网格点</w:t>
      </w:r>
      <w:r>
        <w:rPr>
          <w:rFonts w:hint="default" w:ascii="Times New Roman" w:hAnsi="Times New Roman" w:eastAsia="宋体" w:cs="Times New Roman"/>
          <w:b w:val="0"/>
          <w:bCs w:val="0"/>
          <w:sz w:val="28"/>
          <w:szCs w:val="28"/>
          <w:lang w:val="en-US" w:eastAsia="zh-CN"/>
        </w:rPr>
        <w:t>135</w:t>
      </w:r>
      <w:r>
        <w:rPr>
          <w:rFonts w:hint="default" w:ascii="Times New Roman" w:hAnsi="Times New Roman" w:eastAsia="宋体" w:cs="Times New Roman"/>
          <w:b w:val="0"/>
          <w:bCs w:val="0"/>
          <w:sz w:val="28"/>
          <w:szCs w:val="28"/>
        </w:rPr>
        <w:t>个，网格覆盖面积为</w:t>
      </w:r>
      <w:r>
        <w:rPr>
          <w:rFonts w:hint="default" w:ascii="Times New Roman" w:hAnsi="Times New Roman" w:eastAsia="宋体" w:cs="Times New Roman"/>
          <w:b w:val="0"/>
          <w:bCs w:val="0"/>
          <w:sz w:val="28"/>
          <w:szCs w:val="28"/>
          <w:lang w:val="en-US" w:eastAsia="zh-CN"/>
        </w:rPr>
        <w:t>5.4</w:t>
      </w:r>
      <w:r>
        <w:rPr>
          <w:rFonts w:hint="default" w:ascii="Times New Roman" w:hAnsi="Times New Roman" w:eastAsia="宋体" w:cs="Times New Roman"/>
          <w:b w:val="0"/>
          <w:bCs w:val="0"/>
          <w:sz w:val="28"/>
          <w:szCs w:val="28"/>
        </w:rPr>
        <w:t>km</w:t>
      </w:r>
      <w:r>
        <w:rPr>
          <w:rFonts w:hint="default" w:ascii="Times New Roman" w:hAnsi="Times New Roman" w:eastAsia="宋体" w:cs="Times New Roman"/>
          <w:b w:val="0"/>
          <w:bCs w:val="0"/>
          <w:sz w:val="28"/>
          <w:szCs w:val="28"/>
          <w:vertAlign w:val="superscript"/>
        </w:rPr>
        <w:t>2</w:t>
      </w:r>
      <w:r>
        <w:rPr>
          <w:rFonts w:hint="default" w:ascii="Times New Roman" w:hAnsi="Times New Roman" w:eastAsia="宋体" w:cs="Times New Roman"/>
          <w:b w:val="0"/>
          <w:bCs w:val="0"/>
          <w:sz w:val="28"/>
          <w:szCs w:val="28"/>
          <w:vertAlign w:val="baseline"/>
          <w:lang w:eastAsia="zh-CN"/>
        </w:rPr>
        <w:t>，</w:t>
      </w:r>
      <w:r>
        <w:rPr>
          <w:rFonts w:hint="default" w:ascii="Times New Roman" w:hAnsi="Times New Roman" w:eastAsia="宋体" w:cs="Times New Roman"/>
          <w:b w:val="0"/>
          <w:bCs w:val="0"/>
          <w:sz w:val="28"/>
          <w:szCs w:val="28"/>
        </w:rPr>
        <w:t>区域</w:t>
      </w:r>
      <w:r>
        <w:rPr>
          <w:rFonts w:hint="default" w:ascii="Times New Roman" w:hAnsi="Times New Roman" w:eastAsia="宋体" w:cs="Times New Roman"/>
          <w:b w:val="0"/>
          <w:bCs w:val="0"/>
          <w:sz w:val="28"/>
          <w:szCs w:val="28"/>
          <w:lang w:val="en-US" w:eastAsia="zh-CN"/>
        </w:rPr>
        <w:t>声环境</w:t>
      </w:r>
      <w:r>
        <w:rPr>
          <w:rFonts w:hint="default" w:ascii="Times New Roman" w:hAnsi="Times New Roman" w:eastAsia="宋体" w:cs="Times New Roman"/>
          <w:b w:val="0"/>
          <w:bCs w:val="0"/>
          <w:sz w:val="28"/>
          <w:szCs w:val="28"/>
        </w:rPr>
        <w:t>监测的网格点中</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区划1类功能区共有10</w:t>
      </w:r>
      <w:r>
        <w:rPr>
          <w:rFonts w:hint="eastAsia" w:ascii="Times New Roman" w:hAnsi="Times New Roman" w:eastAsia="宋体" w:cs="Times New Roman"/>
          <w:b w:val="0"/>
          <w:bCs w:val="0"/>
          <w:sz w:val="28"/>
          <w:szCs w:val="28"/>
          <w:lang w:val="en-US" w:eastAsia="zh-CN"/>
        </w:rPr>
        <w:t>3</w:t>
      </w:r>
      <w:r>
        <w:rPr>
          <w:rFonts w:hint="default" w:ascii="Times New Roman" w:hAnsi="Times New Roman" w:eastAsia="宋体" w:cs="Times New Roman"/>
          <w:b w:val="0"/>
          <w:bCs w:val="0"/>
          <w:sz w:val="28"/>
          <w:szCs w:val="28"/>
          <w:lang w:val="en-US" w:eastAsia="zh-CN"/>
        </w:rPr>
        <w:t>个监测点，占总监测点的7</w:t>
      </w:r>
      <w:r>
        <w:rPr>
          <w:rFonts w:hint="eastAsia" w:ascii="Times New Roman" w:hAnsi="Times New Roman" w:eastAsia="宋体" w:cs="Times New Roman"/>
          <w:b w:val="0"/>
          <w:bCs w:val="0"/>
          <w:sz w:val="28"/>
          <w:szCs w:val="28"/>
          <w:lang w:val="en-US" w:eastAsia="zh-CN"/>
        </w:rPr>
        <w:t>6.30</w:t>
      </w:r>
      <w:r>
        <w:rPr>
          <w:rFonts w:hint="default" w:ascii="Times New Roman" w:hAnsi="Times New Roman" w:eastAsia="宋体" w:cs="Times New Roman"/>
          <w:b w:val="0"/>
          <w:bCs w:val="0"/>
          <w:sz w:val="28"/>
          <w:szCs w:val="28"/>
          <w:lang w:val="en-US" w:eastAsia="zh-CN"/>
        </w:rPr>
        <w:t>%。其中昼间超标点有2</w:t>
      </w:r>
      <w:r>
        <w:rPr>
          <w:rFonts w:hint="eastAsia" w:ascii="Times New Roman" w:hAnsi="Times New Roman" w:eastAsia="宋体" w:cs="Times New Roman"/>
          <w:b w:val="0"/>
          <w:bCs w:val="0"/>
          <w:sz w:val="28"/>
          <w:szCs w:val="28"/>
          <w:lang w:val="en-US" w:eastAsia="zh-CN"/>
        </w:rPr>
        <w:t>3</w:t>
      </w:r>
      <w:r>
        <w:rPr>
          <w:rFonts w:hint="default" w:ascii="Times New Roman" w:hAnsi="Times New Roman" w:eastAsia="宋体" w:cs="Times New Roman"/>
          <w:b w:val="0"/>
          <w:bCs w:val="0"/>
          <w:sz w:val="28"/>
          <w:szCs w:val="28"/>
          <w:lang w:val="en-US" w:eastAsia="zh-CN"/>
        </w:rPr>
        <w:t>个，超标率为</w:t>
      </w:r>
      <w:r>
        <w:rPr>
          <w:rFonts w:hint="eastAsia" w:ascii="Times New Roman" w:hAnsi="Times New Roman" w:eastAsia="宋体" w:cs="Times New Roman"/>
          <w:b w:val="0"/>
          <w:bCs w:val="0"/>
          <w:sz w:val="28"/>
          <w:szCs w:val="28"/>
          <w:lang w:val="en-US" w:eastAsia="zh-CN"/>
        </w:rPr>
        <w:t>17.04</w:t>
      </w:r>
      <w:r>
        <w:rPr>
          <w:rFonts w:hint="default" w:ascii="Times New Roman" w:hAnsi="Times New Roman" w:eastAsia="宋体" w:cs="Times New Roman"/>
          <w:b w:val="0"/>
          <w:bCs w:val="0"/>
          <w:sz w:val="28"/>
          <w:szCs w:val="28"/>
          <w:lang w:val="en-US" w:eastAsia="zh-CN"/>
        </w:rPr>
        <w:t>%；1类声环境功能区超标点位的平均L</w:t>
      </w:r>
      <w:r>
        <w:rPr>
          <w:rFonts w:hint="default" w:ascii="Times New Roman" w:hAnsi="Times New Roman" w:eastAsia="宋体" w:cs="Times New Roman"/>
          <w:b w:val="0"/>
          <w:bCs w:val="0"/>
          <w:sz w:val="28"/>
          <w:szCs w:val="28"/>
          <w:vertAlign w:val="subscript"/>
          <w:lang w:val="en-US" w:eastAsia="zh-CN"/>
        </w:rPr>
        <w:t>eq</w:t>
      </w:r>
      <w:r>
        <w:rPr>
          <w:rFonts w:hint="default" w:ascii="Times New Roman" w:hAnsi="Times New Roman" w:eastAsia="宋体" w:cs="Times New Roman"/>
          <w:b w:val="0"/>
          <w:bCs w:val="0"/>
          <w:sz w:val="28"/>
          <w:szCs w:val="28"/>
          <w:lang w:val="en-US" w:eastAsia="zh-CN"/>
        </w:rPr>
        <w:t>为5</w:t>
      </w:r>
      <w:r>
        <w:rPr>
          <w:rFonts w:hint="eastAsia" w:ascii="Times New Roman" w:hAnsi="Times New Roman" w:eastAsia="宋体" w:cs="Times New Roman"/>
          <w:b w:val="0"/>
          <w:bCs w:val="0"/>
          <w:sz w:val="28"/>
          <w:szCs w:val="28"/>
          <w:lang w:val="en-US" w:eastAsia="zh-CN"/>
        </w:rPr>
        <w:t>8.14</w:t>
      </w:r>
      <w:r>
        <w:rPr>
          <w:rFonts w:hint="default" w:ascii="Times New Roman" w:hAnsi="Times New Roman" w:eastAsia="宋体" w:cs="Times New Roman"/>
          <w:b w:val="0"/>
          <w:bCs w:val="0"/>
          <w:sz w:val="28"/>
          <w:szCs w:val="28"/>
          <w:lang w:val="en-US" w:eastAsia="zh-CN"/>
        </w:rPr>
        <w:t>dB(A)，昼间1类标准55dB(A)，整体超标幅度较</w:t>
      </w:r>
      <w:r>
        <w:rPr>
          <w:rFonts w:hint="eastAsia" w:ascii="Times New Roman" w:hAnsi="Times New Roman" w:eastAsia="宋体" w:cs="Times New Roman"/>
          <w:b w:val="0"/>
          <w:bCs w:val="0"/>
          <w:sz w:val="28"/>
          <w:szCs w:val="28"/>
          <w:lang w:val="en-US" w:eastAsia="zh-CN"/>
        </w:rPr>
        <w:t>大</w:t>
      </w:r>
      <w:r>
        <w:rPr>
          <w:rFonts w:hint="default" w:ascii="Times New Roman" w:hAnsi="Times New Roman" w:eastAsia="宋体" w:cs="Times New Roman"/>
          <w:b w:val="0"/>
          <w:bCs w:val="0"/>
          <w:sz w:val="28"/>
          <w:szCs w:val="28"/>
          <w:lang w:val="en-US" w:eastAsia="zh-CN"/>
        </w:rPr>
        <w:t>。区划2类功能区共有3</w:t>
      </w:r>
      <w:r>
        <w:rPr>
          <w:rFonts w:hint="eastAsia" w:ascii="Times New Roman" w:hAnsi="Times New Roman" w:eastAsia="宋体" w:cs="Times New Roman"/>
          <w:b w:val="0"/>
          <w:bCs w:val="0"/>
          <w:sz w:val="28"/>
          <w:szCs w:val="28"/>
          <w:lang w:val="en-US" w:eastAsia="zh-CN"/>
        </w:rPr>
        <w:t>1</w:t>
      </w:r>
      <w:r>
        <w:rPr>
          <w:rFonts w:hint="default" w:ascii="Times New Roman" w:hAnsi="Times New Roman" w:eastAsia="宋体" w:cs="Times New Roman"/>
          <w:b w:val="0"/>
          <w:bCs w:val="0"/>
          <w:sz w:val="28"/>
          <w:szCs w:val="28"/>
          <w:lang w:val="en-US" w:eastAsia="zh-CN"/>
        </w:rPr>
        <w:t>个监测点，占总监测点的</w:t>
      </w:r>
      <w:r>
        <w:rPr>
          <w:rFonts w:hint="eastAsia" w:ascii="Times New Roman" w:hAnsi="Times New Roman" w:eastAsia="宋体" w:cs="Times New Roman"/>
          <w:b w:val="0"/>
          <w:bCs w:val="0"/>
          <w:sz w:val="28"/>
          <w:szCs w:val="28"/>
          <w:lang w:val="en-US" w:eastAsia="zh-CN"/>
        </w:rPr>
        <w:t>22.96</w:t>
      </w:r>
      <w:r>
        <w:rPr>
          <w:rFonts w:hint="default" w:ascii="Times New Roman" w:hAnsi="Times New Roman" w:eastAsia="宋体" w:cs="Times New Roman"/>
          <w:b w:val="0"/>
          <w:bCs w:val="0"/>
          <w:sz w:val="28"/>
          <w:szCs w:val="28"/>
          <w:lang w:val="en-US" w:eastAsia="zh-CN"/>
        </w:rPr>
        <w:t>%。其中昼间超标点有3个，超标率为2.22%，2类声环境功能区超标点位的平均L</w:t>
      </w:r>
      <w:r>
        <w:rPr>
          <w:rFonts w:hint="default" w:ascii="Times New Roman" w:hAnsi="Times New Roman" w:eastAsia="宋体" w:cs="Times New Roman"/>
          <w:b w:val="0"/>
          <w:bCs w:val="0"/>
          <w:sz w:val="28"/>
          <w:szCs w:val="28"/>
          <w:vertAlign w:val="subscript"/>
          <w:lang w:val="en-US" w:eastAsia="zh-CN"/>
        </w:rPr>
        <w:t>eq</w:t>
      </w:r>
      <w:r>
        <w:rPr>
          <w:rFonts w:hint="default" w:ascii="Times New Roman" w:hAnsi="Times New Roman" w:eastAsia="宋体" w:cs="Times New Roman"/>
          <w:b w:val="0"/>
          <w:bCs w:val="0"/>
          <w:sz w:val="28"/>
          <w:szCs w:val="28"/>
          <w:lang w:val="en-US" w:eastAsia="zh-CN"/>
        </w:rPr>
        <w:t>为63.</w:t>
      </w:r>
      <w:r>
        <w:rPr>
          <w:rFonts w:hint="eastAsia" w:ascii="Times New Roman" w:hAnsi="Times New Roman" w:eastAsia="宋体" w:cs="Times New Roman"/>
          <w:b w:val="0"/>
          <w:bCs w:val="0"/>
          <w:sz w:val="28"/>
          <w:szCs w:val="28"/>
          <w:lang w:val="en-US" w:eastAsia="zh-CN"/>
        </w:rPr>
        <w:t>67</w:t>
      </w:r>
      <w:r>
        <w:rPr>
          <w:rFonts w:hint="default" w:ascii="Times New Roman" w:hAnsi="Times New Roman" w:eastAsia="宋体" w:cs="Times New Roman"/>
          <w:b w:val="0"/>
          <w:bCs w:val="0"/>
          <w:sz w:val="28"/>
          <w:szCs w:val="28"/>
          <w:lang w:val="en-US" w:eastAsia="zh-CN"/>
        </w:rPr>
        <w:t>dB(A)，2类区昼间标准值为60dB(A)</w:t>
      </w:r>
      <w:r>
        <w:rPr>
          <w:rFonts w:hint="eastAsia" w:ascii="Times New Roman" w:hAnsi="Times New Roman" w:eastAsia="宋体" w:cs="Times New Roman"/>
          <w:b w:val="0"/>
          <w:bCs w:val="0"/>
          <w:sz w:val="28"/>
          <w:szCs w:val="28"/>
          <w:lang w:val="en-US" w:eastAsia="zh-CN"/>
        </w:rPr>
        <w:t>，</w:t>
      </w:r>
      <w:r>
        <w:rPr>
          <w:rFonts w:hint="default" w:ascii="Times New Roman" w:hAnsi="Times New Roman" w:cs="Times New Roman"/>
          <w:b w:val="0"/>
          <w:bCs w:val="0"/>
          <w:sz w:val="28"/>
          <w:szCs w:val="28"/>
          <w:lang w:val="en-US" w:eastAsia="zh-CN"/>
        </w:rPr>
        <w:t>整体</w:t>
      </w:r>
      <w:r>
        <w:rPr>
          <w:rFonts w:hint="eastAsia" w:ascii="Times New Roman" w:hAnsi="Times New Roman" w:cs="Times New Roman"/>
          <w:b w:val="0"/>
          <w:bCs w:val="0"/>
          <w:sz w:val="28"/>
          <w:szCs w:val="28"/>
          <w:lang w:val="en-US" w:eastAsia="zh-CN"/>
        </w:rPr>
        <w:t>超</w:t>
      </w:r>
      <w:r>
        <w:rPr>
          <w:rFonts w:hint="default" w:ascii="Times New Roman" w:hAnsi="Times New Roman" w:cs="Times New Roman"/>
          <w:b w:val="0"/>
          <w:bCs w:val="0"/>
          <w:sz w:val="28"/>
          <w:szCs w:val="28"/>
          <w:lang w:val="en-US" w:eastAsia="zh-CN"/>
        </w:rPr>
        <w:t>标幅度较</w:t>
      </w:r>
      <w:r>
        <w:rPr>
          <w:rFonts w:hint="eastAsia" w:ascii="Times New Roman" w:hAnsi="Times New Roman" w:cs="Times New Roman"/>
          <w:b w:val="0"/>
          <w:bCs w:val="0"/>
          <w:sz w:val="28"/>
          <w:szCs w:val="28"/>
          <w:lang w:val="en-US" w:eastAsia="zh-CN"/>
        </w:rPr>
        <w:t>大</w:t>
      </w:r>
      <w:r>
        <w:rPr>
          <w:rFonts w:hint="default" w:ascii="Times New Roman" w:hAnsi="Times New Roman"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lang w:val="en-US" w:eastAsia="zh-CN"/>
        </w:rPr>
        <w:t>.2 夜间-区域声环境监测结果达标性分析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表5.</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-2 区域声环境（夜）监测结果不达标统计表</w:t>
      </w:r>
    </w:p>
    <w:tbl>
      <w:tblPr>
        <w:tblStyle w:val="8"/>
        <w:tblW w:w="9525" w:type="dxa"/>
        <w:tblInd w:w="0" w:type="dxa"/>
        <w:shd w:val="clear" w:color="auto" w:fill="auto"/>
        <w:tblLayout w:type="fixed"/>
        <w:tblCellMar>
          <w:top w:w="0" w:type="dxa"/>
          <w:left w:w="0" w:type="dxa"/>
          <w:bottom w:w="0" w:type="dxa"/>
          <w:right w:w="0" w:type="dxa"/>
        </w:tblCellMar>
      </w:tblPr>
      <w:tblGrid>
        <w:gridCol w:w="1559"/>
        <w:gridCol w:w="2577"/>
        <w:gridCol w:w="1424"/>
        <w:gridCol w:w="795"/>
        <w:gridCol w:w="1050"/>
        <w:gridCol w:w="2120"/>
      </w:tblGrid>
      <w:tr>
        <w:tblPrEx>
          <w:shd w:val="clear" w:color="auto" w:fill="auto"/>
          <w:tblCellMar>
            <w:top w:w="0" w:type="dxa"/>
            <w:left w:w="0" w:type="dxa"/>
            <w:bottom w:w="0" w:type="dxa"/>
            <w:right w:w="0" w:type="dxa"/>
          </w:tblCellMar>
        </w:tblPrEx>
        <w:trPr>
          <w:trHeight w:val="567" w:hRule="atLeast"/>
          <w:tblHeader/>
        </w:trPr>
        <w:tc>
          <w:tcPr>
            <w:tcW w:w="95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监测时间，昼间：2018.9.11日～9.25日； 夜间：2018.9.25日～9.30日   单位[dB(A)]</w:t>
            </w:r>
          </w:p>
        </w:tc>
      </w:tr>
      <w:tr>
        <w:tblPrEx>
          <w:tblCellMar>
            <w:top w:w="0" w:type="dxa"/>
            <w:left w:w="0" w:type="dxa"/>
            <w:bottom w:w="0" w:type="dxa"/>
            <w:right w:w="0" w:type="dxa"/>
          </w:tblCellMar>
        </w:tblPrEx>
        <w:trPr>
          <w:trHeight w:val="567" w:hRule="atLeast"/>
          <w:tblHeader/>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网格代码</w:t>
            </w:r>
          </w:p>
        </w:tc>
        <w:tc>
          <w:tcPr>
            <w:tcW w:w="25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测 点 名 称</w:t>
            </w:r>
          </w:p>
        </w:tc>
        <w:tc>
          <w:tcPr>
            <w:tcW w:w="32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功能区</w:t>
            </w:r>
          </w:p>
        </w:tc>
      </w:tr>
      <w:tr>
        <w:tblPrEx>
          <w:tblCellMar>
            <w:top w:w="0" w:type="dxa"/>
            <w:left w:w="0" w:type="dxa"/>
            <w:bottom w:w="0" w:type="dxa"/>
            <w:right w:w="0" w:type="dxa"/>
          </w:tblCellMar>
        </w:tblPrEx>
        <w:trPr>
          <w:trHeight w:val="567" w:hRule="atLeast"/>
          <w:tblHeader/>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5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夜间测值L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标准值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是否达标</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寻甸县烟叶复烤厂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仁德财政所</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寻甸县体育中心南</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青少年宫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县林业局</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北极光东面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县审计局东面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车为客汽车美容中心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馨苑花园D2区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中国联通县营业厅西面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地方公路管理站</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县自来水厂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殡仪馆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馨苑花园B区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休闲广场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馨苑花园A区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老县日化厂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都市名苑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刘家坝村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中坝</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530129100128</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回龙村15号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仁德三小</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530129100130</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城关变电站北面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纤维板厂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530129100132</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长安汽车销售点</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530129100133</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东宝大酒店南面</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530129100134</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奇瑞汽车专卖店</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530129100135</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洪峰汽车销售公司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trPr>
        <w:tc>
          <w:tcPr>
            <w:tcW w:w="4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1类功能区超标点位汇总Leq</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49.23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超标28个</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530129100076</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润天煤气公司</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530129100091</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公园尚居4期</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57.7</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农业局防虫中心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51.9</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530129100109</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仁德一小新区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530129100117</w:t>
            </w:r>
          </w:p>
        </w:tc>
        <w:tc>
          <w:tcPr>
            <w:tcW w:w="25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河口搬迁小区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trPr>
        <w:tc>
          <w:tcPr>
            <w:tcW w:w="4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2类功能区超标点位汇总Leq</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52.48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31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超标5个</w:t>
            </w:r>
          </w:p>
        </w:tc>
      </w:tr>
    </w:tbl>
    <w:p>
      <w:pPr>
        <w:keepNext w:val="0"/>
        <w:keepLines w:val="0"/>
        <w:pageBreakBefore/>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lang w:val="en-US" w:eastAsia="zh-CN"/>
        </w:rPr>
        <w:t>2.3</w:t>
      </w:r>
      <w:r>
        <w:rPr>
          <w:rFonts w:hint="default" w:ascii="Times New Roman" w:hAnsi="Times New Roman" w:eastAsia="宋体" w:cs="Times New Roman"/>
          <w:b/>
          <w:bCs/>
          <w:sz w:val="28"/>
          <w:szCs w:val="28"/>
          <w:lang w:val="en-US" w:eastAsia="zh-CN"/>
        </w:rPr>
        <w:t xml:space="preserve"> </w:t>
      </w:r>
      <w:r>
        <w:rPr>
          <w:rFonts w:hint="eastAsia" w:ascii="Times New Roman" w:hAnsi="Times New Roman" w:eastAsia="宋体" w:cs="Times New Roman"/>
          <w:b/>
          <w:bCs/>
          <w:sz w:val="28"/>
          <w:szCs w:val="28"/>
          <w:lang w:val="en-US" w:eastAsia="zh-CN"/>
        </w:rPr>
        <w:t>昼（</w:t>
      </w:r>
      <w:r>
        <w:rPr>
          <w:rFonts w:hint="default" w:ascii="Times New Roman" w:hAnsi="Times New Roman" w:eastAsia="宋体" w:cs="Times New Roman"/>
          <w:b/>
          <w:bCs/>
          <w:sz w:val="28"/>
          <w:szCs w:val="28"/>
          <w:lang w:val="en-US" w:eastAsia="zh-CN"/>
        </w:rPr>
        <w:t>夜</w:t>
      </w:r>
      <w:r>
        <w:rPr>
          <w:rFonts w:hint="eastAsia" w:ascii="Times New Roman" w:hAnsi="Times New Roman" w:eastAsia="宋体" w:cs="Times New Roman"/>
          <w:b/>
          <w:bCs/>
          <w:sz w:val="28"/>
          <w:szCs w:val="28"/>
          <w:lang w:val="en-US" w:eastAsia="zh-CN"/>
        </w:rPr>
        <w:t>）</w:t>
      </w:r>
      <w:r>
        <w:rPr>
          <w:rFonts w:hint="default" w:ascii="Times New Roman" w:hAnsi="Times New Roman" w:eastAsia="宋体" w:cs="Times New Roman"/>
          <w:b/>
          <w:bCs/>
          <w:sz w:val="28"/>
          <w:szCs w:val="28"/>
          <w:lang w:val="en-US" w:eastAsia="zh-CN"/>
        </w:rPr>
        <w:t>间-区域声环境监测结果达标性分析</w:t>
      </w:r>
    </w:p>
    <w:p>
      <w:pPr>
        <w:pStyle w:val="19"/>
        <w:numPr>
          <w:ilvl w:val="0"/>
          <w:numId w:val="0"/>
        </w:numPr>
        <w:rPr>
          <w:rFonts w:hint="eastAsia" w:ascii="Times New Roman" w:hAnsi="Times New Roman" w:eastAsia="新宋体" w:cs="Times New Roman"/>
          <w:sz w:val="28"/>
          <w:szCs w:val="28"/>
          <w:lang w:val="en-US" w:eastAsia="zh-CN"/>
        </w:rPr>
      </w:pPr>
      <w:r>
        <w:rPr>
          <w:rFonts w:hint="eastAsia" w:eastAsia="新宋体" w:cs="Times New Roman"/>
          <w:sz w:val="28"/>
          <w:szCs w:val="28"/>
          <w:lang w:val="en-US" w:eastAsia="zh-CN"/>
        </w:rPr>
        <w:t>（1）</w:t>
      </w:r>
      <w:r>
        <w:rPr>
          <w:rFonts w:hint="default" w:ascii="Times New Roman" w:hAnsi="Times New Roman" w:eastAsia="新宋体" w:cs="Times New Roman"/>
          <w:sz w:val="28"/>
          <w:szCs w:val="28"/>
          <w:lang w:val="en-US" w:eastAsia="zh-CN"/>
        </w:rPr>
        <w:t>统计</w:t>
      </w:r>
      <w:r>
        <w:rPr>
          <w:rFonts w:hint="eastAsia" w:ascii="Times New Roman" w:hAnsi="Times New Roman" w:eastAsia="新宋体" w:cs="Times New Roman"/>
          <w:sz w:val="28"/>
          <w:szCs w:val="28"/>
          <w:lang w:val="en-US" w:eastAsia="zh-CN"/>
        </w:rPr>
        <w:t>区域声环境</w:t>
      </w:r>
      <w:r>
        <w:rPr>
          <w:rFonts w:hint="eastAsia" w:eastAsia="新宋体" w:cs="Times New Roman"/>
          <w:sz w:val="28"/>
          <w:szCs w:val="28"/>
          <w:lang w:val="en-US" w:eastAsia="zh-CN"/>
        </w:rPr>
        <w:t>昼+夜均</w:t>
      </w:r>
      <w:r>
        <w:rPr>
          <w:rFonts w:hint="eastAsia" w:ascii="Times New Roman" w:hAnsi="Times New Roman" w:eastAsia="新宋体" w:cs="Times New Roman"/>
          <w:sz w:val="28"/>
          <w:szCs w:val="28"/>
          <w:lang w:val="en-US" w:eastAsia="zh-CN"/>
        </w:rPr>
        <w:t>不达标数据统计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表5.2-3 区域声环境（昼+夜）监测结果不达标统计表</w:t>
      </w:r>
    </w:p>
    <w:tbl>
      <w:tblPr>
        <w:tblStyle w:val="8"/>
        <w:tblW w:w="9524" w:type="dxa"/>
        <w:jc w:val="center"/>
        <w:shd w:val="clear" w:color="auto" w:fill="auto"/>
        <w:tblLayout w:type="fixed"/>
        <w:tblCellMar>
          <w:top w:w="0" w:type="dxa"/>
          <w:left w:w="0" w:type="dxa"/>
          <w:bottom w:w="0" w:type="dxa"/>
          <w:right w:w="0" w:type="dxa"/>
        </w:tblCellMar>
      </w:tblPr>
      <w:tblGrid>
        <w:gridCol w:w="1502"/>
        <w:gridCol w:w="1855"/>
        <w:gridCol w:w="1107"/>
        <w:gridCol w:w="683"/>
        <w:gridCol w:w="1002"/>
        <w:gridCol w:w="1183"/>
        <w:gridCol w:w="661"/>
        <w:gridCol w:w="871"/>
        <w:gridCol w:w="660"/>
      </w:tblGrid>
      <w:tr>
        <w:tblPrEx>
          <w:shd w:val="clear" w:color="auto" w:fill="auto"/>
          <w:tblCellMar>
            <w:top w:w="0" w:type="dxa"/>
            <w:left w:w="0" w:type="dxa"/>
            <w:bottom w:w="0" w:type="dxa"/>
            <w:right w:w="0" w:type="dxa"/>
          </w:tblCellMar>
        </w:tblPrEx>
        <w:trPr>
          <w:trHeight w:val="567" w:hRule="atLeast"/>
          <w:jc w:val="center"/>
        </w:trPr>
        <w:tc>
          <w:tcPr>
            <w:tcW w:w="9524" w:type="dxa"/>
            <w:gridSpan w:val="9"/>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监测时间，昼间：2018.9.11</w:t>
            </w:r>
            <w:r>
              <w:rPr>
                <w:rFonts w:hint="eastAsia" w:ascii="宋体" w:hAnsi="宋体" w:eastAsia="宋体" w:cs="宋体"/>
                <w:i w:val="0"/>
                <w:color w:val="000000"/>
                <w:kern w:val="0"/>
                <w:sz w:val="24"/>
                <w:szCs w:val="24"/>
                <w:u w:val="none"/>
                <w:lang w:val="en-US" w:eastAsia="zh-CN" w:bidi="ar"/>
              </w:rPr>
              <w:t>日～</w:t>
            </w:r>
            <w:r>
              <w:rPr>
                <w:rFonts w:hint="default" w:ascii="Times New Roman" w:hAnsi="Times New Roman" w:eastAsia="宋体" w:cs="Times New Roman"/>
                <w:i w:val="0"/>
                <w:color w:val="000000"/>
                <w:kern w:val="0"/>
                <w:sz w:val="24"/>
                <w:szCs w:val="24"/>
                <w:u w:val="none"/>
                <w:lang w:val="en-US" w:eastAsia="zh-CN" w:bidi="ar"/>
              </w:rPr>
              <w:t>9.25</w:t>
            </w:r>
            <w:r>
              <w:rPr>
                <w:rFonts w:hint="eastAsia" w:ascii="宋体" w:hAnsi="宋体" w:eastAsia="宋体" w:cs="宋体"/>
                <w:i w:val="0"/>
                <w:color w:val="000000"/>
                <w:kern w:val="0"/>
                <w:sz w:val="24"/>
                <w:szCs w:val="24"/>
                <w:u w:val="none"/>
                <w:lang w:val="en-US" w:eastAsia="zh-CN" w:bidi="ar"/>
              </w:rPr>
              <w:t>日； 夜间：</w:t>
            </w:r>
            <w:r>
              <w:rPr>
                <w:rFonts w:hint="default" w:ascii="Times New Roman" w:hAnsi="Times New Roman" w:eastAsia="宋体" w:cs="Times New Roman"/>
                <w:i w:val="0"/>
                <w:color w:val="000000"/>
                <w:kern w:val="0"/>
                <w:sz w:val="24"/>
                <w:szCs w:val="24"/>
                <w:u w:val="none"/>
                <w:lang w:val="en-US" w:eastAsia="zh-CN" w:bidi="ar"/>
              </w:rPr>
              <w:t>2018.9.25</w:t>
            </w:r>
            <w:r>
              <w:rPr>
                <w:rFonts w:hint="eastAsia" w:ascii="宋体" w:hAnsi="宋体" w:eastAsia="宋体" w:cs="宋体"/>
                <w:i w:val="0"/>
                <w:color w:val="000000"/>
                <w:kern w:val="0"/>
                <w:sz w:val="24"/>
                <w:szCs w:val="24"/>
                <w:u w:val="none"/>
                <w:lang w:val="en-US" w:eastAsia="zh-CN" w:bidi="ar"/>
              </w:rPr>
              <w:t>日～</w:t>
            </w:r>
            <w:r>
              <w:rPr>
                <w:rFonts w:hint="default" w:ascii="Times New Roman" w:hAnsi="Times New Roman" w:eastAsia="宋体" w:cs="Times New Roman"/>
                <w:i w:val="0"/>
                <w:color w:val="000000"/>
                <w:kern w:val="0"/>
                <w:sz w:val="24"/>
                <w:szCs w:val="24"/>
                <w:u w:val="none"/>
                <w:lang w:val="en-US" w:eastAsia="zh-CN" w:bidi="ar"/>
              </w:rPr>
              <w:t>9.30</w:t>
            </w:r>
            <w:r>
              <w:rPr>
                <w:rFonts w:hint="eastAsia" w:ascii="宋体" w:hAnsi="宋体" w:eastAsia="宋体" w:cs="宋体"/>
                <w:i w:val="0"/>
                <w:color w:val="000000"/>
                <w:kern w:val="0"/>
                <w:sz w:val="24"/>
                <w:szCs w:val="24"/>
                <w:u w:val="none"/>
                <w:lang w:val="en-US" w:eastAsia="zh-CN" w:bidi="ar"/>
              </w:rPr>
              <w:t>日   单位</w:t>
            </w:r>
            <w:r>
              <w:rPr>
                <w:rFonts w:hint="default" w:ascii="Times New Roman" w:hAnsi="Times New Roman" w:eastAsia="宋体" w:cs="Times New Roman"/>
                <w:i w:val="0"/>
                <w:color w:val="000000"/>
                <w:kern w:val="0"/>
                <w:sz w:val="24"/>
                <w:szCs w:val="24"/>
                <w:u w:val="none"/>
                <w:lang w:val="en-US" w:eastAsia="zh-CN" w:bidi="ar"/>
              </w:rPr>
              <w:t>[dB(A)]</w:t>
            </w:r>
          </w:p>
        </w:tc>
      </w:tr>
      <w:tr>
        <w:tblPrEx>
          <w:tblCellMar>
            <w:top w:w="0" w:type="dxa"/>
            <w:left w:w="0" w:type="dxa"/>
            <w:bottom w:w="0" w:type="dxa"/>
            <w:right w:w="0" w:type="dxa"/>
          </w:tblCellMar>
        </w:tblPrEx>
        <w:trPr>
          <w:trHeight w:val="567" w:hRule="atLeast"/>
          <w:jc w:val="center"/>
        </w:trPr>
        <w:tc>
          <w:tcPr>
            <w:tcW w:w="1502" w:type="dxa"/>
            <w:vMerge w:val="restar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网格代码</w:t>
            </w:r>
          </w:p>
        </w:tc>
        <w:tc>
          <w:tcPr>
            <w:tcW w:w="185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测 点 名 称</w:t>
            </w:r>
          </w:p>
        </w:tc>
        <w:tc>
          <w:tcPr>
            <w:tcW w:w="2792"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w:t>
            </w:r>
          </w:p>
        </w:tc>
        <w:tc>
          <w:tcPr>
            <w:tcW w:w="2715"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w:t>
            </w:r>
          </w:p>
        </w:tc>
        <w:tc>
          <w:tcPr>
            <w:tcW w:w="660"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功能区</w:t>
            </w:r>
          </w:p>
        </w:tc>
      </w:tr>
      <w:tr>
        <w:tblPrEx>
          <w:tblCellMar>
            <w:top w:w="0" w:type="dxa"/>
            <w:left w:w="0" w:type="dxa"/>
            <w:bottom w:w="0" w:type="dxa"/>
            <w:right w:w="0" w:type="dxa"/>
          </w:tblCellMar>
        </w:tblPrEx>
        <w:trPr>
          <w:trHeight w:val="567" w:hRule="atLeast"/>
          <w:jc w:val="center"/>
        </w:trPr>
        <w:tc>
          <w:tcPr>
            <w:tcW w:w="1502" w:type="dxa"/>
            <w:vMerge w:val="continue"/>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85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昼间测值L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标准值</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是否达标</w:t>
            </w:r>
          </w:p>
        </w:tc>
        <w:tc>
          <w:tcPr>
            <w:tcW w:w="1183"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夜间测值L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66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标准值</w:t>
            </w:r>
          </w:p>
        </w:tc>
        <w:tc>
          <w:tcPr>
            <w:tcW w:w="871"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是否达标</w:t>
            </w:r>
          </w:p>
        </w:tc>
        <w:tc>
          <w:tcPr>
            <w:tcW w:w="660"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530129100020</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寻甸县体育中心南</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530129100073</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中国联通县营业厅西面</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530129100109</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仁德一小新区</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530129100129</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仁德三小</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530129100133</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东宝大酒店南面</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530129100134</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奇瑞汽车专卖店</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60.4</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15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530129100135</w:t>
            </w:r>
          </w:p>
        </w:tc>
        <w:tc>
          <w:tcPr>
            <w:tcW w:w="18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洪峰汽车销售公司</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6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66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87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否</w:t>
            </w:r>
          </w:p>
        </w:tc>
        <w:tc>
          <w:tcPr>
            <w:tcW w:w="66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67" w:hRule="atLeast"/>
          <w:jc w:val="center"/>
        </w:trPr>
        <w:tc>
          <w:tcPr>
            <w:tcW w:w="3357" w:type="dxa"/>
            <w:gridSpan w:val="2"/>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平均L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110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58.54</w:t>
            </w:r>
          </w:p>
        </w:tc>
        <w:tc>
          <w:tcPr>
            <w:tcW w:w="1685" w:type="dxa"/>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18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51.8</w:t>
            </w:r>
          </w:p>
        </w:tc>
        <w:tc>
          <w:tcPr>
            <w:tcW w:w="2192" w:type="dxa"/>
            <w:gridSpan w:val="3"/>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超标7个</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outlineLvl w:val="9"/>
        <w:rPr>
          <w:rFonts w:hint="eastAsia"/>
          <w:b w:val="0"/>
          <w:bCs w:val="0"/>
          <w:sz w:val="28"/>
          <w:szCs w:val="28"/>
          <w:lang w:val="en-US" w:eastAsia="zh-CN"/>
        </w:rPr>
      </w:pPr>
      <w:r>
        <w:rPr>
          <w:rFonts w:hint="eastAsia"/>
          <w:b w:val="0"/>
          <w:bCs w:val="0"/>
          <w:sz w:val="28"/>
          <w:szCs w:val="28"/>
          <w:lang w:val="en-US" w:eastAsia="zh-CN"/>
        </w:rPr>
        <w:t>（2）达标率分析</w:t>
      </w:r>
    </w:p>
    <w:p>
      <w:pPr>
        <w:numPr>
          <w:ilvl w:val="0"/>
          <w:numId w:val="13"/>
        </w:numPr>
        <w:ind w:leftChars="0"/>
        <w:rPr>
          <w:rFonts w:hint="default" w:ascii="Times New Roman" w:hAnsi="Times New Roman" w:eastAsia="新宋体" w:cs="Times New Roman"/>
          <w:sz w:val="28"/>
          <w:szCs w:val="28"/>
          <w:lang w:val="en-US" w:eastAsia="zh-CN"/>
        </w:rPr>
      </w:pPr>
      <w:r>
        <w:rPr>
          <w:rFonts w:hint="default" w:ascii="Times New Roman" w:hAnsi="Times New Roman" w:eastAsia="新宋体" w:cs="Times New Roman"/>
          <w:sz w:val="28"/>
          <w:szCs w:val="28"/>
          <w:lang w:val="en-US" w:eastAsia="zh-CN"/>
        </w:rPr>
        <w:t>昼夜均超标的监测点有</w:t>
      </w:r>
      <w:r>
        <w:rPr>
          <w:rFonts w:hint="eastAsia" w:ascii="Times New Roman" w:hAnsi="Times New Roman" w:eastAsia="新宋体" w:cs="Times New Roman"/>
          <w:sz w:val="28"/>
          <w:szCs w:val="28"/>
          <w:lang w:val="en-US" w:eastAsia="zh-CN"/>
        </w:rPr>
        <w:t>7</w:t>
      </w:r>
      <w:r>
        <w:rPr>
          <w:rFonts w:hint="default" w:ascii="Times New Roman" w:hAnsi="Times New Roman" w:eastAsia="新宋体" w:cs="Times New Roman"/>
          <w:sz w:val="28"/>
          <w:szCs w:val="28"/>
          <w:lang w:val="en-US" w:eastAsia="zh-CN"/>
        </w:rPr>
        <w:t>个，按单项合计达标为95.37%</w:t>
      </w:r>
      <w:r>
        <w:rPr>
          <w:rFonts w:hint="eastAsia" w:ascii="Times New Roman" w:hAnsi="Times New Roman" w:eastAsia="新宋体" w:cs="Times New Roman"/>
          <w:sz w:val="28"/>
          <w:szCs w:val="28"/>
          <w:lang w:val="en-US" w:eastAsia="zh-CN"/>
        </w:rPr>
        <w:t>。</w:t>
      </w:r>
    </w:p>
    <w:p>
      <w:pPr>
        <w:pStyle w:val="19"/>
        <w:numPr>
          <w:ilvl w:val="0"/>
          <w:numId w:val="13"/>
        </w:numPr>
        <w:rPr>
          <w:rFonts w:hint="default" w:ascii="Times New Roman" w:hAnsi="Times New Roman" w:eastAsia="宋体" w:cs="Times New Roman"/>
          <w:b w:val="0"/>
          <w:bCs w:val="0"/>
          <w:i w:val="0"/>
          <w:color w:val="000000"/>
          <w:kern w:val="0"/>
          <w:sz w:val="28"/>
          <w:szCs w:val="28"/>
          <w:u w:val="none"/>
          <w:lang w:val="en-US" w:eastAsia="zh-CN" w:bidi="ar"/>
        </w:rPr>
      </w:pPr>
      <w:r>
        <w:rPr>
          <w:rFonts w:hint="default" w:ascii="Times New Roman" w:hAnsi="Times New Roman" w:eastAsia="新宋体" w:cs="Times New Roman"/>
          <w:sz w:val="28"/>
          <w:szCs w:val="28"/>
          <w:lang w:val="en-US" w:eastAsia="zh-CN"/>
        </w:rPr>
        <w:t>监测</w:t>
      </w:r>
      <w:r>
        <w:rPr>
          <w:rFonts w:hint="eastAsia" w:ascii="Times New Roman" w:hAnsi="Times New Roman" w:eastAsia="新宋体" w:cs="Times New Roman"/>
          <w:sz w:val="28"/>
          <w:szCs w:val="28"/>
          <w:lang w:val="en-US" w:eastAsia="zh-CN"/>
        </w:rPr>
        <w:t>点位</w:t>
      </w:r>
      <w:r>
        <w:rPr>
          <w:rFonts w:hint="default" w:ascii="Times New Roman" w:hAnsi="Times New Roman" w:eastAsia="新宋体" w:cs="Times New Roman"/>
          <w:sz w:val="28"/>
          <w:szCs w:val="28"/>
          <w:lang w:val="en-US" w:eastAsia="zh-CN"/>
        </w:rPr>
        <w:t>昼夜超标</w:t>
      </w:r>
      <w:r>
        <w:rPr>
          <w:rFonts w:hint="eastAsia" w:ascii="Times New Roman" w:hAnsi="Times New Roman" w:eastAsia="新宋体" w:cs="Times New Roman"/>
          <w:sz w:val="28"/>
          <w:szCs w:val="28"/>
          <w:lang w:val="en-US" w:eastAsia="zh-CN"/>
        </w:rPr>
        <w:t>合计</w:t>
      </w:r>
      <w:r>
        <w:rPr>
          <w:rFonts w:hint="eastAsia" w:eastAsia="新宋体" w:cs="Times New Roman"/>
          <w:sz w:val="28"/>
          <w:szCs w:val="28"/>
          <w:lang w:val="en-US" w:eastAsia="zh-CN"/>
        </w:rPr>
        <w:t>52</w:t>
      </w:r>
      <w:r>
        <w:rPr>
          <w:rFonts w:hint="eastAsia" w:ascii="Times New Roman" w:hAnsi="Times New Roman" w:eastAsia="新宋体" w:cs="Times New Roman"/>
          <w:sz w:val="28"/>
          <w:szCs w:val="28"/>
          <w:lang w:val="en-US" w:eastAsia="zh-CN"/>
        </w:rPr>
        <w:t>个，达标8</w:t>
      </w:r>
      <w:r>
        <w:rPr>
          <w:rFonts w:hint="eastAsia" w:eastAsia="新宋体" w:cs="Times New Roman"/>
          <w:sz w:val="28"/>
          <w:szCs w:val="28"/>
          <w:lang w:val="en-US" w:eastAsia="zh-CN"/>
        </w:rPr>
        <w:t>3</w:t>
      </w:r>
      <w:r>
        <w:rPr>
          <w:rFonts w:hint="eastAsia" w:ascii="Times New Roman" w:hAnsi="Times New Roman" w:eastAsia="新宋体" w:cs="Times New Roman"/>
          <w:sz w:val="28"/>
          <w:szCs w:val="28"/>
          <w:lang w:val="en-US" w:eastAsia="zh-CN"/>
        </w:rPr>
        <w:t>个，区域监测达标为</w:t>
      </w:r>
      <w:r>
        <w:rPr>
          <w:rFonts w:hint="eastAsia" w:eastAsia="新宋体" w:cs="Times New Roman"/>
          <w:sz w:val="28"/>
          <w:szCs w:val="28"/>
          <w:lang w:val="en-US" w:eastAsia="zh-CN"/>
        </w:rPr>
        <w:t>61.48</w:t>
      </w:r>
      <w:r>
        <w:rPr>
          <w:rFonts w:hint="eastAsia" w:ascii="Times New Roman" w:hAnsi="Times New Roman" w:eastAsia="新宋体" w:cs="Times New Roman"/>
          <w:sz w:val="28"/>
          <w:szCs w:val="28"/>
          <w:lang w:val="en-US" w:eastAsia="zh-CN"/>
        </w:rPr>
        <w:t>%</w:t>
      </w:r>
      <w:r>
        <w:rPr>
          <w:rFonts w:hint="eastAsia" w:eastAsia="新宋体"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00" w:lineRule="exact"/>
        <w:ind w:leftChars="0"/>
        <w:textAlignment w:val="auto"/>
        <w:outlineLvl w:val="2"/>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5.2.4整改意见</w:t>
      </w:r>
    </w:p>
    <w:p>
      <w:pPr>
        <w:numPr>
          <w:ilvl w:val="0"/>
          <w:numId w:val="14"/>
        </w:numPr>
        <w:bidi w:val="0"/>
        <w:rPr>
          <w:rFonts w:hint="eastAsia" w:ascii="新宋体" w:hAnsi="新宋体" w:eastAsia="新宋体" w:cs="新宋体"/>
          <w:sz w:val="28"/>
          <w:szCs w:val="28"/>
          <w:lang w:val="en-US" w:eastAsia="zh-CN"/>
        </w:rPr>
      </w:pPr>
      <w:bookmarkStart w:id="181" w:name="_Toc11188"/>
      <w:bookmarkStart w:id="182" w:name="_Toc10700"/>
      <w:r>
        <w:rPr>
          <w:rFonts w:hint="eastAsia" w:ascii="新宋体" w:hAnsi="新宋体" w:eastAsia="新宋体" w:cs="新宋体"/>
          <w:sz w:val="28"/>
          <w:szCs w:val="28"/>
          <w:lang w:val="en-US" w:eastAsia="zh-CN"/>
        </w:rPr>
        <w:t>针对</w:t>
      </w:r>
      <w:r>
        <w:rPr>
          <w:rFonts w:hint="eastAsia" w:ascii="新宋体" w:hAnsi="新宋体" w:eastAsia="新宋体" w:cs="新宋体"/>
          <w:sz w:val="28"/>
          <w:szCs w:val="28"/>
          <w:lang w:eastAsia="zh-CN"/>
        </w:rPr>
        <w:t>因为周边现场施工以及运输材料车辆通行以建筑噪音为主区域提供的</w:t>
      </w:r>
      <w:r>
        <w:rPr>
          <w:rFonts w:hint="eastAsia" w:ascii="新宋体" w:hAnsi="新宋体" w:eastAsia="新宋体" w:cs="新宋体"/>
          <w:sz w:val="28"/>
          <w:szCs w:val="28"/>
          <w:lang w:val="en-US" w:eastAsia="zh-CN"/>
        </w:rPr>
        <w:t>具体整改意见：</w:t>
      </w:r>
      <w:bookmarkEnd w:id="181"/>
      <w:bookmarkEnd w:id="182"/>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40" w:lineRule="auto"/>
        <w:ind w:leftChars="200" w:right="0" w:rightChars="0"/>
        <w:jc w:val="left"/>
        <w:textAlignment w:val="center"/>
        <w:rPr>
          <w:rFonts w:hint="default" w:ascii="Times New Roman" w:hAnsi="Times New Roman" w:eastAsia="新宋体" w:cs="Times New Roman"/>
          <w:i w:val="0"/>
          <w:color w:val="000000"/>
          <w:kern w:val="0"/>
          <w:sz w:val="28"/>
          <w:szCs w:val="28"/>
          <w:highlight w:val="none"/>
          <w:u w:val="none"/>
          <w:shd w:val="clear"/>
          <w:lang w:val="en-US" w:eastAsia="zh-CN" w:bidi="ar"/>
        </w:rPr>
      </w:pPr>
      <w:r>
        <w:rPr>
          <w:rFonts w:hint="default" w:ascii="Times New Roman" w:hAnsi="Times New Roman" w:eastAsia="新宋体" w:cs="Times New Roman"/>
          <w:i w:val="0"/>
          <w:color w:val="000000"/>
          <w:kern w:val="0"/>
          <w:sz w:val="28"/>
          <w:szCs w:val="28"/>
          <w:highlight w:val="none"/>
          <w:u w:val="none"/>
          <w:shd w:val="clear"/>
          <w:lang w:val="en-US" w:eastAsia="zh-CN" w:bidi="ar"/>
        </w:rPr>
        <w:t>政府出具相关声明，规范施工单位的施工时间；</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40" w:lineRule="auto"/>
        <w:ind w:leftChars="200" w:right="0" w:rightChars="0"/>
        <w:jc w:val="left"/>
        <w:textAlignment w:val="center"/>
        <w:rPr>
          <w:rFonts w:hint="default" w:ascii="Times New Roman" w:hAnsi="Times New Roman" w:eastAsia="新宋体" w:cs="Times New Roman"/>
          <w:i w:val="0"/>
          <w:color w:val="000000"/>
          <w:kern w:val="0"/>
          <w:sz w:val="28"/>
          <w:szCs w:val="28"/>
          <w:highlight w:val="none"/>
          <w:u w:val="none"/>
          <w:shd w:val="clear"/>
          <w:lang w:val="en-US" w:eastAsia="zh-CN" w:bidi="ar"/>
        </w:rPr>
      </w:pPr>
      <w:r>
        <w:rPr>
          <w:rFonts w:hint="default" w:ascii="Times New Roman" w:hAnsi="Times New Roman" w:eastAsia="新宋体" w:cs="Times New Roman"/>
          <w:i w:val="0"/>
          <w:color w:val="000000"/>
          <w:kern w:val="0"/>
          <w:sz w:val="28"/>
          <w:szCs w:val="28"/>
          <w:highlight w:val="none"/>
          <w:u w:val="none"/>
          <w:shd w:val="clear"/>
          <w:lang w:val="en-US" w:eastAsia="zh-CN" w:bidi="ar"/>
        </w:rPr>
        <w:t>施工单位规范施工现场管理，安全文明施工；</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40" w:lineRule="auto"/>
        <w:ind w:leftChars="200" w:right="0" w:rightChars="0"/>
        <w:jc w:val="left"/>
        <w:textAlignment w:val="center"/>
        <w:rPr>
          <w:rFonts w:hint="default" w:ascii="Times New Roman" w:hAnsi="Times New Roman" w:eastAsia="新宋体" w:cs="Times New Roman"/>
          <w:i w:val="0"/>
          <w:color w:val="000000"/>
          <w:kern w:val="0"/>
          <w:sz w:val="28"/>
          <w:szCs w:val="28"/>
          <w:highlight w:val="none"/>
          <w:u w:val="none"/>
          <w:shd w:val="clear"/>
          <w:lang w:val="en-US" w:eastAsia="zh-CN" w:bidi="ar"/>
        </w:rPr>
      </w:pPr>
      <w:r>
        <w:rPr>
          <w:rFonts w:hint="default" w:ascii="Times New Roman" w:hAnsi="Times New Roman" w:eastAsia="新宋体" w:cs="Times New Roman"/>
          <w:i w:val="0"/>
          <w:color w:val="000000"/>
          <w:kern w:val="0"/>
          <w:sz w:val="28"/>
          <w:szCs w:val="28"/>
          <w:highlight w:val="none"/>
          <w:u w:val="none"/>
          <w:shd w:val="clear"/>
          <w:lang w:val="en-US" w:eastAsia="zh-CN" w:bidi="ar"/>
        </w:rPr>
        <w:t>施工单位可采用低噪音</w:t>
      </w:r>
      <w:r>
        <w:rPr>
          <w:rFonts w:hint="eastAsia" w:ascii="Times New Roman" w:hAnsi="Times New Roman" w:eastAsia="新宋体" w:cs="Times New Roman"/>
          <w:i w:val="0"/>
          <w:color w:val="000000"/>
          <w:kern w:val="0"/>
          <w:sz w:val="28"/>
          <w:szCs w:val="28"/>
          <w:highlight w:val="none"/>
          <w:u w:val="none"/>
          <w:shd w:val="clear"/>
          <w:lang w:val="en-US" w:eastAsia="zh-CN" w:bidi="ar"/>
        </w:rPr>
        <w:t>的</w:t>
      </w:r>
      <w:r>
        <w:rPr>
          <w:rFonts w:hint="default" w:ascii="Times New Roman" w:hAnsi="Times New Roman" w:eastAsia="新宋体" w:cs="Times New Roman"/>
          <w:i w:val="0"/>
          <w:color w:val="000000"/>
          <w:kern w:val="0"/>
          <w:sz w:val="28"/>
          <w:szCs w:val="28"/>
          <w:highlight w:val="none"/>
          <w:u w:val="none"/>
          <w:shd w:val="clear"/>
          <w:lang w:val="en-US" w:eastAsia="zh-CN" w:bidi="ar"/>
        </w:rPr>
        <w:t>施工器具和改进生产工艺降低噪音的产生；采取噪声隔离及降噪措施，改变噪音源的运动方式(如用阻尼、隔振等措施降低固体发声体的振动)；</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240" w:lineRule="auto"/>
        <w:ind w:leftChars="200" w:right="0" w:rightChars="0"/>
        <w:jc w:val="left"/>
        <w:textAlignment w:val="center"/>
        <w:rPr>
          <w:rFonts w:hint="default" w:ascii="Times New Roman" w:hAnsi="Times New Roman" w:eastAsia="新宋体" w:cs="Times New Roman"/>
          <w:i w:val="0"/>
          <w:color w:val="000000"/>
          <w:kern w:val="0"/>
          <w:sz w:val="28"/>
          <w:szCs w:val="28"/>
          <w:highlight w:val="none"/>
          <w:u w:val="none"/>
          <w:shd w:val="clear"/>
          <w:lang w:val="en-US" w:eastAsia="zh-CN" w:bidi="ar"/>
        </w:rPr>
      </w:pPr>
      <w:r>
        <w:rPr>
          <w:rFonts w:hint="default" w:ascii="Times New Roman" w:hAnsi="Times New Roman" w:eastAsia="新宋体" w:cs="Times New Roman"/>
          <w:i w:val="0"/>
          <w:color w:val="000000"/>
          <w:kern w:val="0"/>
          <w:sz w:val="28"/>
          <w:szCs w:val="28"/>
          <w:highlight w:val="none"/>
          <w:u w:val="none"/>
          <w:shd w:val="clear"/>
          <w:lang w:val="en-US" w:eastAsia="zh-CN" w:bidi="ar"/>
        </w:rPr>
        <w:t>若工程中必要产生较强噪音，需在工程进行前告知周边群众做好防范措施。</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sz w:val="28"/>
          <w:szCs w:val="28"/>
          <w:lang w:val="en-US" w:eastAsia="zh-CN"/>
        </w:rPr>
      </w:pPr>
      <w:bookmarkStart w:id="183" w:name="_Toc23044"/>
      <w:bookmarkStart w:id="184" w:name="_Toc6607"/>
      <w:r>
        <w:rPr>
          <w:rFonts w:hint="default" w:ascii="Times New Roman" w:hAnsi="Times New Roman" w:eastAsia="新宋体" w:cs="Times New Roman"/>
          <w:sz w:val="28"/>
          <w:szCs w:val="28"/>
          <w:lang w:val="en-US" w:eastAsia="zh-CN"/>
        </w:rPr>
        <w:t>针对周边区域靠近城市主干路，因车流量较多而以交通噪音为主的区域的具体整改意见：</w:t>
      </w:r>
      <w:bookmarkEnd w:id="183"/>
      <w:bookmarkEnd w:id="1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sz w:val="28"/>
          <w:szCs w:val="28"/>
          <w:lang w:val="en-US" w:eastAsia="zh-CN"/>
        </w:rPr>
      </w:pPr>
      <w:r>
        <w:rPr>
          <w:rFonts w:hint="default" w:ascii="Times New Roman" w:hAnsi="Times New Roman" w:eastAsia="新宋体" w:cs="Times New Roman"/>
          <w:sz w:val="28"/>
          <w:szCs w:val="28"/>
          <w:lang w:val="en-US" w:eastAsia="zh-CN"/>
        </w:rPr>
        <w:t>有关部门对周边道路过往车辆的车速和载量进行管理和约束，根据周边路况标识禁止鸣笛；以及加强政府对民众声环境保护教育的普及，提高当地居民素质，自觉减速慢行。</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sz w:val="28"/>
          <w:szCs w:val="28"/>
        </w:rPr>
      </w:pPr>
      <w:bookmarkStart w:id="185" w:name="_Toc28228"/>
      <w:bookmarkStart w:id="186" w:name="_Toc16200"/>
      <w:r>
        <w:rPr>
          <w:rFonts w:hint="default" w:ascii="Times New Roman" w:hAnsi="Times New Roman" w:eastAsia="新宋体" w:cs="Times New Roman"/>
          <w:sz w:val="28"/>
          <w:szCs w:val="28"/>
          <w:lang w:val="en-US" w:eastAsia="zh-CN"/>
        </w:rPr>
        <w:t>针对</w:t>
      </w:r>
      <w:r>
        <w:rPr>
          <w:rFonts w:hint="default" w:ascii="Times New Roman" w:hAnsi="Times New Roman" w:eastAsia="新宋体" w:cs="Times New Roman"/>
          <w:sz w:val="28"/>
          <w:szCs w:val="28"/>
          <w:lang w:eastAsia="zh-CN"/>
        </w:rPr>
        <w:t>早晚点等周边多商业街，餐饮行业较多的以生活噪音为主区域的具体整改意见：</w:t>
      </w:r>
      <w:bookmarkEnd w:id="185"/>
      <w:bookmarkEnd w:id="1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新宋体" w:cs="Times New Roman"/>
          <w:sz w:val="28"/>
          <w:szCs w:val="28"/>
        </w:rPr>
      </w:pPr>
      <w:r>
        <w:rPr>
          <w:rFonts w:hint="default" w:ascii="Times New Roman" w:hAnsi="Times New Roman" w:eastAsia="新宋体" w:cs="Times New Roman"/>
          <w:sz w:val="28"/>
          <w:szCs w:val="28"/>
          <w:lang w:eastAsia="zh-CN"/>
        </w:rPr>
        <w:t>相关部门进一步规范学校、居民区等</w:t>
      </w:r>
      <w:r>
        <w:rPr>
          <w:rFonts w:hint="default" w:ascii="Times New Roman" w:hAnsi="Times New Roman" w:eastAsia="新宋体" w:cs="Times New Roman"/>
          <w:sz w:val="28"/>
          <w:szCs w:val="28"/>
          <w:lang w:val="en-US" w:eastAsia="zh-CN"/>
        </w:rPr>
        <w:t>1类声环境功能区附近的餐饮行业营业时间，</w:t>
      </w:r>
      <w:r>
        <w:rPr>
          <w:rFonts w:hint="default" w:ascii="Times New Roman" w:hAnsi="Times New Roman" w:eastAsia="新宋体" w:cs="Times New Roman"/>
          <w:sz w:val="28"/>
          <w:szCs w:val="28"/>
        </w:rPr>
        <w:t>合理规范娱乐时间</w:t>
      </w:r>
      <w:r>
        <w:rPr>
          <w:rFonts w:hint="default" w:ascii="Times New Roman" w:hAnsi="Times New Roman" w:eastAsia="新宋体" w:cs="Times New Roman"/>
          <w:sz w:val="28"/>
          <w:szCs w:val="28"/>
          <w:lang w:val="en-US" w:eastAsia="zh-CN"/>
        </w:rPr>
        <w:t>；明确周边居民投诉的处理意见；惩治周边恶意产生噪声的行为；以及加强政府对民众声环境保护教育的普及，提高当地居民素质，自觉减少噪音产生并且自发的监督和管理周围环境</w:t>
      </w:r>
      <w:r>
        <w:rPr>
          <w:rFonts w:hint="default" w:ascii="Times New Roman" w:hAnsi="Times New Roman" w:eastAsia="新宋体" w:cs="Times New Roman"/>
          <w:sz w:val="28"/>
          <w:szCs w:val="28"/>
        </w:rPr>
        <w:t>，避免噪声扰民。</w:t>
      </w:r>
      <w:bookmarkStart w:id="187" w:name="_Toc28650"/>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default" w:ascii="Times New Roman" w:hAnsi="Times New Roman" w:eastAsia="新宋体" w:cs="Times New Roman"/>
          <w:sz w:val="28"/>
          <w:szCs w:val="28"/>
          <w:lang w:val="en-US" w:eastAsia="zh-CN"/>
        </w:rPr>
        <w:sectPr>
          <w:footerReference r:id="rId9" w:type="default"/>
          <w:pgSz w:w="11906" w:h="16838"/>
          <w:pgMar w:top="1440" w:right="1474" w:bottom="1440" w:left="1474" w:header="851" w:footer="850"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新宋体" w:cs="Times New Roman"/>
          <w:sz w:val="28"/>
          <w:szCs w:val="28"/>
          <w:lang w:val="en-US" w:eastAsia="zh-CN"/>
        </w:rPr>
        <w:t>针对主要以工业噪声为主的工厂附近的居民区提供的具体整改意见:</w:t>
      </w:r>
      <w:bookmarkEnd w:id="187"/>
      <w:bookmarkStart w:id="188" w:name="_Toc4495"/>
      <w:bookmarkStart w:id="189" w:name="_Toc6123"/>
      <w:r>
        <w:rPr>
          <w:rFonts w:hint="default" w:ascii="Times New Roman" w:hAnsi="Times New Roman" w:eastAsia="新宋体" w:cs="Times New Roman"/>
          <w:sz w:val="28"/>
          <w:szCs w:val="28"/>
          <w:lang w:val="en-US" w:eastAsia="zh-CN"/>
        </w:rPr>
        <w:t>工厂优化施工方式和生产机械，减少噪音产生；工厂厂房采用新型隔音材料建造，已有厂房加装隔音板阻碍噪音传播；加强工厂周边绿化，形成</w:t>
      </w:r>
      <w:r>
        <w:rPr>
          <w:rFonts w:hint="eastAsia" w:ascii="Times New Roman" w:hAnsi="Times New Roman" w:eastAsia="新宋体" w:cs="Times New Roman"/>
          <w:sz w:val="28"/>
          <w:szCs w:val="28"/>
          <w:lang w:val="en-US" w:eastAsia="zh-CN"/>
        </w:rPr>
        <w:t>隔</w:t>
      </w:r>
      <w:r>
        <w:rPr>
          <w:rFonts w:hint="default" w:ascii="Times New Roman" w:hAnsi="Times New Roman" w:eastAsia="新宋体" w:cs="Times New Roman"/>
          <w:sz w:val="28"/>
          <w:szCs w:val="28"/>
          <w:lang w:val="en-US" w:eastAsia="zh-CN"/>
        </w:rPr>
        <w:t>音带</w:t>
      </w:r>
      <w:bookmarkEnd w:id="188"/>
      <w:r>
        <w:rPr>
          <w:rFonts w:hint="default" w:ascii="Times New Roman" w:hAnsi="Times New Roman" w:eastAsia="新宋体" w:cs="Times New Roman"/>
          <w:sz w:val="28"/>
          <w:szCs w:val="28"/>
          <w:lang w:val="en-US" w:eastAsia="zh-CN"/>
        </w:rPr>
        <w:t>。</w:t>
      </w:r>
      <w:bookmarkEnd w:id="189"/>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190" w:name="_Toc28655_WPSOffice_Level2"/>
      <w:bookmarkStart w:id="191" w:name="_Toc16657_WPSOffice_Level2"/>
      <w:r>
        <w:rPr>
          <w:rFonts w:hint="eastAsia" w:ascii="Times New Roman" w:hAnsi="Times New Roman" w:eastAsia="黑体" w:cs="Times New Roman"/>
          <w:b/>
          <w:bCs/>
          <w:sz w:val="28"/>
          <w:szCs w:val="28"/>
          <w:lang w:val="en-US" w:eastAsia="zh-CN"/>
        </w:rPr>
        <w:t>5.</w:t>
      </w:r>
      <w:r>
        <w:rPr>
          <w:rFonts w:hint="eastAsia" w:ascii="Times New Roman" w:hAnsi="Times New Roman" w:cs="Times New Roman"/>
          <w:b/>
          <w:bCs/>
          <w:sz w:val="28"/>
          <w:szCs w:val="28"/>
          <w:lang w:val="en-US" w:eastAsia="zh-CN"/>
        </w:rPr>
        <w:t>3</w:t>
      </w:r>
      <w:r>
        <w:rPr>
          <w:rFonts w:hint="eastAsia" w:ascii="Times New Roman" w:hAnsi="Times New Roman" w:eastAsia="黑体" w:cs="Times New Roman"/>
          <w:b/>
          <w:bCs/>
          <w:sz w:val="28"/>
          <w:szCs w:val="28"/>
          <w:lang w:val="en-US" w:eastAsia="zh-CN"/>
        </w:rPr>
        <w:t xml:space="preserve"> 道路交通交通声环境</w:t>
      </w:r>
      <w:bookmarkEnd w:id="190"/>
      <w:r>
        <w:rPr>
          <w:rFonts w:hint="eastAsia" w:ascii="Times New Roman" w:hAnsi="Times New Roman" w:eastAsia="黑体" w:cs="Times New Roman"/>
          <w:b/>
          <w:bCs/>
          <w:sz w:val="28"/>
          <w:szCs w:val="28"/>
          <w:lang w:val="en-US" w:eastAsia="zh-CN"/>
        </w:rPr>
        <w:t>监测数据达标性分析</w:t>
      </w:r>
      <w:bookmarkEnd w:id="19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表5.4-1 寻甸回族彝族自治县中心城区道路交通声环境监测结果统计表</w:t>
      </w:r>
    </w:p>
    <w:p>
      <w:pPr>
        <w:jc w:val="right"/>
        <w:rPr>
          <w:rFonts w:hint="default" w:ascii="Times New Roman" w:hAnsi="Times New Roman" w:eastAsia="宋体" w:cs="Times New Roman"/>
          <w:b w:val="0"/>
          <w:bCs w:val="0"/>
          <w:i w:val="0"/>
          <w:color w:val="000000"/>
          <w:kern w:val="0"/>
          <w:sz w:val="28"/>
          <w:szCs w:val="28"/>
          <w:u w:val="none"/>
          <w:lang w:val="en-US" w:eastAsia="zh-CN" w:bidi="ar"/>
        </w:rPr>
      </w:pPr>
      <w:r>
        <w:rPr>
          <w:rFonts w:hint="default" w:ascii="Times New Roman" w:hAnsi="Times New Roman" w:eastAsia="宋体" w:cs="Times New Roman"/>
          <w:b w:val="0"/>
          <w:bCs w:val="0"/>
          <w:sz w:val="24"/>
          <w:szCs w:val="24"/>
          <w:lang w:val="en-US" w:eastAsia="zh-CN"/>
        </w:rPr>
        <w:t>监测时间,昼间：2018.10.22日；夜间：2018.10.22日    单位[dB(A)]</w:t>
      </w:r>
    </w:p>
    <w:tbl>
      <w:tblPr>
        <w:tblStyle w:val="8"/>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954"/>
        <w:gridCol w:w="1621"/>
        <w:gridCol w:w="1983"/>
        <w:gridCol w:w="1112"/>
        <w:gridCol w:w="1187"/>
        <w:gridCol w:w="1131"/>
        <w:gridCol w:w="1187"/>
        <w:gridCol w:w="1132"/>
        <w:gridCol w:w="113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8" w:hRule="atLeast"/>
          <w:tblHeader/>
          <w:jc w:val="center"/>
        </w:trPr>
        <w:tc>
          <w:tcPr>
            <w:tcW w:w="1954" w:type="dxa"/>
            <w:vMerge w:val="restart"/>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测点代码</w:t>
            </w:r>
          </w:p>
        </w:tc>
        <w:tc>
          <w:tcPr>
            <w:tcW w:w="1621" w:type="dxa"/>
            <w:vMerge w:val="restart"/>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街道、道路</w:t>
            </w:r>
          </w:p>
        </w:tc>
        <w:tc>
          <w:tcPr>
            <w:tcW w:w="1983" w:type="dxa"/>
            <w:vMerge w:val="restart"/>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测点名称</w:t>
            </w:r>
          </w:p>
        </w:tc>
        <w:tc>
          <w:tcPr>
            <w:tcW w:w="3430" w:type="dxa"/>
            <w:gridSpan w:val="3"/>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昼间</w:t>
            </w:r>
          </w:p>
        </w:tc>
        <w:tc>
          <w:tcPr>
            <w:tcW w:w="3450" w:type="dxa"/>
            <w:gridSpan w:val="3"/>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夜间</w:t>
            </w:r>
          </w:p>
        </w:tc>
        <w:tc>
          <w:tcPr>
            <w:tcW w:w="1702" w:type="dxa"/>
            <w:vMerge w:val="restart"/>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1954"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c>
          <w:tcPr>
            <w:tcW w:w="1621"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c>
          <w:tcPr>
            <w:tcW w:w="1983"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监测L</w:t>
            </w:r>
            <w:r>
              <w:rPr>
                <w:rFonts w:hint="default" w:ascii="Times New Roman" w:hAnsi="Times New Roman" w:eastAsia="宋体" w:cs="Times New Roman"/>
                <w:b w:val="0"/>
                <w:bCs w:val="0"/>
                <w:sz w:val="24"/>
                <w:szCs w:val="24"/>
                <w:vertAlign w:val="subscript"/>
                <w:lang w:val="en-US" w:eastAsia="zh-CN"/>
              </w:rPr>
              <w:t>ep</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标准值</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是否达标</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监测值</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标准值</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是否达标</w:t>
            </w:r>
          </w:p>
        </w:tc>
        <w:tc>
          <w:tcPr>
            <w:tcW w:w="1702" w:type="dxa"/>
            <w:vMerge w:val="continue"/>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530129200001</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交警队</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68</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64.8</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3"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530129200002</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电信大楼</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67.9</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63.1</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530129200003</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民族广场</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64.8</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65.2</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530129200004</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社保局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66.9</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63.9</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530129200005</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金世纪大酒店</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69.1</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60.3</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530129200006</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农贸市场</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69.9</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61.6</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530129200007</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基督教堂</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67.2</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57.6</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530129200008</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仁德财政所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67</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54.2</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530129200009</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凤梧路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地税局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67.9</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53.7</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530129200010</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月甲路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月甲村109号</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60.7</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48.2</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530129200011</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月甲路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县中医院</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66.4</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62.1</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530129200012</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玉屏路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供销大厦</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63.1</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52.5</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530129200013</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北营街</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仁德二中大门</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64.5</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530129200014</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文苑路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县人民医院</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61.2</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53.9</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530129200015</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文苑路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文化局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61.2</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56</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否</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530129200016</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文苑路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民政局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61.6</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53.8</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530129200017</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翠屏街</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仙客来</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66.4</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52.2</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530129200018</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东影路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工商局</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61.8</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53.3</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530129200019</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通站路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通站旅社</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65.3</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48.1</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jc w:val="center"/>
        </w:trPr>
        <w:tc>
          <w:tcPr>
            <w:tcW w:w="1954"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530129200020</w:t>
            </w:r>
          </w:p>
        </w:tc>
        <w:tc>
          <w:tcPr>
            <w:tcW w:w="162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月华路</w:t>
            </w:r>
          </w:p>
        </w:tc>
        <w:tc>
          <w:tcPr>
            <w:tcW w:w="1983"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平安保险</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64.6</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49.3</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是</w:t>
            </w: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jc w:val="center"/>
        </w:trPr>
        <w:tc>
          <w:tcPr>
            <w:tcW w:w="5558" w:type="dxa"/>
            <w:gridSpan w:val="3"/>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平均L</w:t>
            </w:r>
            <w:r>
              <w:rPr>
                <w:rFonts w:hint="default" w:ascii="Times New Roman" w:hAnsi="Times New Roman" w:eastAsia="宋体" w:cs="Times New Roman"/>
                <w:b w:val="0"/>
                <w:bCs w:val="0"/>
                <w:sz w:val="24"/>
                <w:szCs w:val="24"/>
                <w:vertAlign w:val="subscript"/>
                <w:lang w:val="en-US" w:eastAsia="zh-CN"/>
              </w:rPr>
              <w:t>ep</w:t>
            </w:r>
          </w:p>
        </w:tc>
        <w:tc>
          <w:tcPr>
            <w:tcW w:w="111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65.28</w:t>
            </w: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70.00</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c>
          <w:tcPr>
            <w:tcW w:w="1187"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56.44</w:t>
            </w:r>
          </w:p>
        </w:tc>
        <w:tc>
          <w:tcPr>
            <w:tcW w:w="113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55</w:t>
            </w:r>
          </w:p>
        </w:tc>
        <w:tc>
          <w:tcPr>
            <w:tcW w:w="1131"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c>
          <w:tcPr>
            <w:tcW w:w="1702" w:type="dxa"/>
            <w:shd w:val="clear" w:color="auto" w:fill="auto"/>
            <w:vAlign w:val="center"/>
          </w:tcPr>
          <w:p>
            <w:pPr>
              <w:kinsoku/>
              <w:wordWrap/>
              <w:overflowPunct/>
              <w:topLinePunct w:val="0"/>
              <w:autoSpaceDE/>
              <w:autoSpaceDN/>
              <w:bidi w:val="0"/>
              <w:spacing w:line="360" w:lineRule="auto"/>
              <w:jc w:val="center"/>
              <w:rPr>
                <w:rFonts w:hint="default" w:ascii="Times New Roman" w:hAnsi="Times New Roman" w:eastAsia="宋体" w:cs="Times New Roman"/>
                <w:b w:val="0"/>
                <w:bCs w:val="0"/>
                <w:sz w:val="24"/>
                <w:szCs w:val="24"/>
                <w:lang w:val="en-US" w:eastAsia="zh-CN"/>
              </w:rPr>
            </w:pPr>
          </w:p>
        </w:tc>
      </w:tr>
    </w:tbl>
    <w:p>
      <w:pPr>
        <w:kinsoku/>
        <w:wordWrap/>
        <w:overflowPunct/>
        <w:topLinePunct w:val="0"/>
        <w:autoSpaceDE/>
        <w:autoSpaceDN/>
        <w:bidi w:val="0"/>
        <w:spacing w:line="360" w:lineRule="auto"/>
        <w:ind w:firstLine="280" w:firstLineChars="100"/>
        <w:rPr>
          <w:rFonts w:hint="eastAsia" w:asciiTheme="minorEastAsia" w:hAnsiTheme="minorEastAsia" w:cstheme="minorEastAsia"/>
          <w:b w:val="0"/>
          <w:bCs w:val="0"/>
          <w:sz w:val="28"/>
          <w:szCs w:val="28"/>
          <w:lang w:val="en-US" w:eastAsia="zh-CN"/>
        </w:rPr>
        <w:sectPr>
          <w:headerReference r:id="rId10" w:type="default"/>
          <w:footerReference r:id="rId11" w:type="default"/>
          <w:pgSz w:w="16838" w:h="11906" w:orient="landscape"/>
          <w:pgMar w:top="1800" w:right="1440" w:bottom="1800" w:left="1276"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val="0"/>
          <w:bCs w:val="0"/>
          <w:sz w:val="28"/>
          <w:szCs w:val="28"/>
          <w:lang w:val="en-US" w:eastAsia="zh-CN"/>
        </w:rPr>
        <w:t>4a类声环境功能区划分执行标准限值昼间70dB(A),夜间55dB(A)，共20个监测点，昼间没有一个超标，昼间的</w:t>
      </w:r>
      <w:r>
        <w:rPr>
          <w:rFonts w:hint="eastAsia" w:asciiTheme="minorEastAsia" w:hAnsiTheme="minorEastAsia" w:cstheme="minorEastAsia"/>
          <w:b w:val="0"/>
          <w:bCs w:val="0"/>
          <w:sz w:val="28"/>
          <w:szCs w:val="28"/>
          <w:lang w:val="en-US" w:eastAsia="zh-CN"/>
        </w:rPr>
        <w:t>平均</w:t>
      </w:r>
      <w:r>
        <w:rPr>
          <w:rFonts w:hint="eastAsia" w:asciiTheme="minorEastAsia" w:hAnsiTheme="minorEastAsia" w:eastAsiaTheme="minorEastAsia" w:cstheme="minorEastAsia"/>
          <w:b w:val="0"/>
          <w:bCs w:val="0"/>
          <w:sz w:val="28"/>
          <w:szCs w:val="28"/>
          <w:vertAlign w:val="baseline"/>
          <w:lang w:val="en-US" w:eastAsia="zh-CN"/>
        </w:rPr>
        <w:t>L</w:t>
      </w:r>
      <w:r>
        <w:rPr>
          <w:rFonts w:hint="eastAsia" w:asciiTheme="minorEastAsia" w:hAnsiTheme="minorEastAsia" w:eastAsiaTheme="minorEastAsia" w:cstheme="minorEastAsia"/>
          <w:b w:val="0"/>
          <w:bCs w:val="0"/>
          <w:sz w:val="28"/>
          <w:szCs w:val="28"/>
          <w:vertAlign w:val="subscript"/>
          <w:lang w:val="en-US" w:eastAsia="zh-CN"/>
        </w:rPr>
        <w:t>ep</w:t>
      </w:r>
      <w:r>
        <w:rPr>
          <w:rFonts w:hint="eastAsia" w:asciiTheme="minorEastAsia" w:hAnsiTheme="minorEastAsia" w:eastAsiaTheme="minorEastAsia" w:cstheme="minorEastAsia"/>
          <w:b w:val="0"/>
          <w:bCs w:val="0"/>
          <w:sz w:val="28"/>
          <w:szCs w:val="28"/>
          <w:lang w:val="en-US" w:eastAsia="zh-CN"/>
        </w:rPr>
        <w:t>=65.28dB(A),夜间有9个监测点超标，超标率为45%，L</w:t>
      </w:r>
      <w:r>
        <w:rPr>
          <w:rFonts w:hint="eastAsia" w:asciiTheme="minorEastAsia" w:hAnsiTheme="minorEastAsia" w:eastAsiaTheme="minorEastAsia" w:cstheme="minorEastAsia"/>
          <w:b w:val="0"/>
          <w:bCs w:val="0"/>
          <w:sz w:val="28"/>
          <w:szCs w:val="28"/>
          <w:vertAlign w:val="subscript"/>
          <w:lang w:val="en-US" w:eastAsia="zh-CN"/>
        </w:rPr>
        <w:t>ep</w:t>
      </w:r>
      <w:r>
        <w:rPr>
          <w:rFonts w:hint="eastAsia" w:asciiTheme="minorEastAsia" w:hAnsiTheme="minorEastAsia" w:eastAsiaTheme="minorEastAsia" w:cstheme="minorEastAsia"/>
          <w:b w:val="0"/>
          <w:bCs w:val="0"/>
          <w:sz w:val="28"/>
          <w:szCs w:val="28"/>
          <w:lang w:val="en-US" w:eastAsia="zh-CN"/>
        </w:rPr>
        <w:t>=56.44dB(A)，夜间平均超标量为1.44dB</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A</w:t>
      </w:r>
      <w:r>
        <w:rPr>
          <w:rFonts w:hint="eastAsia" w:asciiTheme="minorEastAsia" w:hAnsiTheme="minorEastAsia" w:cstheme="minorEastAsia"/>
          <w:b w:val="0"/>
          <w:bCs w:val="0"/>
          <w:sz w:val="28"/>
          <w:szCs w:val="28"/>
          <w:lang w:val="en-US" w:eastAsia="zh-CN"/>
        </w:rPr>
        <w:t>)。</w:t>
      </w:r>
    </w:p>
    <w:p>
      <w:pPr>
        <w:pStyle w:val="2"/>
        <w:keepNext w:val="0"/>
        <w:keepLines w:val="0"/>
        <w:pageBreakBefore/>
        <w:numPr>
          <w:ilvl w:val="0"/>
          <w:numId w:val="0"/>
        </w:numPr>
        <w:kinsoku/>
        <w:wordWrap/>
        <w:overflowPunct/>
        <w:topLinePunct w:val="0"/>
        <w:autoSpaceDE/>
        <w:autoSpaceDN/>
        <w:bidi w:val="0"/>
        <w:spacing w:line="360" w:lineRule="auto"/>
        <w:outlineLvl w:val="0"/>
        <w:rPr>
          <w:rFonts w:hint="eastAsia" w:asciiTheme="minorEastAsia" w:hAnsiTheme="minorEastAsia" w:eastAsiaTheme="minorEastAsia" w:cstheme="minorEastAsia"/>
          <w:b/>
          <w:bCs/>
          <w:sz w:val="28"/>
          <w:szCs w:val="28"/>
          <w:lang w:val="en-US" w:eastAsia="zh-CN"/>
        </w:rPr>
      </w:pPr>
      <w:bookmarkStart w:id="192" w:name="_Toc17307"/>
      <w:bookmarkStart w:id="193" w:name="_Toc12261"/>
      <w:bookmarkStart w:id="194" w:name="_Toc10603_WPSOffice_Level1"/>
      <w:bookmarkStart w:id="195" w:name="_Toc18596_WPSOffice_Level1"/>
      <w:bookmarkStart w:id="196" w:name="_Toc10460_WPSOffice_Level1"/>
      <w:bookmarkStart w:id="197" w:name="_Toc18958_WPSOffice_Level1"/>
      <w:bookmarkStart w:id="198" w:name="_Toc17144_WPSOffice_Level1"/>
      <w:bookmarkStart w:id="199" w:name="_Toc4043"/>
      <w:bookmarkStart w:id="200" w:name="_Toc3843"/>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lang w:val="en-US" w:eastAsia="zh-CN"/>
        </w:rPr>
        <w:t>结论及建议</w:t>
      </w:r>
      <w:bookmarkEnd w:id="192"/>
      <w:bookmarkEnd w:id="193"/>
      <w:bookmarkEnd w:id="194"/>
      <w:bookmarkEnd w:id="195"/>
      <w:bookmarkEnd w:id="196"/>
      <w:bookmarkEnd w:id="197"/>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01" w:name="_Toc322586527"/>
      <w:bookmarkStart w:id="202" w:name="_Toc322504582"/>
      <w:bookmarkStart w:id="203" w:name="_Toc21031_WPSOffice_Level2"/>
      <w:bookmarkStart w:id="204" w:name="_Toc462815471"/>
      <w:bookmarkStart w:id="205" w:name="_Toc12599_WPSOffice_Level2"/>
      <w:r>
        <w:rPr>
          <w:rFonts w:hint="eastAsia" w:ascii="Times New Roman" w:hAnsi="Times New Roman" w:eastAsia="黑体" w:cs="Times New Roman"/>
          <w:b/>
          <w:bCs/>
          <w:sz w:val="28"/>
          <w:szCs w:val="28"/>
          <w:lang w:val="en-US" w:eastAsia="zh-CN"/>
        </w:rPr>
        <w:t>6.1 结</w:t>
      </w:r>
      <w:bookmarkEnd w:id="201"/>
      <w:bookmarkEnd w:id="202"/>
      <w:r>
        <w:rPr>
          <w:rFonts w:hint="eastAsia" w:ascii="Times New Roman" w:hAnsi="Times New Roman" w:eastAsia="黑体" w:cs="Times New Roman"/>
          <w:b/>
          <w:bCs/>
          <w:sz w:val="28"/>
          <w:szCs w:val="28"/>
          <w:lang w:val="en-US" w:eastAsia="zh-CN"/>
        </w:rPr>
        <w:t>论</w:t>
      </w:r>
      <w:bookmarkEnd w:id="203"/>
      <w:bookmarkEnd w:id="204"/>
      <w:bookmarkEnd w:id="205"/>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根据本次噪声监测数据，得出以下结论：</w:t>
      </w:r>
    </w:p>
    <w:p>
      <w:pPr>
        <w:kinsoku/>
        <w:wordWrap/>
        <w:overflowPunct/>
        <w:topLinePunct w:val="0"/>
        <w:autoSpaceDE/>
        <w:autoSpaceDN/>
        <w:bidi w:val="0"/>
        <w:snapToGrid w:val="0"/>
        <w:spacing w:line="360" w:lineRule="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（1）2018年寻甸县县城建成区区域环境噪声昼间平均等效声级L</w:t>
      </w:r>
      <w:r>
        <w:rPr>
          <w:rFonts w:hint="eastAsia" w:asciiTheme="minorEastAsia" w:hAnsiTheme="minorEastAsia" w:eastAsiaTheme="minorEastAsia" w:cstheme="minorEastAsia"/>
          <w:sz w:val="28"/>
          <w:szCs w:val="20"/>
          <w:vertAlign w:val="subscript"/>
        </w:rPr>
        <w:t>eq</w:t>
      </w:r>
      <w:r>
        <w:rPr>
          <w:rFonts w:hint="eastAsia" w:asciiTheme="minorEastAsia" w:hAnsiTheme="minorEastAsia" w:eastAsiaTheme="minorEastAsia" w:cstheme="minorEastAsia"/>
          <w:sz w:val="28"/>
          <w:szCs w:val="20"/>
        </w:rPr>
        <w:t>为51.1dB，城市区域声环境质量等级为二级，评价为“较好”，夜间平均等效声级L</w:t>
      </w:r>
      <w:r>
        <w:rPr>
          <w:rFonts w:hint="eastAsia" w:asciiTheme="minorEastAsia" w:hAnsiTheme="minorEastAsia" w:eastAsiaTheme="minorEastAsia" w:cstheme="minorEastAsia"/>
          <w:sz w:val="28"/>
          <w:szCs w:val="20"/>
          <w:vertAlign w:val="subscript"/>
        </w:rPr>
        <w:t>eq</w:t>
      </w:r>
      <w:r>
        <w:rPr>
          <w:rFonts w:hint="eastAsia" w:asciiTheme="minorEastAsia" w:hAnsiTheme="minorEastAsia" w:eastAsiaTheme="minorEastAsia" w:cstheme="minorEastAsia"/>
          <w:sz w:val="28"/>
          <w:szCs w:val="20"/>
        </w:rPr>
        <w:t>为43.7dB，城市区域声环境质量等级为二级，评价为“较好”，达《国家环境保护模范城市考核指标实施细则（第六阶段）》区域环境噪声平均值≤60dB（A）的考核要求。</w:t>
      </w:r>
    </w:p>
    <w:p>
      <w:pPr>
        <w:kinsoku/>
        <w:wordWrap/>
        <w:overflowPunct/>
        <w:topLinePunct w:val="0"/>
        <w:autoSpaceDE/>
        <w:autoSpaceDN/>
        <w:bidi w:val="0"/>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8"/>
          <w:szCs w:val="20"/>
        </w:rPr>
        <w:t>（2）2018年寻甸县县城建成区道路交通监测昼间噪声平均等效声级L</w:t>
      </w:r>
      <w:r>
        <w:rPr>
          <w:rFonts w:hint="eastAsia" w:asciiTheme="minorEastAsia" w:hAnsiTheme="minorEastAsia" w:eastAsiaTheme="minorEastAsia" w:cstheme="minorEastAsia"/>
          <w:sz w:val="28"/>
          <w:szCs w:val="20"/>
          <w:vertAlign w:val="subscript"/>
        </w:rPr>
        <w:t>eq</w:t>
      </w:r>
      <w:r>
        <w:rPr>
          <w:rFonts w:hint="eastAsia" w:asciiTheme="minorEastAsia" w:hAnsiTheme="minorEastAsia" w:eastAsiaTheme="minorEastAsia" w:cstheme="minorEastAsia"/>
          <w:sz w:val="28"/>
          <w:szCs w:val="20"/>
        </w:rPr>
        <w:t>为65.0dB，道路交通噪声强度等级为一级，评价为“好”，夜间噪声平均等效声级L</w:t>
      </w:r>
      <w:r>
        <w:rPr>
          <w:rFonts w:hint="eastAsia" w:asciiTheme="minorEastAsia" w:hAnsiTheme="minorEastAsia" w:eastAsiaTheme="minorEastAsia" w:cstheme="minorEastAsia"/>
          <w:sz w:val="28"/>
          <w:szCs w:val="20"/>
          <w:vertAlign w:val="subscript"/>
        </w:rPr>
        <w:t>eq</w:t>
      </w:r>
      <w:r>
        <w:rPr>
          <w:rFonts w:hint="eastAsia" w:asciiTheme="minorEastAsia" w:hAnsiTheme="minorEastAsia" w:eastAsiaTheme="minorEastAsia" w:cstheme="minorEastAsia"/>
          <w:sz w:val="28"/>
          <w:szCs w:val="20"/>
        </w:rPr>
        <w:t>为56.6dB，道路交通噪声强度等级为一级，评价为“好”，达《国家环境保护模范城市考核指标实施细则（第六阶段）》交通干线噪声平均值≤70dB（A）的考核要求。</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06" w:name="_Toc462815469"/>
      <w:bookmarkStart w:id="207" w:name="_Toc23970_WPSOffice_Level2"/>
      <w:bookmarkStart w:id="208" w:name="_Toc32015_WPSOffice_Level2"/>
      <w:r>
        <w:rPr>
          <w:rFonts w:hint="eastAsia" w:ascii="Times New Roman" w:hAnsi="Times New Roman" w:eastAsia="黑体" w:cs="Times New Roman"/>
          <w:b/>
          <w:bCs/>
          <w:sz w:val="28"/>
          <w:szCs w:val="28"/>
          <w:lang w:val="en-US" w:eastAsia="zh-CN"/>
        </w:rPr>
        <w:t>6.2 对策</w:t>
      </w:r>
      <w:bookmarkEnd w:id="206"/>
      <w:bookmarkEnd w:id="207"/>
      <w:bookmarkEnd w:id="208"/>
    </w:p>
    <w:p>
      <w:pPr>
        <w:kinsoku/>
        <w:wordWrap/>
        <w:overflowPunct/>
        <w:topLinePunct w:val="0"/>
        <w:autoSpaceDE/>
        <w:autoSpaceDN/>
        <w:bidi w:val="0"/>
        <w:snapToGrid w:val="0"/>
        <w:spacing w:line="360" w:lineRule="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以科学发展观为指导，提升噪声污染防治和声环境质量管理水平，强化噪声源监督管理，切实解决噪声扰民突出问题，不断改善城镇声环境质量，努力建设安静舒适的城镇环境，保护居民身体健康，促进和谐社会建设。</w:t>
      </w:r>
    </w:p>
    <w:p>
      <w:pPr>
        <w:kinsoku/>
        <w:wordWrap/>
        <w:overflowPunct/>
        <w:topLinePunct w:val="0"/>
        <w:autoSpaceDE/>
        <w:autoSpaceDN/>
        <w:bidi w:val="0"/>
        <w:snapToGrid w:val="0"/>
        <w:spacing w:line="360" w:lineRule="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坚持城市和乡村环境噪声污染防治相结合，促进声环境质量全面改善；坚持促进噪声达标排放和减少扰民纠纷结合，减轻噪声污染对居民生活、工作、学习的影响；坚持环境噪声污染防治和声环境质量管理相结合，健全环境噪声管理制度和政策措施；坚持统一监管与部门分工负责相结合，形成环境噪声污染防治分工联动的工作机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（3）加大重点领域噪声污染防治</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1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①</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加强交通噪声污染防治。全面落实《地面交通噪声污染防治技术政策》，噪声敏感建筑物集中区域（以下简称敏感区）的高架桥、快速路、高速公路、城市轨道等道路两边应配套建设隔声屏障，严格实施禁鸣、限行、限速等措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2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②</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强化施工噪声污染防治。严格执行《建筑施工场界噪声限值》，查处施工噪声超过排放标准的行为。加强施工噪声排放申报管理，实施城市建筑施工环保公告制度。县人民政府依法限定施工作业时间，严格限制在敏感区内夜间进行噪声污染的施工作业。实施城市夜间施工审批管理，推进噪声自动监测系统对建筑施工进行实时监督，鼓励使用低噪声施工设备和工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3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③</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推进社会生活噪声污染防治。严格实施《社会生活环境噪声排放标准》，禁止商业经营活动在室外使用音响器材招揽顾客。严格控制加工、维修、餐饮、娱乐、健身、超市及其他商业服务业噪声污染，有效治理冷却塔、电梯间、水泵房和空调器等配套服务设施造成的噪声污染，严格管理敏感区内的文体活动和室内娱乐活动。积极推进城市室内综合市场，取缔扰民的露天或马路市场。对室内装修进行严格管理，明确限制作业时间，严格控制在已竣工交付使用居民楼内进行产生噪声的装修作业。加强中高考等国家考试期间绿色护考工作，为考生创造良好的考试环境。</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4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④</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深化工业企业噪声污染防治。贯彻执行《工业企业厂界环境噪声排放标准》，查处工业企业噪声排放超标扰民行为。加大敏感区内噪声排放超标污染源关停力度，应每年关停、搬迁和治理一批噪声污染严重的企业。</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（4）强化噪声排放源监督管理</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1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①</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严格声环境准入。在编制城乡建设、区域开发、交通发展和其他专项规划时，在规划环境影响评价文件之中纳入声环境影响评价章节。严格建设项目声环境影响评价，明确改善噪声污染防治的措施要求。严格项目环境噪声“三同时”验收管理，未通过验收的噪声排放项目．一律不得投入运行。</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2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②</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加强重点源监管。环保部门应会同有关部门确定本地区交通、建筑施工、社会生活和工业等领域的重点噪声排放源单位，严格各项管理制度，确保重点排放源噪声排放达标。</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 </w:t>
      </w: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3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③</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健全污染源管理制度。严格实施噪声污染源限期治理制度，按照属地管理原则，每年限期治理一批噪声超标的重点企业。严格落后工艺设备淘汰制度，将高噪声的工艺设备纳入淘汰目录。探索建立设施噪声标牌制度，明确标识相关产品噪声排放水平及符合的相应标准。</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4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④</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 xml:space="preserve">积极解决噪声扰民。加强噪声污染信访投诉处置，畅通各级环保“12369”、公安“110”、城建“12319”举报热线的噪声污染投诉渠道，探索建立多部门的噪声污染投诉信息共享机制。将排放超标并严重扰民的噪声污染问题纳入挂牌督办范围。建立噪声扰民应急机制，防止噪声污染引发群体事件。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（5）加强城乡声环境质量管理</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促进城市声环境质量持续改善。贯彻执行《声环境质量标准》，不断扩大噪声达标功能区面积，提高功能区夜间噪声达标率。城市区域应按《城市区域环境噪声适用区划分技术规范》划定或调整声环境功能区。环保部门应负责指导本辖区内城市完成声环境功能区的划定和调整工作，并将功能区划定情况报上一级环境保护部门备案。</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 xml:space="preserve">（6）强化监管支撑能力建设  </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1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①</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完善噪声监测网络。应建立和完善声环境质量监测网络，将噪声监测作为环境监测标准化建设重点内容之一。加强噪声污染执法监测能力，环境监测和环境监察部门应配置相应的噪声现场监测设备和仪器。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2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②</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提高执法监管能力。各级城市环保部门应设专人从事环境噪声日常管理工作，重点城市应加强噪声污染防治机构建设。组织编写噪声污染防治培训教材，开展噪声污染防治相关法规、政策和标准的培训。促进国家级噪声控制工程中心建设，增强工业、交通、建筑施工、社会生活噪声污染防治技术研发能力。</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3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③</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开展治理工程示范。开展低噪声路面技术研究和示范工程建设。促进道路声屏障建设，实施高效隔声窗应用示范工程。</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4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④</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强化部门协调联动。环保、公安、文化、交通、铁路、建设、工业，工商等主管部门应协调配合，加强噪声防治污染。环保、规划、城管、质检、海事等部门应明确噪声违法行为的执法程序和处罚机构。</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（7）夯实基础保障条件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1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①</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加强规划引导。应将环境噪声污染防治和声环境质量改善作为重要任务之一，环境保护规划，设立噪声污染防治章节。有关部门制定的铁路、交通和民航规划，应有交通噪声污染防治内容。</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2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②</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完善法规和标准。加强环境噪声污染防治法修订调研工作及时研究解决规划和计划。抓紧拟订环境噪声污染防治相关法规、规章，推动环境噪声污染防治地方性法规的制定和完善。制定并实施交通干线噪声排放国家标准。研究室内环境噪声标准，制定低频和振动噪声标准。研究制定噪声控制产品标准和噪声控制产品准入制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3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③</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健全环境经济政策。加大噪声污染经济处罚力度，明确违法罚款数额，提高噪声扰民的罚款限额。严格依法征收噪声超标排污费，做到应收尽收。研究建立交通噪声扰民经济补偿机制，探索施工噪声扰民经济补偿措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4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④</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加强科技研究与开发。加大对声环境质量改善技术研发的支持，通过科技计划，依托行业主管部门，充分利用相关科研机构、高校、企业噪声振动研究基础，研发噪声控制技术。加强振动控制技术、低噪声技术和产品研发，促进降噪装备产业发展。</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cstheme="minorEastAsia"/>
          <w:sz w:val="28"/>
          <w:szCs w:val="20"/>
          <w:lang w:eastAsia="zh-CN"/>
        </w:rPr>
        <w:t>（</w:t>
      </w:r>
      <w:r>
        <w:rPr>
          <w:rFonts w:hint="eastAsia" w:asciiTheme="minorEastAsia" w:hAnsiTheme="minorEastAsia" w:eastAsiaTheme="minorEastAsia" w:cstheme="minorEastAsia"/>
          <w:sz w:val="28"/>
          <w:szCs w:val="20"/>
        </w:rPr>
        <w:t>8)抓好评估检查和宣传教育</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1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①</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开展评估检查。城市环保部门应定期开展噪声污染防治工作的评估，发布噪声污染防治报告。</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2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②</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深化信息管理。划定后的声环境功能区应在环保部门网站予以公开，有条件的城市应在街道、社区明显位置设置声环境功能区类别的标识牌。建立环境噪声信息通报制度，规划制定和建设项目审批前应广泛征求相关居民意见。</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fldChar w:fldCharType="begin"/>
      </w:r>
      <w:r>
        <w:rPr>
          <w:rFonts w:hint="eastAsia" w:asciiTheme="minorEastAsia" w:hAnsiTheme="minorEastAsia" w:eastAsiaTheme="minorEastAsia" w:cstheme="minorEastAsia"/>
          <w:sz w:val="28"/>
          <w:szCs w:val="20"/>
        </w:rPr>
        <w:instrText xml:space="preserve"> = 3 \* GB3 </w:instrText>
      </w:r>
      <w:r>
        <w:rPr>
          <w:rFonts w:hint="eastAsia" w:asciiTheme="minorEastAsia" w:hAnsiTheme="minorEastAsia" w:eastAsiaTheme="minorEastAsia" w:cstheme="minorEastAsia"/>
          <w:sz w:val="28"/>
          <w:szCs w:val="20"/>
        </w:rPr>
        <w:fldChar w:fldCharType="separate"/>
      </w:r>
      <w:r>
        <w:rPr>
          <w:rFonts w:hint="eastAsia" w:asciiTheme="minorEastAsia" w:hAnsiTheme="minorEastAsia" w:eastAsiaTheme="minorEastAsia" w:cstheme="minorEastAsia"/>
          <w:sz w:val="28"/>
          <w:szCs w:val="20"/>
        </w:rPr>
        <w:t>③</w:t>
      </w:r>
      <w:r>
        <w:rPr>
          <w:rFonts w:hint="eastAsia" w:asciiTheme="minorEastAsia" w:hAnsiTheme="minorEastAsia" w:eastAsiaTheme="minorEastAsia" w:cstheme="minorEastAsia"/>
          <w:sz w:val="28"/>
          <w:szCs w:val="20"/>
        </w:rPr>
        <w:fldChar w:fldCharType="end"/>
      </w:r>
      <w:r>
        <w:rPr>
          <w:rFonts w:hint="eastAsia" w:asciiTheme="minorEastAsia" w:hAnsiTheme="minorEastAsia" w:eastAsiaTheme="minorEastAsia" w:cstheme="minorEastAsia"/>
          <w:sz w:val="28"/>
          <w:szCs w:val="20"/>
        </w:rPr>
        <w:t>促进公众参与。广泛宣传噪声污染防治的法律、法规和政策，介绍噪声对人体健康危害的知识。发挥媒体对各类噪声扰民的舆论监督，加大噪声违法的曝光力度。每年“6</w:t>
      </w:r>
      <w:r>
        <w:rPr>
          <w:rFonts w:hint="eastAsia" w:asciiTheme="minorEastAsia" w:hAnsiTheme="minorEastAsia" w:cstheme="minorEastAsia"/>
          <w:sz w:val="28"/>
          <w:szCs w:val="20"/>
          <w:lang w:val="en-US" w:eastAsia="zh-CN"/>
        </w:rPr>
        <w:t>.</w:t>
      </w:r>
      <w:r>
        <w:rPr>
          <w:rFonts w:hint="eastAsia" w:asciiTheme="minorEastAsia" w:hAnsiTheme="minorEastAsia" w:eastAsiaTheme="minorEastAsia" w:cstheme="minorEastAsia"/>
          <w:sz w:val="28"/>
          <w:szCs w:val="20"/>
        </w:rPr>
        <w:t>5”环境日期间，应组织电视、广播、报纸等媒体，宣传报道声环境质量状况和噪声污染防治相关情况。</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09" w:name="_Toc462815470"/>
      <w:bookmarkStart w:id="210" w:name="_Toc3577_WPSOffice_Level2"/>
      <w:bookmarkStart w:id="211" w:name="_Toc28476_WPSOffice_Level2"/>
      <w:r>
        <w:rPr>
          <w:rFonts w:hint="eastAsia" w:ascii="Times New Roman" w:hAnsi="Times New Roman" w:eastAsia="黑体" w:cs="Times New Roman"/>
          <w:b/>
          <w:bCs/>
          <w:sz w:val="28"/>
          <w:szCs w:val="28"/>
          <w:lang w:val="en-US" w:eastAsia="zh-CN"/>
        </w:rPr>
        <w:t>6.3 建议</w:t>
      </w:r>
      <w:bookmarkEnd w:id="209"/>
      <w:bookmarkEnd w:id="210"/>
      <w:bookmarkEnd w:id="211"/>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（1）在寻甸县城的建设中，环境规划应提到相应的地位上，必须重视环境规划中的噪声污染问题，</w:t>
      </w:r>
      <w:r>
        <w:rPr>
          <w:rFonts w:hint="eastAsia" w:asciiTheme="minorEastAsia" w:hAnsiTheme="minorEastAsia" w:cstheme="minorEastAsia"/>
          <w:sz w:val="28"/>
          <w:szCs w:val="20"/>
          <w:lang w:val="en-US" w:eastAsia="zh-CN"/>
        </w:rPr>
        <w:t>依据区划的成果，加强执法管理监督</w:t>
      </w:r>
      <w:r>
        <w:rPr>
          <w:rFonts w:hint="eastAsia" w:asciiTheme="minorEastAsia" w:hAnsiTheme="minorEastAsia" w:eastAsiaTheme="minorEastAsia" w:cstheme="minorEastAsia"/>
          <w:sz w:val="28"/>
          <w:szCs w:val="20"/>
        </w:rPr>
        <w:t>。</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（2）加强城市道路建设规划，主干道与居民混合区分离</w:t>
      </w:r>
      <w:r>
        <w:rPr>
          <w:rFonts w:hint="eastAsia" w:asciiTheme="minorEastAsia" w:hAnsiTheme="minorEastAsia" w:cstheme="minorEastAsia"/>
          <w:sz w:val="28"/>
          <w:szCs w:val="20"/>
          <w:lang w:eastAsia="zh-CN"/>
        </w:rPr>
        <w:t>、</w:t>
      </w:r>
      <w:r>
        <w:rPr>
          <w:rFonts w:hint="eastAsia" w:asciiTheme="minorEastAsia" w:hAnsiTheme="minorEastAsia" w:eastAsiaTheme="minorEastAsia" w:cstheme="minorEastAsia"/>
          <w:sz w:val="28"/>
          <w:szCs w:val="20"/>
        </w:rPr>
        <w:t>城区内禁鸣喇叭等措施。</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（3）在县城的综合整治中，严格加强各类噪声污染源的监督管理，尤其加强对建筑施工和文化娱乐场所噪声源的监管。</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（4）认真贯彻执行《中华人民共和国噪声污染防治法》，</w:t>
      </w:r>
      <w:r>
        <w:rPr>
          <w:rFonts w:hint="eastAsia" w:asciiTheme="minorEastAsia" w:hAnsiTheme="minorEastAsia" w:cstheme="minorEastAsia"/>
          <w:sz w:val="28"/>
          <w:szCs w:val="20"/>
          <w:lang w:eastAsia="zh-CN"/>
        </w:rPr>
        <w:t>加大</w:t>
      </w:r>
      <w:r>
        <w:rPr>
          <w:rFonts w:hint="eastAsia" w:asciiTheme="minorEastAsia" w:hAnsiTheme="minorEastAsia" w:eastAsiaTheme="minorEastAsia" w:cstheme="minorEastAsia"/>
          <w:sz w:val="28"/>
          <w:szCs w:val="20"/>
        </w:rPr>
        <w:t>执法力度，加强对噪声污染危害的宣传，增强全民环保意识，从而减少公共场所的噪声污染。</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rPr>
      </w:pPr>
      <w:r>
        <w:rPr>
          <w:rFonts w:hint="eastAsia" w:asciiTheme="minorEastAsia" w:hAnsiTheme="minorEastAsia" w:eastAsiaTheme="minorEastAsia" w:cstheme="minorEastAsia"/>
          <w:sz w:val="28"/>
          <w:szCs w:val="20"/>
        </w:rPr>
        <w:t>（5）合理规范娱乐时间，避免噪声扰民。</w:t>
      </w:r>
    </w:p>
    <w:p>
      <w:pPr>
        <w:pStyle w:val="2"/>
        <w:keepNext w:val="0"/>
        <w:keepLines w:val="0"/>
        <w:pageBreakBefore/>
        <w:numPr>
          <w:ilvl w:val="0"/>
          <w:numId w:val="0"/>
        </w:numPr>
        <w:kinsoku/>
        <w:wordWrap/>
        <w:overflowPunct/>
        <w:topLinePunct w:val="0"/>
        <w:autoSpaceDE/>
        <w:autoSpaceDN/>
        <w:bidi w:val="0"/>
        <w:spacing w:line="360" w:lineRule="auto"/>
        <w:outlineLvl w:val="0"/>
        <w:rPr>
          <w:rFonts w:hint="eastAsia" w:asciiTheme="minorEastAsia" w:hAnsiTheme="minorEastAsia" w:cstheme="minorEastAsia"/>
          <w:b/>
          <w:bCs/>
          <w:sz w:val="28"/>
          <w:szCs w:val="28"/>
          <w:lang w:val="en-US" w:eastAsia="zh-CN"/>
        </w:rPr>
      </w:pPr>
      <w:bookmarkStart w:id="212" w:name="_Toc30494_WPSOffice_Level1"/>
      <w:r>
        <w:rPr>
          <w:rFonts w:hint="eastAsia" w:asciiTheme="minorEastAsia" w:hAnsiTheme="minorEastAsia" w:cstheme="minorEastAsia"/>
          <w:b/>
          <w:bCs/>
          <w:sz w:val="28"/>
          <w:szCs w:val="28"/>
          <w:lang w:val="en-US" w:eastAsia="zh-CN"/>
        </w:rPr>
        <w:t>7.存在问题</w:t>
      </w:r>
      <w:bookmarkEnd w:id="212"/>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13" w:name="_Toc6043_WPSOffice_Level2"/>
      <w:r>
        <w:rPr>
          <w:rFonts w:hint="eastAsia" w:ascii="Times New Roman" w:hAnsi="Times New Roman" w:eastAsia="黑体" w:cs="Times New Roman"/>
          <w:b/>
          <w:bCs/>
          <w:sz w:val="28"/>
          <w:szCs w:val="28"/>
          <w:lang w:val="en-US" w:eastAsia="zh-CN"/>
        </w:rPr>
        <w:t>7.1主城和金所片区均存在防护林规划区划与管理问题</w:t>
      </w:r>
      <w:bookmarkEnd w:id="213"/>
    </w:p>
    <w:p>
      <w:pPr>
        <w:ind w:firstLine="560" w:firstLineChars="200"/>
        <w:rPr>
          <w:rFonts w:hint="eastAsia"/>
          <w:lang w:val="en-US" w:eastAsia="zh-CN"/>
        </w:rPr>
      </w:pPr>
      <w:r>
        <w:rPr>
          <w:rFonts w:hint="eastAsia" w:asciiTheme="minorEastAsia" w:hAnsiTheme="minorEastAsia" w:eastAsiaTheme="minorEastAsia" w:cstheme="minorEastAsia"/>
          <w:sz w:val="28"/>
          <w:szCs w:val="20"/>
          <w:lang w:val="en-US" w:eastAsia="zh-CN"/>
        </w:rPr>
        <w:t>本次声功能区划中，防护林区的划分存在争议，因为防护林周边地区有居民居住生活，按照技术规范暂划分为</w:t>
      </w:r>
      <w:r>
        <w:rPr>
          <w:rFonts w:hint="eastAsia" w:asciiTheme="minorEastAsia" w:hAnsiTheme="minorEastAsia" w:cstheme="minorEastAsia"/>
          <w:sz w:val="28"/>
          <w:szCs w:val="20"/>
          <w:lang w:val="en-US" w:eastAsia="zh-CN"/>
        </w:rPr>
        <w:t>1</w:t>
      </w:r>
      <w:r>
        <w:rPr>
          <w:rFonts w:hint="eastAsia" w:asciiTheme="minorEastAsia" w:hAnsiTheme="minorEastAsia" w:eastAsiaTheme="minorEastAsia" w:cstheme="minorEastAsia"/>
          <w:sz w:val="28"/>
          <w:szCs w:val="20"/>
          <w:lang w:val="en-US" w:eastAsia="zh-CN"/>
        </w:rPr>
        <w:t>类区。但西防护林区建设在铁路</w:t>
      </w:r>
      <w:r>
        <w:rPr>
          <w:rFonts w:hint="eastAsia" w:asciiTheme="minorEastAsia" w:hAnsiTheme="minorEastAsia" w:cstheme="minorEastAsia"/>
          <w:sz w:val="28"/>
          <w:szCs w:val="20"/>
          <w:lang w:val="en-US" w:eastAsia="zh-CN"/>
        </w:rPr>
        <w:t>和高速</w:t>
      </w:r>
      <w:r>
        <w:rPr>
          <w:rFonts w:hint="eastAsia" w:asciiTheme="minorEastAsia" w:hAnsiTheme="minorEastAsia" w:eastAsiaTheme="minorEastAsia" w:cstheme="minorEastAsia"/>
          <w:sz w:val="28"/>
          <w:szCs w:val="20"/>
          <w:lang w:val="en-US" w:eastAsia="zh-CN"/>
        </w:rPr>
        <w:t>两侧，受铁路</w:t>
      </w:r>
      <w:r>
        <w:rPr>
          <w:rFonts w:hint="eastAsia" w:asciiTheme="minorEastAsia" w:hAnsiTheme="minorEastAsia" w:cstheme="minorEastAsia"/>
          <w:sz w:val="28"/>
          <w:szCs w:val="20"/>
          <w:lang w:val="en-US" w:eastAsia="zh-CN"/>
        </w:rPr>
        <w:t>高速的</w:t>
      </w:r>
      <w:r>
        <w:rPr>
          <w:rFonts w:hint="eastAsia" w:asciiTheme="minorEastAsia" w:hAnsiTheme="minorEastAsia" w:eastAsiaTheme="minorEastAsia" w:cstheme="minorEastAsia"/>
          <w:sz w:val="28"/>
          <w:szCs w:val="20"/>
          <w:lang w:val="en-US" w:eastAsia="zh-CN"/>
        </w:rPr>
        <w:t>噪声影响无法达到</w:t>
      </w:r>
      <w:r>
        <w:rPr>
          <w:rFonts w:hint="eastAsia" w:asciiTheme="minorEastAsia" w:hAnsiTheme="minorEastAsia" w:cstheme="minorEastAsia"/>
          <w:sz w:val="28"/>
          <w:szCs w:val="20"/>
          <w:lang w:val="en-US" w:eastAsia="zh-CN"/>
        </w:rPr>
        <w:t>1</w:t>
      </w:r>
      <w:r>
        <w:rPr>
          <w:rFonts w:hint="eastAsia" w:asciiTheme="minorEastAsia" w:hAnsiTheme="minorEastAsia" w:eastAsiaTheme="minorEastAsia" w:cstheme="minorEastAsia"/>
          <w:sz w:val="28"/>
          <w:szCs w:val="20"/>
          <w:lang w:val="en-US" w:eastAsia="zh-CN"/>
        </w:rPr>
        <w:t>类区标准。若划为4类区，执行标准较低，周边居民的生活将会受到影响，且后续管理可能存在问题。</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lang w:val="en-US" w:eastAsia="zh-CN"/>
        </w:rPr>
      </w:pPr>
      <w:r>
        <w:rPr>
          <w:rFonts w:hint="eastAsia" w:asciiTheme="minorEastAsia" w:hAnsiTheme="minorEastAsia" w:eastAsiaTheme="minorEastAsia" w:cstheme="minorEastAsia"/>
          <w:sz w:val="28"/>
          <w:szCs w:val="20"/>
          <w:lang w:val="en-US" w:eastAsia="zh-CN"/>
        </w:rPr>
        <w:t>1）主城区的防护林主要是沿着东川铁路线的规划了防护林带，防护林现状周边目前主要是村落和部分县城居住区，本次考虑现状管理情况，暂时执行1类声环境功能区。</w:t>
      </w:r>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lang w:val="en-US" w:eastAsia="zh-CN"/>
        </w:rPr>
      </w:pPr>
      <w:r>
        <w:rPr>
          <w:rFonts w:hint="eastAsia" w:asciiTheme="minorEastAsia" w:hAnsiTheme="minorEastAsia" w:eastAsiaTheme="minorEastAsia" w:cstheme="minorEastAsia"/>
          <w:sz w:val="28"/>
          <w:szCs w:val="20"/>
          <w:lang w:val="en-US" w:eastAsia="zh-CN"/>
        </w:rPr>
        <w:t>2）金所片区的防护林是沿着渝昆高速规划，防护林规划用于缓冲1～3类区域声环境功能区，更好的提升声环境质量，因目前规划防护林带也存在居民，暂时按1类声环境划分，执行时可依据实际需求管理为准。</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14" w:name="_Toc14447_WPSOffice_Level2"/>
      <w:r>
        <w:rPr>
          <w:rFonts w:hint="eastAsia" w:ascii="Times New Roman" w:hAnsi="Times New Roman" w:eastAsia="黑体" w:cs="Times New Roman"/>
          <w:b/>
          <w:bCs/>
          <w:sz w:val="28"/>
          <w:szCs w:val="28"/>
          <w:lang w:val="en-US" w:eastAsia="zh-CN"/>
        </w:rPr>
        <w:t>7.2 单元XD-P6.3-D127休闲广场区（文化馆）区划问题</w:t>
      </w:r>
      <w:bookmarkEnd w:id="214"/>
    </w:p>
    <w:p>
      <w:pPr>
        <w:kinsoku/>
        <w:wordWrap/>
        <w:overflowPunct/>
        <w:topLinePunct w:val="0"/>
        <w:autoSpaceDE/>
        <w:autoSpaceDN/>
        <w:bidi w:val="0"/>
        <w:snapToGrid w:val="0"/>
        <w:spacing w:line="360" w:lineRule="auto"/>
        <w:ind w:firstLine="560" w:firstLineChars="200"/>
        <w:rPr>
          <w:rFonts w:hint="eastAsia" w:asciiTheme="minorEastAsia" w:hAnsiTheme="minorEastAsia" w:eastAsiaTheme="minorEastAsia" w:cstheme="minorEastAsia"/>
          <w:sz w:val="28"/>
          <w:szCs w:val="20"/>
          <w:lang w:val="en-US" w:eastAsia="zh-CN"/>
        </w:rPr>
      </w:pPr>
      <w:r>
        <w:rPr>
          <w:rFonts w:hint="eastAsia" w:asciiTheme="minorEastAsia" w:hAnsiTheme="minorEastAsia" w:eastAsiaTheme="minorEastAsia" w:cstheme="minorEastAsia"/>
          <w:sz w:val="28"/>
          <w:szCs w:val="20"/>
          <w:lang w:val="en-US" w:eastAsia="zh-CN"/>
        </w:rPr>
        <w:t>休闲广场区（文化馆）规划为广场用地</w:t>
      </w:r>
      <w:r>
        <w:rPr>
          <w:rFonts w:hint="eastAsia" w:asciiTheme="minorEastAsia" w:hAnsiTheme="minorEastAsia" w:cstheme="minorEastAsia"/>
          <w:sz w:val="28"/>
          <w:szCs w:val="20"/>
          <w:lang w:val="en-US" w:eastAsia="zh-CN"/>
        </w:rPr>
        <w:t>，</w:t>
      </w:r>
      <w:r>
        <w:rPr>
          <w:rFonts w:hint="eastAsia" w:asciiTheme="minorEastAsia" w:hAnsiTheme="minorEastAsia" w:eastAsiaTheme="minorEastAsia" w:cstheme="minorEastAsia"/>
          <w:sz w:val="28"/>
          <w:szCs w:val="20"/>
          <w:lang w:val="en-US" w:eastAsia="zh-CN"/>
        </w:rPr>
        <w:t>周边也存在商业混合区，按声环境功能区划分技术标准应该划为2类声环境功能区</w:t>
      </w:r>
      <w:r>
        <w:rPr>
          <w:rFonts w:hint="eastAsia" w:asciiTheme="minorEastAsia" w:hAnsiTheme="minorEastAsia" w:cstheme="minorEastAsia"/>
          <w:sz w:val="28"/>
          <w:szCs w:val="20"/>
          <w:lang w:val="en-US" w:eastAsia="zh-CN"/>
        </w:rPr>
        <w:t>。</w:t>
      </w:r>
      <w:r>
        <w:rPr>
          <w:rFonts w:hint="eastAsia" w:asciiTheme="minorEastAsia" w:hAnsiTheme="minorEastAsia" w:eastAsiaTheme="minorEastAsia" w:cstheme="minorEastAsia"/>
          <w:sz w:val="28"/>
          <w:szCs w:val="20"/>
          <w:lang w:val="en-US" w:eastAsia="zh-CN"/>
        </w:rPr>
        <w:t>现状为休闲广场区</w:t>
      </w:r>
      <w:r>
        <w:rPr>
          <w:rFonts w:hint="eastAsia" w:asciiTheme="minorEastAsia" w:hAnsiTheme="minorEastAsia" w:cstheme="minorEastAsia"/>
          <w:sz w:val="28"/>
          <w:szCs w:val="20"/>
          <w:lang w:val="en-US" w:eastAsia="zh-CN"/>
        </w:rPr>
        <w:t>是</w:t>
      </w:r>
      <w:r>
        <w:rPr>
          <w:rFonts w:hint="eastAsia" w:asciiTheme="minorEastAsia" w:hAnsiTheme="minorEastAsia" w:eastAsiaTheme="minorEastAsia" w:cstheme="minorEastAsia"/>
          <w:sz w:val="28"/>
          <w:szCs w:val="20"/>
          <w:lang w:val="en-US" w:eastAsia="zh-CN"/>
        </w:rPr>
        <w:t>寻甸县文化馆</w:t>
      </w:r>
      <w:r>
        <w:rPr>
          <w:rFonts w:hint="eastAsia" w:asciiTheme="minorEastAsia" w:hAnsiTheme="minorEastAsia" w:cstheme="minorEastAsia"/>
          <w:sz w:val="28"/>
          <w:szCs w:val="20"/>
          <w:lang w:val="en-US" w:eastAsia="zh-CN"/>
        </w:rPr>
        <w:t>、</w:t>
      </w:r>
      <w:r>
        <w:rPr>
          <w:rFonts w:hint="eastAsia" w:asciiTheme="minorEastAsia" w:hAnsiTheme="minorEastAsia" w:eastAsiaTheme="minorEastAsia" w:cstheme="minorEastAsia"/>
          <w:sz w:val="28"/>
          <w:szCs w:val="20"/>
          <w:lang w:val="en-US" w:eastAsia="zh-CN"/>
        </w:rPr>
        <w:t>文化中心，为</w:t>
      </w:r>
      <w:r>
        <w:rPr>
          <w:rFonts w:hint="eastAsia" w:asciiTheme="minorEastAsia" w:hAnsiTheme="minorEastAsia" w:cstheme="minorEastAsia"/>
          <w:sz w:val="28"/>
          <w:szCs w:val="20"/>
          <w:lang w:val="en-US" w:eastAsia="zh-CN"/>
        </w:rPr>
        <w:t>了</w:t>
      </w:r>
      <w:r>
        <w:rPr>
          <w:rFonts w:hint="eastAsia" w:asciiTheme="minorEastAsia" w:hAnsiTheme="minorEastAsia" w:eastAsiaTheme="minorEastAsia" w:cstheme="minorEastAsia"/>
          <w:sz w:val="28"/>
          <w:szCs w:val="20"/>
          <w:lang w:val="en-US" w:eastAsia="zh-CN"/>
        </w:rPr>
        <w:t>建设文化管理需要，本技术</w:t>
      </w:r>
      <w:r>
        <w:rPr>
          <w:rFonts w:hint="eastAsia" w:asciiTheme="minorEastAsia" w:hAnsiTheme="minorEastAsia" w:cstheme="minorEastAsia"/>
          <w:sz w:val="28"/>
          <w:szCs w:val="20"/>
          <w:lang w:val="en-US" w:eastAsia="zh-CN"/>
        </w:rPr>
        <w:t>实行的</w:t>
      </w:r>
      <w:r>
        <w:rPr>
          <w:rFonts w:hint="eastAsia" w:asciiTheme="minorEastAsia" w:hAnsiTheme="minorEastAsia" w:eastAsiaTheme="minorEastAsia" w:cstheme="minorEastAsia"/>
          <w:sz w:val="28"/>
          <w:szCs w:val="20"/>
          <w:lang w:val="en-US" w:eastAsia="zh-CN"/>
        </w:rPr>
        <w:t>方案是把文化馆小片区单独独立出来，暂划定为1类声环境功能区，以后广场有功能性变动再对声环境划分做适当调整</w:t>
      </w:r>
      <w:r>
        <w:rPr>
          <w:rFonts w:hint="eastAsia" w:asciiTheme="minorEastAsia" w:hAnsiTheme="minorEastAsia" w:cstheme="minorEastAsia"/>
          <w:sz w:val="28"/>
          <w:szCs w:val="20"/>
          <w:lang w:val="en-US" w:eastAsia="zh-CN"/>
        </w:rPr>
        <w:t>。</w:t>
      </w:r>
      <w:r>
        <w:rPr>
          <w:rFonts w:hint="eastAsia" w:asciiTheme="minorEastAsia" w:hAnsiTheme="minorEastAsia" w:eastAsiaTheme="minorEastAsia" w:cstheme="minorEastAsia"/>
          <w:sz w:val="28"/>
          <w:szCs w:val="20"/>
          <w:lang w:val="en-US" w:eastAsia="zh-CN"/>
        </w:rPr>
        <w:t>此外在就现状声环境功能区的现状监测统计，本单元的监测点位也存在超标，实际管理执法中依据文化馆的发展需要建议常规</w:t>
      </w:r>
      <w:r>
        <w:rPr>
          <w:rFonts w:hint="eastAsia" w:asciiTheme="minorEastAsia" w:hAnsiTheme="minorEastAsia" w:cstheme="minorEastAsia"/>
          <w:sz w:val="28"/>
          <w:szCs w:val="20"/>
          <w:lang w:val="en-US" w:eastAsia="zh-CN"/>
        </w:rPr>
        <w:t>按</w:t>
      </w:r>
      <w:r>
        <w:rPr>
          <w:rFonts w:hint="eastAsia" w:asciiTheme="minorEastAsia" w:hAnsiTheme="minorEastAsia" w:eastAsiaTheme="minorEastAsia" w:cstheme="minorEastAsia"/>
          <w:sz w:val="28"/>
          <w:szCs w:val="20"/>
          <w:lang w:val="en-US" w:eastAsia="zh-CN"/>
        </w:rPr>
        <w:t>现划定的1类声环境功能区标准执行，并由执法部门结合周边协调形势执法管理。</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15" w:name="_Toc13241_WPSOffice_Level2"/>
      <w:r>
        <w:rPr>
          <w:rFonts w:hint="eastAsia" w:ascii="Times New Roman" w:hAnsi="Times New Roman" w:eastAsia="黑体" w:cs="Times New Roman"/>
          <w:b/>
          <w:bCs/>
          <w:sz w:val="28"/>
          <w:szCs w:val="28"/>
          <w:lang w:val="en-US" w:eastAsia="zh-CN"/>
        </w:rPr>
        <w:t>7.3单元XD-P9.5-D4a01县客运站区划问题</w:t>
      </w:r>
      <w:bookmarkEnd w:id="215"/>
    </w:p>
    <w:p>
      <w:pPr>
        <w:kinsoku/>
        <w:wordWrap/>
        <w:overflowPunct/>
        <w:topLinePunct w:val="0"/>
        <w:autoSpaceDE/>
        <w:autoSpaceDN/>
        <w:bidi w:val="0"/>
        <w:snapToGrid w:val="0"/>
        <w:spacing w:line="360" w:lineRule="auto"/>
        <w:ind w:firstLine="560" w:firstLineChars="200"/>
        <w:rPr>
          <w:rFonts w:hint="default" w:ascii="Times New Roman" w:hAnsi="Times New Roman" w:cs="Times New Roman" w:eastAsiaTheme="minorEastAsia"/>
          <w:sz w:val="28"/>
          <w:szCs w:val="20"/>
          <w:lang w:val="en-US" w:eastAsia="zh-CN"/>
        </w:rPr>
      </w:pPr>
      <w:r>
        <w:rPr>
          <w:rFonts w:hint="default" w:ascii="Times New Roman" w:hAnsi="Times New Roman" w:cs="Times New Roman" w:eastAsiaTheme="minorEastAsia"/>
          <w:sz w:val="28"/>
          <w:szCs w:val="20"/>
          <w:lang w:val="en-US" w:eastAsia="zh-CN"/>
        </w:rPr>
        <w:t>依据寻甸县县城总体概念规划和设计，单元XD-P9.5-D4a01县客运站区规划类型为居住区，结合现状为县客运站，依据技术标准应该划定为4a类声环境功能区。同时，结合实际管理需求。本次技术报告处理的方案是将客运站所在的小区域独立划到为4a类声环境，因周边都是居住区和小学，实际现状监测过程超标比较大，建议执行标准可提升，对客运站噪声严格管理。与周边所划功能区有个缓冲范围及时间方面的管理，以提高周边居民</w:t>
      </w:r>
      <w:r>
        <w:rPr>
          <w:rFonts w:hint="eastAsia" w:ascii="Times New Roman" w:hAnsi="Times New Roman" w:cs="Times New Roman"/>
          <w:sz w:val="28"/>
          <w:szCs w:val="20"/>
          <w:lang w:val="en-US" w:eastAsia="zh-CN"/>
        </w:rPr>
        <w:t>的</w:t>
      </w:r>
      <w:r>
        <w:rPr>
          <w:rFonts w:hint="default" w:ascii="Times New Roman" w:hAnsi="Times New Roman" w:cs="Times New Roman" w:eastAsiaTheme="minorEastAsia"/>
          <w:sz w:val="28"/>
          <w:szCs w:val="20"/>
          <w:lang w:val="en-US" w:eastAsia="zh-CN"/>
        </w:rPr>
        <w:t>声环境质量水平。</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16" w:name="_Toc9148_WPSOffice_Level2"/>
      <w:r>
        <w:rPr>
          <w:rFonts w:hint="eastAsia" w:ascii="Times New Roman" w:hAnsi="Times New Roman" w:eastAsia="黑体" w:cs="Times New Roman"/>
          <w:b/>
          <w:bCs/>
          <w:sz w:val="28"/>
          <w:szCs w:val="28"/>
          <w:lang w:val="en-US" w:eastAsia="zh-CN"/>
        </w:rPr>
        <w:t>7.4老城区混合性问题</w:t>
      </w:r>
      <w:bookmarkEnd w:id="216"/>
    </w:p>
    <w:p>
      <w:pPr>
        <w:kinsoku/>
        <w:wordWrap/>
        <w:overflowPunct/>
        <w:topLinePunct w:val="0"/>
        <w:autoSpaceDE/>
        <w:autoSpaceDN/>
        <w:bidi w:val="0"/>
        <w:snapToGrid w:val="0"/>
        <w:spacing w:line="360" w:lineRule="auto"/>
        <w:ind w:firstLine="560" w:firstLineChars="200"/>
        <w:rPr>
          <w:rFonts w:hint="default" w:ascii="Times New Roman" w:hAnsi="Times New Roman" w:cs="Times New Roman" w:eastAsiaTheme="minorEastAsia"/>
          <w:sz w:val="28"/>
          <w:szCs w:val="20"/>
          <w:lang w:val="en-US" w:eastAsia="zh-CN"/>
        </w:rPr>
      </w:pPr>
      <w:r>
        <w:rPr>
          <w:rFonts w:hint="default" w:ascii="Times New Roman" w:hAnsi="Times New Roman" w:cs="Times New Roman" w:eastAsiaTheme="minorEastAsia"/>
          <w:sz w:val="28"/>
          <w:szCs w:val="20"/>
          <w:lang w:val="en-US" w:eastAsia="zh-CN"/>
        </w:rPr>
        <w:t>其中较</w:t>
      </w:r>
      <w:r>
        <w:rPr>
          <w:rFonts w:hint="eastAsia" w:ascii="Times New Roman" w:hAnsi="Times New Roman" w:cs="Times New Roman"/>
          <w:sz w:val="28"/>
          <w:szCs w:val="20"/>
          <w:lang w:val="en-US" w:eastAsia="zh-CN"/>
        </w:rPr>
        <w:t>明显的</w:t>
      </w:r>
      <w:r>
        <w:rPr>
          <w:rFonts w:hint="default" w:ascii="Times New Roman" w:hAnsi="Times New Roman" w:cs="Times New Roman" w:eastAsiaTheme="minorEastAsia"/>
          <w:sz w:val="28"/>
          <w:szCs w:val="20"/>
          <w:lang w:val="en-US" w:eastAsia="zh-CN"/>
        </w:rPr>
        <w:t> 西北行政学校区</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XD-P6.4-D106</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和老城区北部学校区</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XD-P6.5-D107 </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，依据现状主要</w:t>
      </w:r>
      <w:r>
        <w:rPr>
          <w:rFonts w:hint="eastAsia" w:ascii="Times New Roman" w:hAnsi="Times New Roman" w:cs="Times New Roman"/>
          <w:sz w:val="28"/>
          <w:szCs w:val="20"/>
          <w:lang w:val="en-US" w:eastAsia="zh-CN"/>
        </w:rPr>
        <w:t>为</w:t>
      </w:r>
      <w:r>
        <w:rPr>
          <w:rFonts w:hint="default" w:ascii="Times New Roman" w:hAnsi="Times New Roman" w:cs="Times New Roman" w:eastAsiaTheme="minorEastAsia"/>
          <w:sz w:val="28"/>
          <w:szCs w:val="20"/>
          <w:lang w:val="en-US" w:eastAsia="zh-CN"/>
        </w:rPr>
        <w:t>行政办公的集中区，也是城市的主要商业混合区域，管理和执法必然也是最难于实施的区域。目前主要依据统计居住</w:t>
      </w:r>
      <w:r>
        <w:rPr>
          <w:rFonts w:hint="eastAsia" w:ascii="Times New Roman" w:hAnsi="Times New Roman" w:cs="Times New Roman" w:eastAsiaTheme="minorEastAsia"/>
          <w:sz w:val="28"/>
          <w:szCs w:val="20"/>
          <w:lang w:val="en-US" w:eastAsia="zh-CN"/>
        </w:rPr>
        <w:t>、</w:t>
      </w:r>
      <w:r>
        <w:rPr>
          <w:rFonts w:hint="default" w:ascii="Times New Roman" w:hAnsi="Times New Roman" w:cs="Times New Roman" w:eastAsiaTheme="minorEastAsia"/>
          <w:sz w:val="28"/>
          <w:szCs w:val="20"/>
          <w:lang w:val="en-US" w:eastAsia="zh-CN"/>
        </w:rPr>
        <w:t>行政办公及学校用地所占比例较大</w:t>
      </w:r>
      <w:r>
        <w:rPr>
          <w:rFonts w:hint="eastAsia" w:ascii="Times New Roman" w:hAnsi="Times New Roman" w:cs="Times New Roman"/>
          <w:sz w:val="28"/>
          <w:szCs w:val="20"/>
          <w:lang w:val="en-US" w:eastAsia="zh-CN"/>
        </w:rPr>
        <w:t>。存在</w:t>
      </w:r>
      <w:r>
        <w:rPr>
          <w:rFonts w:hint="default" w:ascii="Times New Roman" w:hAnsi="Times New Roman" w:cs="Times New Roman" w:eastAsiaTheme="minorEastAsia"/>
          <w:sz w:val="28"/>
          <w:szCs w:val="20"/>
          <w:lang w:val="en-US" w:eastAsia="zh-CN"/>
        </w:rPr>
        <w:t>商业混合，商业主要是沿着道路呈现带状分布，本技术报告的划</w:t>
      </w:r>
      <w:r>
        <w:rPr>
          <w:rFonts w:hint="eastAsia" w:ascii="Times New Roman" w:hAnsi="Times New Roman" w:cs="Times New Roman"/>
          <w:sz w:val="28"/>
          <w:szCs w:val="20"/>
          <w:lang w:val="en-US" w:eastAsia="zh-CN"/>
        </w:rPr>
        <w:t>分</w:t>
      </w:r>
      <w:r>
        <w:rPr>
          <w:rFonts w:hint="default" w:ascii="Times New Roman" w:hAnsi="Times New Roman" w:cs="Times New Roman" w:eastAsiaTheme="minorEastAsia"/>
          <w:sz w:val="28"/>
          <w:szCs w:val="20"/>
          <w:lang w:val="en-US" w:eastAsia="zh-CN"/>
        </w:rPr>
        <w:t>方案为1类声环境功能区</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因为寻甸县城市总概念规划和设计是把老城区建设为特色旅游区</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学校和办公区发展偏向北部北二环新区</w:t>
      </w:r>
      <w:r>
        <w:rPr>
          <w:rFonts w:hint="eastAsia" w:ascii="Times New Roman" w:hAnsi="Times New Roman" w:cs="Times New Roman"/>
          <w:sz w:val="28"/>
          <w:szCs w:val="20"/>
          <w:lang w:val="en-US" w:eastAsia="zh-CN"/>
        </w:rPr>
        <w:t>，具体依据总规和现状完成建设后再对声环境执法做出适当的调整。</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17" w:name="_Toc31872_WPSOffice_Level2"/>
      <w:r>
        <w:rPr>
          <w:rFonts w:hint="eastAsia" w:ascii="Times New Roman" w:hAnsi="Times New Roman" w:eastAsia="黑体" w:cs="Times New Roman"/>
          <w:b/>
          <w:bCs/>
          <w:sz w:val="28"/>
          <w:szCs w:val="28"/>
          <w:lang w:val="en-US" w:eastAsia="zh-CN"/>
        </w:rPr>
        <w:t>7.5 审查稿与现报批稿区划面积存在较大差异</w:t>
      </w:r>
      <w:bookmarkEnd w:id="217"/>
    </w:p>
    <w:p>
      <w:pPr>
        <w:kinsoku/>
        <w:wordWrap/>
        <w:overflowPunct/>
        <w:topLinePunct w:val="0"/>
        <w:autoSpaceDE/>
        <w:autoSpaceDN/>
        <w:bidi w:val="0"/>
        <w:snapToGrid w:val="0"/>
        <w:spacing w:line="360" w:lineRule="auto"/>
        <w:ind w:firstLine="560" w:firstLineChars="200"/>
        <w:rPr>
          <w:rFonts w:hint="default" w:ascii="Times New Roman" w:hAnsi="Times New Roman" w:cs="Times New Roman" w:eastAsiaTheme="minorEastAsia"/>
          <w:sz w:val="28"/>
          <w:szCs w:val="20"/>
          <w:lang w:val="en-US" w:eastAsia="zh-CN"/>
        </w:rPr>
      </w:pPr>
      <w:r>
        <w:rPr>
          <w:rFonts w:hint="default" w:ascii="Times New Roman" w:hAnsi="Times New Roman" w:cs="Times New Roman" w:eastAsiaTheme="minorEastAsia"/>
          <w:sz w:val="28"/>
          <w:szCs w:val="20"/>
          <w:lang w:val="en-US" w:eastAsia="zh-CN"/>
        </w:rPr>
        <w:t>根据《云南省环境保护厅关于开展&lt;云南省声环境功能区划分（2019-2029）&gt;编制工作》的通知要求，委托单位已完成《昆明市寻甸回族彝族自治县主城区的声环境功能区划分（2019-2029)技术报告》，于2019年05月09日通过市级评审。根据市级评审情况及专家意见进行修改过程中，存在问题：最新资料《昆明市寻甸县县城概念规划与总体形态设计》中规划的主城区面积为20.37km</w:t>
      </w:r>
      <w:r>
        <w:rPr>
          <w:rFonts w:hint="default" w:ascii="Times New Roman" w:hAnsi="Times New Roman" w:cs="Times New Roman" w:eastAsiaTheme="minorEastAsia"/>
          <w:sz w:val="28"/>
          <w:szCs w:val="20"/>
          <w:vertAlign w:val="superscript"/>
          <w:lang w:val="en-US" w:eastAsia="zh-CN"/>
        </w:rPr>
        <w:t>2</w:t>
      </w:r>
      <w:r>
        <w:rPr>
          <w:rFonts w:hint="default" w:ascii="Times New Roman" w:hAnsi="Times New Roman" w:cs="Times New Roman" w:eastAsiaTheme="minorEastAsia"/>
          <w:sz w:val="28"/>
          <w:szCs w:val="20"/>
          <w:lang w:val="en-US" w:eastAsia="zh-CN"/>
        </w:rPr>
        <w:t>，与编制初审稿提供的资料中功能区区划面积6.12km</w:t>
      </w:r>
      <w:r>
        <w:rPr>
          <w:rFonts w:hint="default" w:ascii="Times New Roman" w:hAnsi="Times New Roman" w:cs="Times New Roman" w:eastAsiaTheme="minorEastAsia"/>
          <w:sz w:val="28"/>
          <w:szCs w:val="20"/>
          <w:vertAlign w:val="superscript"/>
          <w:lang w:val="en-US" w:eastAsia="zh-CN"/>
        </w:rPr>
        <w:t>2</w:t>
      </w:r>
      <w:r>
        <w:rPr>
          <w:rFonts w:hint="default" w:ascii="Times New Roman" w:hAnsi="Times New Roman" w:cs="Times New Roman" w:eastAsiaTheme="minorEastAsia"/>
          <w:sz w:val="28"/>
          <w:szCs w:val="20"/>
          <w:lang w:val="en-US" w:eastAsia="zh-CN"/>
        </w:rPr>
        <w:t>不符</w:t>
      </w:r>
      <w:r>
        <w:rPr>
          <w:rFonts w:hint="eastAsia" w:ascii="Times New Roman" w:hAnsi="Times New Roman" w:cs="Times New Roman"/>
          <w:sz w:val="28"/>
          <w:szCs w:val="20"/>
          <w:lang w:val="en-US" w:eastAsia="zh-CN"/>
        </w:rPr>
        <w:t>。</w:t>
      </w:r>
      <w:r>
        <w:rPr>
          <w:rFonts w:hint="default" w:ascii="Times New Roman" w:hAnsi="Times New Roman" w:cs="Times New Roman" w:eastAsiaTheme="minorEastAsia"/>
          <w:sz w:val="28"/>
          <w:szCs w:val="20"/>
          <w:lang w:val="en-US" w:eastAsia="zh-CN"/>
        </w:rPr>
        <w:t>目前依据</w:t>
      </w:r>
      <w:r>
        <w:rPr>
          <w:rFonts w:hint="eastAsia" w:ascii="Times New Roman" w:hAnsi="Times New Roman" w:cs="Times New Roman"/>
          <w:sz w:val="28"/>
          <w:szCs w:val="20"/>
          <w:lang w:val="en-US" w:eastAsia="zh-CN"/>
        </w:rPr>
        <w:t>寻甸分局的意见及各部门的意见</w:t>
      </w:r>
      <w:r>
        <w:rPr>
          <w:rFonts w:hint="default" w:ascii="Times New Roman" w:hAnsi="Times New Roman" w:cs="Times New Roman" w:eastAsiaTheme="minorEastAsia"/>
          <w:sz w:val="28"/>
          <w:szCs w:val="20"/>
          <w:lang w:val="en-US" w:eastAsia="zh-CN"/>
        </w:rPr>
        <w:t>征求稿，目前以此版本规划为准</w:t>
      </w:r>
      <w:r>
        <w:rPr>
          <w:rFonts w:hint="eastAsia" w:ascii="Times New Roman" w:hAnsi="Times New Roman" w:cs="Times New Roman"/>
          <w:sz w:val="28"/>
          <w:szCs w:val="20"/>
          <w:lang w:val="en-US" w:eastAsia="zh-CN"/>
        </w:rPr>
        <w:t>完成</w:t>
      </w:r>
      <w:r>
        <w:rPr>
          <w:rFonts w:hint="default" w:ascii="Times New Roman" w:hAnsi="Times New Roman" w:cs="Times New Roman" w:eastAsiaTheme="minorEastAsia"/>
          <w:sz w:val="28"/>
          <w:szCs w:val="20"/>
          <w:lang w:val="en-US" w:eastAsia="zh-CN"/>
        </w:rPr>
        <w:t>此次声环境功能区划分</w:t>
      </w:r>
      <w:r>
        <w:rPr>
          <w:rFonts w:hint="eastAsia" w:ascii="Times New Roman" w:hAnsi="Times New Roman" w:cs="Times New Roman"/>
          <w:sz w:val="28"/>
          <w:szCs w:val="20"/>
          <w:lang w:val="en-US" w:eastAsia="zh-CN"/>
        </w:rPr>
        <w:t>，并把特色产业园区的金所片区纳入此次声环境功能区划分范围。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b/>
          <w:bCs/>
          <w:sz w:val="28"/>
          <w:szCs w:val="28"/>
          <w:lang w:val="en-US" w:eastAsia="zh-CN"/>
        </w:rPr>
      </w:pPr>
      <w:bookmarkStart w:id="218" w:name="_Toc16240_WPSOffice_Level1"/>
      <w:r>
        <w:rPr>
          <w:rFonts w:hint="eastAsia" w:asciiTheme="minorEastAsia" w:hAnsiTheme="minorEastAsia" w:cstheme="minorEastAsia"/>
          <w:b/>
          <w:bCs/>
          <w:sz w:val="28"/>
          <w:szCs w:val="28"/>
          <w:lang w:val="en-US" w:eastAsia="zh-CN"/>
        </w:rPr>
        <w:t>8.</w:t>
      </w:r>
      <w:r>
        <w:rPr>
          <w:rFonts w:hint="eastAsia" w:asciiTheme="minorEastAsia" w:hAnsiTheme="minorEastAsia" w:eastAsiaTheme="minorEastAsia" w:cstheme="minorEastAsia"/>
          <w:b/>
          <w:bCs/>
          <w:sz w:val="28"/>
          <w:szCs w:val="28"/>
          <w:lang w:val="en-US" w:eastAsia="zh-CN"/>
        </w:rPr>
        <w:t>附图</w:t>
      </w:r>
      <w:bookmarkEnd w:id="218"/>
    </w:p>
    <w:p>
      <w:pP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w:t>
      </w:r>
      <w:r>
        <w:rPr>
          <w:rFonts w:hint="eastAsia" w:asciiTheme="minorEastAsia" w:hAnsiTheme="minorEastAsia" w:cstheme="minorEastAsia"/>
          <w:b w:val="0"/>
          <w:bCs w:val="0"/>
          <w:kern w:val="2"/>
          <w:sz w:val="28"/>
          <w:szCs w:val="28"/>
          <w:lang w:val="en-US" w:eastAsia="zh-CN" w:bidi="ar-SA"/>
        </w:rPr>
        <w:t>.0</w:t>
      </w:r>
      <w:r>
        <w:rPr>
          <w:rFonts w:hint="eastAsia" w:asciiTheme="minorEastAsia" w:hAnsiTheme="minorEastAsia" w:eastAsiaTheme="minorEastAsia" w:cstheme="minorEastAsia"/>
          <w:b w:val="0"/>
          <w:bCs w:val="0"/>
          <w:kern w:val="2"/>
          <w:sz w:val="28"/>
          <w:szCs w:val="28"/>
          <w:lang w:val="en-US" w:eastAsia="zh-CN" w:bidi="ar-SA"/>
        </w:rPr>
        <w:t> 寻甸回族彝族自治县行政区划图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昆明市寻甸县县城概念规划总平面图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昆明市寻甸县县城概念规划土地利用现状图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3 昆明市寻甸县县城路网</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3</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寻甸回族彝族自治县主城区声环境功能区划片区划分图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3</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寻甸回族彝族自治县主城区声环境功能区划单元划分图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4</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寻甸回族彝族自治县主城区声环境功能区划图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4</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寻甸回族彝族自治县主城区交通声环境功能区划图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5</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寻甸回族彝族自治县区域声环境现状监测布点图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5</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寻甸回族彝族自治县交通声环境现状监测布点图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6</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0 寻甸回族彝族自治县声环境功能区达标分析图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7</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寻甸特色产业园金所片区声环境功能区划单元划分图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7</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寻甸特色产业园金所片区声环境功能区划图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7</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3 寻甸主城区和金所片区声环境功能区划图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1 寻甸特色产业园总体规划金所片区用地规划图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8</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2 寻甸特色产业园区总体规划金所片区用地现状图</w:t>
      </w:r>
      <w:r>
        <w:rPr>
          <w:rFonts w:hint="eastAsia" w:asciiTheme="minorEastAsia" w:hAnsiTheme="minorEastAsia" w:eastAsiaTheme="minorEastAsia" w:cstheme="minorEastAsia"/>
          <w:b w:val="0"/>
          <w:bCs w:val="0"/>
          <w:kern w:val="2"/>
          <w:sz w:val="28"/>
          <w:szCs w:val="28"/>
          <w:lang w:val="en-US" w:eastAsia="zh-CN" w:bidi="ar-SA"/>
        </w:rPr>
        <w:br w:type="textWrapping"/>
      </w:r>
      <w:r>
        <w:rPr>
          <w:rFonts w:hint="eastAsia" w:asciiTheme="minorEastAsia" w:hAnsiTheme="minorEastAsia" w:eastAsiaTheme="minorEastAsia" w:cstheme="minorEastAsia"/>
          <w:b w:val="0"/>
          <w:bCs w:val="0"/>
          <w:kern w:val="2"/>
          <w:sz w:val="28"/>
          <w:szCs w:val="28"/>
          <w:lang w:val="en-US" w:eastAsia="zh-CN" w:bidi="ar-SA"/>
        </w:rPr>
        <w:t>8.8.3 寻甸特色产业园区总体规划金所片区道路交通图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Theme="minorEastAsia" w:hAnsiTheme="minorEastAsia" w:cstheme="minorEastAsia"/>
          <w:b/>
          <w:bCs/>
          <w:sz w:val="28"/>
          <w:szCs w:val="28"/>
          <w:lang w:val="en-US" w:eastAsia="zh-CN"/>
        </w:rPr>
        <w:sectPr>
          <w:pgSz w:w="11906" w:h="16838"/>
          <w:pgMar w:top="1440" w:right="1800" w:bottom="1276"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Theme="minorEastAsia" w:hAnsiTheme="minorEastAsia" w:cstheme="minorEastAsia"/>
          <w:b/>
          <w:bCs/>
          <w:sz w:val="28"/>
          <w:szCs w:val="28"/>
          <w:lang w:val="en-US" w:eastAsia="zh-CN"/>
        </w:rPr>
      </w:pPr>
      <w:bookmarkStart w:id="219" w:name="_Toc19367_WPSOffice_Level1"/>
      <w:bookmarkStart w:id="220" w:name="_Toc27726_WPSOffice_Level1"/>
      <w:bookmarkStart w:id="221" w:name="_Toc18950_WPSOffice_Level1"/>
      <w:r>
        <w:rPr>
          <w:rFonts w:hint="eastAsia" w:asciiTheme="minorEastAsia" w:hAnsiTheme="minorEastAsia" w:cstheme="minorEastAsia"/>
          <w:b/>
          <w:bCs/>
          <w:sz w:val="28"/>
          <w:szCs w:val="28"/>
          <w:lang w:val="en-US" w:eastAsia="zh-CN"/>
        </w:rPr>
        <w:t>9.附表</w:t>
      </w:r>
      <w:bookmarkEnd w:id="219"/>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22" w:name="_Toc19580_WPSOffice_Level2"/>
      <w:r>
        <w:rPr>
          <w:rFonts w:hint="eastAsia" w:ascii="Times New Roman" w:hAnsi="Times New Roman" w:cs="Times New Roman"/>
          <w:b/>
          <w:bCs/>
          <w:sz w:val="28"/>
          <w:szCs w:val="28"/>
          <w:lang w:val="en-US" w:eastAsia="zh-CN"/>
        </w:rPr>
        <w:t>9</w:t>
      </w:r>
      <w:r>
        <w:rPr>
          <w:rFonts w:hint="eastAsia" w:ascii="Times New Roman" w:hAnsi="Times New Roman" w:eastAsia="黑体" w:cs="Times New Roman"/>
          <w:b/>
          <w:bCs/>
          <w:sz w:val="28"/>
          <w:szCs w:val="28"/>
          <w:lang w:val="en-US" w:eastAsia="zh-CN"/>
        </w:rPr>
        <w:t>.1寻甸县县城区域声环境监测结果统计</w:t>
      </w:r>
      <w:bookmarkEnd w:id="22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bCs/>
          <w:sz w:val="24"/>
          <w:szCs w:val="24"/>
          <w:lang w:val="en-US" w:eastAsia="zh-CN"/>
        </w:rPr>
      </w:pPr>
      <w:bookmarkStart w:id="223" w:name="_Toc4002_WPSOffice_Level2"/>
      <w:bookmarkStart w:id="224" w:name="_Toc4193_WPSOffice_Level2"/>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.1-1寻甸县县城区域声环境监测结果统计表（昼间）</w:t>
      </w:r>
      <w:bookmarkEnd w:id="223"/>
      <w:bookmarkEnd w:id="224"/>
    </w:p>
    <w:p>
      <w:pPr>
        <w:rPr>
          <w:rFonts w:hint="default"/>
          <w:lang w:val="en-US" w:eastAsia="zh-CN"/>
        </w:rPr>
      </w:pPr>
    </w:p>
    <w:tbl>
      <w:tblPr>
        <w:tblStyle w:val="8"/>
        <w:tblW w:w="13899" w:type="dxa"/>
        <w:jc w:val="center"/>
        <w:shd w:val="clear" w:color="auto" w:fill="auto"/>
        <w:tblLayout w:type="fixed"/>
        <w:tblCellMar>
          <w:top w:w="0" w:type="dxa"/>
          <w:left w:w="0" w:type="dxa"/>
          <w:bottom w:w="0" w:type="dxa"/>
          <w:right w:w="0" w:type="dxa"/>
        </w:tblCellMar>
      </w:tblPr>
      <w:tblGrid>
        <w:gridCol w:w="1527"/>
        <w:gridCol w:w="2381"/>
        <w:gridCol w:w="567"/>
        <w:gridCol w:w="567"/>
        <w:gridCol w:w="567"/>
        <w:gridCol w:w="567"/>
        <w:gridCol w:w="567"/>
        <w:gridCol w:w="567"/>
        <w:gridCol w:w="567"/>
        <w:gridCol w:w="567"/>
        <w:gridCol w:w="567"/>
        <w:gridCol w:w="567"/>
        <w:gridCol w:w="1080"/>
        <w:gridCol w:w="1080"/>
        <w:gridCol w:w="904"/>
        <w:gridCol w:w="1257"/>
      </w:tblGrid>
      <w:tr>
        <w:tblPrEx>
          <w:shd w:val="clear" w:color="auto" w:fill="auto"/>
          <w:tblCellMar>
            <w:top w:w="0" w:type="dxa"/>
            <w:left w:w="0" w:type="dxa"/>
            <w:bottom w:w="0" w:type="dxa"/>
            <w:right w:w="0" w:type="dxa"/>
          </w:tblCellMar>
        </w:tblPrEx>
        <w:trPr>
          <w:trHeight w:val="420" w:hRule="atLeast"/>
          <w:tblHeader/>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网格代码</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测点名称</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月</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日</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时</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分</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max</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min</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标准差（SD）</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声源代码</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功能区代码</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寻甸县烟叶复烤厂</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县民政局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530129100003</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县交通运政管理所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530129100004</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县民族中学北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530129100005</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检察院住宅区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530129100006</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康泰骨科医院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530129100007</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祥和医院</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530129100008</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仁德小集镇</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530129100009</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铃声</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县新一中</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530129100011</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530129100012</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雨布村</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530129100013</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县民族中学南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530129100014</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县畜牧局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530129100015</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仁德财政所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530129100016</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寻甸卫生局</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530129100017</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县委住宅小区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530129100018</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润天凯怡</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530129100019</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寻甸县体育中心西</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530129100020</w:t>
            </w:r>
          </w:p>
        </w:tc>
        <w:tc>
          <w:tcPr>
            <w:tcW w:w="2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寻甸县体育中心南</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公安局办公大楼东</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老县自来水厂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青少年宫</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县林业局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仁德二小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寻甸县地税局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水务局住宿区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仙湖饭店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公务员小区东</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公务员小区2期东面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县人民医院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寻甸县环境监测站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西门河</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老党校</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东盛</w:t>
            </w:r>
            <w:r>
              <w:rPr>
                <w:rFonts w:hint="eastAsia" w:ascii="Times New Roman" w:hAnsi="Times New Roman" w:eastAsia="宋体" w:cs="Times New Roman"/>
                <w:i w:val="0"/>
                <w:color w:val="000000"/>
                <w:kern w:val="0"/>
                <w:sz w:val="24"/>
                <w:szCs w:val="24"/>
                <w:u w:val="none"/>
                <w:lang w:val="en-US" w:eastAsia="zh-CN" w:bidi="ar"/>
              </w:rPr>
              <w:t>停车场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古城加油站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中古城</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上古城</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老铁路客运站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县水务局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老县幼儿园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老粮管所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福康小区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城建局住宿区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寻甸县幼儿园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北极光东面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中央公园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寻甸第一中学旧址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w:t>
            </w:r>
            <w:r>
              <w:rPr>
                <w:rFonts w:hint="eastAsia" w:ascii="Times New Roman" w:hAnsi="Times New Roman" w:eastAsia="宋体" w:cs="Times New Roman"/>
                <w:i w:val="0"/>
                <w:color w:val="000000"/>
                <w:kern w:val="0"/>
                <w:sz w:val="24"/>
                <w:szCs w:val="24"/>
                <w:u w:val="none"/>
                <w:lang w:val="en-US" w:eastAsia="zh-CN" w:bidi="ar"/>
              </w:rPr>
              <w:t>县委</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老工商银行</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工商局南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水果市场东</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发改局住宿区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河口镇小区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老县邮电局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供销社大厦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寻甸县人民政府</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仁德一小老校区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烟草公司住宿区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新农贸市场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政府小区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老工商局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县电影院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老县公安局住宿区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东山汽修厂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县审计局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县审计局东面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车为客汽车美容中心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县中医院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馨苑花园D2区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联通县营业厅西面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地方公路管理站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公园尚居2期别墅区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润天煤气公司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县自来水厂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殡仪馆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馨苑花园B区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休闲广场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电力大厦东面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下菜园村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公园尚居2期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公园尚居4期北面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看守所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馨苑花园A区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公积金中心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南磷小区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公园尚居1期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公园尚居4期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苗圃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月甲村93号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电信局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寻甸县路政管理大队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园丁小区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信合小区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公园尚居3期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农业局防虫中心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县城污水处理厂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曝气池噪声</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果园山庄</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羊羊牛菜馆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月甲村145号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中石化加油站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西拉龙矿泉水公司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县地震局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消防队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新客运站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仁德一小新区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老县日化厂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和平加油站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东环汽修</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仁德烟叶站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县疾病预防控制中心</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玉秀苑小区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寻甸县新邮政局</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河口搬迁小区</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三月三变电站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农机局培训站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城关农机加油站</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寻甸县交警大队</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老仁德二中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都市名苑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刘家坝村</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中坝</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530129100126</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三月三大鱼谷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530129100127</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粮油公司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530129100128</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回龙村15号</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530129100129</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仁德三小</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530129100130</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城关变电站北面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530129100131</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纤维板厂</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530129100132</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长安汽车销售点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530129100133</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东宝大酒店南面</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530129100134</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奇瑞汽车专卖店</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530129100135</w:t>
            </w:r>
          </w:p>
        </w:tc>
        <w:tc>
          <w:tcPr>
            <w:tcW w:w="2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洪峰汽车销售公司</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统计</w:t>
            </w:r>
          </w:p>
        </w:tc>
        <w:tc>
          <w:tcPr>
            <w:tcW w:w="464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全区综合值</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bl>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bCs/>
          <w:sz w:val="24"/>
          <w:szCs w:val="24"/>
          <w:lang w:val="en-US" w:eastAsia="zh-CN"/>
        </w:rPr>
      </w:pPr>
      <w:bookmarkStart w:id="225" w:name="_Toc7552_WPSOffice_Level2"/>
      <w:bookmarkStart w:id="226" w:name="_Toc10004_WPSOffice_Level2"/>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寻甸县县城区域声环境监测结果统计表（昼间）</w:t>
      </w:r>
      <w:bookmarkEnd w:id="225"/>
      <w:bookmarkEnd w:id="226"/>
    </w:p>
    <w:tbl>
      <w:tblPr>
        <w:tblStyle w:val="8"/>
        <w:tblW w:w="13901" w:type="dxa"/>
        <w:jc w:val="center"/>
        <w:shd w:val="clear" w:color="auto" w:fill="auto"/>
        <w:tblLayout w:type="fixed"/>
        <w:tblCellMar>
          <w:top w:w="0" w:type="dxa"/>
          <w:left w:w="0" w:type="dxa"/>
          <w:bottom w:w="0" w:type="dxa"/>
          <w:right w:w="0" w:type="dxa"/>
        </w:tblCellMar>
      </w:tblPr>
      <w:tblGrid>
        <w:gridCol w:w="1542"/>
        <w:gridCol w:w="2370"/>
        <w:gridCol w:w="555"/>
        <w:gridCol w:w="570"/>
        <w:gridCol w:w="570"/>
        <w:gridCol w:w="570"/>
        <w:gridCol w:w="570"/>
        <w:gridCol w:w="570"/>
        <w:gridCol w:w="555"/>
        <w:gridCol w:w="570"/>
        <w:gridCol w:w="570"/>
        <w:gridCol w:w="570"/>
        <w:gridCol w:w="1080"/>
        <w:gridCol w:w="1080"/>
        <w:gridCol w:w="900"/>
        <w:gridCol w:w="1259"/>
      </w:tblGrid>
      <w:tr>
        <w:tblPrEx>
          <w:shd w:val="clear" w:color="auto" w:fill="auto"/>
          <w:tblCellMar>
            <w:top w:w="0" w:type="dxa"/>
            <w:left w:w="0" w:type="dxa"/>
            <w:bottom w:w="0" w:type="dxa"/>
            <w:right w:w="0" w:type="dxa"/>
          </w:tblCellMar>
        </w:tblPrEx>
        <w:trPr>
          <w:trHeight w:val="437" w:hRule="atLeast"/>
          <w:tblHeader/>
          <w:jc w:val="center"/>
        </w:trPr>
        <w:tc>
          <w:tcPr>
            <w:tcW w:w="15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网格代码</w:t>
            </w:r>
          </w:p>
        </w:tc>
        <w:tc>
          <w:tcPr>
            <w:tcW w:w="23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测点名称</w:t>
            </w:r>
          </w:p>
        </w:tc>
        <w:tc>
          <w:tcPr>
            <w:tcW w:w="5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月</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日</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时</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分</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1"/>
                <w:rFonts w:hint="default" w:ascii="Times New Roman" w:hAnsi="Times New Roman" w:eastAsia="宋体" w:cs="Times New Roman"/>
                <w:sz w:val="24"/>
                <w:szCs w:val="24"/>
                <w:lang w:val="en-US" w:eastAsia="zh-CN" w:bidi="ar"/>
              </w:rPr>
              <w:t>eq</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2"/>
                <w:rFonts w:hint="default" w:ascii="Times New Roman" w:hAnsi="Times New Roman" w:eastAsia="宋体" w:cs="Times New Roman"/>
                <w:sz w:val="24"/>
                <w:szCs w:val="24"/>
                <w:lang w:val="en-US" w:eastAsia="zh-CN" w:bidi="ar"/>
              </w:rPr>
              <w:t>10</w:t>
            </w:r>
          </w:p>
        </w:tc>
        <w:tc>
          <w:tcPr>
            <w:tcW w:w="5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2"/>
                <w:rFonts w:hint="default" w:ascii="Times New Roman" w:hAnsi="Times New Roman" w:eastAsia="宋体" w:cs="Times New Roman"/>
                <w:sz w:val="24"/>
                <w:szCs w:val="24"/>
                <w:lang w:val="en-US" w:eastAsia="zh-CN" w:bidi="ar"/>
              </w:rPr>
              <w:t>50</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2"/>
                <w:rFonts w:hint="default" w:ascii="Times New Roman" w:hAnsi="Times New Roman" w:eastAsia="宋体" w:cs="Times New Roman"/>
                <w:sz w:val="24"/>
                <w:szCs w:val="24"/>
                <w:lang w:val="en-US" w:eastAsia="zh-CN" w:bidi="ar"/>
              </w:rPr>
              <w:t>90</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2"/>
                <w:rFonts w:hint="default" w:ascii="Times New Roman" w:hAnsi="Times New Roman" w:eastAsia="宋体" w:cs="Times New Roman"/>
                <w:sz w:val="24"/>
                <w:szCs w:val="24"/>
                <w:lang w:val="en-US" w:eastAsia="zh-CN" w:bidi="ar"/>
              </w:rPr>
              <w:t>max</w:t>
            </w: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2"/>
                <w:rFonts w:hint="default" w:ascii="Times New Roman" w:hAnsi="Times New Roman" w:eastAsia="宋体" w:cs="Times New Roman"/>
                <w:sz w:val="24"/>
                <w:szCs w:val="24"/>
                <w:lang w:val="en-US" w:eastAsia="zh-CN" w:bidi="ar"/>
              </w:rPr>
              <w:t>min</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标准差（SD）</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声源代码</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功能区代码</w:t>
            </w:r>
          </w:p>
        </w:tc>
        <w:tc>
          <w:tcPr>
            <w:tcW w:w="125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530129100001</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寻甸县烟叶复烤厂</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530129100002</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县民政局</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530129100003</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县交通运政管理所</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530129100004</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县民族中学北</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530129100005</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检察院住宅区</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530129100006</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康泰骨科医院</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530129100007</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祥和医院</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530129100008</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仁德小集镇</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530129100009</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仁德一中</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530129100010</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县新一中</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46.8</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530129100011</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寻甸县体育中心北</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530129100012</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雨布村</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530129100013</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县民族中学南</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530129100014</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县畜牧局</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37.4</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530129100015</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仁德财政所</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530129100016</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寻甸卫生局</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530129100017</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县委住宅小区</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530129100018</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润天凯怡</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530129100019</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寻甸县体育中心西</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530129100020</w:t>
            </w:r>
          </w:p>
        </w:tc>
        <w:tc>
          <w:tcPr>
            <w:tcW w:w="23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寻甸县体育中心南</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50.7</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65.5</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公安局办公大楼东</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老县自来水厂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青少年宫</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县林业局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仁德二小</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寻甸县地税局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水务局住宿区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仙湖饭店</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530129100029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公务员小区北</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公务员小区东</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公务员小区2期东面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县人民医院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寻甸县环境监测站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西门河</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老党校</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东盛</w:t>
            </w:r>
            <w:r>
              <w:rPr>
                <w:rFonts w:hint="eastAsia" w:ascii="Times New Roman" w:hAnsi="Times New Roman" w:eastAsia="宋体" w:cs="Times New Roman"/>
                <w:i w:val="0"/>
                <w:color w:val="000000"/>
                <w:kern w:val="0"/>
                <w:sz w:val="24"/>
                <w:szCs w:val="24"/>
                <w:u w:val="none"/>
                <w:lang w:val="en-US" w:eastAsia="zh-CN" w:bidi="ar"/>
              </w:rPr>
              <w:t>停车场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古城加油站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公务员小区南</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530129100039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中古城</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上古城</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老铁路客运站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县水务局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老县幼儿园</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老粮管所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福康小区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城建局住宿区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寻甸县幼儿园</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北极光东面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530129100049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中央公园</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寻甸第一中学旧址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w:t>
            </w:r>
            <w:r>
              <w:rPr>
                <w:rFonts w:hint="eastAsia" w:ascii="Times New Roman" w:hAnsi="Times New Roman" w:eastAsia="宋体" w:cs="Times New Roman"/>
                <w:i w:val="0"/>
                <w:color w:val="000000"/>
                <w:kern w:val="0"/>
                <w:sz w:val="24"/>
                <w:szCs w:val="24"/>
                <w:u w:val="none"/>
                <w:lang w:val="en-US" w:eastAsia="zh-CN" w:bidi="ar"/>
              </w:rPr>
              <w:t>县委</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老工商银行</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工商局南</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水果市场东</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发改局住宿区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河口镇小区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老县邮电局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供销社大厦</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530129100059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寻甸县人民政府</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仁德一小老校区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烟草公司住宿区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新农贸市场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政府小区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老工商局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县电影院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老县公安局住宿区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东山汽修厂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县审计局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530129100069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县审计局东面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车为客汽车美容中心</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县中医院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馨苑花园D2区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中国联通县营业厅西面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地方公路管理站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公园尚居2期别墅区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润天煤气公司</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县自来水厂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殡仪馆</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530129100079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馨苑花园B区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休闲广场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电力大厦东面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下菜园村</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公园尚居2期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公园尚居4期北面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看守所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月甲村1号</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馨苑花园A区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公积金中心</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530129100089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南磷小区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公园尚居1期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公园尚居4期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苗圃</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月甲村93号</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电信局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寻甸县路政管理大队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园丁小区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信合小区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公园尚居3期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530129100099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农业局防虫中心</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县城污水处理厂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果园山庄</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羊羊牛菜馆</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月甲村145号</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中石化加油站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西拉龙矿泉水公司</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县地震局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消防队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新客运站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530129100109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仁德一小新区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老县日化厂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和平加油站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东环汽修</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仁德烟叶站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县疾病预防控制中心</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玉秀苑小区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寻甸县新邮政局</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河口搬迁小区</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三月三变电站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530129100119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农机局培训站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城关农机加油站</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寻甸县交警大队</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老仁德二中</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都市名苑</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刘家坝村</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中坝</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530129100126</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三月三大鱼谷</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530129100127</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粮油公司</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530129100128</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回龙村15号</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47.5</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530129100129</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仁德三小</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530129100130</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城关变电站北面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530129100131</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纤维板厂</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45.7</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530129100132</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长安汽车销售点</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49.2</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530129100133</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东宝大酒店南面</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530129100134</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奇瑞汽车专卖店</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58.6</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70"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530129100135</w:t>
            </w:r>
          </w:p>
        </w:tc>
        <w:tc>
          <w:tcPr>
            <w:tcW w:w="23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洪峰汽车销售公司</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47.9</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80.3</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285" w:hRule="atLeast"/>
          <w:jc w:val="center"/>
        </w:trPr>
        <w:tc>
          <w:tcPr>
            <w:tcW w:w="154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统计</w:t>
            </w:r>
          </w:p>
        </w:tc>
        <w:tc>
          <w:tcPr>
            <w:tcW w:w="4635" w:type="dxa"/>
            <w:gridSpan w:val="5"/>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全区综合值</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45.4</w:t>
            </w:r>
          </w:p>
        </w:tc>
        <w:tc>
          <w:tcPr>
            <w:tcW w:w="5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39.8</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80.4</w:t>
            </w:r>
          </w:p>
        </w:tc>
        <w:tc>
          <w:tcPr>
            <w:tcW w:w="57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9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25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bl>
    <w:p>
      <w:pPr>
        <w:pStyle w:val="3"/>
        <w:keepNext/>
        <w:keepLines/>
        <w:pageBreakBefore/>
        <w:widowControl w:val="0"/>
        <w:numPr>
          <w:ilvl w:val="0"/>
          <w:numId w:val="0"/>
        </w:numPr>
        <w:kinsoku/>
        <w:wordWrap/>
        <w:overflowPunct/>
        <w:topLinePunct w:val="0"/>
        <w:autoSpaceDE/>
        <w:autoSpaceDN/>
        <w:bidi w:val="0"/>
        <w:adjustRightInd/>
        <w:snapToGrid/>
        <w:spacing w:line="416" w:lineRule="auto"/>
        <w:ind w:leftChars="0"/>
        <w:textAlignment w:val="auto"/>
        <w:outlineLvl w:val="1"/>
        <w:rPr>
          <w:rFonts w:hint="eastAsia" w:ascii="Times New Roman" w:hAnsi="Times New Roman" w:eastAsia="黑体" w:cs="Times New Roman"/>
          <w:b/>
          <w:bCs/>
          <w:sz w:val="28"/>
          <w:szCs w:val="28"/>
          <w:lang w:val="en-US" w:eastAsia="zh-CN"/>
        </w:rPr>
      </w:pPr>
      <w:bookmarkStart w:id="227" w:name="_Toc3964_WPSOffice_Level2"/>
      <w:r>
        <w:rPr>
          <w:rFonts w:hint="eastAsia" w:ascii="Times New Roman" w:hAnsi="Times New Roman" w:cs="Times New Roman"/>
          <w:b/>
          <w:bCs/>
          <w:sz w:val="28"/>
          <w:szCs w:val="28"/>
          <w:lang w:val="en-US" w:eastAsia="zh-CN"/>
        </w:rPr>
        <w:t>9</w:t>
      </w:r>
      <w:r>
        <w:rPr>
          <w:rFonts w:hint="eastAsia" w:ascii="Times New Roman" w:hAnsi="Times New Roman" w:eastAsia="黑体" w:cs="Times New Roman"/>
          <w:b/>
          <w:bCs/>
          <w:sz w:val="28"/>
          <w:szCs w:val="28"/>
          <w:lang w:val="en-US" w:eastAsia="zh-CN"/>
        </w:rPr>
        <w:t>.</w:t>
      </w:r>
      <w:r>
        <w:rPr>
          <w:rFonts w:hint="eastAsia" w:ascii="Times New Roman" w:hAnsi="Times New Roman" w:cs="Times New Roman"/>
          <w:b/>
          <w:bCs/>
          <w:sz w:val="28"/>
          <w:szCs w:val="28"/>
          <w:lang w:val="en-US" w:eastAsia="zh-CN"/>
        </w:rPr>
        <w:t>2</w:t>
      </w:r>
      <w:r>
        <w:rPr>
          <w:rFonts w:hint="eastAsia" w:ascii="Times New Roman" w:hAnsi="Times New Roman" w:eastAsia="黑体" w:cs="Times New Roman"/>
          <w:b/>
          <w:bCs/>
          <w:sz w:val="28"/>
          <w:szCs w:val="28"/>
          <w:lang w:val="en-US" w:eastAsia="zh-CN"/>
        </w:rPr>
        <w:t>寻甸县县城</w:t>
      </w:r>
      <w:r>
        <w:rPr>
          <w:rFonts w:hint="eastAsia" w:ascii="Times New Roman" w:hAnsi="Times New Roman" w:cs="Times New Roman"/>
          <w:b/>
          <w:bCs/>
          <w:sz w:val="28"/>
          <w:szCs w:val="28"/>
          <w:lang w:val="en-US" w:eastAsia="zh-CN"/>
        </w:rPr>
        <w:t>道路交通</w:t>
      </w:r>
      <w:r>
        <w:rPr>
          <w:rFonts w:hint="eastAsia" w:ascii="Times New Roman" w:hAnsi="Times New Roman" w:eastAsia="黑体" w:cs="Times New Roman"/>
          <w:b/>
          <w:bCs/>
          <w:sz w:val="28"/>
          <w:szCs w:val="28"/>
          <w:lang w:val="en-US" w:eastAsia="zh-CN"/>
        </w:rPr>
        <w:t>声环境监测结果统计</w:t>
      </w:r>
      <w:bookmarkEnd w:id="22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bCs/>
          <w:sz w:val="24"/>
          <w:szCs w:val="24"/>
          <w:lang w:val="en-US" w:eastAsia="zh-CN"/>
        </w:rPr>
      </w:pPr>
      <w:bookmarkStart w:id="228" w:name="_Toc5559_WPSOffice_Level2"/>
      <w:bookmarkStart w:id="229" w:name="_Toc23249_WPSOffice_Level2"/>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val="en-US" w:eastAsia="zh-CN"/>
        </w:rPr>
        <w:t>寻甸县县城道路交通声环境监测结果统计表（</w:t>
      </w:r>
      <w:r>
        <w:rPr>
          <w:rFonts w:hint="eastAsia" w:ascii="Times New Roman" w:hAnsi="Times New Roman" w:eastAsia="宋体" w:cs="Times New Roman"/>
          <w:b/>
          <w:bCs/>
          <w:sz w:val="24"/>
          <w:szCs w:val="24"/>
          <w:lang w:val="en-US" w:eastAsia="zh-CN"/>
        </w:rPr>
        <w:t>昼</w:t>
      </w:r>
      <w:r>
        <w:rPr>
          <w:rFonts w:hint="default" w:ascii="Times New Roman" w:hAnsi="Times New Roman" w:eastAsia="宋体" w:cs="Times New Roman"/>
          <w:b/>
          <w:bCs/>
          <w:sz w:val="24"/>
          <w:szCs w:val="24"/>
          <w:lang w:val="en-US" w:eastAsia="zh-CN"/>
        </w:rPr>
        <w:t>间）</w:t>
      </w:r>
      <w:bookmarkEnd w:id="228"/>
      <w:bookmarkEnd w:id="229"/>
    </w:p>
    <w:tbl>
      <w:tblPr>
        <w:tblStyle w:val="8"/>
        <w:tblW w:w="12864" w:type="dxa"/>
        <w:jc w:val="center"/>
        <w:shd w:val="clear" w:color="auto" w:fill="auto"/>
        <w:tblLayout w:type="fixed"/>
        <w:tblCellMar>
          <w:top w:w="0" w:type="dxa"/>
          <w:left w:w="0" w:type="dxa"/>
          <w:bottom w:w="0" w:type="dxa"/>
          <w:right w:w="0" w:type="dxa"/>
        </w:tblCellMar>
      </w:tblPr>
      <w:tblGrid>
        <w:gridCol w:w="1553"/>
        <w:gridCol w:w="2092"/>
        <w:gridCol w:w="300"/>
        <w:gridCol w:w="405"/>
        <w:gridCol w:w="405"/>
        <w:gridCol w:w="405"/>
        <w:gridCol w:w="585"/>
        <w:gridCol w:w="585"/>
        <w:gridCol w:w="585"/>
        <w:gridCol w:w="585"/>
        <w:gridCol w:w="585"/>
        <w:gridCol w:w="585"/>
        <w:gridCol w:w="819"/>
        <w:gridCol w:w="628"/>
        <w:gridCol w:w="1338"/>
        <w:gridCol w:w="1409"/>
      </w:tblGrid>
      <w:tr>
        <w:tblPrEx>
          <w:shd w:val="clear" w:color="auto" w:fill="auto"/>
          <w:tblCellMar>
            <w:top w:w="0" w:type="dxa"/>
            <w:left w:w="0" w:type="dxa"/>
            <w:bottom w:w="0" w:type="dxa"/>
            <w:right w:w="0" w:type="dxa"/>
          </w:tblCellMar>
        </w:tblPrEx>
        <w:trPr>
          <w:trHeight w:val="510" w:hRule="atLeast"/>
          <w:tblHeader/>
          <w:jc w:val="center"/>
        </w:trPr>
        <w:tc>
          <w:tcPr>
            <w:tcW w:w="155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测点代码</w:t>
            </w:r>
          </w:p>
        </w:tc>
        <w:tc>
          <w:tcPr>
            <w:tcW w:w="2092"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测点名称</w:t>
            </w:r>
          </w:p>
        </w:tc>
        <w:tc>
          <w:tcPr>
            <w:tcW w:w="300"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月</w:t>
            </w:r>
          </w:p>
        </w:tc>
        <w:tc>
          <w:tcPr>
            <w:tcW w:w="40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日</w:t>
            </w:r>
          </w:p>
        </w:tc>
        <w:tc>
          <w:tcPr>
            <w:tcW w:w="40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时</w:t>
            </w:r>
          </w:p>
        </w:tc>
        <w:tc>
          <w:tcPr>
            <w:tcW w:w="40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分</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3"/>
                <w:rFonts w:hint="default" w:ascii="Times New Roman" w:hAnsi="Times New Roman" w:eastAsia="宋体" w:cs="Times New Roman"/>
                <w:sz w:val="24"/>
                <w:szCs w:val="24"/>
                <w:lang w:val="en-US" w:eastAsia="zh-CN" w:bidi="ar"/>
              </w:rPr>
              <w:t>10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3"/>
                <w:rFonts w:hint="default" w:ascii="Times New Roman" w:hAnsi="Times New Roman" w:eastAsia="宋体" w:cs="Times New Roman"/>
                <w:sz w:val="24"/>
                <w:szCs w:val="24"/>
                <w:lang w:val="en-US" w:eastAsia="zh-CN" w:bidi="ar"/>
              </w:rPr>
              <w:t>50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3"/>
                <w:rFonts w:hint="default" w:ascii="Times New Roman" w:hAnsi="Times New Roman" w:eastAsia="宋体" w:cs="Times New Roman"/>
                <w:sz w:val="24"/>
                <w:szCs w:val="24"/>
                <w:lang w:val="en-US" w:eastAsia="zh-CN" w:bidi="ar"/>
              </w:rPr>
              <w:t>90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3"/>
                <w:rFonts w:hint="default" w:ascii="Times New Roman" w:hAnsi="Times New Roman" w:eastAsia="宋体" w:cs="Times New Roman"/>
                <w:sz w:val="24"/>
                <w:szCs w:val="24"/>
                <w:lang w:val="en-US" w:eastAsia="zh-CN" w:bidi="ar"/>
              </w:rPr>
              <w:t>max</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Style w:val="23"/>
                <w:rFonts w:hint="default" w:ascii="Times New Roman" w:hAnsi="Times New Roman" w:eastAsia="宋体" w:cs="Times New Roman"/>
                <w:sz w:val="24"/>
                <w:szCs w:val="24"/>
                <w:lang w:val="en-US" w:eastAsia="zh-CN" w:bidi="ar"/>
              </w:rPr>
              <w:t>min</w:t>
            </w:r>
          </w:p>
        </w:tc>
        <w:tc>
          <w:tcPr>
            <w:tcW w:w="81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标准差（SD</w:t>
            </w:r>
            <w:r>
              <w:rPr>
                <w:rStyle w:val="24"/>
                <w:rFonts w:hint="default" w:ascii="Times New Roman" w:hAnsi="Times New Roman" w:eastAsia="宋体" w:cs="Times New Roman"/>
                <w:sz w:val="24"/>
                <w:szCs w:val="24"/>
                <w:lang w:val="en-US" w:eastAsia="zh-CN" w:bidi="ar"/>
              </w:rPr>
              <w:t>）</w:t>
            </w:r>
          </w:p>
        </w:tc>
        <w:tc>
          <w:tcPr>
            <w:tcW w:w="1966"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车流量（辆／20min</w:t>
            </w:r>
            <w:r>
              <w:rPr>
                <w:rStyle w:val="24"/>
                <w:rFonts w:hint="default" w:ascii="Times New Roman" w:hAnsi="Times New Roman" w:eastAsia="宋体" w:cs="Times New Roman"/>
                <w:sz w:val="24"/>
                <w:szCs w:val="24"/>
                <w:lang w:val="en-US" w:eastAsia="zh-CN" w:bidi="ar"/>
              </w:rPr>
              <w:t>）</w:t>
            </w:r>
          </w:p>
        </w:tc>
        <w:tc>
          <w:tcPr>
            <w:tcW w:w="1409"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10" w:hRule="atLeast"/>
          <w:tblHeader/>
          <w:jc w:val="center"/>
        </w:trPr>
        <w:tc>
          <w:tcPr>
            <w:tcW w:w="155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2092"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300"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40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40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40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1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大型车</w:t>
            </w:r>
          </w:p>
        </w:tc>
        <w:tc>
          <w:tcPr>
            <w:tcW w:w="1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中小型车</w:t>
            </w:r>
          </w:p>
        </w:tc>
        <w:tc>
          <w:tcPr>
            <w:tcW w:w="1409"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530129200001</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交警队</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53.5</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385</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530129200002</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电信大楼</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87.7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51.1</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530129200003</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民族广场</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408</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530129200004</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社保局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530129200005</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金世纪大酒店</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56.1</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386</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530129200006</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农贸市场</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56.5</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广告宣传车</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530129200007</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基督教堂</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47.1</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255</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广告宣传车</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530129200008</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仁德财政所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49.4</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301</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530129200009</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地税局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50.9</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205</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530129200010</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月甲村109号</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35.4</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530129200011</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县中医院</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43.7</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152</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530129200012</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供销大厦</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54.9</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530129200013</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仁德二中大门</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126</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530129200014</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县人民医院</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43.3</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145</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530129200015</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文化局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150</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530129200016</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民政局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42.1</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122</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530129200017</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仙客来</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51.8</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530129200018</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工商局</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530129200019</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通站旅社</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53.5</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530129200020</w:t>
            </w:r>
          </w:p>
        </w:tc>
        <w:tc>
          <w:tcPr>
            <w:tcW w:w="20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平安保险</w:t>
            </w:r>
          </w:p>
        </w:tc>
        <w:tc>
          <w:tcPr>
            <w:tcW w:w="3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4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46.6</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155</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jc w:val="center"/>
        </w:trPr>
        <w:tc>
          <w:tcPr>
            <w:tcW w:w="15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统计</w:t>
            </w:r>
          </w:p>
        </w:tc>
        <w:tc>
          <w:tcPr>
            <w:tcW w:w="3607" w:type="dxa"/>
            <w:gridSpan w:val="5"/>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全区综合值</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35.4</w:t>
            </w:r>
          </w:p>
        </w:tc>
        <w:tc>
          <w:tcPr>
            <w:tcW w:w="81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62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33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217</w:t>
            </w:r>
          </w:p>
        </w:tc>
        <w:tc>
          <w:tcPr>
            <w:tcW w:w="1409"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bl>
    <w:p>
      <w:pPr>
        <w:rPr>
          <w:rFonts w:hint="eastAsia"/>
          <w:lang w:val="en-US" w:eastAsia="zh-CN"/>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hint="default" w:ascii="Times New Roman" w:hAnsi="Times New Roman" w:eastAsia="宋体" w:cs="Times New Roman"/>
          <w:b/>
          <w:bCs/>
          <w:sz w:val="24"/>
          <w:szCs w:val="24"/>
          <w:lang w:val="en-US" w:eastAsia="zh-CN"/>
        </w:rPr>
      </w:pPr>
      <w:bookmarkStart w:id="230" w:name="_Toc8607_WPSOffice_Level2"/>
      <w:bookmarkStart w:id="231" w:name="_Toc14901_WPSOffice_Level2"/>
      <w:r>
        <w:rPr>
          <w:rFonts w:hint="eastAsia" w:ascii="Times New Roman" w:hAnsi="Times New Roman"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寻甸县县城道路交通声环境监测结果统计表（夜间）</w:t>
      </w:r>
      <w:bookmarkEnd w:id="230"/>
      <w:bookmarkEnd w:id="231"/>
    </w:p>
    <w:tbl>
      <w:tblPr>
        <w:tblStyle w:val="8"/>
        <w:tblW w:w="12948" w:type="dxa"/>
        <w:tblInd w:w="0" w:type="dxa"/>
        <w:shd w:val="clear" w:color="auto" w:fill="auto"/>
        <w:tblLayout w:type="fixed"/>
        <w:tblCellMar>
          <w:top w:w="0" w:type="dxa"/>
          <w:left w:w="0" w:type="dxa"/>
          <w:bottom w:w="0" w:type="dxa"/>
          <w:right w:w="0" w:type="dxa"/>
        </w:tblCellMar>
      </w:tblPr>
      <w:tblGrid>
        <w:gridCol w:w="1536"/>
        <w:gridCol w:w="1614"/>
        <w:gridCol w:w="567"/>
        <w:gridCol w:w="567"/>
        <w:gridCol w:w="567"/>
        <w:gridCol w:w="567"/>
        <w:gridCol w:w="585"/>
        <w:gridCol w:w="585"/>
        <w:gridCol w:w="585"/>
        <w:gridCol w:w="585"/>
        <w:gridCol w:w="585"/>
        <w:gridCol w:w="585"/>
        <w:gridCol w:w="645"/>
        <w:gridCol w:w="605"/>
        <w:gridCol w:w="1690"/>
        <w:gridCol w:w="1080"/>
      </w:tblGrid>
      <w:tr>
        <w:tblPrEx>
          <w:shd w:val="clear" w:color="auto" w:fill="auto"/>
          <w:tblCellMar>
            <w:top w:w="0" w:type="dxa"/>
            <w:left w:w="0" w:type="dxa"/>
            <w:bottom w:w="0" w:type="dxa"/>
            <w:right w:w="0" w:type="dxa"/>
          </w:tblCellMar>
        </w:tblPrEx>
        <w:trPr>
          <w:trHeight w:val="510" w:hRule="atLeast"/>
          <w:tblHeader/>
        </w:trPr>
        <w:tc>
          <w:tcPr>
            <w:tcW w:w="153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测点代码</w:t>
            </w:r>
          </w:p>
        </w:tc>
        <w:tc>
          <w:tcPr>
            <w:tcW w:w="1614"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测点名称</w:t>
            </w:r>
          </w:p>
        </w:tc>
        <w:tc>
          <w:tcPr>
            <w:tcW w:w="567"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月</w:t>
            </w:r>
          </w:p>
        </w:tc>
        <w:tc>
          <w:tcPr>
            <w:tcW w:w="567"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日</w:t>
            </w:r>
          </w:p>
        </w:tc>
        <w:tc>
          <w:tcPr>
            <w:tcW w:w="567"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时</w:t>
            </w:r>
          </w:p>
        </w:tc>
        <w:tc>
          <w:tcPr>
            <w:tcW w:w="567"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分</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eq</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10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50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90</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max</w:t>
            </w:r>
          </w:p>
        </w:tc>
        <w:tc>
          <w:tcPr>
            <w:tcW w:w="58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L</w:t>
            </w:r>
            <w:r>
              <w:rPr>
                <w:rFonts w:hint="default" w:ascii="Times New Roman" w:hAnsi="Times New Roman" w:eastAsia="宋体" w:cs="Times New Roman"/>
                <w:i w:val="0"/>
                <w:color w:val="000000"/>
                <w:kern w:val="0"/>
                <w:sz w:val="24"/>
                <w:szCs w:val="24"/>
                <w:u w:val="none"/>
                <w:vertAlign w:val="subscript"/>
                <w:lang w:val="en-US" w:eastAsia="zh-CN" w:bidi="ar"/>
              </w:rPr>
              <w:t>min</w:t>
            </w:r>
          </w:p>
        </w:tc>
        <w:tc>
          <w:tcPr>
            <w:tcW w:w="645"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标准差（SD</w:t>
            </w:r>
            <w:r>
              <w:rPr>
                <w:rStyle w:val="25"/>
                <w:rFonts w:hint="default" w:ascii="Times New Roman" w:hAnsi="Times New Roman" w:eastAsia="宋体" w:cs="Times New Roman"/>
                <w:sz w:val="24"/>
                <w:szCs w:val="24"/>
                <w:lang w:val="en-US" w:eastAsia="zh-CN" w:bidi="ar"/>
              </w:rPr>
              <w:t>）</w:t>
            </w:r>
          </w:p>
        </w:tc>
        <w:tc>
          <w:tcPr>
            <w:tcW w:w="2295" w:type="dxa"/>
            <w:gridSpan w:val="2"/>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车流量（辆／20min</w:t>
            </w:r>
            <w:r>
              <w:rPr>
                <w:rStyle w:val="25"/>
                <w:rFonts w:hint="default" w:ascii="Times New Roman" w:hAnsi="Times New Roman" w:eastAsia="宋体" w:cs="Times New Roman"/>
                <w:sz w:val="24"/>
                <w:szCs w:val="24"/>
                <w:lang w:val="en-US" w:eastAsia="zh-CN" w:bidi="ar"/>
              </w:rPr>
              <w:t>）</w:t>
            </w:r>
          </w:p>
        </w:tc>
        <w:tc>
          <w:tcPr>
            <w:tcW w:w="1080"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10" w:hRule="atLeast"/>
          <w:tblHeader/>
        </w:trPr>
        <w:tc>
          <w:tcPr>
            <w:tcW w:w="153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614"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67"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58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645"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大型车</w:t>
            </w:r>
          </w:p>
        </w:tc>
        <w:tc>
          <w:tcPr>
            <w:tcW w:w="16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中小型车</w:t>
            </w:r>
          </w:p>
        </w:tc>
        <w:tc>
          <w:tcPr>
            <w:tcW w:w="1080"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530129200001</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交警队</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41.9</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530129200002</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电信大楼</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41.1</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530129200003</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民族广场</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41.6</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530129200004</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社保局</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39.6</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530129200005</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金世纪大酒店</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45.1</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530129200006</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农贸市场</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38.7</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530129200007</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基督教堂</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31.7</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530129200008</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仁德财政所</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34.1</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530129200009</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地税局</w:t>
            </w:r>
            <w:bookmarkStart w:id="232" w:name="_GoBack"/>
            <w:bookmarkEnd w:id="232"/>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34.5</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530129200010</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月甲村109号</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34.6</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530129200011</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县中医院</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31.8</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530129200012</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供销大厦</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530129200013</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仁德二中大门</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32.6</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530129200014</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县人民医院</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34.8</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530129200015</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文化局</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32.3</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530129200016</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民政局</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37.2</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530129200017</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仙客来</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54.4</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530129200018</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工商局</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530129200019</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通站旅社</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39.1</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36.8</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530129200020</w:t>
            </w:r>
          </w:p>
        </w:tc>
        <w:tc>
          <w:tcPr>
            <w:tcW w:w="161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平安保险</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67"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45.2</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43.8</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66.7</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41.7</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510" w:hRule="atLeast"/>
        </w:trPr>
        <w:tc>
          <w:tcPr>
            <w:tcW w:w="153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统计</w:t>
            </w:r>
          </w:p>
        </w:tc>
        <w:tc>
          <w:tcPr>
            <w:tcW w:w="3882" w:type="dxa"/>
            <w:gridSpan w:val="5"/>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全区综合值</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56.6</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47.3</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39.9</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90.5</w:t>
            </w:r>
          </w:p>
        </w:tc>
        <w:tc>
          <w:tcPr>
            <w:tcW w:w="58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6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60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10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r>
      <w:bookmarkEnd w:id="198"/>
      <w:bookmarkEnd w:id="199"/>
      <w:bookmarkEnd w:id="200"/>
      <w:bookmarkEnd w:id="220"/>
      <w:bookmarkEnd w:id="221"/>
    </w:tbl>
    <w:p>
      <w:pPr>
        <w:rPr>
          <w:rFonts w:hint="default"/>
          <w:lang w:val="en-US" w:eastAsia="zh-CN"/>
        </w:rPr>
      </w:pPr>
    </w:p>
    <w:sectPr>
      <w:headerReference r:id="rId12" w:type="default"/>
      <w:footerReference r:id="rId1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center"/>
      <w:rPr>
        <w:rFonts w:hint="eastAsia" w:eastAsiaTheme="minorEastAsia"/>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auto" w:sz="12" w:space="1"/>
      </w:pBdr>
      <w:jc w:val="center"/>
      <w:rPr>
        <w:rFonts w:hint="default" w:eastAsiaTheme="minorEastAsia"/>
        <w:sz w:val="24"/>
        <w:szCs w:val="24"/>
        <w:lang w:val="en-US" w:eastAsia="zh-CN"/>
      </w:rPr>
    </w:pPr>
    <w:r>
      <w:rPr>
        <w:rFonts w:hint="eastAsia"/>
        <w:sz w:val="24"/>
        <w:szCs w:val="24"/>
        <w:lang w:val="en-US" w:eastAsia="zh-CN"/>
      </w:rPr>
      <w:t>寻甸回族彝族自治县声环境功能区划分（2019-2029）技术报告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auto" w:sz="12" w:space="1"/>
      </w:pBdr>
      <w:jc w:val="center"/>
      <w:rPr>
        <w:rFonts w:hint="default" w:eastAsiaTheme="minorEastAsia"/>
        <w:sz w:val="24"/>
        <w:szCs w:val="24"/>
        <w:lang w:val="en-US" w:eastAsia="zh-CN"/>
      </w:rPr>
    </w:pPr>
    <w:r>
      <w:rPr>
        <w:rFonts w:hint="eastAsia"/>
        <w:sz w:val="24"/>
        <w:szCs w:val="24"/>
        <w:lang w:val="en-US" w:eastAsia="zh-CN"/>
      </w:rPr>
      <w:t>寻甸回族彝族自治县声环境功能区划分（2019-2029）成果报告</w:t>
    </w:r>
  </w:p>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ickThinSmallGap" w:color="auto" w:sz="12" w:space="1"/>
      </w:pBdr>
      <w:jc w:val="center"/>
      <w:rPr>
        <w:rFonts w:hint="default" w:eastAsiaTheme="minorEastAsia"/>
        <w:sz w:val="24"/>
        <w:szCs w:val="24"/>
        <w:lang w:val="en-US" w:eastAsia="zh-CN"/>
      </w:rPr>
    </w:pPr>
    <w:r>
      <w:rPr>
        <w:rFonts w:hint="eastAsia"/>
        <w:sz w:val="24"/>
        <w:szCs w:val="24"/>
        <w:lang w:val="en-US" w:eastAsia="zh-CN"/>
      </w:rPr>
      <w:t>寻甸回族彝族自治县声环境功能区划分（2019-2029）成果报告</w:t>
    </w:r>
  </w:p>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65688"/>
    <w:multiLevelType w:val="singleLevel"/>
    <w:tmpl w:val="81D65688"/>
    <w:lvl w:ilvl="0" w:tentative="0">
      <w:start w:val="1"/>
      <w:numFmt w:val="lowerLetter"/>
      <w:suff w:val="space"/>
      <w:lvlText w:val="%1."/>
      <w:lvlJc w:val="left"/>
    </w:lvl>
  </w:abstractNum>
  <w:abstractNum w:abstractNumId="1">
    <w:nsid w:val="93BA1506"/>
    <w:multiLevelType w:val="singleLevel"/>
    <w:tmpl w:val="93BA1506"/>
    <w:lvl w:ilvl="0" w:tentative="0">
      <w:start w:val="1"/>
      <w:numFmt w:val="decimal"/>
      <w:suff w:val="nothing"/>
      <w:lvlText w:val="%1）"/>
      <w:lvlJc w:val="left"/>
    </w:lvl>
  </w:abstractNum>
  <w:abstractNum w:abstractNumId="2">
    <w:nsid w:val="9DFB9722"/>
    <w:multiLevelType w:val="singleLevel"/>
    <w:tmpl w:val="9DFB9722"/>
    <w:lvl w:ilvl="0" w:tentative="0">
      <w:start w:val="1"/>
      <w:numFmt w:val="decimal"/>
      <w:suff w:val="nothing"/>
      <w:lvlText w:val="（%1）"/>
      <w:lvlJc w:val="left"/>
    </w:lvl>
  </w:abstractNum>
  <w:abstractNum w:abstractNumId="3">
    <w:nsid w:val="A0ACEC0F"/>
    <w:multiLevelType w:val="singleLevel"/>
    <w:tmpl w:val="A0ACEC0F"/>
    <w:lvl w:ilvl="0" w:tentative="0">
      <w:start w:val="1"/>
      <w:numFmt w:val="decimal"/>
      <w:suff w:val="space"/>
      <w:lvlText w:val="（%1）"/>
      <w:lvlJc w:val="left"/>
    </w:lvl>
  </w:abstractNum>
  <w:abstractNum w:abstractNumId="4">
    <w:nsid w:val="E7498851"/>
    <w:multiLevelType w:val="singleLevel"/>
    <w:tmpl w:val="E7498851"/>
    <w:lvl w:ilvl="0" w:tentative="0">
      <w:start w:val="1"/>
      <w:numFmt w:val="decimal"/>
      <w:suff w:val="space"/>
      <w:lvlText w:val="（%1）"/>
      <w:lvlJc w:val="left"/>
    </w:lvl>
  </w:abstractNum>
  <w:abstractNum w:abstractNumId="5">
    <w:nsid w:val="E776974B"/>
    <w:multiLevelType w:val="singleLevel"/>
    <w:tmpl w:val="E776974B"/>
    <w:lvl w:ilvl="0" w:tentative="0">
      <w:start w:val="1"/>
      <w:numFmt w:val="decimal"/>
      <w:suff w:val="space"/>
      <w:lvlText w:val="（%1）"/>
      <w:lvlJc w:val="left"/>
    </w:lvl>
  </w:abstractNum>
  <w:abstractNum w:abstractNumId="6">
    <w:nsid w:val="F4C8974B"/>
    <w:multiLevelType w:val="singleLevel"/>
    <w:tmpl w:val="F4C8974B"/>
    <w:lvl w:ilvl="0" w:tentative="0">
      <w:start w:val="1"/>
      <w:numFmt w:val="upperLetter"/>
      <w:lvlText w:val="%1."/>
      <w:lvlJc w:val="left"/>
      <w:pPr>
        <w:tabs>
          <w:tab w:val="left" w:pos="312"/>
        </w:tabs>
      </w:pPr>
    </w:lvl>
  </w:abstractNum>
  <w:abstractNum w:abstractNumId="7">
    <w:nsid w:val="F6C774A5"/>
    <w:multiLevelType w:val="singleLevel"/>
    <w:tmpl w:val="F6C774A5"/>
    <w:lvl w:ilvl="0" w:tentative="0">
      <w:start w:val="1"/>
      <w:numFmt w:val="decimal"/>
      <w:suff w:val="nothing"/>
      <w:lvlText w:val="%1）"/>
      <w:lvlJc w:val="left"/>
    </w:lvl>
  </w:abstractNum>
  <w:abstractNum w:abstractNumId="8">
    <w:nsid w:val="FB4C8578"/>
    <w:multiLevelType w:val="singleLevel"/>
    <w:tmpl w:val="FB4C8578"/>
    <w:lvl w:ilvl="0" w:tentative="0">
      <w:start w:val="1"/>
      <w:numFmt w:val="decimal"/>
      <w:suff w:val="space"/>
      <w:lvlText w:val="（%1）"/>
      <w:lvlJc w:val="left"/>
    </w:lvl>
  </w:abstractNum>
  <w:abstractNum w:abstractNumId="9">
    <w:nsid w:val="15B0ED86"/>
    <w:multiLevelType w:val="singleLevel"/>
    <w:tmpl w:val="15B0ED86"/>
    <w:lvl w:ilvl="0" w:tentative="0">
      <w:start w:val="2"/>
      <w:numFmt w:val="decimal"/>
      <w:suff w:val="nothing"/>
      <w:lvlText w:val="（%1）"/>
      <w:lvlJc w:val="left"/>
    </w:lvl>
  </w:abstractNum>
  <w:abstractNum w:abstractNumId="10">
    <w:nsid w:val="15B62605"/>
    <w:multiLevelType w:val="singleLevel"/>
    <w:tmpl w:val="15B62605"/>
    <w:lvl w:ilvl="0" w:tentative="0">
      <w:start w:val="1"/>
      <w:numFmt w:val="upperLetter"/>
      <w:suff w:val="space"/>
      <w:lvlText w:val="%1."/>
      <w:lvlJc w:val="left"/>
    </w:lvl>
  </w:abstractNum>
  <w:abstractNum w:abstractNumId="11">
    <w:nsid w:val="23B873B4"/>
    <w:multiLevelType w:val="singleLevel"/>
    <w:tmpl w:val="23B873B4"/>
    <w:lvl w:ilvl="0" w:tentative="0">
      <w:start w:val="1"/>
      <w:numFmt w:val="decimal"/>
      <w:suff w:val="space"/>
      <w:lvlText w:val="%1）"/>
      <w:lvlJc w:val="left"/>
    </w:lvl>
  </w:abstractNum>
  <w:abstractNum w:abstractNumId="12">
    <w:nsid w:val="45BCEF26"/>
    <w:multiLevelType w:val="singleLevel"/>
    <w:tmpl w:val="45BCEF26"/>
    <w:lvl w:ilvl="0" w:tentative="0">
      <w:start w:val="2"/>
      <w:numFmt w:val="decimal"/>
      <w:suff w:val="nothing"/>
      <w:lvlText w:val="%1）"/>
      <w:lvlJc w:val="left"/>
    </w:lvl>
  </w:abstractNum>
  <w:abstractNum w:abstractNumId="13">
    <w:nsid w:val="483F35C5"/>
    <w:multiLevelType w:val="singleLevel"/>
    <w:tmpl w:val="483F35C5"/>
    <w:lvl w:ilvl="0" w:tentative="0">
      <w:start w:val="1"/>
      <w:numFmt w:val="decimal"/>
      <w:suff w:val="nothing"/>
      <w:lvlText w:val="%1）"/>
      <w:lvlJc w:val="left"/>
    </w:lvl>
  </w:abstractNum>
  <w:abstractNum w:abstractNumId="14">
    <w:nsid w:val="63357486"/>
    <w:multiLevelType w:val="singleLevel"/>
    <w:tmpl w:val="63357486"/>
    <w:lvl w:ilvl="0" w:tentative="0">
      <w:start w:val="1"/>
      <w:numFmt w:val="decimal"/>
      <w:suff w:val="space"/>
      <w:lvlText w:val="（%1）"/>
      <w:lvlJc w:val="left"/>
    </w:lvl>
  </w:abstractNum>
  <w:num w:numId="1">
    <w:abstractNumId w:val="1"/>
  </w:num>
  <w:num w:numId="2">
    <w:abstractNumId w:val="13"/>
  </w:num>
  <w:num w:numId="3">
    <w:abstractNumId w:val="11"/>
  </w:num>
  <w:num w:numId="4">
    <w:abstractNumId w:val="4"/>
  </w:num>
  <w:num w:numId="5">
    <w:abstractNumId w:val="14"/>
  </w:num>
  <w:num w:numId="6">
    <w:abstractNumId w:val="3"/>
  </w:num>
  <w:num w:numId="7">
    <w:abstractNumId w:val="2"/>
  </w:num>
  <w:num w:numId="8">
    <w:abstractNumId w:val="8"/>
  </w:num>
  <w:num w:numId="9">
    <w:abstractNumId w:val="7"/>
  </w:num>
  <w:num w:numId="10">
    <w:abstractNumId w:val="0"/>
  </w:num>
  <w:num w:numId="11">
    <w:abstractNumId w:val="12"/>
  </w:num>
  <w:num w:numId="12">
    <w:abstractNumId w:val="9"/>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34881376"/>
    <w:rsid w:val="0017174B"/>
    <w:rsid w:val="06D17B0C"/>
    <w:rsid w:val="0A36348D"/>
    <w:rsid w:val="0E855971"/>
    <w:rsid w:val="171E25AB"/>
    <w:rsid w:val="23FB114F"/>
    <w:rsid w:val="23FB78C1"/>
    <w:rsid w:val="2F1A3B31"/>
    <w:rsid w:val="331A34E3"/>
    <w:rsid w:val="34881376"/>
    <w:rsid w:val="35BD34DE"/>
    <w:rsid w:val="3B0D1BB3"/>
    <w:rsid w:val="3BE40BF6"/>
    <w:rsid w:val="484134B3"/>
    <w:rsid w:val="4B5D1D34"/>
    <w:rsid w:val="578604A8"/>
    <w:rsid w:val="657769A7"/>
    <w:rsid w:val="6EC00549"/>
    <w:rsid w:val="783B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220" w:after="210" w:line="576" w:lineRule="auto"/>
      <w:outlineLvl w:val="0"/>
    </w:pPr>
    <w:rPr>
      <w:b/>
      <w:kern w:val="44"/>
      <w:sz w:val="44"/>
    </w:rPr>
  </w:style>
  <w:style w:type="paragraph" w:styleId="3">
    <w:name w:val="heading 2"/>
    <w:basedOn w:val="1"/>
    <w:next w:val="1"/>
    <w:qFormat/>
    <w:uiPriority w:val="0"/>
    <w:pPr>
      <w:keepNext/>
      <w:keepLines/>
      <w:spacing w:before="140" w:after="14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font11"/>
    <w:basedOn w:val="10"/>
    <w:qFormat/>
    <w:uiPriority w:val="0"/>
    <w:rPr>
      <w:rFonts w:hint="eastAsia" w:ascii="宋体" w:hAnsi="宋体" w:eastAsia="宋体" w:cs="宋体"/>
      <w:color w:val="000000"/>
      <w:sz w:val="24"/>
      <w:szCs w:val="24"/>
      <w:u w:val="none"/>
      <w:vertAlign w:val="superscript"/>
    </w:rPr>
  </w:style>
  <w:style w:type="character" w:customStyle="1" w:styleId="15">
    <w:name w:val="font01"/>
    <w:basedOn w:val="10"/>
    <w:qFormat/>
    <w:uiPriority w:val="0"/>
    <w:rPr>
      <w:rFonts w:hint="eastAsia" w:ascii="宋体" w:hAnsi="宋体" w:eastAsia="宋体" w:cs="宋体"/>
      <w:color w:val="000000"/>
      <w:sz w:val="24"/>
      <w:szCs w:val="24"/>
      <w:u w:val="none"/>
    </w:rPr>
  </w:style>
  <w:style w:type="character" w:customStyle="1" w:styleId="16">
    <w:name w:val="font21"/>
    <w:basedOn w:val="10"/>
    <w:qFormat/>
    <w:uiPriority w:val="0"/>
    <w:rPr>
      <w:rFonts w:hint="default" w:ascii="Times New Roman" w:hAnsi="Times New Roman" w:cs="Times New Roman"/>
      <w:color w:val="000000"/>
      <w:sz w:val="24"/>
      <w:szCs w:val="24"/>
      <w:u w:val="none"/>
    </w:rPr>
  </w:style>
  <w:style w:type="character" w:customStyle="1" w:styleId="17">
    <w:name w:val="font31"/>
    <w:basedOn w:val="10"/>
    <w:qFormat/>
    <w:uiPriority w:val="0"/>
    <w:rPr>
      <w:rFonts w:hint="eastAsia" w:ascii="宋体" w:hAnsi="宋体" w:eastAsia="宋体" w:cs="宋体"/>
      <w:color w:val="000000"/>
      <w:sz w:val="24"/>
      <w:szCs w:val="24"/>
      <w:u w:val="none"/>
    </w:rPr>
  </w:style>
  <w:style w:type="character" w:customStyle="1" w:styleId="18">
    <w:name w:val="font41"/>
    <w:basedOn w:val="10"/>
    <w:qFormat/>
    <w:uiPriority w:val="0"/>
    <w:rPr>
      <w:rFonts w:hint="default" w:ascii="Times New Roman" w:hAnsi="Times New Roman" w:cs="Times New Roman"/>
      <w:color w:val="000000"/>
      <w:sz w:val="22"/>
      <w:szCs w:val="22"/>
      <w:u w:val="none"/>
    </w:rPr>
  </w:style>
  <w:style w:type="paragraph" w:customStyle="1" w:styleId="19">
    <w:name w:val="无间隔1"/>
    <w:qFormat/>
    <w:uiPriority w:val="0"/>
    <w:rPr>
      <w:rFonts w:ascii="Times New Roman" w:hAnsi="Times New Roman" w:eastAsia="宋体" w:cs="Times New Roman"/>
      <w:sz w:val="22"/>
      <w:lang w:val="en-US" w:eastAsia="zh-CN" w:bidi="ar-SA"/>
    </w:rPr>
  </w:style>
  <w:style w:type="character" w:customStyle="1" w:styleId="20">
    <w:name w:val="font51"/>
    <w:basedOn w:val="10"/>
    <w:uiPriority w:val="0"/>
    <w:rPr>
      <w:rFonts w:hint="default" w:ascii="Times New Roman" w:hAnsi="Times New Roman" w:cs="Times New Roman"/>
      <w:color w:val="000000"/>
      <w:sz w:val="24"/>
      <w:szCs w:val="24"/>
      <w:u w:val="none"/>
    </w:rPr>
  </w:style>
  <w:style w:type="character" w:customStyle="1" w:styleId="21">
    <w:name w:val="font101"/>
    <w:basedOn w:val="10"/>
    <w:qFormat/>
    <w:uiPriority w:val="0"/>
    <w:rPr>
      <w:rFonts w:hint="eastAsia" w:ascii="宋体" w:hAnsi="宋体" w:eastAsia="宋体" w:cs="宋体"/>
      <w:color w:val="000000"/>
      <w:sz w:val="20"/>
      <w:szCs w:val="20"/>
      <w:u w:val="none"/>
      <w:vertAlign w:val="subscript"/>
    </w:rPr>
  </w:style>
  <w:style w:type="character" w:customStyle="1" w:styleId="22">
    <w:name w:val="font91"/>
    <w:basedOn w:val="10"/>
    <w:qFormat/>
    <w:uiPriority w:val="0"/>
    <w:rPr>
      <w:rFonts w:hint="eastAsia" w:ascii="宋体" w:hAnsi="宋体" w:eastAsia="宋体" w:cs="宋体"/>
      <w:color w:val="000000"/>
      <w:sz w:val="18"/>
      <w:szCs w:val="18"/>
      <w:u w:val="none"/>
      <w:vertAlign w:val="subscript"/>
    </w:rPr>
  </w:style>
  <w:style w:type="character" w:customStyle="1" w:styleId="23">
    <w:name w:val="font112"/>
    <w:basedOn w:val="10"/>
    <w:qFormat/>
    <w:uiPriority w:val="0"/>
    <w:rPr>
      <w:rFonts w:hint="default" w:ascii="Calibri" w:hAnsi="Calibri" w:cs="Calibri"/>
      <w:color w:val="000000"/>
      <w:sz w:val="18"/>
      <w:szCs w:val="18"/>
      <w:u w:val="none"/>
      <w:vertAlign w:val="subscript"/>
    </w:rPr>
  </w:style>
  <w:style w:type="character" w:customStyle="1" w:styleId="24">
    <w:name w:val="font81"/>
    <w:basedOn w:val="10"/>
    <w:qFormat/>
    <w:uiPriority w:val="0"/>
    <w:rPr>
      <w:rFonts w:hint="eastAsia" w:ascii="宋体" w:hAnsi="宋体" w:eastAsia="宋体" w:cs="宋体"/>
      <w:b/>
      <w:color w:val="000000"/>
      <w:sz w:val="17"/>
      <w:szCs w:val="17"/>
      <w:u w:val="none"/>
    </w:rPr>
  </w:style>
  <w:style w:type="character" w:customStyle="1" w:styleId="25">
    <w:name w:val="font71"/>
    <w:basedOn w:val="10"/>
    <w:qFormat/>
    <w:uiPriority w:val="0"/>
    <w:rPr>
      <w:rFonts w:hint="eastAsia" w:ascii="宋体" w:hAnsi="宋体" w:eastAsia="宋体" w:cs="宋体"/>
      <w:b/>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glossaryDocument" Target="glossary/document.xml"/><Relationship Id="rId50" Type="http://schemas.openxmlformats.org/officeDocument/2006/relationships/fontTable" Target="fontTable.xml"/><Relationship Id="rId5" Type="http://schemas.openxmlformats.org/officeDocument/2006/relationships/header" Target="header2.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5.jpeg"/><Relationship Id="rId46" Type="http://schemas.openxmlformats.org/officeDocument/2006/relationships/chart" Target="charts/chart4.xml"/><Relationship Id="rId45" Type="http://schemas.openxmlformats.org/officeDocument/2006/relationships/chart" Target="charts/chart3.xml"/><Relationship Id="rId44" Type="http://schemas.openxmlformats.org/officeDocument/2006/relationships/image" Target="media/image14.wmf"/><Relationship Id="rId43" Type="http://schemas.openxmlformats.org/officeDocument/2006/relationships/oleObject" Target="embeddings/oleObject14.bin"/><Relationship Id="rId42" Type="http://schemas.openxmlformats.org/officeDocument/2006/relationships/oleObject" Target="embeddings/oleObject13.bin"/><Relationship Id="rId41" Type="http://schemas.openxmlformats.org/officeDocument/2006/relationships/image" Target="media/image13.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2.wmf"/><Relationship Id="rId38" Type="http://schemas.openxmlformats.org/officeDocument/2006/relationships/oleObject" Target="embeddings/oleObject11.bin"/><Relationship Id="rId37" Type="http://schemas.openxmlformats.org/officeDocument/2006/relationships/image" Target="media/image11.wmf"/><Relationship Id="rId36" Type="http://schemas.openxmlformats.org/officeDocument/2006/relationships/oleObject" Target="embeddings/oleObject10.bin"/><Relationship Id="rId35" Type="http://schemas.openxmlformats.org/officeDocument/2006/relationships/image" Target="media/image10.wmf"/><Relationship Id="rId34" Type="http://schemas.openxmlformats.org/officeDocument/2006/relationships/oleObject" Target="embeddings/oleObject9.bin"/><Relationship Id="rId33" Type="http://schemas.openxmlformats.org/officeDocument/2006/relationships/image" Target="media/image9.wmf"/><Relationship Id="rId32" Type="http://schemas.openxmlformats.org/officeDocument/2006/relationships/oleObject" Target="embeddings/oleObject8.bin"/><Relationship Id="rId31" Type="http://schemas.openxmlformats.org/officeDocument/2006/relationships/image" Target="media/image8.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chart" Target="charts/chart2.xml"/><Relationship Id="rId28" Type="http://schemas.openxmlformats.org/officeDocument/2006/relationships/chart" Target="charts/chart1.xml"/><Relationship Id="rId27" Type="http://schemas.openxmlformats.org/officeDocument/2006/relationships/image" Target="media/image7.png"/><Relationship Id="rId26" Type="http://schemas.openxmlformats.org/officeDocument/2006/relationships/image" Target="media/image6.wmf"/><Relationship Id="rId25" Type="http://schemas.openxmlformats.org/officeDocument/2006/relationships/oleObject" Target="embeddings/oleObject6.bin"/><Relationship Id="rId24" Type="http://schemas.openxmlformats.org/officeDocument/2006/relationships/image" Target="media/image5.wmf"/><Relationship Id="rId23" Type="http://schemas.openxmlformats.org/officeDocument/2006/relationships/oleObject" Target="embeddings/oleObject5.bin"/><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3547;&#30008;&#21306;&#22495;&#36947;&#36335;&#27010;&#20917;.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3547;&#30008;&#21306;&#22495;&#36947;&#36335;&#27010;&#20917;.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声源构成比</a:t>
            </a:r>
            <a:r>
              <a:rPr lang="en-US" altLang="zh-CN"/>
              <a:t>(</a:t>
            </a:r>
            <a:r>
              <a:rPr altLang="en-US"/>
              <a:t>昼间</a:t>
            </a:r>
            <a:r>
              <a:rPr lang="en-US" altLang="zh-CN"/>
              <a:t>)</a:t>
            </a:r>
            <a:endParaRPr lang="en-US" altLang="zh-CN"/>
          </a:p>
        </c:rich>
      </c:tx>
      <c:layout>
        <c:manualLayout>
          <c:xMode val="edge"/>
          <c:yMode val="edge"/>
          <c:x val="0.099899218946838"/>
          <c:y val="0.113756613756614"/>
        </c:manualLayout>
      </c:layout>
      <c:overlay val="0"/>
      <c:spPr>
        <a:noFill/>
        <a:ln>
          <a:noFill/>
        </a:ln>
        <a:effectLst/>
      </c:spPr>
    </c:title>
    <c:autoTitleDeleted val="0"/>
    <c:plotArea>
      <c:layout/>
      <c:pieChart>
        <c:varyColors val="1"/>
        <c:ser>
          <c:idx val="0"/>
          <c:order val="0"/>
          <c:tx>
            <c:strRef>
              <c:f>Sheet1!$A$3</c:f>
              <c:strCache>
                <c:ptCount val="1"/>
                <c:pt idx="0">
                  <c:v>声源构成比</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1">
                  <c:v>交通</c:v>
                </c:pt>
                <c:pt idx="2">
                  <c:v>工业</c:v>
                </c:pt>
                <c:pt idx="3">
                  <c:v>施工</c:v>
                </c:pt>
                <c:pt idx="4">
                  <c:v>生活</c:v>
                </c:pt>
              </c:strCache>
            </c:strRef>
          </c:cat>
          <c:val>
            <c:numRef>
              <c:f>Sheet1!$B$3:$F$3</c:f>
              <c:numCache>
                <c:formatCode>General</c:formatCode>
                <c:ptCount val="5"/>
                <c:pt idx="1" c:formatCode="0.00%">
                  <c:v>0.185</c:v>
                </c:pt>
                <c:pt idx="2" c:formatCode="0.00%">
                  <c:v>0.007</c:v>
                </c:pt>
                <c:pt idx="3" c:formatCode="0.00%">
                  <c:v>0.044</c:v>
                </c:pt>
                <c:pt idx="4" c:formatCode="0.00%">
                  <c:v>0.763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声源构成比（夜间）</a:t>
            </a:r>
          </a:p>
        </c:rich>
      </c:tx>
      <c:layout>
        <c:manualLayout>
          <c:xMode val="edge"/>
          <c:yMode val="edge"/>
          <c:x val="0.0255731922398589"/>
          <c:y val="0.103762492651382"/>
        </c:manualLayout>
      </c:layout>
      <c:overlay val="0"/>
      <c:spPr>
        <a:noFill/>
        <a:ln>
          <a:noFill/>
        </a:ln>
        <a:effectLst/>
      </c:spPr>
    </c:title>
    <c:autoTitleDeleted val="0"/>
    <c:plotArea>
      <c:layout/>
      <c:pieChart>
        <c:varyColors val="1"/>
        <c:ser>
          <c:idx val="0"/>
          <c:order val="0"/>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[寻甸区域道路概况.xlsx]Sheet1!$J$1:$M$1</c:f>
              <c:strCache>
                <c:ptCount val="4"/>
                <c:pt idx="0">
                  <c:v>交通</c:v>
                </c:pt>
                <c:pt idx="1">
                  <c:v>工业</c:v>
                </c:pt>
                <c:pt idx="2">
                  <c:v>施工</c:v>
                </c:pt>
                <c:pt idx="3">
                  <c:v>生活</c:v>
                </c:pt>
              </c:strCache>
            </c:strRef>
          </c:cat>
          <c:val>
            <c:numRef>
              <c:f>[寻甸区域道路概况.xlsx]Sheet1!$J$3:$M$3</c:f>
              <c:numCache>
                <c:formatCode>0.00%</c:formatCode>
                <c:ptCount val="4"/>
                <c:pt idx="0">
                  <c:v>0.089</c:v>
                </c:pt>
                <c:pt idx="1">
                  <c:v>0.007</c:v>
                </c:pt>
                <c:pt idx="2" c:formatCode="0%">
                  <c:v>0</c:v>
                </c:pt>
                <c:pt idx="3">
                  <c:v>0.9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图3.4-</a:t>
            </a:r>
            <a:r>
              <a:rPr lang="en-US" altLang="zh-CN" sz="1200"/>
              <a:t>1</a:t>
            </a:r>
            <a:r>
              <a:rPr sz="1200"/>
              <a:t> 暴露在不同等效声级下的面积和人口分布</a:t>
            </a:r>
            <a:endParaRPr sz="1200"/>
          </a:p>
        </c:rich>
      </c:tx>
      <c:layout>
        <c:manualLayout>
          <c:xMode val="edge"/>
          <c:yMode val="edge"/>
          <c:x val="0.134195330153151"/>
          <c:y val="0.0555713878597891"/>
        </c:manualLayout>
      </c:layout>
      <c:overlay val="0"/>
      <c:spPr>
        <a:noFill/>
        <a:ln>
          <a:noFill/>
        </a:ln>
        <a:effectLst/>
      </c:spPr>
    </c:title>
    <c:autoTitleDeleted val="0"/>
    <c:plotArea>
      <c:layout/>
      <c:barChart>
        <c:barDir val="col"/>
        <c:grouping val="clustered"/>
        <c:varyColors val="0"/>
        <c:ser>
          <c:idx val="0"/>
          <c:order val="0"/>
          <c:tx>
            <c:strRef>
              <c:f>[工作簿1]Sheet2!$B$1:$B$2</c:f>
              <c:strCache>
                <c:ptCount val="1"/>
                <c:pt idx="0">
                  <c:v>声级覆盖面积 2017年</c:v>
                </c:pt>
              </c:strCache>
            </c:strRef>
          </c:tx>
          <c:spPr>
            <a:solidFill>
              <a:schemeClr val="accent1">
                <a:shade val="76667"/>
              </a:schemeClr>
            </a:solidFill>
            <a:ln>
              <a:noFill/>
            </a:ln>
            <a:effectLst/>
          </c:spPr>
          <c:invertIfNegative val="0"/>
          <c:dLbls>
            <c:delete val="1"/>
          </c:dLbls>
          <c:cat>
            <c:strRef>
              <c:f>[工作簿1]Sheet2!$A$3:$A$13</c:f>
              <c:strCache>
                <c:ptCount val="11"/>
                <c:pt idx="0">
                  <c:v>35.0以下</c:v>
                </c:pt>
                <c:pt idx="1">
                  <c:v>35.1～40.0</c:v>
                </c:pt>
                <c:pt idx="2">
                  <c:v>40.1～45.0</c:v>
                </c:pt>
                <c:pt idx="3">
                  <c:v>45.1～50.0</c:v>
                </c:pt>
                <c:pt idx="4">
                  <c:v>50.1～55.0</c:v>
                </c:pt>
                <c:pt idx="5">
                  <c:v>55.1～60.0</c:v>
                </c:pt>
                <c:pt idx="6">
                  <c:v>60.1～65.0</c:v>
                </c:pt>
                <c:pt idx="7">
                  <c:v>65.1～70.0</c:v>
                </c:pt>
                <c:pt idx="8">
                  <c:v>70.1～75.0</c:v>
                </c:pt>
                <c:pt idx="9">
                  <c:v>75.1～80.0</c:v>
                </c:pt>
                <c:pt idx="10">
                  <c:v>80.1以上</c:v>
                </c:pt>
              </c:strCache>
            </c:strRef>
          </c:cat>
          <c:val>
            <c:numRef>
              <c:f>[工作簿1]Sheet2!$B$3:$B$13</c:f>
              <c:numCache>
                <c:formatCode>General</c:formatCode>
                <c:ptCount val="11"/>
                <c:pt idx="0">
                  <c:v>0</c:v>
                </c:pt>
                <c:pt idx="1">
                  <c:v>0.04</c:v>
                </c:pt>
                <c:pt idx="2">
                  <c:v>0.48</c:v>
                </c:pt>
                <c:pt idx="3">
                  <c:v>2.08</c:v>
                </c:pt>
                <c:pt idx="4">
                  <c:v>1.6</c:v>
                </c:pt>
                <c:pt idx="5">
                  <c:v>0.8</c:v>
                </c:pt>
                <c:pt idx="6">
                  <c:v>0.36</c:v>
                </c:pt>
                <c:pt idx="7">
                  <c:v>0.04</c:v>
                </c:pt>
                <c:pt idx="8">
                  <c:v>0</c:v>
                </c:pt>
                <c:pt idx="9">
                  <c:v>0</c:v>
                </c:pt>
                <c:pt idx="10">
                  <c:v>0</c:v>
                </c:pt>
              </c:numCache>
            </c:numRef>
          </c:val>
        </c:ser>
        <c:ser>
          <c:idx val="1"/>
          <c:order val="1"/>
          <c:tx>
            <c:strRef>
              <c:f>[工作簿1]Sheet2!$C$1:$C$2</c:f>
              <c:strCache>
                <c:ptCount val="1"/>
                <c:pt idx="0">
                  <c:v>声级覆盖面积 2018年</c:v>
                </c:pt>
              </c:strCache>
            </c:strRef>
          </c:tx>
          <c:spPr>
            <a:solidFill>
              <a:schemeClr val="accent1">
                <a:tint val="76667"/>
              </a:schemeClr>
            </a:solidFill>
            <a:ln>
              <a:noFill/>
            </a:ln>
            <a:effectLst/>
          </c:spPr>
          <c:invertIfNegative val="0"/>
          <c:dLbls>
            <c:delete val="1"/>
          </c:dLbls>
          <c:cat>
            <c:strRef>
              <c:f>[工作簿1]Sheet2!$A$3:$A$13</c:f>
              <c:strCache>
                <c:ptCount val="11"/>
                <c:pt idx="0">
                  <c:v>35.0以下</c:v>
                </c:pt>
                <c:pt idx="1">
                  <c:v>35.1～40.0</c:v>
                </c:pt>
                <c:pt idx="2">
                  <c:v>40.1～45.0</c:v>
                </c:pt>
                <c:pt idx="3">
                  <c:v>45.1～50.0</c:v>
                </c:pt>
                <c:pt idx="4">
                  <c:v>50.1～55.0</c:v>
                </c:pt>
                <c:pt idx="5">
                  <c:v>55.1～60.0</c:v>
                </c:pt>
                <c:pt idx="6">
                  <c:v>60.1～65.0</c:v>
                </c:pt>
                <c:pt idx="7">
                  <c:v>65.1～70.0</c:v>
                </c:pt>
                <c:pt idx="8">
                  <c:v>70.1～75.0</c:v>
                </c:pt>
                <c:pt idx="9">
                  <c:v>75.1～80.0</c:v>
                </c:pt>
                <c:pt idx="10">
                  <c:v>80.1以上</c:v>
                </c:pt>
              </c:strCache>
            </c:strRef>
          </c:cat>
          <c:val>
            <c:numRef>
              <c:f>[工作簿1]Sheet2!$C$3:$C$13</c:f>
              <c:numCache>
                <c:formatCode>General</c:formatCode>
                <c:ptCount val="11"/>
                <c:pt idx="0">
                  <c:v>0</c:v>
                </c:pt>
                <c:pt idx="1">
                  <c:v>0.04</c:v>
                </c:pt>
                <c:pt idx="2">
                  <c:v>0.56</c:v>
                </c:pt>
                <c:pt idx="3">
                  <c:v>1.96</c:v>
                </c:pt>
                <c:pt idx="4">
                  <c:v>1.64</c:v>
                </c:pt>
                <c:pt idx="5">
                  <c:v>1.04</c:v>
                </c:pt>
                <c:pt idx="6">
                  <c:v>0.16</c:v>
                </c:pt>
                <c:pt idx="7">
                  <c:v>0</c:v>
                </c:pt>
                <c:pt idx="8">
                  <c:v>0</c:v>
                </c:pt>
                <c:pt idx="9">
                  <c:v>0</c:v>
                </c:pt>
                <c:pt idx="10">
                  <c:v>0</c:v>
                </c:pt>
              </c:numCache>
            </c:numRef>
          </c:val>
        </c:ser>
        <c:dLbls>
          <c:showLegendKey val="0"/>
          <c:showVal val="0"/>
          <c:showCatName val="0"/>
          <c:showSerName val="0"/>
          <c:showPercent val="0"/>
          <c:showBubbleSize val="0"/>
        </c:dLbls>
        <c:gapWidth val="75"/>
        <c:overlap val="-25"/>
        <c:axId val="351506311"/>
        <c:axId val="162543510"/>
      </c:barChart>
      <c:catAx>
        <c:axId val="35150631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543510"/>
        <c:crosses val="autoZero"/>
        <c:auto val="1"/>
        <c:lblAlgn val="ctr"/>
        <c:lblOffset val="100"/>
        <c:noMultiLvlLbl val="0"/>
      </c:catAx>
      <c:valAx>
        <c:axId val="16254351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覆盖面积</a:t>
                </a:r>
                <a:r>
                  <a:rPr lang="en-US" altLang="zh-CN"/>
                  <a:t>/km²</a:t>
                </a:r>
                <a:endParaRPr lang="en-US" altLang="zh-CN"/>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150631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图3.4-2  暴露在不同等效声级下的人口分布状况</a:t>
            </a:r>
          </a:p>
        </c:rich>
      </c:tx>
      <c:layout/>
      <c:overlay val="0"/>
      <c:spPr>
        <a:noFill/>
        <a:ln>
          <a:noFill/>
        </a:ln>
        <a:effectLst/>
      </c:spPr>
    </c:title>
    <c:autoTitleDeleted val="0"/>
    <c:plotArea>
      <c:layout/>
      <c:barChart>
        <c:barDir val="col"/>
        <c:grouping val="clustered"/>
        <c:varyColors val="0"/>
        <c:ser>
          <c:idx val="0"/>
          <c:order val="0"/>
          <c:tx>
            <c:strRef>
              <c:f>[工作簿1]Sheet2!$B$1:$B$2</c:f>
              <c:strCache>
                <c:ptCount val="1"/>
                <c:pt idx="0">
                  <c:v>声级覆盖人口（人） 2017年</c:v>
                </c:pt>
              </c:strCache>
            </c:strRef>
          </c:tx>
          <c:spPr>
            <a:solidFill>
              <a:schemeClr val="accent1"/>
            </a:solidFill>
            <a:ln>
              <a:noFill/>
            </a:ln>
            <a:effectLst/>
          </c:spPr>
          <c:invertIfNegative val="0"/>
          <c:dLbls>
            <c:delete val="1"/>
          </c:dLbls>
          <c:cat>
            <c:strRef>
              <c:f>[工作簿1]Sheet2!$A$3:$A$13</c:f>
              <c:strCache>
                <c:ptCount val="11"/>
                <c:pt idx="0">
                  <c:v>35.0以下</c:v>
                </c:pt>
                <c:pt idx="1">
                  <c:v>35.1～40.0</c:v>
                </c:pt>
                <c:pt idx="2">
                  <c:v>40.1～45.0</c:v>
                </c:pt>
                <c:pt idx="3">
                  <c:v>45.1～50.0</c:v>
                </c:pt>
                <c:pt idx="4">
                  <c:v>50.1～55.0</c:v>
                </c:pt>
                <c:pt idx="5">
                  <c:v>55.1～60.0</c:v>
                </c:pt>
                <c:pt idx="6">
                  <c:v>60.1～65.0</c:v>
                </c:pt>
                <c:pt idx="7">
                  <c:v>65.1～70.0</c:v>
                </c:pt>
                <c:pt idx="8">
                  <c:v>70.1～75.0</c:v>
                </c:pt>
                <c:pt idx="9">
                  <c:v>75.1～80.0</c:v>
                </c:pt>
                <c:pt idx="10">
                  <c:v>80.1以上</c:v>
                </c:pt>
              </c:strCache>
            </c:strRef>
          </c:cat>
          <c:val>
            <c:numRef>
              <c:f>[工作簿1]Sheet2!$B$3:$B$13</c:f>
              <c:numCache>
                <c:formatCode>General</c:formatCode>
                <c:ptCount val="11"/>
                <c:pt idx="0">
                  <c:v>0</c:v>
                </c:pt>
                <c:pt idx="1">
                  <c:v>337</c:v>
                </c:pt>
                <c:pt idx="2">
                  <c:v>4043</c:v>
                </c:pt>
                <c:pt idx="3">
                  <c:v>17519</c:v>
                </c:pt>
                <c:pt idx="4">
                  <c:v>13476</c:v>
                </c:pt>
                <c:pt idx="5">
                  <c:v>6738</c:v>
                </c:pt>
                <c:pt idx="6">
                  <c:v>3032</c:v>
                </c:pt>
                <c:pt idx="7">
                  <c:v>337</c:v>
                </c:pt>
                <c:pt idx="8">
                  <c:v>0</c:v>
                </c:pt>
                <c:pt idx="9">
                  <c:v>0</c:v>
                </c:pt>
                <c:pt idx="10">
                  <c:v>0</c:v>
                </c:pt>
              </c:numCache>
            </c:numRef>
          </c:val>
        </c:ser>
        <c:ser>
          <c:idx val="1"/>
          <c:order val="1"/>
          <c:tx>
            <c:strRef>
              <c:f>[工作簿1]Sheet2!$C$1:$C$2</c:f>
              <c:strCache>
                <c:ptCount val="1"/>
                <c:pt idx="0">
                  <c:v>声级覆盖人口（人） 2018年</c:v>
                </c:pt>
              </c:strCache>
            </c:strRef>
          </c:tx>
          <c:spPr>
            <a:solidFill>
              <a:schemeClr val="accent3"/>
            </a:solidFill>
            <a:ln>
              <a:noFill/>
            </a:ln>
            <a:effectLst/>
          </c:spPr>
          <c:invertIfNegative val="0"/>
          <c:dLbls>
            <c:delete val="1"/>
          </c:dLbls>
          <c:cat>
            <c:strRef>
              <c:f>[工作簿1]Sheet2!$A$3:$A$13</c:f>
              <c:strCache>
                <c:ptCount val="11"/>
                <c:pt idx="0">
                  <c:v>35.0以下</c:v>
                </c:pt>
                <c:pt idx="1">
                  <c:v>35.1～40.0</c:v>
                </c:pt>
                <c:pt idx="2">
                  <c:v>40.1～45.0</c:v>
                </c:pt>
                <c:pt idx="3">
                  <c:v>45.1～50.0</c:v>
                </c:pt>
                <c:pt idx="4">
                  <c:v>50.1～55.0</c:v>
                </c:pt>
                <c:pt idx="5">
                  <c:v>55.1～60.0</c:v>
                </c:pt>
                <c:pt idx="6">
                  <c:v>60.1～65.0</c:v>
                </c:pt>
                <c:pt idx="7">
                  <c:v>65.1～70.0</c:v>
                </c:pt>
                <c:pt idx="8">
                  <c:v>70.1～75.0</c:v>
                </c:pt>
                <c:pt idx="9">
                  <c:v>75.1～80.0</c:v>
                </c:pt>
                <c:pt idx="10">
                  <c:v>80.1以上</c:v>
                </c:pt>
              </c:strCache>
            </c:strRef>
          </c:cat>
          <c:val>
            <c:numRef>
              <c:f>[工作簿1]Sheet2!$C$3:$C$13</c:f>
              <c:numCache>
                <c:formatCode>General</c:formatCode>
                <c:ptCount val="11"/>
                <c:pt idx="0">
                  <c:v>0</c:v>
                </c:pt>
                <c:pt idx="1">
                  <c:v>332</c:v>
                </c:pt>
                <c:pt idx="2">
                  <c:v>4021</c:v>
                </c:pt>
                <c:pt idx="3">
                  <c:v>18565</c:v>
                </c:pt>
                <c:pt idx="4">
                  <c:v>15476</c:v>
                </c:pt>
                <c:pt idx="5">
                  <c:v>7738</c:v>
                </c:pt>
                <c:pt idx="6">
                  <c:v>3110</c:v>
                </c:pt>
                <c:pt idx="7">
                  <c:v>0</c:v>
                </c:pt>
                <c:pt idx="8">
                  <c:v>0</c:v>
                </c:pt>
                <c:pt idx="9">
                  <c:v>0</c:v>
                </c:pt>
                <c:pt idx="10">
                  <c:v>0</c:v>
                </c:pt>
              </c:numCache>
            </c:numRef>
          </c:val>
        </c:ser>
        <c:dLbls>
          <c:showLegendKey val="0"/>
          <c:showVal val="0"/>
          <c:showCatName val="0"/>
          <c:showSerName val="0"/>
          <c:showPercent val="0"/>
          <c:showBubbleSize val="0"/>
        </c:dLbls>
        <c:gapWidth val="219"/>
        <c:overlap val="-27"/>
        <c:axId val="19116436"/>
        <c:axId val="936034589"/>
      </c:barChart>
      <c:catAx>
        <c:axId val="191164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6034589"/>
        <c:crosses val="autoZero"/>
        <c:auto val="1"/>
        <c:lblAlgn val="ctr"/>
        <c:lblOffset val="100"/>
        <c:noMultiLvlLbl val="0"/>
      </c:catAx>
      <c:valAx>
        <c:axId val="9360345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164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b471a1-bec2-4d6c-af9d-b474d275983d}"/>
        <w:style w:val=""/>
        <w:category>
          <w:name w:val="常规"/>
          <w:gallery w:val="placeholder"/>
        </w:category>
        <w:types>
          <w:type w:val="bbPlcHdr"/>
        </w:types>
        <w:behaviors>
          <w:behavior w:val="content"/>
        </w:behaviors>
        <w:description w:val=""/>
        <w:guid w:val="{feb471a1-bec2-4d6c-af9d-b474d275983d}"/>
      </w:docPartPr>
      <w:docPartBody>
        <w:p>
          <w:r>
            <w:rPr>
              <w:color w:val="808080"/>
            </w:rPr>
            <w:t>单击此处输入文字。</w:t>
          </w:r>
        </w:p>
      </w:docPartBody>
    </w:docPart>
    <w:docPart>
      <w:docPartPr>
        <w:name w:val="{6aa86a17-1e79-409e-b3b6-b1fdb12307db}"/>
        <w:style w:val=""/>
        <w:category>
          <w:name w:val="常规"/>
          <w:gallery w:val="placeholder"/>
        </w:category>
        <w:types>
          <w:type w:val="bbPlcHdr"/>
        </w:types>
        <w:behaviors>
          <w:behavior w:val="content"/>
        </w:behaviors>
        <w:description w:val=""/>
        <w:guid w:val="{6aa86a17-1e79-409e-b3b6-b1fdb12307db}"/>
      </w:docPartPr>
      <w:docPartBody>
        <w:p>
          <w:r>
            <w:rPr>
              <w:color w:val="808080"/>
            </w:rPr>
            <w:t>单击此处输入文字。</w:t>
          </w:r>
        </w:p>
      </w:docPartBody>
    </w:docPart>
    <w:docPart>
      <w:docPartPr>
        <w:name w:val="{e37e4fd2-cefe-4998-b7e2-b0653de2a1a1}"/>
        <w:style w:val=""/>
        <w:category>
          <w:name w:val="常规"/>
          <w:gallery w:val="placeholder"/>
        </w:category>
        <w:types>
          <w:type w:val="bbPlcHdr"/>
        </w:types>
        <w:behaviors>
          <w:behavior w:val="content"/>
        </w:behaviors>
        <w:description w:val=""/>
        <w:guid w:val="{e37e4fd2-cefe-4998-b7e2-b0653de2a1a1}"/>
      </w:docPartPr>
      <w:docPartBody>
        <w:p>
          <w:r>
            <w:rPr>
              <w:color w:val="808080"/>
            </w:rPr>
            <w:t>单击此处输入文字。</w:t>
          </w:r>
        </w:p>
      </w:docPartBody>
    </w:docPart>
    <w:docPart>
      <w:docPartPr>
        <w:name w:val="{cc2d02b1-ca00-4728-b67c-15f953639ca6}"/>
        <w:style w:val=""/>
        <w:category>
          <w:name w:val="常规"/>
          <w:gallery w:val="placeholder"/>
        </w:category>
        <w:types>
          <w:type w:val="bbPlcHdr"/>
        </w:types>
        <w:behaviors>
          <w:behavior w:val="content"/>
        </w:behaviors>
        <w:description w:val=""/>
        <w:guid w:val="{cc2d02b1-ca00-4728-b67c-15f953639ca6}"/>
      </w:docPartPr>
      <w:docPartBody>
        <w:p>
          <w:r>
            <w:rPr>
              <w:color w:val="808080"/>
            </w:rPr>
            <w:t>单击此处输入文字。</w:t>
          </w:r>
        </w:p>
      </w:docPartBody>
    </w:docPart>
    <w:docPart>
      <w:docPartPr>
        <w:name w:val="{65061bc2-52d7-4c58-966f-821142321a81}"/>
        <w:style w:val=""/>
        <w:category>
          <w:name w:val="常规"/>
          <w:gallery w:val="placeholder"/>
        </w:category>
        <w:types>
          <w:type w:val="bbPlcHdr"/>
        </w:types>
        <w:behaviors>
          <w:behavior w:val="content"/>
        </w:behaviors>
        <w:description w:val=""/>
        <w:guid w:val="{65061bc2-52d7-4c58-966f-821142321a81}"/>
      </w:docPartPr>
      <w:docPartBody>
        <w:p>
          <w:r>
            <w:rPr>
              <w:color w:val="808080"/>
            </w:rPr>
            <w:t>单击此处输入文字。</w:t>
          </w:r>
        </w:p>
      </w:docPartBody>
    </w:docPart>
    <w:docPart>
      <w:docPartPr>
        <w:name w:val="{8e85f0bc-e430-4822-a50e-22ad1f8642f8}"/>
        <w:style w:val=""/>
        <w:category>
          <w:name w:val="常规"/>
          <w:gallery w:val="placeholder"/>
        </w:category>
        <w:types>
          <w:type w:val="bbPlcHdr"/>
        </w:types>
        <w:behaviors>
          <w:behavior w:val="content"/>
        </w:behaviors>
        <w:description w:val=""/>
        <w:guid w:val="{8e85f0bc-e430-4822-a50e-22ad1f8642f8}"/>
      </w:docPartPr>
      <w:docPartBody>
        <w:p>
          <w:r>
            <w:rPr>
              <w:color w:val="808080"/>
            </w:rPr>
            <w:t>单击此处输入文字。</w:t>
          </w:r>
        </w:p>
      </w:docPartBody>
    </w:docPart>
    <w:docPart>
      <w:docPartPr>
        <w:name w:val="{ebeaf094-e2db-46bd-91e5-c80dad5355e2}"/>
        <w:style w:val=""/>
        <w:category>
          <w:name w:val="常规"/>
          <w:gallery w:val="placeholder"/>
        </w:category>
        <w:types>
          <w:type w:val="bbPlcHdr"/>
        </w:types>
        <w:behaviors>
          <w:behavior w:val="content"/>
        </w:behaviors>
        <w:description w:val=""/>
        <w:guid w:val="{ebeaf094-e2db-46bd-91e5-c80dad5355e2}"/>
      </w:docPartPr>
      <w:docPartBody>
        <w:p>
          <w:r>
            <w:rPr>
              <w:color w:val="808080"/>
            </w:rPr>
            <w:t>单击此处输入文字。</w:t>
          </w:r>
        </w:p>
      </w:docPartBody>
    </w:docPart>
    <w:docPart>
      <w:docPartPr>
        <w:name w:val="{5584858a-8105-4ceb-ae91-f3bc153b1d9a}"/>
        <w:style w:val=""/>
        <w:category>
          <w:name w:val="常规"/>
          <w:gallery w:val="placeholder"/>
        </w:category>
        <w:types>
          <w:type w:val="bbPlcHdr"/>
        </w:types>
        <w:behaviors>
          <w:behavior w:val="content"/>
        </w:behaviors>
        <w:description w:val=""/>
        <w:guid w:val="{5584858a-8105-4ceb-ae91-f3bc153b1d9a}"/>
      </w:docPartPr>
      <w:docPartBody>
        <w:p>
          <w:r>
            <w:rPr>
              <w:color w:val="808080"/>
            </w:rPr>
            <w:t>单击此处输入文字。</w:t>
          </w:r>
        </w:p>
      </w:docPartBody>
    </w:docPart>
    <w:docPart>
      <w:docPartPr>
        <w:name w:val="{9d5eac55-42e9-4ee8-b1ee-af3bdffadc0f}"/>
        <w:style w:val=""/>
        <w:category>
          <w:name w:val="常规"/>
          <w:gallery w:val="placeholder"/>
        </w:category>
        <w:types>
          <w:type w:val="bbPlcHdr"/>
        </w:types>
        <w:behaviors>
          <w:behavior w:val="content"/>
        </w:behaviors>
        <w:description w:val=""/>
        <w:guid w:val="{9d5eac55-42e9-4ee8-b1ee-af3bdffadc0f}"/>
      </w:docPartPr>
      <w:docPartBody>
        <w:p>
          <w:r>
            <w:rPr>
              <w:color w:val="808080"/>
            </w:rPr>
            <w:t>单击此处输入文字。</w:t>
          </w:r>
        </w:p>
      </w:docPartBody>
    </w:docPart>
    <w:docPart>
      <w:docPartPr>
        <w:name w:val="{c8c828e6-e551-4e64-9851-61fc8698ec57}"/>
        <w:style w:val=""/>
        <w:category>
          <w:name w:val="常规"/>
          <w:gallery w:val="placeholder"/>
        </w:category>
        <w:types>
          <w:type w:val="bbPlcHdr"/>
        </w:types>
        <w:behaviors>
          <w:behavior w:val="content"/>
        </w:behaviors>
        <w:description w:val=""/>
        <w:guid w:val="{c8c828e6-e551-4e64-9851-61fc8698ec57}"/>
      </w:docPartPr>
      <w:docPartBody>
        <w:p>
          <w:r>
            <w:rPr>
              <w:color w:val="808080"/>
            </w:rPr>
            <w:t>单击此处输入文字。</w:t>
          </w:r>
        </w:p>
      </w:docPartBody>
    </w:docPart>
    <w:docPart>
      <w:docPartPr>
        <w:name w:val="{9ee2de7e-6706-4b58-a818-2334865a1bf7}"/>
        <w:style w:val=""/>
        <w:category>
          <w:name w:val="常规"/>
          <w:gallery w:val="placeholder"/>
        </w:category>
        <w:types>
          <w:type w:val="bbPlcHdr"/>
        </w:types>
        <w:behaviors>
          <w:behavior w:val="content"/>
        </w:behaviors>
        <w:description w:val=""/>
        <w:guid w:val="{9ee2de7e-6706-4b58-a818-2334865a1bf7}"/>
      </w:docPartPr>
      <w:docPartBody>
        <w:p>
          <w:r>
            <w:rPr>
              <w:color w:val="808080"/>
            </w:rPr>
            <w:t>单击此处输入文字。</w:t>
          </w:r>
        </w:p>
      </w:docPartBody>
    </w:docPart>
    <w:docPart>
      <w:docPartPr>
        <w:name w:val="{e4ad4688-e4fd-4e74-b09c-7d1d9439f55f}"/>
        <w:style w:val=""/>
        <w:category>
          <w:name w:val="常规"/>
          <w:gallery w:val="placeholder"/>
        </w:category>
        <w:types>
          <w:type w:val="bbPlcHdr"/>
        </w:types>
        <w:behaviors>
          <w:behavior w:val="content"/>
        </w:behaviors>
        <w:description w:val=""/>
        <w:guid w:val="{e4ad4688-e4fd-4e74-b09c-7d1d9439f55f}"/>
      </w:docPartPr>
      <w:docPartBody>
        <w:p>
          <w:r>
            <w:rPr>
              <w:color w:val="808080"/>
            </w:rPr>
            <w:t>单击此处输入文字。</w:t>
          </w:r>
        </w:p>
      </w:docPartBody>
    </w:docPart>
    <w:docPart>
      <w:docPartPr>
        <w:name w:val="{6c361d2e-6b75-409d-ba7a-a8a10e8c6766}"/>
        <w:style w:val=""/>
        <w:category>
          <w:name w:val="常规"/>
          <w:gallery w:val="placeholder"/>
        </w:category>
        <w:types>
          <w:type w:val="bbPlcHdr"/>
        </w:types>
        <w:behaviors>
          <w:behavior w:val="content"/>
        </w:behaviors>
        <w:description w:val=""/>
        <w:guid w:val="{6c361d2e-6b75-409d-ba7a-a8a10e8c6766}"/>
      </w:docPartPr>
      <w:docPartBody>
        <w:p>
          <w:r>
            <w:rPr>
              <w:color w:val="808080"/>
            </w:rPr>
            <w:t>单击此处输入文字。</w:t>
          </w:r>
        </w:p>
      </w:docPartBody>
    </w:docPart>
    <w:docPart>
      <w:docPartPr>
        <w:name w:val="{5a66d3a6-d35f-4b9b-9255-1d5ef6e599a9}"/>
        <w:style w:val=""/>
        <w:category>
          <w:name w:val="常规"/>
          <w:gallery w:val="placeholder"/>
        </w:category>
        <w:types>
          <w:type w:val="bbPlcHdr"/>
        </w:types>
        <w:behaviors>
          <w:behavior w:val="content"/>
        </w:behaviors>
        <w:description w:val=""/>
        <w:guid w:val="{5a66d3a6-d35f-4b9b-9255-1d5ef6e599a9}"/>
      </w:docPartPr>
      <w:docPartBody>
        <w:p>
          <w:r>
            <w:rPr>
              <w:color w:val="808080"/>
            </w:rPr>
            <w:t>单击此处输入文字。</w:t>
          </w:r>
        </w:p>
      </w:docPartBody>
    </w:docPart>
    <w:docPart>
      <w:docPartPr>
        <w:name w:val="{7bec5a44-1106-4acb-9c13-625dcdc8da4f}"/>
        <w:style w:val=""/>
        <w:category>
          <w:name w:val="常规"/>
          <w:gallery w:val="placeholder"/>
        </w:category>
        <w:types>
          <w:type w:val="bbPlcHdr"/>
        </w:types>
        <w:behaviors>
          <w:behavior w:val="content"/>
        </w:behaviors>
        <w:description w:val=""/>
        <w:guid w:val="{7bec5a44-1106-4acb-9c13-625dcdc8da4f}"/>
      </w:docPartPr>
      <w:docPartBody>
        <w:p>
          <w:r>
            <w:rPr>
              <w:color w:val="808080"/>
            </w:rPr>
            <w:t>单击此处输入文字。</w:t>
          </w:r>
        </w:p>
      </w:docPartBody>
    </w:docPart>
    <w:docPart>
      <w:docPartPr>
        <w:name w:val="{c32f76ee-c0f4-416c-beb2-56d8ad0f8389}"/>
        <w:style w:val=""/>
        <w:category>
          <w:name w:val="常规"/>
          <w:gallery w:val="placeholder"/>
        </w:category>
        <w:types>
          <w:type w:val="bbPlcHdr"/>
        </w:types>
        <w:behaviors>
          <w:behavior w:val="content"/>
        </w:behaviors>
        <w:description w:val=""/>
        <w:guid w:val="{c32f76ee-c0f4-416c-beb2-56d8ad0f8389}"/>
      </w:docPartPr>
      <w:docPartBody>
        <w:p>
          <w:r>
            <w:rPr>
              <w:color w:val="808080"/>
            </w:rPr>
            <w:t>单击此处输入文字。</w:t>
          </w:r>
        </w:p>
      </w:docPartBody>
    </w:docPart>
    <w:docPart>
      <w:docPartPr>
        <w:name w:val="{0e84be41-165e-4d3e-bd3f-4f96809968ca}"/>
        <w:style w:val=""/>
        <w:category>
          <w:name w:val="常规"/>
          <w:gallery w:val="placeholder"/>
        </w:category>
        <w:types>
          <w:type w:val="bbPlcHdr"/>
        </w:types>
        <w:behaviors>
          <w:behavior w:val="content"/>
        </w:behaviors>
        <w:description w:val=""/>
        <w:guid w:val="{0e84be41-165e-4d3e-bd3f-4f96809968ca}"/>
      </w:docPartPr>
      <w:docPartBody>
        <w:p>
          <w:r>
            <w:rPr>
              <w:color w:val="808080"/>
            </w:rPr>
            <w:t>单击此处输入文字。</w:t>
          </w:r>
        </w:p>
      </w:docPartBody>
    </w:docPart>
    <w:docPart>
      <w:docPartPr>
        <w:name w:val="{e1ad8ed4-97d9-426a-ab1e-76b01820aeda}"/>
        <w:style w:val=""/>
        <w:category>
          <w:name w:val="常规"/>
          <w:gallery w:val="placeholder"/>
        </w:category>
        <w:types>
          <w:type w:val="bbPlcHdr"/>
        </w:types>
        <w:behaviors>
          <w:behavior w:val="content"/>
        </w:behaviors>
        <w:description w:val=""/>
        <w:guid w:val="{e1ad8ed4-97d9-426a-ab1e-76b01820aeda}"/>
      </w:docPartPr>
      <w:docPartBody>
        <w:p>
          <w:r>
            <w:rPr>
              <w:color w:val="808080"/>
            </w:rPr>
            <w:t>单击此处输入文字。</w:t>
          </w:r>
        </w:p>
      </w:docPartBody>
    </w:docPart>
    <w:docPart>
      <w:docPartPr>
        <w:name w:val="{fa9b8a97-c689-4999-aca6-a1bf18c274f8}"/>
        <w:style w:val=""/>
        <w:category>
          <w:name w:val="常规"/>
          <w:gallery w:val="placeholder"/>
        </w:category>
        <w:types>
          <w:type w:val="bbPlcHdr"/>
        </w:types>
        <w:behaviors>
          <w:behavior w:val="content"/>
        </w:behaviors>
        <w:description w:val=""/>
        <w:guid w:val="{fa9b8a97-c689-4999-aca6-a1bf18c274f8}"/>
      </w:docPartPr>
      <w:docPartBody>
        <w:p>
          <w:r>
            <w:rPr>
              <w:color w:val="808080"/>
            </w:rPr>
            <w:t>单击此处输入文字。</w:t>
          </w:r>
        </w:p>
      </w:docPartBody>
    </w:docPart>
    <w:docPart>
      <w:docPartPr>
        <w:name w:val="{4434f1bb-612f-40dd-8e60-10c4a0dae9b9}"/>
        <w:style w:val=""/>
        <w:category>
          <w:name w:val="常规"/>
          <w:gallery w:val="placeholder"/>
        </w:category>
        <w:types>
          <w:type w:val="bbPlcHdr"/>
        </w:types>
        <w:behaviors>
          <w:behavior w:val="content"/>
        </w:behaviors>
        <w:description w:val=""/>
        <w:guid w:val="{4434f1bb-612f-40dd-8e60-10c4a0dae9b9}"/>
      </w:docPartPr>
      <w:docPartBody>
        <w:p>
          <w:r>
            <w:rPr>
              <w:color w:val="808080"/>
            </w:rPr>
            <w:t>单击此处输入文字。</w:t>
          </w:r>
        </w:p>
      </w:docPartBody>
    </w:docPart>
    <w:docPart>
      <w:docPartPr>
        <w:name w:val="{2677e988-e9be-414b-a2f8-2ec20cb68132}"/>
        <w:style w:val=""/>
        <w:category>
          <w:name w:val="常规"/>
          <w:gallery w:val="placeholder"/>
        </w:category>
        <w:types>
          <w:type w:val="bbPlcHdr"/>
        </w:types>
        <w:behaviors>
          <w:behavior w:val="content"/>
        </w:behaviors>
        <w:description w:val=""/>
        <w:guid w:val="{2677e988-e9be-414b-a2f8-2ec20cb68132}"/>
      </w:docPartPr>
      <w:docPartBody>
        <w:p>
          <w:r>
            <w:rPr>
              <w:color w:val="808080"/>
            </w:rPr>
            <w:t>单击此处输入文字。</w:t>
          </w:r>
        </w:p>
      </w:docPartBody>
    </w:docPart>
    <w:docPart>
      <w:docPartPr>
        <w:name w:val="{9f2aa192-ad73-49a5-99c4-0bc51f6c5215}"/>
        <w:style w:val=""/>
        <w:category>
          <w:name w:val="常规"/>
          <w:gallery w:val="placeholder"/>
        </w:category>
        <w:types>
          <w:type w:val="bbPlcHdr"/>
        </w:types>
        <w:behaviors>
          <w:behavior w:val="content"/>
        </w:behaviors>
        <w:description w:val=""/>
        <w:guid w:val="{9f2aa192-ad73-49a5-99c4-0bc51f6c5215}"/>
      </w:docPartPr>
      <w:docPartBody>
        <w:p>
          <w:r>
            <w:rPr>
              <w:color w:val="808080"/>
            </w:rPr>
            <w:t>单击此处输入文字。</w:t>
          </w:r>
        </w:p>
      </w:docPartBody>
    </w:docPart>
    <w:docPart>
      <w:docPartPr>
        <w:name w:val="{176ffbbb-d883-4223-ba5b-cab3d8c45a07}"/>
        <w:style w:val=""/>
        <w:category>
          <w:name w:val="常规"/>
          <w:gallery w:val="placeholder"/>
        </w:category>
        <w:types>
          <w:type w:val="bbPlcHdr"/>
        </w:types>
        <w:behaviors>
          <w:behavior w:val="content"/>
        </w:behaviors>
        <w:description w:val=""/>
        <w:guid w:val="{176ffbbb-d883-4223-ba5b-cab3d8c45a07}"/>
      </w:docPartPr>
      <w:docPartBody>
        <w:p>
          <w:r>
            <w:rPr>
              <w:color w:val="808080"/>
            </w:rPr>
            <w:t>单击此处输入文字。</w:t>
          </w:r>
        </w:p>
      </w:docPartBody>
    </w:docPart>
    <w:docPart>
      <w:docPartPr>
        <w:name w:val="{cb496038-7192-4c24-b7ba-c36b87469396}"/>
        <w:style w:val=""/>
        <w:category>
          <w:name w:val="常规"/>
          <w:gallery w:val="placeholder"/>
        </w:category>
        <w:types>
          <w:type w:val="bbPlcHdr"/>
        </w:types>
        <w:behaviors>
          <w:behavior w:val="content"/>
        </w:behaviors>
        <w:description w:val=""/>
        <w:guid w:val="{cb496038-7192-4c24-b7ba-c36b87469396}"/>
      </w:docPartPr>
      <w:docPartBody>
        <w:p>
          <w:r>
            <w:rPr>
              <w:color w:val="808080"/>
            </w:rPr>
            <w:t>单击此处输入文字。</w:t>
          </w:r>
        </w:p>
      </w:docPartBody>
    </w:docPart>
    <w:docPart>
      <w:docPartPr>
        <w:name w:val="{732f2cbc-1fb3-433e-a9a4-18a85663448b}"/>
        <w:style w:val=""/>
        <w:category>
          <w:name w:val="常规"/>
          <w:gallery w:val="placeholder"/>
        </w:category>
        <w:types>
          <w:type w:val="bbPlcHdr"/>
        </w:types>
        <w:behaviors>
          <w:behavior w:val="content"/>
        </w:behaviors>
        <w:description w:val=""/>
        <w:guid w:val="{732f2cbc-1fb3-433e-a9a4-18a85663448b}"/>
      </w:docPartPr>
      <w:docPartBody>
        <w:p>
          <w:r>
            <w:rPr>
              <w:color w:val="808080"/>
            </w:rPr>
            <w:t>单击此处输入文字。</w:t>
          </w:r>
        </w:p>
      </w:docPartBody>
    </w:docPart>
    <w:docPart>
      <w:docPartPr>
        <w:name w:val="{5d62aa82-3cbf-43d9-9882-98dab04a2c2f}"/>
        <w:style w:val=""/>
        <w:category>
          <w:name w:val="常规"/>
          <w:gallery w:val="placeholder"/>
        </w:category>
        <w:types>
          <w:type w:val="bbPlcHdr"/>
        </w:types>
        <w:behaviors>
          <w:behavior w:val="content"/>
        </w:behaviors>
        <w:description w:val=""/>
        <w:guid w:val="{5d62aa82-3cbf-43d9-9882-98dab04a2c2f}"/>
      </w:docPartPr>
      <w:docPartBody>
        <w:p>
          <w:r>
            <w:rPr>
              <w:color w:val="808080"/>
            </w:rPr>
            <w:t>单击此处输入文字。</w:t>
          </w:r>
        </w:p>
      </w:docPartBody>
    </w:docPart>
    <w:docPart>
      <w:docPartPr>
        <w:name w:val="{0065329c-1538-4790-b0a8-98503715f929}"/>
        <w:style w:val=""/>
        <w:category>
          <w:name w:val="常规"/>
          <w:gallery w:val="placeholder"/>
        </w:category>
        <w:types>
          <w:type w:val="bbPlcHdr"/>
        </w:types>
        <w:behaviors>
          <w:behavior w:val="content"/>
        </w:behaviors>
        <w:description w:val=""/>
        <w:guid w:val="{0065329c-1538-4790-b0a8-98503715f929}"/>
      </w:docPartPr>
      <w:docPartBody>
        <w:p>
          <w:r>
            <w:rPr>
              <w:color w:val="808080"/>
            </w:rPr>
            <w:t>单击此处输入文字。</w:t>
          </w:r>
        </w:p>
      </w:docPartBody>
    </w:docPart>
    <w:docPart>
      <w:docPartPr>
        <w:name w:val="{1e3edcd1-c305-4177-b580-4b5d5baffc66}"/>
        <w:style w:val=""/>
        <w:category>
          <w:name w:val="常规"/>
          <w:gallery w:val="placeholder"/>
        </w:category>
        <w:types>
          <w:type w:val="bbPlcHdr"/>
        </w:types>
        <w:behaviors>
          <w:behavior w:val="content"/>
        </w:behaviors>
        <w:description w:val=""/>
        <w:guid w:val="{1e3edcd1-c305-4177-b580-4b5d5baffc66}"/>
      </w:docPartPr>
      <w:docPartBody>
        <w:p>
          <w:r>
            <w:rPr>
              <w:color w:val="808080"/>
            </w:rPr>
            <w:t>单击此处输入文字。</w:t>
          </w:r>
        </w:p>
      </w:docPartBody>
    </w:docPart>
    <w:docPart>
      <w:docPartPr>
        <w:name w:val="{a8786fcc-cea5-4ec5-bbe7-7c30345dfd85}"/>
        <w:style w:val=""/>
        <w:category>
          <w:name w:val="常规"/>
          <w:gallery w:val="placeholder"/>
        </w:category>
        <w:types>
          <w:type w:val="bbPlcHdr"/>
        </w:types>
        <w:behaviors>
          <w:behavior w:val="content"/>
        </w:behaviors>
        <w:description w:val=""/>
        <w:guid w:val="{a8786fcc-cea5-4ec5-bbe7-7c30345dfd85}"/>
      </w:docPartPr>
      <w:docPartBody>
        <w:p>
          <w:r>
            <w:rPr>
              <w:color w:val="808080"/>
            </w:rPr>
            <w:t>单击此处输入文字。</w:t>
          </w:r>
        </w:p>
      </w:docPartBody>
    </w:docPart>
    <w:docPart>
      <w:docPartPr>
        <w:name w:val="{64f05793-6785-4fec-8a15-b8105ff22609}"/>
        <w:style w:val=""/>
        <w:category>
          <w:name w:val="常规"/>
          <w:gallery w:val="placeholder"/>
        </w:category>
        <w:types>
          <w:type w:val="bbPlcHdr"/>
        </w:types>
        <w:behaviors>
          <w:behavior w:val="content"/>
        </w:behaviors>
        <w:description w:val=""/>
        <w:guid w:val="{64f05793-6785-4fec-8a15-b8105ff22609}"/>
      </w:docPartPr>
      <w:docPartBody>
        <w:p>
          <w:r>
            <w:rPr>
              <w:color w:val="808080"/>
            </w:rPr>
            <w:t>单击此处输入文字。</w:t>
          </w:r>
        </w:p>
      </w:docPartBody>
    </w:docPart>
    <w:docPart>
      <w:docPartPr>
        <w:name w:val="{06dbf729-215f-404c-89bf-db3b9276bc50}"/>
        <w:style w:val=""/>
        <w:category>
          <w:name w:val="常规"/>
          <w:gallery w:val="placeholder"/>
        </w:category>
        <w:types>
          <w:type w:val="bbPlcHdr"/>
        </w:types>
        <w:behaviors>
          <w:behavior w:val="content"/>
        </w:behaviors>
        <w:description w:val=""/>
        <w:guid w:val="{06dbf729-215f-404c-89bf-db3b9276bc50}"/>
      </w:docPartPr>
      <w:docPartBody>
        <w:p>
          <w:r>
            <w:rPr>
              <w:color w:val="808080"/>
            </w:rPr>
            <w:t>单击此处输入文字。</w:t>
          </w:r>
        </w:p>
      </w:docPartBody>
    </w:docPart>
    <w:docPart>
      <w:docPartPr>
        <w:name w:val="{22c75ecc-4fba-434e-904b-14aed4cd447c}"/>
        <w:style w:val=""/>
        <w:category>
          <w:name w:val="常规"/>
          <w:gallery w:val="placeholder"/>
        </w:category>
        <w:types>
          <w:type w:val="bbPlcHdr"/>
        </w:types>
        <w:behaviors>
          <w:behavior w:val="content"/>
        </w:behaviors>
        <w:description w:val=""/>
        <w:guid w:val="{22c75ecc-4fba-434e-904b-14aed4cd447c}"/>
      </w:docPartPr>
      <w:docPartBody>
        <w:p>
          <w:r>
            <w:rPr>
              <w:color w:val="808080"/>
            </w:rPr>
            <w:t>单击此处输入文字。</w:t>
          </w:r>
        </w:p>
      </w:docPartBody>
    </w:docPart>
    <w:docPart>
      <w:docPartPr>
        <w:name w:val="{cdb2d159-8a2d-40c3-86a7-2ec88e52eab6}"/>
        <w:style w:val=""/>
        <w:category>
          <w:name w:val="常规"/>
          <w:gallery w:val="placeholder"/>
        </w:category>
        <w:types>
          <w:type w:val="bbPlcHdr"/>
        </w:types>
        <w:behaviors>
          <w:behavior w:val="content"/>
        </w:behaviors>
        <w:description w:val=""/>
        <w:guid w:val="{cdb2d159-8a2d-40c3-86a7-2ec88e52eab6}"/>
      </w:docPartPr>
      <w:docPartBody>
        <w:p>
          <w:r>
            <w:rPr>
              <w:color w:val="808080"/>
            </w:rPr>
            <w:t>单击此处输入文字。</w:t>
          </w:r>
        </w:p>
      </w:docPartBody>
    </w:docPart>
    <w:docPart>
      <w:docPartPr>
        <w:name w:val="{8446b7da-bd82-4130-8a80-52671adf6e5b}"/>
        <w:style w:val=""/>
        <w:category>
          <w:name w:val="常规"/>
          <w:gallery w:val="placeholder"/>
        </w:category>
        <w:types>
          <w:type w:val="bbPlcHdr"/>
        </w:types>
        <w:behaviors>
          <w:behavior w:val="content"/>
        </w:behaviors>
        <w:description w:val=""/>
        <w:guid w:val="{8446b7da-bd82-4130-8a80-52671adf6e5b}"/>
      </w:docPartPr>
      <w:docPartBody>
        <w:p>
          <w:r>
            <w:rPr>
              <w:color w:val="808080"/>
            </w:rPr>
            <w:t>单击此处输入文字。</w:t>
          </w:r>
        </w:p>
      </w:docPartBody>
    </w:docPart>
    <w:docPart>
      <w:docPartPr>
        <w:name w:val="{96b6bb8f-016d-4b73-9247-032b496bf0f1}"/>
        <w:style w:val=""/>
        <w:category>
          <w:name w:val="常规"/>
          <w:gallery w:val="placeholder"/>
        </w:category>
        <w:types>
          <w:type w:val="bbPlcHdr"/>
        </w:types>
        <w:behaviors>
          <w:behavior w:val="content"/>
        </w:behaviors>
        <w:description w:val=""/>
        <w:guid w:val="{96b6bb8f-016d-4b73-9247-032b496bf0f1}"/>
      </w:docPartPr>
      <w:docPartBody>
        <w:p>
          <w:r>
            <w:rPr>
              <w:color w:val="808080"/>
            </w:rPr>
            <w:t>单击此处输入文字。</w:t>
          </w:r>
        </w:p>
      </w:docPartBody>
    </w:docPart>
    <w:docPart>
      <w:docPartPr>
        <w:name w:val="{03bd6565-c46d-4bcb-8147-ad89642a6dd4}"/>
        <w:style w:val=""/>
        <w:category>
          <w:name w:val="常规"/>
          <w:gallery w:val="placeholder"/>
        </w:category>
        <w:types>
          <w:type w:val="bbPlcHdr"/>
        </w:types>
        <w:behaviors>
          <w:behavior w:val="content"/>
        </w:behaviors>
        <w:description w:val=""/>
        <w:guid w:val="{03bd6565-c46d-4bcb-8147-ad89642a6dd4}"/>
      </w:docPartPr>
      <w:docPartBody>
        <w:p>
          <w:r>
            <w:rPr>
              <w:color w:val="808080"/>
            </w:rPr>
            <w:t>单击此处输入文字。</w:t>
          </w:r>
        </w:p>
      </w:docPartBody>
    </w:docPart>
    <w:docPart>
      <w:docPartPr>
        <w:name w:val="{4654105c-c1e5-498a-88fa-5300abb85231}"/>
        <w:style w:val=""/>
        <w:category>
          <w:name w:val="常规"/>
          <w:gallery w:val="placeholder"/>
        </w:category>
        <w:types>
          <w:type w:val="bbPlcHdr"/>
        </w:types>
        <w:behaviors>
          <w:behavior w:val="content"/>
        </w:behaviors>
        <w:description w:val=""/>
        <w:guid w:val="{4654105c-c1e5-498a-88fa-5300abb85231}"/>
      </w:docPartPr>
      <w:docPartBody>
        <w:p>
          <w:r>
            <w:rPr>
              <w:color w:val="808080"/>
            </w:rPr>
            <w:t>单击此处输入文字。</w:t>
          </w:r>
        </w:p>
      </w:docPartBody>
    </w:docPart>
    <w:docPart>
      <w:docPartPr>
        <w:name w:val="{55de8f31-f3d4-4d9b-b87d-2aaf72d8fdc2}"/>
        <w:style w:val=""/>
        <w:category>
          <w:name w:val="常规"/>
          <w:gallery w:val="placeholder"/>
        </w:category>
        <w:types>
          <w:type w:val="bbPlcHdr"/>
        </w:types>
        <w:behaviors>
          <w:behavior w:val="content"/>
        </w:behaviors>
        <w:description w:val=""/>
        <w:guid w:val="{55de8f31-f3d4-4d9b-b87d-2aaf72d8fdc2}"/>
      </w:docPartPr>
      <w:docPartBody>
        <w:p>
          <w:r>
            <w:rPr>
              <w:color w:val="808080"/>
            </w:rPr>
            <w:t>单击此处输入文字。</w:t>
          </w:r>
        </w:p>
      </w:docPartBody>
    </w:docPart>
    <w:docPart>
      <w:docPartPr>
        <w:name w:val="{32effd9c-9315-4ee7-96cd-a9c2e7000d39}"/>
        <w:style w:val=""/>
        <w:category>
          <w:name w:val="常规"/>
          <w:gallery w:val="placeholder"/>
        </w:category>
        <w:types>
          <w:type w:val="bbPlcHdr"/>
        </w:types>
        <w:behaviors>
          <w:behavior w:val="content"/>
        </w:behaviors>
        <w:description w:val=""/>
        <w:guid w:val="{32effd9c-9315-4ee7-96cd-a9c2e7000d39}"/>
      </w:docPartPr>
      <w:docPartBody>
        <w:p>
          <w:r>
            <w:rPr>
              <w:color w:val="808080"/>
            </w:rPr>
            <w:t>单击此处输入文字。</w:t>
          </w:r>
        </w:p>
      </w:docPartBody>
    </w:docPart>
    <w:docPart>
      <w:docPartPr>
        <w:name w:val="{aaa67d76-fd3a-4b5e-958b-da5898a2f0ef}"/>
        <w:style w:val=""/>
        <w:category>
          <w:name w:val="常规"/>
          <w:gallery w:val="placeholder"/>
        </w:category>
        <w:types>
          <w:type w:val="bbPlcHdr"/>
        </w:types>
        <w:behaviors>
          <w:behavior w:val="content"/>
        </w:behaviors>
        <w:description w:val=""/>
        <w:guid w:val="{aaa67d76-fd3a-4b5e-958b-da5898a2f0ef}"/>
      </w:docPartPr>
      <w:docPartBody>
        <w:p>
          <w:r>
            <w:rPr>
              <w:color w:val="808080"/>
            </w:rPr>
            <w:t>单击此处输入文字。</w:t>
          </w:r>
        </w:p>
      </w:docPartBody>
    </w:docPart>
    <w:docPart>
      <w:docPartPr>
        <w:name w:val="{5d317217-acb6-4bcc-bd5d-91e3080ed5c2}"/>
        <w:style w:val=""/>
        <w:category>
          <w:name w:val="常规"/>
          <w:gallery w:val="placeholder"/>
        </w:category>
        <w:types>
          <w:type w:val="bbPlcHdr"/>
        </w:types>
        <w:behaviors>
          <w:behavior w:val="content"/>
        </w:behaviors>
        <w:description w:val=""/>
        <w:guid w:val="{5d317217-acb6-4bcc-bd5d-91e3080ed5c2}"/>
      </w:docPartPr>
      <w:docPartBody>
        <w:p>
          <w:r>
            <w:rPr>
              <w:color w:val="808080"/>
            </w:rPr>
            <w:t>单击此处输入文字。</w:t>
          </w:r>
        </w:p>
      </w:docPartBody>
    </w:docPart>
    <w:docPart>
      <w:docPartPr>
        <w:name w:val="{873b6d65-6b6d-44b2-8fbf-70ba520f10de}"/>
        <w:style w:val=""/>
        <w:category>
          <w:name w:val="常规"/>
          <w:gallery w:val="placeholder"/>
        </w:category>
        <w:types>
          <w:type w:val="bbPlcHdr"/>
        </w:types>
        <w:behaviors>
          <w:behavior w:val="content"/>
        </w:behaviors>
        <w:description w:val=""/>
        <w:guid w:val="{873b6d65-6b6d-44b2-8fbf-70ba520f10de}"/>
      </w:docPartPr>
      <w:docPartBody>
        <w:p>
          <w:r>
            <w:rPr>
              <w:color w:val="808080"/>
            </w:rPr>
            <w:t>单击此处输入文字。</w:t>
          </w:r>
        </w:p>
      </w:docPartBody>
    </w:docPart>
    <w:docPart>
      <w:docPartPr>
        <w:name w:val="{ad43a774-e729-4d19-a1a1-fa764a5dd141}"/>
        <w:style w:val=""/>
        <w:category>
          <w:name w:val="常规"/>
          <w:gallery w:val="placeholder"/>
        </w:category>
        <w:types>
          <w:type w:val="bbPlcHdr"/>
        </w:types>
        <w:behaviors>
          <w:behavior w:val="content"/>
        </w:behaviors>
        <w:description w:val=""/>
        <w:guid w:val="{ad43a774-e729-4d19-a1a1-fa764a5dd141}"/>
      </w:docPartPr>
      <w:docPartBody>
        <w:p>
          <w:r>
            <w:rPr>
              <w:color w:val="808080"/>
            </w:rPr>
            <w:t>单击此处输入文字。</w:t>
          </w:r>
        </w:p>
      </w:docPartBody>
    </w:docPart>
    <w:docPart>
      <w:docPartPr>
        <w:name w:val="{844b1edb-5423-4a83-8525-517577394e7e}"/>
        <w:style w:val=""/>
        <w:category>
          <w:name w:val="常规"/>
          <w:gallery w:val="placeholder"/>
        </w:category>
        <w:types>
          <w:type w:val="bbPlcHdr"/>
        </w:types>
        <w:behaviors>
          <w:behavior w:val="content"/>
        </w:behaviors>
        <w:description w:val=""/>
        <w:guid w:val="{844b1edb-5423-4a83-8525-517577394e7e}"/>
      </w:docPartPr>
      <w:docPartBody>
        <w:p>
          <w:r>
            <w:rPr>
              <w:color w:val="808080"/>
            </w:rPr>
            <w:t>单击此处输入文字。</w:t>
          </w:r>
        </w:p>
      </w:docPartBody>
    </w:docPart>
    <w:docPart>
      <w:docPartPr>
        <w:name w:val="{70558f65-dbc5-48fc-813f-b4374efd36ac}"/>
        <w:style w:val=""/>
        <w:category>
          <w:name w:val="常规"/>
          <w:gallery w:val="placeholder"/>
        </w:category>
        <w:types>
          <w:type w:val="bbPlcHdr"/>
        </w:types>
        <w:behaviors>
          <w:behavior w:val="content"/>
        </w:behaviors>
        <w:description w:val=""/>
        <w:guid w:val="{70558f65-dbc5-48fc-813f-b4374efd36ac}"/>
      </w:docPartPr>
      <w:docPartBody>
        <w:p>
          <w:r>
            <w:rPr>
              <w:color w:val="808080"/>
            </w:rPr>
            <w:t>单击此处输入文字。</w:t>
          </w:r>
        </w:p>
      </w:docPartBody>
    </w:docPart>
    <w:docPart>
      <w:docPartPr>
        <w:name w:val="{845f5e11-e6c9-473f-8509-728d9333364e}"/>
        <w:style w:val=""/>
        <w:category>
          <w:name w:val="常规"/>
          <w:gallery w:val="placeholder"/>
        </w:category>
        <w:types>
          <w:type w:val="bbPlcHdr"/>
        </w:types>
        <w:behaviors>
          <w:behavior w:val="content"/>
        </w:behaviors>
        <w:description w:val=""/>
        <w:guid w:val="{845f5e11-e6c9-473f-8509-728d9333364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39342</Words>
  <Characters>61875</Characters>
  <Lines>0</Lines>
  <Paragraphs>0</Paragraphs>
  <TotalTime>19</TotalTime>
  <ScaleCrop>false</ScaleCrop>
  <LinksUpToDate>false</LinksUpToDate>
  <CharactersWithSpaces>62531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2019-07-08T10:52:00Z</dcterms:created>
  <dc:creator>白马非马</dc:creator>
  <cp:lastModifiedBy>俞俊宇</cp:lastModifiedBy>
  <dcterms:modified xsi:type="dcterms:W3CDTF">2023-12-08T01:31:59Z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CF8D4B3E477E40A7AD29C57F98530A33_12</vt:lpwstr>
  </property>
</Properties>
</file>