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仿宋_GB2312" w:hAnsi="仿宋_GB2312" w:eastAsia="仿宋_GB2312" w:cs="仿宋_GB2312"/>
          <w:sz w:val="36"/>
          <w:szCs w:val="36"/>
          <w:lang w:eastAsia="zh-CN"/>
        </w:rPr>
      </w:pPr>
      <w:bookmarkStart w:id="0" w:name="_Hlk57883707"/>
    </w:p>
    <w:bookmarkEnd w:id="0"/>
    <w:p>
      <w:pPr>
        <w:adjustRightInd w:val="0"/>
        <w:jc w:val="center"/>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pacing w:before="192" w:beforeLines="80"/>
        <w:jc w:val="center"/>
        <w:rPr>
          <w:rFonts w:ascii="楷体" w:hAnsi="楷体" w:eastAsia="楷体"/>
          <w:bCs/>
          <w:sz w:val="48"/>
          <w:szCs w:val="48"/>
        </w:rPr>
      </w:pPr>
      <w:r>
        <w:rPr>
          <w:rFonts w:hint="eastAsia" w:ascii="楷体" w:hAnsi="楷体" w:eastAsia="楷体"/>
          <w:bCs/>
          <w:sz w:val="48"/>
          <w:szCs w:val="48"/>
        </w:rPr>
        <w:t>（生态影响类）</w:t>
      </w:r>
    </w:p>
    <w:p>
      <w:pPr>
        <w:adjustRightInd w:val="0"/>
        <w:spacing w:line="288" w:lineRule="auto"/>
        <w:jc w:val="center"/>
        <w:rPr>
          <w:rFonts w:ascii="华文仿宋" w:hAnsi="华文仿宋" w:eastAsia="华文仿宋" w:cs="华文仿宋"/>
          <w:kern w:val="44"/>
          <w:sz w:val="44"/>
          <w:szCs w:val="44"/>
        </w:rPr>
      </w:pPr>
      <w:bookmarkStart w:id="1" w:name="_Hlk57883728"/>
    </w:p>
    <w:p>
      <w:pPr>
        <w:adjustRightInd w:val="0"/>
        <w:jc w:val="center"/>
        <w:rPr>
          <w:rFonts w:hint="eastAsia" w:eastAsia="仿宋"/>
          <w:sz w:val="52"/>
          <w:szCs w:val="52"/>
          <w:lang w:eastAsia="zh-CN"/>
        </w:rPr>
      </w:pPr>
    </w:p>
    <w:p>
      <w:pPr>
        <w:adjustRightInd w:val="0"/>
        <w:ind w:firstLine="1040"/>
        <w:rPr>
          <w:rFonts w:eastAsia="仿宋"/>
          <w:sz w:val="44"/>
          <w:szCs w:val="44"/>
        </w:rPr>
      </w:pPr>
    </w:p>
    <w:p>
      <w:pPr>
        <w:adjustRightInd w:val="0"/>
        <w:ind w:firstLine="1040"/>
        <w:rPr>
          <w:rFonts w:eastAsia="仿宋"/>
          <w:sz w:val="44"/>
          <w:szCs w:val="44"/>
        </w:rPr>
      </w:pPr>
    </w:p>
    <w:p>
      <w:pPr>
        <w:adjustRightInd w:val="0"/>
        <w:ind w:firstLine="1040"/>
        <w:rPr>
          <w:rFonts w:eastAsia="仿宋"/>
          <w:sz w:val="44"/>
          <w:szCs w:val="44"/>
        </w:rPr>
      </w:pPr>
    </w:p>
    <w:p>
      <w:pPr>
        <w:adjustRightInd w:val="0"/>
        <w:ind w:firstLine="1040"/>
        <w:rPr>
          <w:rFonts w:eastAsia="仿宋"/>
          <w:sz w:val="44"/>
          <w:szCs w:val="44"/>
        </w:rPr>
      </w:pPr>
    </w:p>
    <w:p>
      <w:pPr>
        <w:adjustRightInd w:val="0"/>
        <w:ind w:firstLine="1040"/>
        <w:rPr>
          <w:rFonts w:eastAsia="仿宋"/>
          <w:sz w:val="44"/>
          <w:szCs w:val="44"/>
        </w:rPr>
      </w:pPr>
    </w:p>
    <w:p>
      <w:pPr>
        <w:adjustRightInd w:val="0"/>
        <w:ind w:firstLine="1040"/>
        <w:rPr>
          <w:rFonts w:eastAsia="仿宋"/>
          <w:sz w:val="44"/>
          <w:szCs w:val="44"/>
        </w:rPr>
      </w:pPr>
    </w:p>
    <w:p>
      <w:pPr>
        <w:adjustRightInd w:val="0"/>
        <w:ind w:firstLine="1040"/>
        <w:rPr>
          <w:rFonts w:eastAsia="仿宋"/>
          <w:sz w:val="44"/>
          <w:szCs w:val="44"/>
        </w:rPr>
      </w:pPr>
    </w:p>
    <w:bookmarkEnd w:id="1"/>
    <w:p>
      <w:pPr>
        <w:adjustRightInd w:val="0"/>
        <w:spacing w:line="288" w:lineRule="auto"/>
        <w:ind w:left="708" w:leftChars="337"/>
        <w:rPr>
          <w:rFonts w:eastAsia="仿宋"/>
          <w:sz w:val="36"/>
          <w:szCs w:val="36"/>
          <w:u w:val="single"/>
        </w:rPr>
      </w:pPr>
      <w:r>
        <w:rPr>
          <w:rFonts w:eastAsia="仿宋"/>
          <w:sz w:val="36"/>
          <w:szCs w:val="36"/>
        </w:rPr>
        <w:t>项目名称：</w:t>
      </w:r>
      <w:r>
        <w:rPr>
          <w:rFonts w:eastAsia="仿宋"/>
          <w:sz w:val="36"/>
          <w:szCs w:val="36"/>
          <w:u w:val="single"/>
        </w:rPr>
        <w:t xml:space="preserve">        </w:t>
      </w:r>
      <w:bookmarkStart w:id="2" w:name="_Hlk151649906"/>
      <w:r>
        <w:rPr>
          <w:rFonts w:eastAsia="仿宋"/>
          <w:sz w:val="36"/>
          <w:szCs w:val="36"/>
          <w:u w:val="single"/>
        </w:rPr>
        <w:t>鲁纳光伏发电项目</w:t>
      </w:r>
      <w:bookmarkEnd w:id="2"/>
      <w:r>
        <w:rPr>
          <w:rFonts w:eastAsia="仿宋"/>
          <w:sz w:val="36"/>
          <w:szCs w:val="36"/>
          <w:u w:val="single"/>
        </w:rPr>
        <w:t xml:space="preserve">        </w:t>
      </w:r>
    </w:p>
    <w:p>
      <w:pPr>
        <w:adjustRightInd w:val="0"/>
        <w:spacing w:line="288" w:lineRule="auto"/>
        <w:ind w:left="708" w:leftChars="337"/>
        <w:rPr>
          <w:rFonts w:eastAsia="仿宋"/>
          <w:sz w:val="36"/>
          <w:szCs w:val="36"/>
          <w:u w:val="single"/>
        </w:rPr>
      </w:pPr>
      <w:r>
        <w:rPr>
          <w:rFonts w:eastAsia="仿宋"/>
          <w:sz w:val="36"/>
          <w:szCs w:val="36"/>
        </w:rPr>
        <w:t>建设单位：</w:t>
      </w:r>
      <w:bookmarkStart w:id="3" w:name="_Hlk149828984"/>
      <w:r>
        <w:rPr>
          <w:rFonts w:eastAsia="仿宋"/>
          <w:sz w:val="36"/>
          <w:szCs w:val="36"/>
          <w:u w:val="single"/>
        </w:rPr>
        <w:t>华能澜沧江（寻甸）新能源有限公司</w:t>
      </w:r>
      <w:bookmarkEnd w:id="3"/>
    </w:p>
    <w:p>
      <w:pPr>
        <w:adjustRightInd w:val="0"/>
        <w:spacing w:line="288" w:lineRule="auto"/>
        <w:ind w:left="708" w:leftChars="337"/>
        <w:rPr>
          <w:rFonts w:eastAsia="仿宋"/>
          <w:sz w:val="36"/>
          <w:szCs w:val="36"/>
          <w:u w:val="single"/>
        </w:rPr>
      </w:pPr>
      <w:r>
        <w:rPr>
          <w:rFonts w:eastAsia="仿宋"/>
          <w:sz w:val="36"/>
          <w:szCs w:val="36"/>
        </w:rPr>
        <w:t>编制日期：</w:t>
      </w:r>
      <w:r>
        <w:rPr>
          <w:rFonts w:eastAsia="仿宋"/>
          <w:sz w:val="36"/>
          <w:szCs w:val="36"/>
          <w:u w:val="single"/>
        </w:rPr>
        <w:t xml:space="preserve">          2023年12月         </w:t>
      </w:r>
      <w:r>
        <w:rPr>
          <w:rFonts w:eastAsia="仿宋"/>
          <w:sz w:val="54"/>
          <w:szCs w:val="54"/>
          <w:u w:val="single"/>
        </w:rPr>
        <w:t xml:space="preserve"> </w:t>
      </w:r>
    </w:p>
    <w:p>
      <w:pPr>
        <w:adjustRightInd w:val="0"/>
        <w:spacing w:line="288" w:lineRule="auto"/>
        <w:ind w:firstLine="1040"/>
        <w:rPr>
          <w:rFonts w:ascii="仿宋_GB2312" w:eastAsia="仿宋_GB2312"/>
          <w:sz w:val="36"/>
          <w:szCs w:val="36"/>
          <w:u w:val="single"/>
        </w:rPr>
      </w:pPr>
    </w:p>
    <w:p>
      <w:pPr>
        <w:adjustRightInd w:val="0"/>
        <w:spacing w:line="288" w:lineRule="auto"/>
        <w:ind w:firstLine="1040"/>
        <w:rPr>
          <w:rFonts w:ascii="仿宋_GB2312" w:eastAsia="仿宋_GB2312"/>
          <w:sz w:val="36"/>
          <w:szCs w:val="36"/>
        </w:rPr>
      </w:pPr>
    </w:p>
    <w:p>
      <w:pPr>
        <w:adjustRightInd w:val="0"/>
        <w:spacing w:line="288" w:lineRule="auto"/>
        <w:ind w:firstLine="1040"/>
        <w:rPr>
          <w:rFonts w:ascii="仿宋_GB2312" w:eastAsia="仿宋_GB2312"/>
          <w:sz w:val="36"/>
          <w:szCs w:val="36"/>
        </w:rPr>
      </w:pPr>
    </w:p>
    <w:p>
      <w:pPr>
        <w:adjustRightInd w:val="0"/>
        <w:spacing w:line="288" w:lineRule="auto"/>
        <w:ind w:firstLine="1040"/>
        <w:rPr>
          <w:rFonts w:ascii="仿宋_GB2312" w:eastAsia="仿宋_GB2312"/>
          <w:sz w:val="36"/>
          <w:szCs w:val="36"/>
        </w:rPr>
      </w:pPr>
    </w:p>
    <w:p>
      <w:pPr>
        <w:adjustRightInd w:val="0"/>
        <w:spacing w:line="288" w:lineRule="auto"/>
        <w:ind w:firstLine="1040"/>
        <w:rPr>
          <w:rFonts w:ascii="仿宋_GB2312" w:eastAsia="仿宋_GB2312"/>
          <w:sz w:val="36"/>
          <w:szCs w:val="36"/>
        </w:rPr>
      </w:pPr>
    </w:p>
    <w:p>
      <w:pPr>
        <w:adjustRightInd w:val="0"/>
        <w:spacing w:line="288" w:lineRule="auto"/>
        <w:ind w:firstLine="1040"/>
        <w:rPr>
          <w:rFonts w:ascii="仿宋_GB2312" w:eastAsia="仿宋_GB2312"/>
          <w:sz w:val="36"/>
          <w:szCs w:val="36"/>
        </w:rPr>
      </w:pPr>
    </w:p>
    <w:p>
      <w:pPr>
        <w:adjustRightInd w:val="0"/>
        <w:spacing w:line="288" w:lineRule="auto"/>
        <w:jc w:val="center"/>
        <w:rPr>
          <w:rFonts w:ascii="楷体" w:hAnsi="楷体" w:eastAsia="楷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31" w:header="851" w:footer="1077" w:gutter="0"/>
          <w:pgNumType w:start="21"/>
          <w:cols w:space="720" w:num="1"/>
          <w:docGrid w:linePitch="335" w:charSpace="0"/>
        </w:sectPr>
      </w:pPr>
      <w:r>
        <w:rPr>
          <w:rFonts w:hint="eastAsia" w:ascii="楷体" w:hAnsi="楷体" w:eastAsia="楷体"/>
          <w:sz w:val="36"/>
          <w:szCs w:val="36"/>
        </w:rPr>
        <w:t>中华人民共和国生态环境部制</w:t>
      </w:r>
    </w:p>
    <w:p>
      <w:pPr>
        <w:adjustRightInd w:val="0"/>
        <w:spacing w:line="288" w:lineRule="auto"/>
        <w:jc w:val="both"/>
        <w:rPr>
          <w:rFonts w:ascii="楷体" w:hAnsi="楷体" w:eastAsia="楷体"/>
          <w:sz w:val="36"/>
          <w:szCs w:val="36"/>
        </w:rPr>
        <w:sectPr>
          <w:pgSz w:w="11906" w:h="16838"/>
          <w:pgMar w:top="720" w:right="720" w:bottom="720" w:left="720" w:header="283" w:footer="283" w:gutter="0"/>
          <w:pgNumType w:start="21"/>
          <w:cols w:space="720" w:num="1"/>
          <w:docGrid w:linePitch="335" w:charSpace="0"/>
        </w:sectPr>
      </w:pPr>
    </w:p>
    <w:sdt>
      <w:sdtPr>
        <w:rPr>
          <w:rFonts w:ascii="Times New Roman" w:hAnsi="Times New Roman" w:eastAsia="宋体" w:cs="Times New Roman"/>
          <w:color w:val="auto"/>
          <w:kern w:val="2"/>
          <w:sz w:val="21"/>
          <w:szCs w:val="24"/>
          <w:lang w:val="zh-CN"/>
        </w:rPr>
        <w:id w:val="-710030844"/>
        <w:docPartObj>
          <w:docPartGallery w:val="Table of Contents"/>
          <w:docPartUnique/>
        </w:docPartObj>
      </w:sdtPr>
      <w:sdtEndPr>
        <w:rPr>
          <w:rFonts w:ascii="Times New Roman" w:hAnsi="Times New Roman" w:eastAsia="黑体" w:cs="Times New Roman"/>
          <w:color w:val="auto"/>
          <w:kern w:val="2"/>
          <w:sz w:val="24"/>
          <w:szCs w:val="32"/>
          <w:lang w:val="zh-CN"/>
        </w:rPr>
      </w:sdtEndPr>
      <w:sdtContent>
        <w:p>
          <w:pPr>
            <w:pStyle w:val="71"/>
            <w:adjustRightInd w:val="0"/>
            <w:spacing w:line="480" w:lineRule="auto"/>
            <w:jc w:val="center"/>
            <w:rPr>
              <w:rFonts w:ascii="宋体" w:hAnsi="宋体" w:eastAsia="宋体"/>
              <w:b/>
              <w:bCs/>
              <w:color w:val="auto"/>
            </w:rPr>
          </w:pPr>
          <w:r>
            <w:rPr>
              <w:rFonts w:ascii="宋体" w:hAnsi="宋体" w:eastAsia="宋体"/>
              <w:b/>
              <w:bCs/>
              <w:color w:val="auto"/>
              <w:lang w:val="zh-CN"/>
            </w:rPr>
            <w:t>目</w:t>
          </w:r>
          <w:r>
            <w:rPr>
              <w:rFonts w:hint="eastAsia" w:ascii="宋体" w:hAnsi="宋体" w:eastAsia="宋体"/>
              <w:b/>
              <w:bCs/>
              <w:color w:val="auto"/>
              <w:lang w:val="zh-CN"/>
            </w:rPr>
            <w:t xml:space="preserve"> </w:t>
          </w:r>
          <w:r>
            <w:rPr>
              <w:rFonts w:ascii="宋体" w:hAnsi="宋体" w:eastAsia="宋体"/>
              <w:b/>
              <w:bCs/>
              <w:color w:val="auto"/>
              <w:lang w:val="zh-CN"/>
            </w:rPr>
            <w:t>录</w:t>
          </w:r>
        </w:p>
        <w:p>
          <w:pPr>
            <w:pStyle w:val="32"/>
            <w:tabs>
              <w:tab w:val="right" w:leader="dot" w:pos="8834"/>
            </w:tabs>
            <w:spacing w:line="360" w:lineRule="auto"/>
            <w:rPr>
              <w:rFonts w:eastAsia="黑体"/>
              <w:szCs w:val="21"/>
              <w14:ligatures w14:val="standardContextual"/>
            </w:rPr>
          </w:pPr>
          <w:r>
            <w:rPr>
              <w:rFonts w:eastAsia="黑体"/>
              <w:sz w:val="24"/>
              <w:szCs w:val="32"/>
            </w:rPr>
            <w:fldChar w:fldCharType="begin"/>
          </w:r>
          <w:r>
            <w:rPr>
              <w:rFonts w:eastAsia="黑体"/>
              <w:sz w:val="24"/>
              <w:szCs w:val="32"/>
            </w:rPr>
            <w:instrText xml:space="preserve"> TOC \o "1-3" \h \z \u </w:instrText>
          </w:r>
          <w:r>
            <w:rPr>
              <w:rFonts w:eastAsia="黑体"/>
              <w:sz w:val="24"/>
              <w:szCs w:val="32"/>
            </w:rPr>
            <w:fldChar w:fldCharType="separate"/>
          </w:r>
          <w:r>
            <w:fldChar w:fldCharType="begin"/>
          </w:r>
          <w:r>
            <w:instrText xml:space="preserve"> HYPERLINK \l "_Toc140704260" </w:instrText>
          </w:r>
          <w:r>
            <w:fldChar w:fldCharType="separate"/>
          </w:r>
          <w:r>
            <w:rPr>
              <w:rStyle w:val="51"/>
              <w:rFonts w:eastAsia="黑体"/>
              <w:snapToGrid w:val="0"/>
              <w:szCs w:val="21"/>
            </w:rPr>
            <w:t>一、建设项目基本情况</w:t>
          </w:r>
          <w:r>
            <w:rPr>
              <w:rFonts w:eastAsia="黑体"/>
              <w:szCs w:val="21"/>
            </w:rPr>
            <w:tab/>
          </w:r>
          <w:r>
            <w:rPr>
              <w:rFonts w:eastAsia="黑体"/>
              <w:szCs w:val="21"/>
            </w:rPr>
            <w:fldChar w:fldCharType="begin"/>
          </w:r>
          <w:r>
            <w:rPr>
              <w:rFonts w:eastAsia="黑体"/>
              <w:szCs w:val="21"/>
            </w:rPr>
            <w:instrText xml:space="preserve"> PAGEREF _Toc140704260 \h </w:instrText>
          </w:r>
          <w:r>
            <w:rPr>
              <w:rFonts w:eastAsia="黑体"/>
              <w:szCs w:val="21"/>
            </w:rPr>
            <w:fldChar w:fldCharType="separate"/>
          </w:r>
          <w:r>
            <w:rPr>
              <w:rFonts w:eastAsia="黑体"/>
              <w:szCs w:val="21"/>
            </w:rPr>
            <w:t>1</w:t>
          </w:r>
          <w:r>
            <w:rPr>
              <w:rFonts w:eastAsia="黑体"/>
              <w:szCs w:val="21"/>
            </w:rPr>
            <w:fldChar w:fldCharType="end"/>
          </w:r>
          <w:r>
            <w:rPr>
              <w:rFonts w:eastAsia="黑体"/>
              <w:szCs w:val="21"/>
            </w:rPr>
            <w:fldChar w:fldCharType="end"/>
          </w:r>
        </w:p>
        <w:p>
          <w:pPr>
            <w:pStyle w:val="32"/>
            <w:tabs>
              <w:tab w:val="right" w:leader="dot" w:pos="8834"/>
            </w:tabs>
            <w:spacing w:line="360" w:lineRule="auto"/>
            <w:rPr>
              <w:rFonts w:eastAsia="黑体"/>
              <w:szCs w:val="21"/>
              <w14:ligatures w14:val="standardContextual"/>
            </w:rPr>
          </w:pPr>
          <w:r>
            <w:fldChar w:fldCharType="begin"/>
          </w:r>
          <w:r>
            <w:instrText xml:space="preserve"> HYPERLINK \l "_Toc140704261" </w:instrText>
          </w:r>
          <w:r>
            <w:fldChar w:fldCharType="separate"/>
          </w:r>
          <w:r>
            <w:rPr>
              <w:rStyle w:val="51"/>
              <w:rFonts w:eastAsia="黑体"/>
              <w:snapToGrid w:val="0"/>
              <w:szCs w:val="21"/>
            </w:rPr>
            <w:t>二、建设内容</w:t>
          </w:r>
          <w:r>
            <w:rPr>
              <w:rFonts w:eastAsia="黑体"/>
              <w:szCs w:val="21"/>
            </w:rPr>
            <w:tab/>
          </w:r>
          <w:r>
            <w:rPr>
              <w:rFonts w:eastAsia="黑体"/>
              <w:szCs w:val="21"/>
            </w:rPr>
            <w:fldChar w:fldCharType="begin"/>
          </w:r>
          <w:r>
            <w:rPr>
              <w:rFonts w:eastAsia="黑体"/>
              <w:szCs w:val="21"/>
            </w:rPr>
            <w:instrText xml:space="preserve"> PAGEREF _Toc140704261 \h </w:instrText>
          </w:r>
          <w:r>
            <w:rPr>
              <w:rFonts w:eastAsia="黑体"/>
              <w:szCs w:val="21"/>
            </w:rPr>
            <w:fldChar w:fldCharType="separate"/>
          </w:r>
          <w:r>
            <w:rPr>
              <w:rFonts w:eastAsia="黑体"/>
              <w:szCs w:val="21"/>
            </w:rPr>
            <w:t>13</w:t>
          </w:r>
          <w:r>
            <w:rPr>
              <w:rFonts w:eastAsia="黑体"/>
              <w:szCs w:val="21"/>
            </w:rPr>
            <w:fldChar w:fldCharType="end"/>
          </w:r>
          <w:r>
            <w:rPr>
              <w:rFonts w:eastAsia="黑体"/>
              <w:szCs w:val="21"/>
            </w:rPr>
            <w:fldChar w:fldCharType="end"/>
          </w:r>
        </w:p>
        <w:p>
          <w:pPr>
            <w:pStyle w:val="32"/>
            <w:tabs>
              <w:tab w:val="right" w:leader="dot" w:pos="8834"/>
            </w:tabs>
            <w:spacing w:line="360" w:lineRule="auto"/>
            <w:rPr>
              <w:rFonts w:eastAsia="黑体"/>
              <w:szCs w:val="21"/>
              <w14:ligatures w14:val="standardContextual"/>
            </w:rPr>
          </w:pPr>
          <w:r>
            <w:fldChar w:fldCharType="begin"/>
          </w:r>
          <w:r>
            <w:instrText xml:space="preserve"> HYPERLINK \l "_Toc140704262" </w:instrText>
          </w:r>
          <w:r>
            <w:fldChar w:fldCharType="separate"/>
          </w:r>
          <w:r>
            <w:rPr>
              <w:rStyle w:val="51"/>
              <w:rFonts w:eastAsia="黑体"/>
              <w:snapToGrid w:val="0"/>
              <w:szCs w:val="21"/>
            </w:rPr>
            <w:t>三、生态环境现状、保护目标及评价标准</w:t>
          </w:r>
          <w:r>
            <w:rPr>
              <w:rFonts w:eastAsia="黑体"/>
              <w:szCs w:val="21"/>
            </w:rPr>
            <w:tab/>
          </w:r>
          <w:r>
            <w:rPr>
              <w:rFonts w:eastAsia="黑体"/>
              <w:szCs w:val="21"/>
            </w:rPr>
            <w:fldChar w:fldCharType="begin"/>
          </w:r>
          <w:r>
            <w:rPr>
              <w:rFonts w:eastAsia="黑体"/>
              <w:szCs w:val="21"/>
            </w:rPr>
            <w:instrText xml:space="preserve"> PAGEREF _Toc140704262 \h </w:instrText>
          </w:r>
          <w:r>
            <w:rPr>
              <w:rFonts w:eastAsia="黑体"/>
              <w:szCs w:val="21"/>
            </w:rPr>
            <w:fldChar w:fldCharType="separate"/>
          </w:r>
          <w:r>
            <w:rPr>
              <w:rFonts w:eastAsia="黑体"/>
              <w:szCs w:val="21"/>
            </w:rPr>
            <w:t>22</w:t>
          </w:r>
          <w:r>
            <w:rPr>
              <w:rFonts w:eastAsia="黑体"/>
              <w:szCs w:val="21"/>
            </w:rPr>
            <w:fldChar w:fldCharType="end"/>
          </w:r>
          <w:r>
            <w:rPr>
              <w:rFonts w:eastAsia="黑体"/>
              <w:szCs w:val="21"/>
            </w:rPr>
            <w:fldChar w:fldCharType="end"/>
          </w:r>
        </w:p>
        <w:p>
          <w:pPr>
            <w:pStyle w:val="32"/>
            <w:tabs>
              <w:tab w:val="right" w:leader="dot" w:pos="8834"/>
            </w:tabs>
            <w:spacing w:line="360" w:lineRule="auto"/>
            <w:rPr>
              <w:rFonts w:eastAsia="黑体"/>
              <w:szCs w:val="21"/>
              <w14:ligatures w14:val="standardContextual"/>
            </w:rPr>
          </w:pPr>
          <w:r>
            <w:fldChar w:fldCharType="begin"/>
          </w:r>
          <w:r>
            <w:instrText xml:space="preserve"> HYPERLINK \l "_Toc140704263" </w:instrText>
          </w:r>
          <w:r>
            <w:fldChar w:fldCharType="separate"/>
          </w:r>
          <w:r>
            <w:rPr>
              <w:rStyle w:val="51"/>
              <w:rFonts w:eastAsia="黑体"/>
              <w:snapToGrid w:val="0"/>
              <w:szCs w:val="21"/>
            </w:rPr>
            <w:t>四、生态环境影响分析</w:t>
          </w:r>
          <w:r>
            <w:rPr>
              <w:rFonts w:eastAsia="黑体"/>
              <w:szCs w:val="21"/>
            </w:rPr>
            <w:tab/>
          </w:r>
          <w:r>
            <w:rPr>
              <w:rFonts w:eastAsia="黑体"/>
              <w:szCs w:val="21"/>
            </w:rPr>
            <w:fldChar w:fldCharType="begin"/>
          </w:r>
          <w:r>
            <w:rPr>
              <w:rFonts w:eastAsia="黑体"/>
              <w:szCs w:val="21"/>
            </w:rPr>
            <w:instrText xml:space="preserve"> PAGEREF _Toc140704263 \h </w:instrText>
          </w:r>
          <w:r>
            <w:rPr>
              <w:rFonts w:eastAsia="黑体"/>
              <w:szCs w:val="21"/>
            </w:rPr>
            <w:fldChar w:fldCharType="separate"/>
          </w:r>
          <w:r>
            <w:rPr>
              <w:rFonts w:eastAsia="黑体"/>
              <w:szCs w:val="21"/>
            </w:rPr>
            <w:t>33</w:t>
          </w:r>
          <w:r>
            <w:rPr>
              <w:rFonts w:eastAsia="黑体"/>
              <w:szCs w:val="21"/>
            </w:rPr>
            <w:fldChar w:fldCharType="end"/>
          </w:r>
          <w:r>
            <w:rPr>
              <w:rFonts w:eastAsia="黑体"/>
              <w:szCs w:val="21"/>
            </w:rPr>
            <w:fldChar w:fldCharType="end"/>
          </w:r>
        </w:p>
        <w:p>
          <w:pPr>
            <w:pStyle w:val="32"/>
            <w:tabs>
              <w:tab w:val="right" w:leader="dot" w:pos="8834"/>
            </w:tabs>
            <w:spacing w:line="360" w:lineRule="auto"/>
            <w:rPr>
              <w:rFonts w:eastAsia="黑体"/>
              <w:szCs w:val="21"/>
              <w14:ligatures w14:val="standardContextual"/>
            </w:rPr>
          </w:pPr>
          <w:r>
            <w:fldChar w:fldCharType="begin"/>
          </w:r>
          <w:r>
            <w:instrText xml:space="preserve"> HYPERLINK \l "_Toc140704264" </w:instrText>
          </w:r>
          <w:r>
            <w:fldChar w:fldCharType="separate"/>
          </w:r>
          <w:r>
            <w:rPr>
              <w:rStyle w:val="51"/>
              <w:rFonts w:eastAsia="黑体"/>
              <w:snapToGrid w:val="0"/>
              <w:szCs w:val="21"/>
            </w:rPr>
            <w:t>五、主要生态环境保护措施</w:t>
          </w:r>
          <w:r>
            <w:rPr>
              <w:rFonts w:eastAsia="黑体"/>
              <w:szCs w:val="21"/>
            </w:rPr>
            <w:tab/>
          </w:r>
          <w:r>
            <w:rPr>
              <w:rFonts w:eastAsia="黑体"/>
              <w:szCs w:val="21"/>
            </w:rPr>
            <w:fldChar w:fldCharType="begin"/>
          </w:r>
          <w:r>
            <w:rPr>
              <w:rFonts w:eastAsia="黑体"/>
              <w:szCs w:val="21"/>
            </w:rPr>
            <w:instrText xml:space="preserve"> PAGEREF _Toc140704264 \h </w:instrText>
          </w:r>
          <w:r>
            <w:rPr>
              <w:rFonts w:eastAsia="黑体"/>
              <w:szCs w:val="21"/>
            </w:rPr>
            <w:fldChar w:fldCharType="separate"/>
          </w:r>
          <w:r>
            <w:rPr>
              <w:rFonts w:eastAsia="黑体"/>
              <w:szCs w:val="21"/>
            </w:rPr>
            <w:t>53</w:t>
          </w:r>
          <w:r>
            <w:rPr>
              <w:rFonts w:eastAsia="黑体"/>
              <w:szCs w:val="21"/>
            </w:rPr>
            <w:fldChar w:fldCharType="end"/>
          </w:r>
          <w:r>
            <w:rPr>
              <w:rFonts w:eastAsia="黑体"/>
              <w:szCs w:val="21"/>
            </w:rPr>
            <w:fldChar w:fldCharType="end"/>
          </w:r>
        </w:p>
        <w:p>
          <w:pPr>
            <w:pStyle w:val="32"/>
            <w:tabs>
              <w:tab w:val="right" w:leader="dot" w:pos="8834"/>
            </w:tabs>
            <w:spacing w:line="360" w:lineRule="auto"/>
            <w:rPr>
              <w:rFonts w:eastAsia="黑体"/>
              <w:szCs w:val="21"/>
              <w14:ligatures w14:val="standardContextual"/>
            </w:rPr>
          </w:pPr>
          <w:r>
            <w:fldChar w:fldCharType="begin"/>
          </w:r>
          <w:r>
            <w:instrText xml:space="preserve"> HYPERLINK \l "_Toc140704265" </w:instrText>
          </w:r>
          <w:r>
            <w:fldChar w:fldCharType="separate"/>
          </w:r>
          <w:r>
            <w:rPr>
              <w:rStyle w:val="51"/>
              <w:rFonts w:eastAsia="黑体"/>
              <w:snapToGrid w:val="0"/>
              <w:szCs w:val="21"/>
            </w:rPr>
            <w:t>六、生态环境保护措施监督检查清单</w:t>
          </w:r>
          <w:r>
            <w:rPr>
              <w:rFonts w:eastAsia="黑体"/>
              <w:szCs w:val="21"/>
            </w:rPr>
            <w:tab/>
          </w:r>
          <w:r>
            <w:rPr>
              <w:rFonts w:eastAsia="黑体"/>
              <w:szCs w:val="21"/>
            </w:rPr>
            <w:fldChar w:fldCharType="begin"/>
          </w:r>
          <w:r>
            <w:rPr>
              <w:rFonts w:eastAsia="黑体"/>
              <w:szCs w:val="21"/>
            </w:rPr>
            <w:instrText xml:space="preserve"> PAGEREF _Toc140704265 \h </w:instrText>
          </w:r>
          <w:r>
            <w:rPr>
              <w:rFonts w:eastAsia="黑体"/>
              <w:szCs w:val="21"/>
            </w:rPr>
            <w:fldChar w:fldCharType="separate"/>
          </w:r>
          <w:r>
            <w:rPr>
              <w:rFonts w:eastAsia="黑体"/>
              <w:szCs w:val="21"/>
            </w:rPr>
            <w:t>61</w:t>
          </w:r>
          <w:r>
            <w:rPr>
              <w:rFonts w:eastAsia="黑体"/>
              <w:szCs w:val="21"/>
            </w:rPr>
            <w:fldChar w:fldCharType="end"/>
          </w:r>
          <w:r>
            <w:rPr>
              <w:rFonts w:eastAsia="黑体"/>
              <w:szCs w:val="21"/>
            </w:rPr>
            <w:fldChar w:fldCharType="end"/>
          </w:r>
        </w:p>
        <w:p>
          <w:pPr>
            <w:pStyle w:val="32"/>
            <w:tabs>
              <w:tab w:val="right" w:leader="dot" w:pos="8834"/>
            </w:tabs>
            <w:spacing w:line="360" w:lineRule="auto"/>
            <w:rPr>
              <w:rFonts w:eastAsia="黑体"/>
              <w:szCs w:val="21"/>
              <w14:ligatures w14:val="standardContextual"/>
            </w:rPr>
          </w:pPr>
          <w:r>
            <w:fldChar w:fldCharType="begin"/>
          </w:r>
          <w:r>
            <w:instrText xml:space="preserve"> HYPERLINK \l "_Toc140704266" </w:instrText>
          </w:r>
          <w:r>
            <w:fldChar w:fldCharType="separate"/>
          </w:r>
          <w:r>
            <w:rPr>
              <w:rStyle w:val="51"/>
              <w:rFonts w:eastAsia="黑体"/>
              <w:snapToGrid w:val="0"/>
              <w:szCs w:val="21"/>
            </w:rPr>
            <w:t>七、结论</w:t>
          </w:r>
          <w:r>
            <w:rPr>
              <w:rFonts w:eastAsia="黑体"/>
              <w:szCs w:val="21"/>
            </w:rPr>
            <w:tab/>
          </w:r>
          <w:r>
            <w:rPr>
              <w:rFonts w:eastAsia="黑体"/>
              <w:szCs w:val="21"/>
            </w:rPr>
            <w:fldChar w:fldCharType="begin"/>
          </w:r>
          <w:r>
            <w:rPr>
              <w:rFonts w:eastAsia="黑体"/>
              <w:szCs w:val="21"/>
            </w:rPr>
            <w:instrText xml:space="preserve"> PAGEREF _Toc140704266 \h </w:instrText>
          </w:r>
          <w:r>
            <w:rPr>
              <w:rFonts w:eastAsia="黑体"/>
              <w:szCs w:val="21"/>
            </w:rPr>
            <w:fldChar w:fldCharType="separate"/>
          </w:r>
          <w:r>
            <w:rPr>
              <w:rFonts w:eastAsia="黑体"/>
              <w:szCs w:val="21"/>
            </w:rPr>
            <w:t>64</w:t>
          </w:r>
          <w:r>
            <w:rPr>
              <w:rFonts w:eastAsia="黑体"/>
              <w:szCs w:val="21"/>
            </w:rPr>
            <w:fldChar w:fldCharType="end"/>
          </w:r>
          <w:r>
            <w:rPr>
              <w:rFonts w:eastAsia="黑体"/>
              <w:szCs w:val="21"/>
            </w:rPr>
            <w:fldChar w:fldCharType="end"/>
          </w:r>
        </w:p>
        <w:p>
          <w:pPr>
            <w:pStyle w:val="32"/>
            <w:tabs>
              <w:tab w:val="right" w:leader="dot" w:pos="8834"/>
            </w:tabs>
            <w:adjustRightInd w:val="0"/>
            <w:spacing w:line="360" w:lineRule="auto"/>
            <w:rPr>
              <w:rFonts w:eastAsia="黑体"/>
              <w:sz w:val="24"/>
              <w:szCs w:val="32"/>
            </w:rPr>
          </w:pPr>
          <w:r>
            <w:rPr>
              <w:rFonts w:eastAsia="黑体"/>
              <w:sz w:val="24"/>
              <w:szCs w:val="32"/>
              <w:lang w:val="zh-CN"/>
            </w:rPr>
            <w:fldChar w:fldCharType="end"/>
          </w:r>
        </w:p>
      </w:sdtContent>
    </w:sdt>
    <w:p>
      <w:pPr>
        <w:adjustRightInd w:val="0"/>
        <w:spacing w:line="360" w:lineRule="auto"/>
        <w:jc w:val="left"/>
        <w:rPr>
          <w:b/>
          <w:bCs/>
          <w:sz w:val="24"/>
        </w:rPr>
      </w:pPr>
    </w:p>
    <w:p>
      <w:pPr>
        <w:adjustRightInd w:val="0"/>
        <w:spacing w:line="360" w:lineRule="auto"/>
        <w:jc w:val="left"/>
        <w:rPr>
          <w:b/>
          <w:bCs/>
          <w:sz w:val="24"/>
        </w:rPr>
      </w:pPr>
      <w:r>
        <w:rPr>
          <w:b/>
          <w:bCs/>
          <w:sz w:val="24"/>
        </w:rPr>
        <w:t>附图：</w:t>
      </w:r>
    </w:p>
    <w:p>
      <w:pPr>
        <w:adjustRightInd w:val="0"/>
        <w:spacing w:line="360" w:lineRule="auto"/>
        <w:ind w:firstLine="480" w:firstLineChars="200"/>
        <w:jc w:val="left"/>
        <w:rPr>
          <w:bCs/>
          <w:sz w:val="24"/>
        </w:rPr>
      </w:pPr>
      <w:r>
        <w:rPr>
          <w:bCs/>
          <w:sz w:val="24"/>
        </w:rPr>
        <w:t>附图1</w:t>
      </w:r>
      <w:r>
        <w:rPr>
          <w:rFonts w:hint="eastAsia"/>
          <w:bCs/>
          <w:sz w:val="24"/>
        </w:rPr>
        <w:t>：项目地理位置图</w:t>
      </w:r>
    </w:p>
    <w:p>
      <w:pPr>
        <w:adjustRightInd w:val="0"/>
        <w:spacing w:line="360" w:lineRule="auto"/>
        <w:ind w:firstLine="480" w:firstLineChars="200"/>
        <w:jc w:val="left"/>
        <w:rPr>
          <w:bCs/>
          <w:sz w:val="24"/>
        </w:rPr>
      </w:pPr>
      <w:r>
        <w:rPr>
          <w:rFonts w:hint="eastAsia"/>
          <w:bCs/>
          <w:sz w:val="24"/>
        </w:rPr>
        <w:t>附图2：项目区域水系图</w:t>
      </w:r>
    </w:p>
    <w:p>
      <w:pPr>
        <w:adjustRightInd w:val="0"/>
        <w:spacing w:line="360" w:lineRule="auto"/>
        <w:ind w:firstLine="480" w:firstLineChars="200"/>
        <w:jc w:val="left"/>
        <w:rPr>
          <w:bCs/>
          <w:sz w:val="24"/>
        </w:rPr>
      </w:pPr>
      <w:r>
        <w:rPr>
          <w:rFonts w:hint="eastAsia"/>
          <w:bCs/>
          <w:sz w:val="24"/>
        </w:rPr>
        <w:t>附图3：项目总平面布置图</w:t>
      </w:r>
    </w:p>
    <w:p>
      <w:pPr>
        <w:adjustRightInd w:val="0"/>
        <w:spacing w:line="360" w:lineRule="auto"/>
        <w:ind w:firstLine="480" w:firstLineChars="200"/>
        <w:jc w:val="left"/>
        <w:rPr>
          <w:bCs/>
          <w:sz w:val="24"/>
        </w:rPr>
      </w:pPr>
      <w:r>
        <w:rPr>
          <w:rFonts w:hint="eastAsia"/>
          <w:bCs/>
          <w:sz w:val="24"/>
        </w:rPr>
        <w:t>附图4：开关站总平面布置图</w:t>
      </w:r>
    </w:p>
    <w:p>
      <w:pPr>
        <w:adjustRightInd w:val="0"/>
        <w:spacing w:line="360" w:lineRule="auto"/>
        <w:ind w:firstLine="480" w:firstLineChars="200"/>
        <w:jc w:val="left"/>
        <w:rPr>
          <w:bCs/>
          <w:sz w:val="24"/>
        </w:rPr>
      </w:pPr>
      <w:r>
        <w:rPr>
          <w:rFonts w:hint="eastAsia"/>
          <w:bCs/>
          <w:sz w:val="24"/>
        </w:rPr>
        <w:t>附图</w:t>
      </w:r>
      <w:r>
        <w:rPr>
          <w:bCs/>
          <w:sz w:val="24"/>
        </w:rPr>
        <w:t>5</w:t>
      </w:r>
      <w:r>
        <w:rPr>
          <w:rFonts w:hint="eastAsia"/>
          <w:bCs/>
          <w:sz w:val="24"/>
        </w:rPr>
        <w:t>：项目生态环境保护目标分布图</w:t>
      </w:r>
    </w:p>
    <w:p>
      <w:pPr>
        <w:adjustRightInd w:val="0"/>
        <w:spacing w:line="360" w:lineRule="auto"/>
        <w:ind w:firstLine="480" w:firstLineChars="200"/>
        <w:jc w:val="left"/>
        <w:rPr>
          <w:bCs/>
          <w:sz w:val="24"/>
        </w:rPr>
      </w:pPr>
      <w:r>
        <w:rPr>
          <w:rFonts w:hint="eastAsia"/>
          <w:bCs/>
          <w:sz w:val="24"/>
        </w:rPr>
        <w:t>附图</w:t>
      </w:r>
      <w:r>
        <w:rPr>
          <w:bCs/>
          <w:sz w:val="24"/>
        </w:rPr>
        <w:t>6-1</w:t>
      </w:r>
      <w:r>
        <w:rPr>
          <w:rFonts w:hint="eastAsia"/>
          <w:bCs/>
          <w:sz w:val="24"/>
        </w:rPr>
        <w:t>：项目监测布点图（现状）</w:t>
      </w:r>
    </w:p>
    <w:p>
      <w:pPr>
        <w:adjustRightInd w:val="0"/>
        <w:spacing w:line="360" w:lineRule="auto"/>
        <w:ind w:firstLine="480" w:firstLineChars="200"/>
        <w:jc w:val="left"/>
        <w:rPr>
          <w:bCs/>
          <w:sz w:val="24"/>
        </w:rPr>
      </w:pPr>
      <w:r>
        <w:rPr>
          <w:rFonts w:hint="eastAsia"/>
          <w:bCs/>
          <w:sz w:val="24"/>
        </w:rPr>
        <w:t>附图</w:t>
      </w:r>
      <w:r>
        <w:rPr>
          <w:bCs/>
          <w:sz w:val="24"/>
        </w:rPr>
        <w:t>6-2</w:t>
      </w:r>
      <w:r>
        <w:rPr>
          <w:rFonts w:hint="eastAsia"/>
          <w:bCs/>
          <w:sz w:val="24"/>
        </w:rPr>
        <w:t>：项目监测布点图（计划）</w:t>
      </w:r>
    </w:p>
    <w:p>
      <w:pPr>
        <w:adjustRightInd w:val="0"/>
        <w:spacing w:line="360" w:lineRule="auto"/>
        <w:ind w:firstLine="480" w:firstLineChars="200"/>
        <w:jc w:val="left"/>
        <w:rPr>
          <w:bCs/>
          <w:sz w:val="24"/>
        </w:rPr>
      </w:pPr>
      <w:r>
        <w:rPr>
          <w:rFonts w:hint="eastAsia"/>
          <w:bCs/>
          <w:sz w:val="24"/>
        </w:rPr>
        <w:t>附图</w:t>
      </w:r>
      <w:r>
        <w:rPr>
          <w:bCs/>
          <w:sz w:val="24"/>
        </w:rPr>
        <w:t>7</w:t>
      </w:r>
      <w:r>
        <w:rPr>
          <w:rFonts w:hint="eastAsia"/>
          <w:bCs/>
          <w:sz w:val="24"/>
        </w:rPr>
        <w:t>：评价区土地利用现状图</w:t>
      </w:r>
    </w:p>
    <w:p>
      <w:pPr>
        <w:adjustRightInd w:val="0"/>
        <w:spacing w:line="360" w:lineRule="auto"/>
        <w:ind w:firstLine="480" w:firstLineChars="200"/>
        <w:jc w:val="left"/>
        <w:rPr>
          <w:bCs/>
          <w:sz w:val="24"/>
        </w:rPr>
      </w:pPr>
      <w:r>
        <w:rPr>
          <w:rFonts w:hint="eastAsia"/>
          <w:bCs/>
          <w:sz w:val="24"/>
        </w:rPr>
        <w:t>附图</w:t>
      </w:r>
      <w:r>
        <w:rPr>
          <w:bCs/>
          <w:sz w:val="24"/>
        </w:rPr>
        <w:t>8</w:t>
      </w:r>
      <w:r>
        <w:rPr>
          <w:rFonts w:hint="eastAsia"/>
          <w:bCs/>
          <w:sz w:val="24"/>
        </w:rPr>
        <w:t>：评价区植被类型图</w:t>
      </w:r>
    </w:p>
    <w:p>
      <w:pPr>
        <w:adjustRightInd w:val="0"/>
        <w:spacing w:line="360" w:lineRule="auto"/>
        <w:ind w:firstLine="480" w:firstLineChars="200"/>
        <w:jc w:val="left"/>
        <w:rPr>
          <w:bCs/>
          <w:sz w:val="24"/>
        </w:rPr>
      </w:pPr>
      <w:bookmarkStart w:id="4" w:name="_Hlk138773036"/>
      <w:r>
        <w:rPr>
          <w:rFonts w:hint="eastAsia"/>
          <w:bCs/>
          <w:sz w:val="24"/>
        </w:rPr>
        <w:t>附图</w:t>
      </w:r>
      <w:r>
        <w:rPr>
          <w:bCs/>
          <w:sz w:val="24"/>
        </w:rPr>
        <w:t>9</w:t>
      </w:r>
      <w:r>
        <w:rPr>
          <w:rFonts w:hint="eastAsia"/>
          <w:bCs/>
          <w:sz w:val="24"/>
        </w:rPr>
        <w:t>：项目与云南省主体功能区划的位置关系图</w:t>
      </w:r>
    </w:p>
    <w:p>
      <w:pPr>
        <w:adjustRightInd w:val="0"/>
        <w:spacing w:line="360" w:lineRule="auto"/>
        <w:ind w:firstLine="480" w:firstLineChars="200"/>
        <w:jc w:val="left"/>
        <w:rPr>
          <w:bCs/>
          <w:sz w:val="24"/>
        </w:rPr>
      </w:pPr>
      <w:r>
        <w:rPr>
          <w:rFonts w:hint="eastAsia"/>
          <w:bCs/>
          <w:sz w:val="24"/>
        </w:rPr>
        <w:t>附图1</w:t>
      </w:r>
      <w:r>
        <w:rPr>
          <w:bCs/>
          <w:sz w:val="24"/>
        </w:rPr>
        <w:t>0</w:t>
      </w:r>
      <w:r>
        <w:rPr>
          <w:rFonts w:hint="eastAsia"/>
          <w:bCs/>
          <w:sz w:val="24"/>
        </w:rPr>
        <w:t>：项目与云南省生态功能区划的位置关系图</w:t>
      </w:r>
    </w:p>
    <w:p>
      <w:pPr>
        <w:adjustRightInd w:val="0"/>
        <w:spacing w:line="360" w:lineRule="auto"/>
        <w:ind w:firstLine="480" w:firstLineChars="200"/>
        <w:jc w:val="left"/>
        <w:rPr>
          <w:bCs/>
          <w:sz w:val="24"/>
        </w:rPr>
      </w:pPr>
      <w:r>
        <w:rPr>
          <w:rFonts w:hint="eastAsia"/>
          <w:bCs/>
          <w:sz w:val="24"/>
        </w:rPr>
        <w:t>附图</w:t>
      </w:r>
      <w:r>
        <w:rPr>
          <w:bCs/>
          <w:sz w:val="24"/>
        </w:rPr>
        <w:t>11</w:t>
      </w:r>
      <w:r>
        <w:rPr>
          <w:rFonts w:hint="eastAsia"/>
          <w:bCs/>
          <w:sz w:val="24"/>
        </w:rPr>
        <w:t>：项目与云南省生物多样性保护优先区位置关系图</w:t>
      </w:r>
    </w:p>
    <w:bookmarkEnd w:id="4"/>
    <w:p>
      <w:pPr>
        <w:adjustRightInd w:val="0"/>
        <w:spacing w:line="360" w:lineRule="auto"/>
        <w:jc w:val="left"/>
        <w:rPr>
          <w:b/>
          <w:bCs/>
          <w:sz w:val="24"/>
        </w:rPr>
      </w:pPr>
      <w:r>
        <w:rPr>
          <w:b/>
          <w:bCs/>
          <w:sz w:val="24"/>
        </w:rPr>
        <w:t>附件：</w:t>
      </w:r>
    </w:p>
    <w:p>
      <w:pPr>
        <w:adjustRightInd w:val="0"/>
        <w:spacing w:line="360" w:lineRule="auto"/>
        <w:ind w:firstLine="480" w:firstLineChars="200"/>
        <w:jc w:val="left"/>
        <w:rPr>
          <w:bCs/>
          <w:sz w:val="24"/>
        </w:rPr>
      </w:pPr>
      <w:r>
        <w:rPr>
          <w:bCs/>
          <w:sz w:val="24"/>
        </w:rPr>
        <w:t>附件1</w:t>
      </w:r>
      <w:r>
        <w:rPr>
          <w:rFonts w:hint="eastAsia"/>
          <w:bCs/>
          <w:sz w:val="24"/>
        </w:rPr>
        <w:t>：环评</w:t>
      </w:r>
      <w:r>
        <w:rPr>
          <w:bCs/>
          <w:sz w:val="24"/>
        </w:rPr>
        <w:t>委托书</w:t>
      </w:r>
    </w:p>
    <w:p>
      <w:pPr>
        <w:adjustRightInd w:val="0"/>
        <w:spacing w:line="360" w:lineRule="auto"/>
        <w:ind w:firstLine="480" w:firstLineChars="200"/>
        <w:jc w:val="left"/>
        <w:rPr>
          <w:bCs/>
          <w:sz w:val="24"/>
        </w:rPr>
      </w:pPr>
      <w:r>
        <w:rPr>
          <w:rFonts w:hint="eastAsia"/>
          <w:bCs/>
          <w:sz w:val="24"/>
        </w:rPr>
        <w:t>附件2：项目投资备案证</w:t>
      </w:r>
    </w:p>
    <w:p>
      <w:pPr>
        <w:adjustRightInd w:val="0"/>
        <w:spacing w:line="360" w:lineRule="auto"/>
        <w:ind w:firstLine="480" w:firstLineChars="200"/>
        <w:jc w:val="left"/>
        <w:rPr>
          <w:bCs/>
          <w:sz w:val="24"/>
        </w:rPr>
      </w:pPr>
      <w:r>
        <w:rPr>
          <w:rFonts w:hint="eastAsia"/>
          <w:bCs/>
          <w:sz w:val="24"/>
        </w:rPr>
        <w:t>附件3：云南省2</w:t>
      </w:r>
      <w:r>
        <w:rPr>
          <w:bCs/>
          <w:sz w:val="24"/>
        </w:rPr>
        <w:t>023</w:t>
      </w:r>
      <w:r>
        <w:rPr>
          <w:rFonts w:hint="eastAsia"/>
          <w:bCs/>
          <w:sz w:val="24"/>
        </w:rPr>
        <w:t>第一批新能源名单</w:t>
      </w:r>
    </w:p>
    <w:p>
      <w:pPr>
        <w:adjustRightInd w:val="0"/>
        <w:spacing w:line="360" w:lineRule="auto"/>
        <w:ind w:firstLine="480" w:firstLineChars="200"/>
        <w:jc w:val="left"/>
        <w:rPr>
          <w:bCs/>
          <w:sz w:val="24"/>
        </w:rPr>
      </w:pPr>
      <w:r>
        <w:rPr>
          <w:rFonts w:hint="eastAsia"/>
          <w:bCs/>
          <w:sz w:val="24"/>
        </w:rPr>
        <w:t>附件</w:t>
      </w:r>
      <w:r>
        <w:rPr>
          <w:bCs/>
          <w:sz w:val="24"/>
        </w:rPr>
        <w:t>4</w:t>
      </w:r>
      <w:r>
        <w:rPr>
          <w:rFonts w:hint="eastAsia"/>
          <w:bCs/>
          <w:sz w:val="24"/>
        </w:rPr>
        <w:t>：寻甸县自然资源局关于本项目用地查询的说明</w:t>
      </w:r>
    </w:p>
    <w:p>
      <w:pPr>
        <w:adjustRightInd w:val="0"/>
        <w:spacing w:line="360" w:lineRule="auto"/>
        <w:ind w:firstLine="480" w:firstLineChars="200"/>
        <w:jc w:val="left"/>
        <w:rPr>
          <w:bCs/>
          <w:sz w:val="24"/>
        </w:rPr>
      </w:pPr>
      <w:r>
        <w:rPr>
          <w:rFonts w:hint="eastAsia"/>
          <w:bCs/>
          <w:sz w:val="24"/>
        </w:rPr>
        <w:t>附件</w:t>
      </w:r>
      <w:r>
        <w:rPr>
          <w:bCs/>
          <w:sz w:val="24"/>
        </w:rPr>
        <w:t>5</w:t>
      </w:r>
      <w:r>
        <w:rPr>
          <w:rFonts w:hint="eastAsia"/>
          <w:bCs/>
          <w:sz w:val="24"/>
        </w:rPr>
        <w:t>：寻甸县林业和草原局关于本项目用地查询的说明</w:t>
      </w:r>
    </w:p>
    <w:p>
      <w:pPr>
        <w:adjustRightInd w:val="0"/>
        <w:spacing w:line="360" w:lineRule="auto"/>
        <w:ind w:firstLine="480" w:firstLineChars="200"/>
        <w:jc w:val="left"/>
        <w:rPr>
          <w:bCs/>
          <w:sz w:val="24"/>
        </w:rPr>
      </w:pPr>
      <w:r>
        <w:rPr>
          <w:rFonts w:hint="eastAsia"/>
          <w:bCs/>
          <w:sz w:val="24"/>
        </w:rPr>
        <w:t>附件</w:t>
      </w:r>
      <w:r>
        <w:rPr>
          <w:bCs/>
          <w:sz w:val="24"/>
        </w:rPr>
        <w:t>6</w:t>
      </w:r>
      <w:r>
        <w:rPr>
          <w:rFonts w:hint="eastAsia"/>
          <w:bCs/>
          <w:sz w:val="24"/>
        </w:rPr>
        <w:t>：寻甸县水务局关于本项目用地查询的说明</w:t>
      </w:r>
    </w:p>
    <w:p>
      <w:pPr>
        <w:adjustRightInd w:val="0"/>
        <w:spacing w:line="360" w:lineRule="auto"/>
        <w:ind w:firstLine="480" w:firstLineChars="200"/>
        <w:jc w:val="left"/>
        <w:rPr>
          <w:bCs/>
          <w:sz w:val="24"/>
        </w:rPr>
      </w:pPr>
      <w:r>
        <w:rPr>
          <w:rFonts w:hint="eastAsia"/>
          <w:bCs/>
          <w:sz w:val="24"/>
        </w:rPr>
        <w:t>附件</w:t>
      </w:r>
      <w:r>
        <w:rPr>
          <w:bCs/>
          <w:sz w:val="24"/>
        </w:rPr>
        <w:t>7</w:t>
      </w:r>
      <w:r>
        <w:rPr>
          <w:rFonts w:hint="eastAsia"/>
          <w:bCs/>
          <w:sz w:val="24"/>
        </w:rPr>
        <w:t>：项目现状监测报告</w:t>
      </w:r>
    </w:p>
    <w:p>
      <w:pPr>
        <w:adjustRightInd w:val="0"/>
        <w:spacing w:line="360" w:lineRule="auto"/>
        <w:ind w:firstLine="480" w:firstLineChars="200"/>
        <w:jc w:val="left"/>
        <w:rPr>
          <w:bCs/>
          <w:sz w:val="24"/>
        </w:rPr>
      </w:pPr>
      <w:r>
        <w:rPr>
          <w:rFonts w:hint="eastAsia"/>
          <w:bCs/>
          <w:sz w:val="24"/>
        </w:rPr>
        <w:t>附件</w:t>
      </w:r>
      <w:r>
        <w:rPr>
          <w:bCs/>
          <w:sz w:val="24"/>
        </w:rPr>
        <w:t>8</w:t>
      </w:r>
      <w:r>
        <w:rPr>
          <w:rFonts w:hint="eastAsia"/>
          <w:bCs/>
          <w:sz w:val="24"/>
        </w:rPr>
        <w:t>：内部审核单及进度表</w:t>
      </w:r>
    </w:p>
    <w:p>
      <w:pPr>
        <w:adjustRightInd w:val="0"/>
        <w:spacing w:line="360" w:lineRule="auto"/>
        <w:ind w:firstLine="480" w:firstLineChars="200"/>
        <w:jc w:val="left"/>
        <w:rPr>
          <w:rFonts w:hint="eastAsia"/>
          <w:bCs/>
          <w:sz w:val="24"/>
        </w:rPr>
      </w:pPr>
      <w:r>
        <w:rPr>
          <w:rFonts w:hint="eastAsia"/>
          <w:bCs/>
          <w:sz w:val="24"/>
        </w:rPr>
        <w:t>附件9：送审前公示</w:t>
      </w:r>
    </w:p>
    <w:p>
      <w:pPr>
        <w:adjustRightInd w:val="0"/>
        <w:spacing w:line="360" w:lineRule="auto"/>
        <w:ind w:firstLine="480" w:firstLineChars="200"/>
        <w:jc w:val="left"/>
        <w:rPr>
          <w:bCs/>
          <w:color w:val="FF0000"/>
          <w:sz w:val="24"/>
        </w:rPr>
      </w:pPr>
    </w:p>
    <w:p>
      <w:pPr>
        <w:adjustRightInd w:val="0"/>
        <w:spacing w:line="360" w:lineRule="auto"/>
        <w:ind w:firstLine="480" w:firstLineChars="200"/>
        <w:jc w:val="left"/>
        <w:rPr>
          <w:bCs/>
          <w:sz w:val="24"/>
        </w:rPr>
        <w:sectPr>
          <w:footerReference r:id="rId9" w:type="default"/>
          <w:pgSz w:w="11906" w:h="16838"/>
          <w:pgMar w:top="1531" w:right="1531" w:bottom="1531" w:left="1531" w:header="851" w:footer="1077" w:gutter="0"/>
          <w:pgNumType w:fmt="upperRoman" w:start="1"/>
          <w:cols w:space="720" w:num="1"/>
          <w:docGrid w:linePitch="332" w:charSpace="0"/>
        </w:sectPr>
      </w:pPr>
    </w:p>
    <w:p>
      <w:pPr>
        <w:pStyle w:val="38"/>
        <w:adjustRightInd w:val="0"/>
        <w:spacing w:before="0" w:beforeAutospacing="0" w:after="240" w:afterLines="100" w:afterAutospacing="0"/>
        <w:jc w:val="center"/>
        <w:outlineLvl w:val="0"/>
        <w:rPr>
          <w:rFonts w:ascii="黑体" w:hAnsi="黑体" w:eastAsia="黑体"/>
          <w:snapToGrid w:val="0"/>
          <w:sz w:val="30"/>
          <w:szCs w:val="30"/>
        </w:rPr>
      </w:pPr>
      <w:bookmarkStart w:id="5" w:name="_Toc140704260"/>
      <w:bookmarkStart w:id="6" w:name="_Toc129880757"/>
      <w:bookmarkStart w:id="7" w:name="_Toc129854113"/>
      <w:r>
        <w:rPr>
          <w:rFonts w:hint="eastAsia" w:ascii="黑体" w:hAnsi="黑体" w:eastAsia="黑体"/>
          <w:snapToGrid w:val="0"/>
          <w:sz w:val="30"/>
          <w:szCs w:val="30"/>
        </w:rPr>
        <w:t>一、建设项目基本情况</w:t>
      </w:r>
      <w:bookmarkEnd w:id="5"/>
      <w:bookmarkEnd w:id="6"/>
      <w:bookmarkEnd w:id="7"/>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52"/>
        <w:gridCol w:w="2415"/>
        <w:gridCol w:w="1988"/>
        <w:gridCol w:w="2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建设项目名称</w:t>
            </w:r>
          </w:p>
        </w:tc>
        <w:tc>
          <w:tcPr>
            <w:tcW w:w="7241" w:type="dxa"/>
            <w:gridSpan w:val="3"/>
            <w:tcMar>
              <w:left w:w="108" w:type="dxa"/>
              <w:right w:w="108" w:type="dxa"/>
            </w:tcMar>
            <w:vAlign w:val="center"/>
          </w:tcPr>
          <w:p>
            <w:pPr>
              <w:adjustRightInd w:val="0"/>
              <w:jc w:val="center"/>
              <w:rPr>
                <w:szCs w:val="21"/>
              </w:rPr>
            </w:pPr>
            <w:bookmarkStart w:id="8" w:name="_Hlk118040481"/>
            <w:r>
              <w:rPr>
                <w:rFonts w:hint="eastAsia"/>
                <w:szCs w:val="21"/>
              </w:rPr>
              <w:t>鲁纳</w:t>
            </w:r>
            <w:r>
              <w:rPr>
                <w:szCs w:val="21"/>
              </w:rPr>
              <w:t>光伏</w:t>
            </w:r>
            <w:r>
              <w:rPr>
                <w:rFonts w:hint="eastAsia"/>
                <w:szCs w:val="21"/>
              </w:rPr>
              <w:t>发电</w:t>
            </w:r>
            <w:r>
              <w:rPr>
                <w:szCs w:val="21"/>
              </w:rPr>
              <w:t>项目</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项目代码</w:t>
            </w:r>
          </w:p>
        </w:tc>
        <w:tc>
          <w:tcPr>
            <w:tcW w:w="7241" w:type="dxa"/>
            <w:gridSpan w:val="3"/>
            <w:tcMar>
              <w:left w:w="108" w:type="dxa"/>
              <w:right w:w="108" w:type="dxa"/>
            </w:tcMar>
            <w:vAlign w:val="center"/>
          </w:tcPr>
          <w:p>
            <w:pPr>
              <w:adjustRightInd w:val="0"/>
              <w:jc w:val="center"/>
              <w:rPr>
                <w:szCs w:val="21"/>
              </w:rPr>
            </w:pPr>
            <w:r>
              <w:rPr>
                <w:szCs w:val="21"/>
              </w:rPr>
              <w:t>2307-530129-04-05-289404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建设单位联系人</w:t>
            </w:r>
          </w:p>
        </w:tc>
        <w:tc>
          <w:tcPr>
            <w:tcW w:w="2415" w:type="dxa"/>
            <w:tcMar>
              <w:left w:w="108" w:type="dxa"/>
              <w:right w:w="108" w:type="dxa"/>
            </w:tcMar>
            <w:vAlign w:val="center"/>
          </w:tcPr>
          <w:p>
            <w:pPr>
              <w:adjustRightInd w:val="0"/>
              <w:jc w:val="center"/>
              <w:rPr>
                <w:szCs w:val="21"/>
              </w:rPr>
            </w:pPr>
          </w:p>
        </w:tc>
        <w:tc>
          <w:tcPr>
            <w:tcW w:w="1988" w:type="dxa"/>
            <w:tcMar>
              <w:left w:w="108" w:type="dxa"/>
              <w:right w:w="108" w:type="dxa"/>
            </w:tcMar>
            <w:vAlign w:val="center"/>
          </w:tcPr>
          <w:p>
            <w:pPr>
              <w:adjustRightInd w:val="0"/>
              <w:jc w:val="center"/>
              <w:rPr>
                <w:szCs w:val="21"/>
              </w:rPr>
            </w:pPr>
            <w:r>
              <w:rPr>
                <w:szCs w:val="21"/>
              </w:rPr>
              <w:t>联系方式</w:t>
            </w:r>
          </w:p>
        </w:tc>
        <w:tc>
          <w:tcPr>
            <w:tcW w:w="2838" w:type="dxa"/>
            <w:tcMar>
              <w:left w:w="108" w:type="dxa"/>
              <w:right w:w="108" w:type="dxa"/>
            </w:tcMar>
            <w:vAlign w:val="center"/>
          </w:tcPr>
          <w:p>
            <w:pPr>
              <w:adjustRightIn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建设地点</w:t>
            </w:r>
          </w:p>
        </w:tc>
        <w:tc>
          <w:tcPr>
            <w:tcW w:w="7241" w:type="dxa"/>
            <w:gridSpan w:val="3"/>
            <w:tcMar>
              <w:left w:w="108" w:type="dxa"/>
              <w:right w:w="108" w:type="dxa"/>
            </w:tcMar>
            <w:vAlign w:val="center"/>
          </w:tcPr>
          <w:p>
            <w:pPr>
              <w:adjustRightInd w:val="0"/>
              <w:jc w:val="center"/>
              <w:rPr>
                <w:szCs w:val="21"/>
              </w:rPr>
            </w:pPr>
            <w:r>
              <w:rPr>
                <w:szCs w:val="21"/>
              </w:rPr>
              <w:t>云南省</w:t>
            </w:r>
            <w:r>
              <w:rPr>
                <w:rFonts w:hint="eastAsia"/>
                <w:szCs w:val="21"/>
              </w:rPr>
              <w:t>昆明市寻甸</w:t>
            </w:r>
            <w:r>
              <w:rPr>
                <w:szCs w:val="21"/>
              </w:rPr>
              <w:t>县</w:t>
            </w:r>
            <w:r>
              <w:rPr>
                <w:rFonts w:hint="eastAsia"/>
                <w:szCs w:val="21"/>
              </w:rPr>
              <w:t>金所街道摆宰社区蔡家村北侧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地理坐标</w:t>
            </w:r>
          </w:p>
        </w:tc>
        <w:tc>
          <w:tcPr>
            <w:tcW w:w="7241" w:type="dxa"/>
            <w:gridSpan w:val="3"/>
            <w:tcMar>
              <w:left w:w="108" w:type="dxa"/>
              <w:right w:w="108" w:type="dxa"/>
            </w:tcMar>
            <w:vAlign w:val="center"/>
          </w:tcPr>
          <w:p>
            <w:pPr>
              <w:adjustRightInd w:val="0"/>
              <w:jc w:val="center"/>
              <w:rPr>
                <w:szCs w:val="21"/>
              </w:rPr>
            </w:pPr>
            <w:r>
              <w:rPr>
                <w:rFonts w:hint="eastAsia"/>
                <w:szCs w:val="21"/>
              </w:rPr>
              <w:t>场址</w:t>
            </w:r>
            <w:r>
              <w:rPr>
                <w:szCs w:val="21"/>
              </w:rPr>
              <w:t>中心：（103度10分33.594秒，25度41分2.542秒）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建设项目</w:t>
            </w:r>
          </w:p>
          <w:p>
            <w:pPr>
              <w:adjustRightInd w:val="0"/>
              <w:jc w:val="center"/>
              <w:rPr>
                <w:szCs w:val="21"/>
              </w:rPr>
            </w:pPr>
            <w:r>
              <w:rPr>
                <w:szCs w:val="21"/>
              </w:rPr>
              <w:t>行业类别</w:t>
            </w:r>
          </w:p>
        </w:tc>
        <w:tc>
          <w:tcPr>
            <w:tcW w:w="2415" w:type="dxa"/>
            <w:tcMar>
              <w:left w:w="108" w:type="dxa"/>
              <w:right w:w="108" w:type="dxa"/>
            </w:tcMar>
            <w:vAlign w:val="center"/>
          </w:tcPr>
          <w:p>
            <w:pPr>
              <w:adjustRightInd w:val="0"/>
              <w:jc w:val="center"/>
              <w:rPr>
                <w:szCs w:val="21"/>
              </w:rPr>
            </w:pPr>
            <w:r>
              <w:rPr>
                <w:szCs w:val="21"/>
              </w:rPr>
              <w:t>四十一、电力、热力生产和供应业—90、太阳能发电4416</w:t>
            </w:r>
          </w:p>
        </w:tc>
        <w:tc>
          <w:tcPr>
            <w:tcW w:w="1988" w:type="dxa"/>
            <w:tcMar>
              <w:left w:w="108" w:type="dxa"/>
              <w:right w:w="108" w:type="dxa"/>
            </w:tcMar>
            <w:vAlign w:val="center"/>
          </w:tcPr>
          <w:p>
            <w:pPr>
              <w:adjustRightInd w:val="0"/>
              <w:jc w:val="center"/>
              <w:rPr>
                <w:szCs w:val="21"/>
              </w:rPr>
            </w:pPr>
            <w:r>
              <w:rPr>
                <w:szCs w:val="21"/>
              </w:rPr>
              <w:t>用地（用海）面积（m</w:t>
            </w:r>
            <w:r>
              <w:rPr>
                <w:szCs w:val="21"/>
                <w:vertAlign w:val="superscript"/>
              </w:rPr>
              <w:t>2</w:t>
            </w:r>
            <w:r>
              <w:rPr>
                <w:szCs w:val="21"/>
              </w:rPr>
              <w:t>）/长度（km）</w:t>
            </w:r>
          </w:p>
        </w:tc>
        <w:tc>
          <w:tcPr>
            <w:tcW w:w="2838" w:type="dxa"/>
            <w:tcMar>
              <w:left w:w="108" w:type="dxa"/>
              <w:right w:w="108" w:type="dxa"/>
            </w:tcMar>
            <w:vAlign w:val="center"/>
          </w:tcPr>
          <w:p>
            <w:pPr>
              <w:adjustRightInd w:val="0"/>
              <w:jc w:val="center"/>
              <w:rPr>
                <w:szCs w:val="21"/>
              </w:rPr>
            </w:pPr>
            <w:r>
              <w:rPr>
                <w:szCs w:val="21"/>
              </w:rPr>
              <w:t>391000m</w:t>
            </w:r>
            <w:r>
              <w:rPr>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建设性质</w:t>
            </w:r>
          </w:p>
        </w:tc>
        <w:tc>
          <w:tcPr>
            <w:tcW w:w="2415" w:type="dxa"/>
            <w:tcMar>
              <w:left w:w="108" w:type="dxa"/>
              <w:right w:w="108" w:type="dxa"/>
            </w:tcMar>
            <w:vAlign w:val="center"/>
          </w:tcPr>
          <w:p>
            <w:pPr>
              <w:adjustRightInd w:val="0"/>
              <w:rPr>
                <w:rFonts w:ascii="宋体" w:hAnsi="宋体"/>
                <w:szCs w:val="21"/>
              </w:rPr>
            </w:pPr>
            <w:r>
              <w:rPr>
                <w:rFonts w:ascii="宋体" w:hAnsi="宋体"/>
                <w:szCs w:val="21"/>
              </w:rPr>
              <w:t>■新建</w:t>
            </w:r>
          </w:p>
          <w:p>
            <w:pPr>
              <w:adjustRightInd w:val="0"/>
              <w:rPr>
                <w:rFonts w:ascii="宋体" w:hAnsi="宋体"/>
                <w:szCs w:val="21"/>
              </w:rPr>
            </w:pPr>
            <w:r>
              <w:rPr>
                <w:rFonts w:ascii="宋体" w:hAnsi="宋体"/>
                <w:szCs w:val="21"/>
              </w:rPr>
              <w:t>□改建</w:t>
            </w:r>
          </w:p>
          <w:p>
            <w:pPr>
              <w:adjustRightInd w:val="0"/>
              <w:rPr>
                <w:rFonts w:ascii="宋体" w:hAnsi="宋体"/>
                <w:szCs w:val="21"/>
              </w:rPr>
            </w:pPr>
            <w:r>
              <w:rPr>
                <w:rFonts w:ascii="宋体" w:hAnsi="宋体"/>
                <w:szCs w:val="21"/>
              </w:rPr>
              <w:t>□扩建</w:t>
            </w:r>
          </w:p>
          <w:p>
            <w:pPr>
              <w:adjustRightInd w:val="0"/>
              <w:rPr>
                <w:rFonts w:ascii="宋体" w:hAnsi="宋体"/>
                <w:szCs w:val="21"/>
              </w:rPr>
            </w:pPr>
            <w:r>
              <w:rPr>
                <w:rFonts w:ascii="宋体" w:hAnsi="宋体"/>
                <w:szCs w:val="21"/>
              </w:rPr>
              <w:t>□技术改造</w:t>
            </w:r>
          </w:p>
        </w:tc>
        <w:tc>
          <w:tcPr>
            <w:tcW w:w="1988" w:type="dxa"/>
            <w:tcMar>
              <w:left w:w="108" w:type="dxa"/>
              <w:right w:w="108" w:type="dxa"/>
            </w:tcMar>
            <w:vAlign w:val="center"/>
          </w:tcPr>
          <w:p>
            <w:pPr>
              <w:adjustRightInd w:val="0"/>
              <w:jc w:val="center"/>
              <w:rPr>
                <w:rFonts w:ascii="宋体" w:hAnsi="宋体"/>
                <w:szCs w:val="21"/>
              </w:rPr>
            </w:pPr>
            <w:r>
              <w:rPr>
                <w:rFonts w:ascii="宋体" w:hAnsi="宋体"/>
                <w:szCs w:val="21"/>
              </w:rPr>
              <w:t>建设项目</w:t>
            </w:r>
          </w:p>
          <w:p>
            <w:pPr>
              <w:adjustRightInd w:val="0"/>
              <w:jc w:val="center"/>
              <w:rPr>
                <w:rFonts w:ascii="宋体" w:hAnsi="宋体"/>
                <w:szCs w:val="21"/>
              </w:rPr>
            </w:pPr>
            <w:r>
              <w:rPr>
                <w:rFonts w:ascii="宋体" w:hAnsi="宋体"/>
                <w:szCs w:val="21"/>
              </w:rPr>
              <w:t>申报情形</w:t>
            </w:r>
          </w:p>
        </w:tc>
        <w:tc>
          <w:tcPr>
            <w:tcW w:w="2838" w:type="dxa"/>
            <w:tcMar>
              <w:left w:w="108" w:type="dxa"/>
              <w:right w:w="108" w:type="dxa"/>
            </w:tcMar>
            <w:vAlign w:val="center"/>
          </w:tcPr>
          <w:p>
            <w:pPr>
              <w:adjustRightInd w:val="0"/>
              <w:rPr>
                <w:rFonts w:ascii="宋体" w:hAnsi="宋体"/>
                <w:szCs w:val="21"/>
              </w:rPr>
            </w:pPr>
            <w:r>
              <w:rPr>
                <w:rFonts w:ascii="宋体" w:hAnsi="宋体"/>
                <w:szCs w:val="21"/>
              </w:rPr>
              <w:t>■首次申报项目</w:t>
            </w:r>
          </w:p>
          <w:p>
            <w:pPr>
              <w:adjustRightInd w:val="0"/>
              <w:rPr>
                <w:rFonts w:ascii="宋体" w:hAnsi="宋体"/>
                <w:szCs w:val="21"/>
              </w:rPr>
            </w:pPr>
            <w:r>
              <w:rPr>
                <w:rFonts w:ascii="宋体" w:hAnsi="宋体"/>
                <w:szCs w:val="21"/>
              </w:rPr>
              <w:t>□不予批准后再次申报项目</w:t>
            </w:r>
          </w:p>
          <w:p>
            <w:pPr>
              <w:adjustRightInd w:val="0"/>
              <w:rPr>
                <w:rFonts w:ascii="宋体" w:hAnsi="宋体"/>
                <w:szCs w:val="21"/>
              </w:rPr>
            </w:pPr>
            <w:r>
              <w:rPr>
                <w:rFonts w:ascii="宋体" w:hAnsi="宋体"/>
                <w:szCs w:val="21"/>
              </w:rPr>
              <w:t>□超五年重新审核项目</w:t>
            </w:r>
          </w:p>
          <w:p>
            <w:pPr>
              <w:adjustRightInd w:val="0"/>
              <w:rPr>
                <w:rFonts w:ascii="宋体" w:hAnsi="宋体"/>
                <w:szCs w:val="21"/>
              </w:rPr>
            </w:pPr>
            <w:r>
              <w:rPr>
                <w:rFonts w:ascii="宋体" w:hAnsi="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项目审批（核准/</w:t>
            </w:r>
          </w:p>
          <w:p>
            <w:pPr>
              <w:adjustRightInd w:val="0"/>
              <w:jc w:val="center"/>
              <w:rPr>
                <w:szCs w:val="21"/>
              </w:rPr>
            </w:pPr>
            <w:r>
              <w:rPr>
                <w:szCs w:val="21"/>
              </w:rPr>
              <w:t>备案）部门（选填）</w:t>
            </w:r>
          </w:p>
        </w:tc>
        <w:tc>
          <w:tcPr>
            <w:tcW w:w="2415" w:type="dxa"/>
            <w:tcMar>
              <w:left w:w="108" w:type="dxa"/>
              <w:right w:w="108" w:type="dxa"/>
            </w:tcMar>
            <w:vAlign w:val="center"/>
          </w:tcPr>
          <w:p>
            <w:pPr>
              <w:adjustRightInd w:val="0"/>
              <w:jc w:val="center"/>
              <w:rPr>
                <w:szCs w:val="21"/>
              </w:rPr>
            </w:pPr>
            <w:r>
              <w:rPr>
                <w:rFonts w:hint="eastAsia"/>
                <w:szCs w:val="21"/>
              </w:rPr>
              <w:t>寻甸</w:t>
            </w:r>
            <w:r>
              <w:rPr>
                <w:szCs w:val="21"/>
              </w:rPr>
              <w:t>县发展和改革局</w:t>
            </w:r>
          </w:p>
        </w:tc>
        <w:tc>
          <w:tcPr>
            <w:tcW w:w="1988" w:type="dxa"/>
            <w:tcMar>
              <w:left w:w="108" w:type="dxa"/>
              <w:right w:w="108" w:type="dxa"/>
            </w:tcMar>
            <w:vAlign w:val="center"/>
          </w:tcPr>
          <w:p>
            <w:pPr>
              <w:adjustRightInd w:val="0"/>
              <w:jc w:val="center"/>
              <w:rPr>
                <w:szCs w:val="21"/>
              </w:rPr>
            </w:pPr>
            <w:r>
              <w:rPr>
                <w:szCs w:val="21"/>
              </w:rPr>
              <w:t>项目审批（核准/</w:t>
            </w:r>
          </w:p>
          <w:p>
            <w:pPr>
              <w:adjustRightInd w:val="0"/>
              <w:jc w:val="center"/>
              <w:rPr>
                <w:szCs w:val="21"/>
              </w:rPr>
            </w:pPr>
            <w:r>
              <w:rPr>
                <w:szCs w:val="21"/>
              </w:rPr>
              <w:t>备案）文号（选填）</w:t>
            </w:r>
          </w:p>
        </w:tc>
        <w:tc>
          <w:tcPr>
            <w:tcW w:w="2838" w:type="dxa"/>
            <w:tcMar>
              <w:left w:w="108" w:type="dxa"/>
              <w:right w:w="108" w:type="dxa"/>
            </w:tcMar>
            <w:vAlign w:val="center"/>
          </w:tcPr>
          <w:p>
            <w:pPr>
              <w:adjustRightIn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总投资（万元）</w:t>
            </w:r>
          </w:p>
        </w:tc>
        <w:tc>
          <w:tcPr>
            <w:tcW w:w="2415" w:type="dxa"/>
            <w:tcMar>
              <w:left w:w="108" w:type="dxa"/>
              <w:right w:w="108" w:type="dxa"/>
            </w:tcMar>
            <w:vAlign w:val="center"/>
          </w:tcPr>
          <w:p>
            <w:pPr>
              <w:adjustRightInd w:val="0"/>
              <w:jc w:val="center"/>
              <w:rPr>
                <w:szCs w:val="21"/>
              </w:rPr>
            </w:pPr>
            <w:r>
              <w:rPr>
                <w:szCs w:val="21"/>
              </w:rPr>
              <w:t>10428</w:t>
            </w:r>
          </w:p>
        </w:tc>
        <w:tc>
          <w:tcPr>
            <w:tcW w:w="1988" w:type="dxa"/>
            <w:tcMar>
              <w:top w:w="16" w:type="dxa"/>
              <w:left w:w="108" w:type="dxa"/>
              <w:right w:w="108" w:type="dxa"/>
            </w:tcMar>
            <w:vAlign w:val="center"/>
          </w:tcPr>
          <w:p>
            <w:pPr>
              <w:adjustRightInd w:val="0"/>
              <w:jc w:val="center"/>
              <w:rPr>
                <w:szCs w:val="21"/>
              </w:rPr>
            </w:pPr>
            <w:r>
              <w:rPr>
                <w:szCs w:val="21"/>
              </w:rPr>
              <w:t>环保投资（万元）</w:t>
            </w:r>
          </w:p>
        </w:tc>
        <w:tc>
          <w:tcPr>
            <w:tcW w:w="2838" w:type="dxa"/>
            <w:tcMar>
              <w:left w:w="108" w:type="dxa"/>
              <w:right w:w="108" w:type="dxa"/>
            </w:tcMar>
            <w:vAlign w:val="center"/>
          </w:tcPr>
          <w:p>
            <w:pPr>
              <w:adjustRightInd w:val="0"/>
              <w:jc w:val="center"/>
              <w:rPr>
                <w:szCs w:val="21"/>
              </w:rPr>
            </w:pPr>
            <w:r>
              <w:rPr>
                <w:szCs w:val="21"/>
              </w:rPr>
              <w:t>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环保投资占比（%）</w:t>
            </w:r>
          </w:p>
        </w:tc>
        <w:tc>
          <w:tcPr>
            <w:tcW w:w="2415" w:type="dxa"/>
            <w:tcMar>
              <w:left w:w="108" w:type="dxa"/>
              <w:right w:w="108" w:type="dxa"/>
            </w:tcMar>
            <w:vAlign w:val="center"/>
          </w:tcPr>
          <w:p>
            <w:pPr>
              <w:adjustRightInd w:val="0"/>
              <w:jc w:val="center"/>
              <w:rPr>
                <w:szCs w:val="21"/>
              </w:rPr>
            </w:pPr>
            <w:r>
              <w:rPr>
                <w:szCs w:val="21"/>
              </w:rPr>
              <w:t>0.68</w:t>
            </w:r>
          </w:p>
        </w:tc>
        <w:tc>
          <w:tcPr>
            <w:tcW w:w="1988" w:type="dxa"/>
            <w:tcMar>
              <w:top w:w="16" w:type="dxa"/>
              <w:left w:w="108" w:type="dxa"/>
              <w:right w:w="108" w:type="dxa"/>
            </w:tcMar>
            <w:vAlign w:val="center"/>
          </w:tcPr>
          <w:p>
            <w:pPr>
              <w:adjustRightInd w:val="0"/>
              <w:jc w:val="center"/>
              <w:rPr>
                <w:szCs w:val="21"/>
              </w:rPr>
            </w:pPr>
            <w:r>
              <w:rPr>
                <w:szCs w:val="21"/>
              </w:rPr>
              <w:t>施工工期</w:t>
            </w:r>
          </w:p>
        </w:tc>
        <w:tc>
          <w:tcPr>
            <w:tcW w:w="2838" w:type="dxa"/>
            <w:tcMar>
              <w:left w:w="108" w:type="dxa"/>
              <w:right w:w="108" w:type="dxa"/>
            </w:tcMar>
            <w:vAlign w:val="center"/>
          </w:tcPr>
          <w:p>
            <w:pPr>
              <w:adjustRightInd w:val="0"/>
              <w:jc w:val="center"/>
              <w:rPr>
                <w:szCs w:val="21"/>
              </w:rPr>
            </w:pPr>
            <w:r>
              <w:rPr>
                <w:szCs w:val="21"/>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31" w:type="dxa"/>
            <w:gridSpan w:val="2"/>
            <w:tcMar>
              <w:top w:w="16" w:type="dxa"/>
              <w:left w:w="108" w:type="dxa"/>
              <w:right w:w="108" w:type="dxa"/>
            </w:tcMar>
            <w:vAlign w:val="center"/>
          </w:tcPr>
          <w:p>
            <w:pPr>
              <w:adjustRightInd w:val="0"/>
              <w:jc w:val="center"/>
              <w:rPr>
                <w:szCs w:val="21"/>
              </w:rPr>
            </w:pPr>
            <w:r>
              <w:rPr>
                <w:szCs w:val="21"/>
              </w:rPr>
              <w:t>是否开工建设</w:t>
            </w:r>
          </w:p>
        </w:tc>
        <w:tc>
          <w:tcPr>
            <w:tcW w:w="7241" w:type="dxa"/>
            <w:gridSpan w:val="3"/>
            <w:tcMar>
              <w:left w:w="108" w:type="dxa"/>
              <w:right w:w="108" w:type="dxa"/>
            </w:tcMar>
            <w:vAlign w:val="center"/>
          </w:tcPr>
          <w:p>
            <w:pPr>
              <w:adjustRightInd w:val="0"/>
              <w:rPr>
                <w:rFonts w:ascii="宋体" w:hAnsi="宋体"/>
                <w:szCs w:val="21"/>
              </w:rPr>
            </w:pPr>
            <w:r>
              <w:rPr>
                <w:rFonts w:ascii="宋体" w:hAnsi="宋体"/>
                <w:szCs w:val="21"/>
              </w:rPr>
              <w:t>■否</w:t>
            </w:r>
          </w:p>
          <w:p>
            <w:pPr>
              <w:adjustRightInd w:val="0"/>
              <w:rPr>
                <w:szCs w:val="21"/>
              </w:rPr>
            </w:pPr>
            <w:r>
              <w:rPr>
                <w:rFonts w:ascii="宋体" w:hAnsi="宋体"/>
                <w:szCs w:val="21"/>
              </w:rPr>
              <w:t>□是</w:t>
            </w:r>
            <w:r>
              <w:rPr>
                <w:szCs w:val="21"/>
              </w:rPr>
              <w:t>：</w:t>
            </w:r>
            <w:r>
              <w:rPr>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31" w:type="dxa"/>
            <w:gridSpan w:val="2"/>
            <w:tcMar>
              <w:top w:w="16" w:type="dxa"/>
              <w:left w:w="108" w:type="dxa"/>
              <w:right w:w="108" w:type="dxa"/>
            </w:tcMar>
            <w:vAlign w:val="center"/>
          </w:tcPr>
          <w:p>
            <w:pPr>
              <w:autoSpaceDE w:val="0"/>
              <w:autoSpaceDN w:val="0"/>
              <w:adjustRightInd w:val="0"/>
              <w:jc w:val="center"/>
              <w:rPr>
                <w:kern w:val="0"/>
                <w:szCs w:val="21"/>
              </w:rPr>
            </w:pPr>
            <w:r>
              <w:rPr>
                <w:kern w:val="0"/>
                <w:szCs w:val="21"/>
              </w:rPr>
              <w:t>专项评价设置情况</w:t>
            </w:r>
          </w:p>
        </w:tc>
        <w:tc>
          <w:tcPr>
            <w:tcW w:w="7241" w:type="dxa"/>
            <w:gridSpan w:val="3"/>
            <w:tcMar>
              <w:top w:w="16" w:type="dxa"/>
              <w:left w:w="108" w:type="dxa"/>
              <w:right w:w="108" w:type="dxa"/>
            </w:tcMar>
            <w:vAlign w:val="center"/>
          </w:tcPr>
          <w:p>
            <w:pPr>
              <w:autoSpaceDE w:val="0"/>
              <w:autoSpaceDN w:val="0"/>
              <w:adjustRightInd w:val="0"/>
              <w:rPr>
                <w:kern w:val="0"/>
                <w:szCs w:val="21"/>
              </w:rPr>
            </w:pPr>
            <w:r>
              <w:rPr>
                <w:rFonts w:hint="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31" w:type="dxa"/>
            <w:gridSpan w:val="2"/>
            <w:tcMar>
              <w:top w:w="16" w:type="dxa"/>
              <w:left w:w="108" w:type="dxa"/>
              <w:right w:w="108" w:type="dxa"/>
            </w:tcMar>
            <w:vAlign w:val="center"/>
          </w:tcPr>
          <w:p>
            <w:pPr>
              <w:autoSpaceDE w:val="0"/>
              <w:autoSpaceDN w:val="0"/>
              <w:adjustRightInd w:val="0"/>
              <w:jc w:val="center"/>
              <w:rPr>
                <w:kern w:val="0"/>
                <w:szCs w:val="21"/>
              </w:rPr>
            </w:pPr>
            <w:r>
              <w:rPr>
                <w:szCs w:val="21"/>
              </w:rPr>
              <w:t>规划情况</w:t>
            </w:r>
          </w:p>
        </w:tc>
        <w:tc>
          <w:tcPr>
            <w:tcW w:w="7241" w:type="dxa"/>
            <w:gridSpan w:val="3"/>
            <w:tcMar>
              <w:top w:w="16" w:type="dxa"/>
              <w:left w:w="108" w:type="dxa"/>
              <w:right w:w="108" w:type="dxa"/>
            </w:tcMar>
            <w:vAlign w:val="center"/>
          </w:tcPr>
          <w:p>
            <w:pPr>
              <w:autoSpaceDE w:val="0"/>
              <w:autoSpaceDN w:val="0"/>
              <w:adjustRightInd w:val="0"/>
              <w:rPr>
                <w:kern w:val="0"/>
                <w:szCs w:val="21"/>
              </w:rPr>
            </w:pPr>
            <w:r>
              <w:rPr>
                <w:rFonts w:hint="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31" w:type="dxa"/>
            <w:gridSpan w:val="2"/>
            <w:tcMar>
              <w:top w:w="16" w:type="dxa"/>
              <w:left w:w="108" w:type="dxa"/>
              <w:right w:w="108" w:type="dxa"/>
            </w:tcMar>
            <w:vAlign w:val="center"/>
          </w:tcPr>
          <w:p>
            <w:pPr>
              <w:autoSpaceDE w:val="0"/>
              <w:autoSpaceDN w:val="0"/>
              <w:adjustRightInd w:val="0"/>
              <w:jc w:val="center"/>
              <w:rPr>
                <w:szCs w:val="21"/>
              </w:rPr>
            </w:pPr>
            <w:r>
              <w:rPr>
                <w:szCs w:val="21"/>
              </w:rPr>
              <w:t>规划环境影响</w:t>
            </w:r>
          </w:p>
          <w:p>
            <w:pPr>
              <w:autoSpaceDE w:val="0"/>
              <w:autoSpaceDN w:val="0"/>
              <w:adjustRightInd w:val="0"/>
              <w:jc w:val="center"/>
              <w:rPr>
                <w:kern w:val="0"/>
                <w:szCs w:val="21"/>
              </w:rPr>
            </w:pPr>
            <w:r>
              <w:rPr>
                <w:szCs w:val="21"/>
              </w:rPr>
              <w:t>评价情况</w:t>
            </w:r>
          </w:p>
        </w:tc>
        <w:tc>
          <w:tcPr>
            <w:tcW w:w="7241" w:type="dxa"/>
            <w:gridSpan w:val="3"/>
            <w:tcMar>
              <w:top w:w="16" w:type="dxa"/>
              <w:left w:w="108" w:type="dxa"/>
              <w:right w:w="108" w:type="dxa"/>
            </w:tcMar>
            <w:vAlign w:val="center"/>
          </w:tcPr>
          <w:p>
            <w:pPr>
              <w:adjustRightInd w:val="0"/>
              <w:jc w:val="left"/>
              <w:rPr>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31" w:type="dxa"/>
            <w:gridSpan w:val="2"/>
            <w:tcMar>
              <w:top w:w="16" w:type="dxa"/>
              <w:left w:w="108" w:type="dxa"/>
              <w:right w:w="108" w:type="dxa"/>
            </w:tcMar>
            <w:vAlign w:val="center"/>
          </w:tcPr>
          <w:p>
            <w:pPr>
              <w:autoSpaceDE w:val="0"/>
              <w:autoSpaceDN w:val="0"/>
              <w:adjustRightInd w:val="0"/>
              <w:jc w:val="center"/>
              <w:rPr>
                <w:kern w:val="0"/>
                <w:szCs w:val="21"/>
              </w:rPr>
            </w:pPr>
            <w:r>
              <w:rPr>
                <w:kern w:val="0"/>
                <w:szCs w:val="21"/>
              </w:rPr>
              <w:t>规划及</w:t>
            </w:r>
            <w:r>
              <w:rPr>
                <w:szCs w:val="21"/>
              </w:rPr>
              <w:t>规划环境影响评价</w:t>
            </w:r>
            <w:r>
              <w:rPr>
                <w:kern w:val="0"/>
                <w:szCs w:val="21"/>
              </w:rPr>
              <w:t>符合性分析</w:t>
            </w:r>
          </w:p>
        </w:tc>
        <w:tc>
          <w:tcPr>
            <w:tcW w:w="7241" w:type="dxa"/>
            <w:gridSpan w:val="3"/>
            <w:tcMar>
              <w:top w:w="16" w:type="dxa"/>
              <w:left w:w="108" w:type="dxa"/>
              <w:right w:w="108" w:type="dxa"/>
            </w:tcMar>
            <w:vAlign w:val="center"/>
          </w:tcPr>
          <w:p>
            <w:pPr>
              <w:adjustRightInd w:val="0"/>
              <w:spacing w:line="360" w:lineRule="auto"/>
              <w:rPr>
                <w:sz w:val="24"/>
              </w:rPr>
            </w:pPr>
            <w:r>
              <w:rPr>
                <w:rFonts w:hint="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79" w:type="dxa"/>
            <w:tcMar>
              <w:top w:w="16" w:type="dxa"/>
              <w:left w:w="108" w:type="dxa"/>
              <w:right w:w="108" w:type="dxa"/>
            </w:tcMar>
            <w:vAlign w:val="center"/>
          </w:tcPr>
          <w:p>
            <w:pPr>
              <w:autoSpaceDE w:val="0"/>
              <w:autoSpaceDN w:val="0"/>
              <w:adjustRightInd w:val="0"/>
              <w:jc w:val="center"/>
              <w:rPr>
                <w:kern w:val="0"/>
                <w:szCs w:val="21"/>
              </w:rPr>
            </w:pPr>
            <w:bookmarkStart w:id="9" w:name="_Hlk56690880"/>
            <w:r>
              <w:rPr>
                <w:kern w:val="0"/>
                <w:szCs w:val="21"/>
              </w:rPr>
              <w:t>其他符合性分析</w:t>
            </w:r>
            <w:bookmarkEnd w:id="9"/>
          </w:p>
        </w:tc>
        <w:tc>
          <w:tcPr>
            <w:tcW w:w="8393" w:type="dxa"/>
            <w:gridSpan w:val="4"/>
            <w:tcMar>
              <w:top w:w="16" w:type="dxa"/>
              <w:left w:w="108" w:type="dxa"/>
              <w:right w:w="108" w:type="dxa"/>
            </w:tcMar>
            <w:vAlign w:val="center"/>
          </w:tcPr>
          <w:p>
            <w:pPr>
              <w:pStyle w:val="15"/>
              <w:adjustRightInd w:val="0"/>
              <w:spacing w:line="360" w:lineRule="auto"/>
              <w:ind w:firstLine="0" w:firstLineChars="0"/>
              <w:rPr>
                <w:rFonts w:ascii="Times New Roman" w:hAnsi="Times New Roman"/>
                <w:b/>
                <w:snapToGrid w:val="0"/>
                <w:kern w:val="0"/>
              </w:rPr>
            </w:pPr>
            <w:r>
              <w:rPr>
                <w:rFonts w:ascii="Times New Roman" w:hAnsi="Times New Roman"/>
                <w:b/>
                <w:snapToGrid w:val="0"/>
                <w:kern w:val="0"/>
              </w:rPr>
              <w:t>1、与</w:t>
            </w:r>
            <w:r>
              <w:rPr>
                <w:rFonts w:hint="eastAsia" w:ascii="Times New Roman" w:hAnsi="Times New Roman"/>
                <w:b/>
                <w:snapToGrid w:val="0"/>
                <w:kern w:val="0"/>
              </w:rPr>
              <w:t>“</w:t>
            </w:r>
            <w:r>
              <w:rPr>
                <w:rFonts w:ascii="Times New Roman" w:hAnsi="Times New Roman"/>
                <w:b/>
                <w:snapToGrid w:val="0"/>
                <w:kern w:val="0"/>
              </w:rPr>
              <w:t>三线一单</w:t>
            </w:r>
            <w:r>
              <w:rPr>
                <w:rFonts w:hint="eastAsia" w:ascii="Times New Roman" w:hAnsi="Times New Roman"/>
                <w:b/>
                <w:snapToGrid w:val="0"/>
                <w:kern w:val="0"/>
              </w:rPr>
              <w:t>”</w:t>
            </w:r>
            <w:r>
              <w:rPr>
                <w:rFonts w:ascii="Times New Roman" w:hAnsi="Times New Roman"/>
                <w:b/>
                <w:snapToGrid w:val="0"/>
                <w:kern w:val="0"/>
              </w:rPr>
              <w:t>的符合性分析</w:t>
            </w:r>
          </w:p>
          <w:p>
            <w:pPr>
              <w:adjustRightInd w:val="0"/>
              <w:spacing w:line="360" w:lineRule="auto"/>
              <w:ind w:firstLine="482" w:firstLineChars="200"/>
              <w:rPr>
                <w:b/>
                <w:bCs/>
                <w:sz w:val="24"/>
              </w:rPr>
            </w:pPr>
            <w:r>
              <w:rPr>
                <w:rFonts w:hint="eastAsia"/>
                <w:b/>
                <w:bCs/>
                <w:sz w:val="24"/>
              </w:rPr>
              <w:t>（1）生态保护红线</w:t>
            </w:r>
          </w:p>
          <w:p>
            <w:pPr>
              <w:adjustRightInd w:val="0"/>
              <w:spacing w:line="360" w:lineRule="auto"/>
              <w:ind w:firstLine="480" w:firstLineChars="200"/>
              <w:rPr>
                <w:sz w:val="24"/>
              </w:rPr>
            </w:pPr>
            <w:r>
              <w:rPr>
                <w:sz w:val="24"/>
              </w:rPr>
              <w:t>根据</w:t>
            </w:r>
            <w:r>
              <w:rPr>
                <w:rFonts w:hint="eastAsia"/>
                <w:sz w:val="24"/>
              </w:rPr>
              <w:t>寻甸回族彝族自治</w:t>
            </w:r>
            <w:r>
              <w:rPr>
                <w:sz w:val="24"/>
              </w:rPr>
              <w:t>县自然资源局2023年8月25日出具的关于本项目</w:t>
            </w:r>
            <w:r>
              <w:rPr>
                <w:rFonts w:hint="eastAsia"/>
                <w:sz w:val="24"/>
              </w:rPr>
              <w:t>用地选址范围的说明</w:t>
            </w:r>
            <w:r>
              <w:rPr>
                <w:sz w:val="24"/>
              </w:rPr>
              <w:t>，项目</w:t>
            </w:r>
            <w:r>
              <w:rPr>
                <w:rFonts w:hint="eastAsia"/>
                <w:sz w:val="24"/>
              </w:rPr>
              <w:t>不涉及</w:t>
            </w:r>
            <w:r>
              <w:rPr>
                <w:sz w:val="24"/>
              </w:rPr>
              <w:t>生态保护红线。</w:t>
            </w:r>
          </w:p>
          <w:p>
            <w:pPr>
              <w:adjustRightInd w:val="0"/>
              <w:spacing w:line="360" w:lineRule="auto"/>
              <w:ind w:firstLine="482" w:firstLineChars="200"/>
              <w:rPr>
                <w:b/>
                <w:bCs/>
                <w:sz w:val="24"/>
              </w:rPr>
            </w:pPr>
            <w:r>
              <w:rPr>
                <w:rFonts w:hint="eastAsia"/>
                <w:b/>
                <w:bCs/>
                <w:sz w:val="24"/>
              </w:rPr>
              <w:t>（2）环境质量底线</w:t>
            </w:r>
          </w:p>
          <w:p>
            <w:pPr>
              <w:adjustRightInd w:val="0"/>
              <w:spacing w:line="360" w:lineRule="auto"/>
              <w:ind w:firstLine="480" w:firstLineChars="200"/>
              <w:rPr>
                <w:sz w:val="24"/>
              </w:rPr>
            </w:pPr>
            <w:r>
              <w:rPr>
                <w:rFonts w:hint="eastAsia"/>
                <w:sz w:val="24"/>
              </w:rPr>
              <w:t>到2025年，全市生态环境质量持续改善，生态空间得到优化和有效保护，区域生态安全屏障更加牢固。全市环境空气质量总体保持优良，主城建成区空气质量优良天数占比达99%以上，二氧化硫（SO</w:t>
            </w:r>
            <w:r>
              <w:rPr>
                <w:rFonts w:hint="eastAsia"/>
                <w:sz w:val="24"/>
                <w:vertAlign w:val="subscript"/>
              </w:rPr>
              <w:t>2</w:t>
            </w:r>
            <w:r>
              <w:rPr>
                <w:rFonts w:hint="eastAsia"/>
                <w:sz w:val="24"/>
              </w:rPr>
              <w:t>）和氮氧化物（NO</w:t>
            </w:r>
            <w:r>
              <w:rPr>
                <w:rFonts w:hint="eastAsia"/>
                <w:sz w:val="24"/>
                <w:vertAlign w:val="subscript"/>
              </w:rPr>
              <w:t>X</w:t>
            </w:r>
            <w:r>
              <w:rPr>
                <w:rFonts w:hint="eastAsia"/>
                <w:sz w:val="24"/>
              </w:rPr>
              <w:t>）排放总量控制在省下达的目标以内，主城区空气中颗粒物（PM</w:t>
            </w:r>
            <w:r>
              <w:rPr>
                <w:rFonts w:hint="eastAsia"/>
                <w:sz w:val="24"/>
                <w:vertAlign w:val="subscript"/>
              </w:rPr>
              <w:t>10</w:t>
            </w:r>
            <w:r>
              <w:rPr>
                <w:rFonts w:hint="eastAsia"/>
                <w:sz w:val="24"/>
              </w:rPr>
              <w:t>、PM</w:t>
            </w:r>
            <w:r>
              <w:rPr>
                <w:rFonts w:hint="eastAsia"/>
                <w:sz w:val="24"/>
                <w:vertAlign w:val="subscript"/>
              </w:rPr>
              <w:t>2.5</w:t>
            </w:r>
            <w:r>
              <w:rPr>
                <w:rFonts w:hint="eastAsia"/>
                <w:sz w:val="24"/>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adjustRightInd w:val="0"/>
              <w:spacing w:line="360" w:lineRule="auto"/>
              <w:ind w:firstLine="480" w:firstLineChars="200"/>
              <w:rPr>
                <w:sz w:val="24"/>
              </w:rPr>
            </w:pPr>
            <w:r>
              <w:rPr>
                <w:rFonts w:hint="eastAsia"/>
                <w:sz w:val="24"/>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p>
            <w:pPr>
              <w:adjustRightInd w:val="0"/>
              <w:spacing w:line="360" w:lineRule="auto"/>
              <w:ind w:firstLine="482" w:firstLineChars="200"/>
              <w:rPr>
                <w:sz w:val="24"/>
              </w:rPr>
            </w:pPr>
            <w:r>
              <w:rPr>
                <w:rFonts w:hint="eastAsia"/>
                <w:b/>
                <w:bCs/>
                <w:sz w:val="24"/>
              </w:rPr>
              <w:t>符合性：</w:t>
            </w:r>
            <w:r>
              <w:rPr>
                <w:rFonts w:hint="eastAsia"/>
                <w:sz w:val="24"/>
              </w:rPr>
              <w:t>根据现状调查，本工程所在区域水环境、声环境、大气环境质量现状均满足相应标准要求。本工程运行期无废水、废气排放，不会增加周边大气和地表水环境容量。在严格遵守法律法规及相关规范的基础上，并采取本报告提出的环保措施后，各项污染因子能够达标排放，不会改变区域环境质量等级。因此，本工程的建设不会突破区域环境质量底线，符合昆明市环境质量底线的要求。</w:t>
            </w:r>
          </w:p>
          <w:p>
            <w:pPr>
              <w:adjustRightInd w:val="0"/>
              <w:spacing w:line="360" w:lineRule="auto"/>
              <w:ind w:firstLine="482" w:firstLineChars="200"/>
              <w:rPr>
                <w:b/>
                <w:bCs/>
                <w:sz w:val="24"/>
              </w:rPr>
            </w:pPr>
            <w:r>
              <w:rPr>
                <w:rFonts w:hint="eastAsia"/>
                <w:b/>
                <w:bCs/>
                <w:sz w:val="24"/>
              </w:rPr>
              <w:t>（3）资源利用上线</w:t>
            </w:r>
          </w:p>
          <w:p>
            <w:pPr>
              <w:adjustRightInd w:val="0"/>
              <w:spacing w:line="360" w:lineRule="auto"/>
              <w:ind w:firstLine="480" w:firstLineChars="200"/>
              <w:rPr>
                <w:sz w:val="24"/>
              </w:rPr>
            </w:pPr>
            <w:r>
              <w:rPr>
                <w:rFonts w:hint="eastAsia"/>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adjustRightInd w:val="0"/>
              <w:spacing w:line="360" w:lineRule="auto"/>
              <w:ind w:firstLine="482" w:firstLineChars="200"/>
              <w:rPr>
                <w:sz w:val="24"/>
              </w:rPr>
            </w:pPr>
            <w:r>
              <w:rPr>
                <w:rFonts w:hint="eastAsia"/>
                <w:b/>
                <w:bCs/>
                <w:sz w:val="24"/>
              </w:rPr>
              <w:t>符合性：</w:t>
            </w:r>
            <w:r>
              <w:rPr>
                <w:rFonts w:hint="eastAsia"/>
                <w:sz w:val="24"/>
              </w:rPr>
              <w:t>本工程属于光伏发电项目，不仅可利用当地太阳能资源，符合国家的能源发展战略，又可对缓解当地电力供需矛盾起到一定作用，运行期不涉及废气排放、废水排放及土地污染。</w:t>
            </w:r>
            <w:r>
              <w:rPr>
                <w:rFonts w:hint="eastAsia"/>
                <w:kern w:val="0"/>
                <w:sz w:val="24"/>
              </w:rPr>
              <w:t>除桩基用地外，不硬化地面</w:t>
            </w:r>
            <w:r>
              <w:rPr>
                <w:rFonts w:hint="eastAsia"/>
                <w:sz w:val="24"/>
              </w:rPr>
              <w:t>，不改变土地原有属性，对土地资源的影响较小。综上所述，本工程符合资源利用相关规定要求。</w:t>
            </w:r>
          </w:p>
          <w:p>
            <w:pPr>
              <w:adjustRightInd w:val="0"/>
              <w:spacing w:line="360" w:lineRule="auto"/>
              <w:ind w:firstLine="482" w:firstLineChars="200"/>
              <w:rPr>
                <w:b/>
                <w:bCs/>
                <w:sz w:val="24"/>
              </w:rPr>
            </w:pPr>
            <w:r>
              <w:rPr>
                <w:rFonts w:hint="eastAsia"/>
                <w:b/>
                <w:bCs/>
                <w:sz w:val="24"/>
              </w:rPr>
              <w:t>（</w:t>
            </w:r>
            <w:r>
              <w:rPr>
                <w:b/>
                <w:bCs/>
                <w:sz w:val="24"/>
              </w:rPr>
              <w:t>4</w:t>
            </w:r>
            <w:r>
              <w:rPr>
                <w:rFonts w:hint="eastAsia"/>
                <w:b/>
                <w:bCs/>
                <w:sz w:val="24"/>
              </w:rPr>
              <w:t>）生态环境准入清单</w:t>
            </w:r>
          </w:p>
          <w:p>
            <w:pPr>
              <w:adjustRightInd w:val="0"/>
              <w:spacing w:line="360" w:lineRule="auto"/>
              <w:ind w:firstLine="480" w:firstLineChars="200"/>
              <w:rPr>
                <w:sz w:val="24"/>
              </w:rPr>
            </w:pPr>
            <w:r>
              <w:rPr>
                <w:sz w:val="24"/>
              </w:rPr>
              <w:t>根据《</w:t>
            </w:r>
            <w:r>
              <w:rPr>
                <w:rFonts w:hint="eastAsia"/>
                <w:sz w:val="24"/>
              </w:rPr>
              <w:t>昆明市“三线一单”生态环境分区管控实施意见</w:t>
            </w:r>
            <w:r>
              <w:rPr>
                <w:sz w:val="24"/>
              </w:rPr>
              <w:t>》（</w:t>
            </w:r>
            <w:r>
              <w:rPr>
                <w:rFonts w:hint="eastAsia"/>
                <w:sz w:val="24"/>
              </w:rPr>
              <w:t>昆</w:t>
            </w:r>
            <w:r>
              <w:rPr>
                <w:sz w:val="24"/>
              </w:rPr>
              <w:t>政</w:t>
            </w:r>
            <w:r>
              <w:rPr>
                <w:rFonts w:hint="eastAsia"/>
                <w:sz w:val="24"/>
              </w:rPr>
              <w:t>发</w:t>
            </w:r>
            <w:r>
              <w:rPr>
                <w:rFonts w:hint="eastAsia" w:ascii="宋体" w:hAnsi="宋体"/>
                <w:sz w:val="24"/>
              </w:rPr>
              <w:t>〔</w:t>
            </w:r>
            <w:r>
              <w:rPr>
                <w:sz w:val="24"/>
              </w:rPr>
              <w:t>2021</w:t>
            </w:r>
            <w:r>
              <w:rPr>
                <w:rFonts w:hint="eastAsia" w:ascii="宋体" w:hAnsi="宋体"/>
                <w:sz w:val="24"/>
              </w:rPr>
              <w:t>〕</w:t>
            </w:r>
            <w:r>
              <w:rPr>
                <w:sz w:val="24"/>
              </w:rPr>
              <w:t>21号）（以下简称</w:t>
            </w:r>
            <w:r>
              <w:rPr>
                <w:rFonts w:ascii="宋体" w:hAnsi="宋体"/>
                <w:sz w:val="24"/>
              </w:rPr>
              <w:t>“</w:t>
            </w:r>
            <w:r>
              <w:rPr>
                <w:sz w:val="24"/>
              </w:rPr>
              <w:t>实施</w:t>
            </w:r>
            <w:r>
              <w:rPr>
                <w:rFonts w:hint="eastAsia"/>
                <w:sz w:val="24"/>
              </w:rPr>
              <w:t>意见</w:t>
            </w:r>
            <w:r>
              <w:rPr>
                <w:rFonts w:ascii="宋体" w:hAnsi="宋体"/>
                <w:sz w:val="24"/>
              </w:rPr>
              <w:t>”</w:t>
            </w:r>
            <w:r>
              <w:rPr>
                <w:sz w:val="24"/>
              </w:rPr>
              <w:t>）：全</w:t>
            </w:r>
            <w:r>
              <w:rPr>
                <w:rFonts w:hint="eastAsia"/>
                <w:sz w:val="24"/>
              </w:rPr>
              <w:t>市</w:t>
            </w:r>
            <w:r>
              <w:rPr>
                <w:sz w:val="24"/>
              </w:rPr>
              <w:t>共划分129个生态环境管控单元，分为优先保护、重点管控和一般管控3类。</w:t>
            </w:r>
          </w:p>
          <w:p>
            <w:pPr>
              <w:adjustRightInd w:val="0"/>
              <w:spacing w:line="360" w:lineRule="auto"/>
              <w:ind w:firstLine="480" w:firstLineChars="200"/>
              <w:rPr>
                <w:sz w:val="24"/>
              </w:rPr>
            </w:pPr>
            <w:r>
              <w:rPr>
                <w:sz w:val="24"/>
              </w:rPr>
              <w:t>根据</w:t>
            </w:r>
            <w:r>
              <w:rPr>
                <w:rFonts w:hint="eastAsia"/>
                <w:sz w:val="24"/>
              </w:rPr>
              <w:t>寻甸</w:t>
            </w:r>
            <w:r>
              <w:rPr>
                <w:sz w:val="24"/>
              </w:rPr>
              <w:t>县自然资源局</w:t>
            </w:r>
            <w:r>
              <w:rPr>
                <w:rFonts w:hint="eastAsia"/>
                <w:sz w:val="24"/>
              </w:rPr>
              <w:t>、水务局、林草局选址查询（见附件），</w:t>
            </w:r>
            <w:r>
              <w:rPr>
                <w:sz w:val="24"/>
              </w:rPr>
              <w:t>项目</w:t>
            </w:r>
            <w:r>
              <w:rPr>
                <w:rFonts w:hint="eastAsia"/>
                <w:sz w:val="24"/>
              </w:rPr>
              <w:t>避让了</w:t>
            </w:r>
            <w:r>
              <w:rPr>
                <w:sz w:val="24"/>
              </w:rPr>
              <w:t>生态保护红线</w:t>
            </w:r>
            <w:r>
              <w:rPr>
                <w:rFonts w:hint="eastAsia"/>
                <w:sz w:val="24"/>
              </w:rPr>
              <w:t>和基本农田</w:t>
            </w:r>
            <w:r>
              <w:rPr>
                <w:sz w:val="24"/>
              </w:rPr>
              <w:t>，</w:t>
            </w:r>
            <w:r>
              <w:rPr>
                <w:rFonts w:hint="eastAsia"/>
                <w:sz w:val="24"/>
              </w:rPr>
              <w:t>避开了自然保护区、饮用水水源保护区、重要湿地、基本草原、生态公益林、天然林等生态功能重要、生态环境敏感的区域，项目用地区域涉及寻甸回族彝族自治县一般生态空间优先保护单元及</w:t>
            </w:r>
            <w:r>
              <w:rPr>
                <w:sz w:val="24"/>
              </w:rPr>
              <w:t>一般管控单元。本</w:t>
            </w:r>
            <w:r>
              <w:rPr>
                <w:rFonts w:hint="eastAsia"/>
                <w:sz w:val="24"/>
              </w:rPr>
              <w:t>项目</w:t>
            </w:r>
            <w:r>
              <w:rPr>
                <w:sz w:val="24"/>
              </w:rPr>
              <w:t>与《</w:t>
            </w:r>
            <w:r>
              <w:rPr>
                <w:rFonts w:hint="eastAsia"/>
                <w:sz w:val="24"/>
              </w:rPr>
              <w:t>昆明市“三线一单”生态环境分区管控实施意见</w:t>
            </w:r>
            <w:r>
              <w:rPr>
                <w:sz w:val="24"/>
              </w:rPr>
              <w:t>》符合性分析见下表。</w:t>
            </w:r>
          </w:p>
          <w:p>
            <w:pPr>
              <w:adjustRightInd w:val="0"/>
              <w:jc w:val="center"/>
              <w:rPr>
                <w:b/>
                <w:bCs/>
                <w:szCs w:val="21"/>
              </w:rPr>
            </w:pPr>
            <w:r>
              <w:rPr>
                <w:b/>
                <w:bCs/>
                <w:szCs w:val="21"/>
              </w:rPr>
              <w:t>表1-1  项目与</w:t>
            </w:r>
            <w:r>
              <w:rPr>
                <w:rFonts w:ascii="宋体" w:hAnsi="宋体"/>
                <w:b/>
                <w:bCs/>
                <w:szCs w:val="21"/>
              </w:rPr>
              <w:t>“</w:t>
            </w:r>
            <w:r>
              <w:rPr>
                <w:b/>
                <w:bCs/>
                <w:szCs w:val="21"/>
              </w:rPr>
              <w:t>实施</w:t>
            </w:r>
            <w:r>
              <w:rPr>
                <w:rFonts w:hint="eastAsia"/>
                <w:b/>
                <w:bCs/>
                <w:szCs w:val="21"/>
              </w:rPr>
              <w:t>意见</w:t>
            </w:r>
            <w:r>
              <w:rPr>
                <w:rFonts w:ascii="宋体" w:hAnsi="宋体"/>
                <w:b/>
                <w:bCs/>
                <w:szCs w:val="21"/>
              </w:rPr>
              <w:t>”</w:t>
            </w:r>
            <w:r>
              <w:rPr>
                <w:b/>
                <w:bCs/>
                <w:szCs w:val="21"/>
              </w:rPr>
              <w:t>的符合性分析</w:t>
            </w:r>
          </w:p>
          <w:tbl>
            <w:tblPr>
              <w:tblStyle w:val="44"/>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92"/>
              <w:gridCol w:w="5157"/>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54" w:type="dxa"/>
                  <w:gridSpan w:val="2"/>
                  <w:vAlign w:val="center"/>
                </w:tcPr>
                <w:p>
                  <w:pPr>
                    <w:jc w:val="center"/>
                    <w:rPr>
                      <w:b/>
                      <w:bCs/>
                      <w:szCs w:val="21"/>
                    </w:rPr>
                  </w:pPr>
                  <w:r>
                    <w:rPr>
                      <w:b/>
                      <w:bCs/>
                      <w:szCs w:val="21"/>
                    </w:rPr>
                    <w:t>类别</w:t>
                  </w:r>
                </w:p>
              </w:tc>
              <w:tc>
                <w:tcPr>
                  <w:tcW w:w="5157" w:type="dxa"/>
                  <w:vAlign w:val="center"/>
                </w:tcPr>
                <w:p>
                  <w:pPr>
                    <w:jc w:val="center"/>
                    <w:rPr>
                      <w:b/>
                      <w:bCs/>
                      <w:szCs w:val="21"/>
                    </w:rPr>
                  </w:pPr>
                  <w:r>
                    <w:rPr>
                      <w:b/>
                      <w:bCs/>
                      <w:szCs w:val="21"/>
                    </w:rPr>
                    <w:t>文件内容</w:t>
                  </w:r>
                </w:p>
              </w:tc>
              <w:tc>
                <w:tcPr>
                  <w:tcW w:w="2146" w:type="dxa"/>
                  <w:vAlign w:val="center"/>
                </w:tcPr>
                <w:p>
                  <w:pPr>
                    <w:jc w:val="center"/>
                    <w:rPr>
                      <w:b/>
                      <w:bCs/>
                      <w:szCs w:val="21"/>
                    </w:rPr>
                  </w:pPr>
                  <w:r>
                    <w:rPr>
                      <w:b/>
                      <w:bCs/>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2" w:type="dxa"/>
                  <w:vMerge w:val="restart"/>
                  <w:vAlign w:val="center"/>
                </w:tcPr>
                <w:p>
                  <w:pPr>
                    <w:jc w:val="center"/>
                    <w:rPr>
                      <w:szCs w:val="21"/>
                    </w:rPr>
                  </w:pPr>
                  <w:r>
                    <w:rPr>
                      <w:szCs w:val="21"/>
                    </w:rPr>
                    <w:t>环境管控单元生态环境管控总体要求</w:t>
                  </w:r>
                </w:p>
              </w:tc>
              <w:tc>
                <w:tcPr>
                  <w:tcW w:w="492" w:type="dxa"/>
                  <w:vAlign w:val="center"/>
                </w:tcPr>
                <w:p>
                  <w:pPr>
                    <w:jc w:val="center"/>
                    <w:rPr>
                      <w:szCs w:val="21"/>
                    </w:rPr>
                  </w:pPr>
                  <w:r>
                    <w:rPr>
                      <w:szCs w:val="21"/>
                    </w:rPr>
                    <w:t>空间布局约束</w:t>
                  </w:r>
                </w:p>
              </w:tc>
              <w:tc>
                <w:tcPr>
                  <w:tcW w:w="5157" w:type="dxa"/>
                  <w:vAlign w:val="center"/>
                </w:tcPr>
                <w:p>
                  <w:pPr>
                    <w:rPr>
                      <w:szCs w:val="21"/>
                    </w:rPr>
                  </w:pPr>
                  <w:r>
                    <w:rPr>
                      <w:rFonts w:hint="eastAsia"/>
                      <w:szCs w:val="21"/>
                    </w:rPr>
                    <w:t>（1）严格控制滇池、螳螂川等水污染严重地区高耗水、高污染行业发展，新建、改建、扩建重点行业建设项目实行主要水污染物排放减量置换。</w:t>
                  </w:r>
                </w:p>
                <w:p>
                  <w:pPr>
                    <w:rPr>
                      <w:szCs w:val="21"/>
                    </w:rPr>
                  </w:pPr>
                  <w:r>
                    <w:rPr>
                      <w:rFonts w:hint="eastAsia"/>
                      <w:szCs w:val="21"/>
                    </w:rPr>
                    <w:t>（2）牛栏江流域内，严格按照《云南省牛栏江保护条例》相关要求对水环境区进行分区管控。</w:t>
                  </w:r>
                </w:p>
              </w:tc>
              <w:tc>
                <w:tcPr>
                  <w:tcW w:w="2146" w:type="dxa"/>
                  <w:vAlign w:val="center"/>
                </w:tcPr>
                <w:p>
                  <w:pPr>
                    <w:rPr>
                      <w:szCs w:val="21"/>
                    </w:rPr>
                  </w:pPr>
                  <w:r>
                    <w:rPr>
                      <w:rFonts w:hint="eastAsia"/>
                      <w:szCs w:val="21"/>
                    </w:rPr>
                    <w:t>（1）本工程为光伏发电项目，能优化当地能源结构，运营期使用的水量较少，用电为项目自供，不属于高耗水、高污染行业。</w:t>
                  </w:r>
                </w:p>
                <w:p>
                  <w:pPr>
                    <w:rPr>
                      <w:szCs w:val="21"/>
                    </w:rPr>
                  </w:pPr>
                  <w:r>
                    <w:rPr>
                      <w:rFonts w:hint="eastAsia"/>
                      <w:szCs w:val="21"/>
                    </w:rPr>
                    <w:t>（2）</w:t>
                  </w:r>
                  <w:r>
                    <w:rPr>
                      <w:rFonts w:hint="eastAsia"/>
                      <w:bCs/>
                      <w:kern w:val="0"/>
                      <w:szCs w:val="21"/>
                    </w:rPr>
                    <w:t>项目不涉及牛栏江流域。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2" w:type="dxa"/>
                  <w:vMerge w:val="continue"/>
                  <w:vAlign w:val="center"/>
                </w:tcPr>
                <w:p>
                  <w:pPr>
                    <w:jc w:val="center"/>
                    <w:rPr>
                      <w:szCs w:val="21"/>
                    </w:rPr>
                  </w:pPr>
                </w:p>
              </w:tc>
              <w:tc>
                <w:tcPr>
                  <w:tcW w:w="492" w:type="dxa"/>
                  <w:vAlign w:val="center"/>
                </w:tcPr>
                <w:p>
                  <w:pPr>
                    <w:jc w:val="center"/>
                    <w:rPr>
                      <w:szCs w:val="21"/>
                    </w:rPr>
                  </w:pPr>
                  <w:r>
                    <w:rPr>
                      <w:szCs w:val="21"/>
                    </w:rPr>
                    <w:t>污染物排放管控</w:t>
                  </w:r>
                </w:p>
              </w:tc>
              <w:tc>
                <w:tcPr>
                  <w:tcW w:w="5157" w:type="dxa"/>
                  <w:vAlign w:val="center"/>
                </w:tcPr>
                <w:p>
                  <w:pPr>
                    <w:rPr>
                      <w:szCs w:val="21"/>
                    </w:rPr>
                  </w:pPr>
                  <w:r>
                    <w:rPr>
                      <w:rFonts w:hint="eastAsia"/>
                      <w:szCs w:val="21"/>
                    </w:rPr>
                    <w:t>（1）区域内COD允许排放量不得超过1.44万吨，氨氮允许排放量不得超过0.50万吨。</w:t>
                  </w:r>
                </w:p>
                <w:p>
                  <w:pPr>
                    <w:rPr>
                      <w:szCs w:val="21"/>
                    </w:rPr>
                  </w:pPr>
                  <w:r>
                    <w:rPr>
                      <w:rFonts w:hint="eastAsia"/>
                      <w:szCs w:val="21"/>
                    </w:rPr>
                    <w:t>（2）环境空气质量总体保持优良，区域内二氧化硫排放量控制在10.06万吨/年以下、氮氧化物排放量控制在9.32万吨/年以下。</w:t>
                  </w:r>
                </w:p>
              </w:tc>
              <w:tc>
                <w:tcPr>
                  <w:tcW w:w="2146" w:type="dxa"/>
                  <w:vAlign w:val="center"/>
                </w:tcPr>
                <w:p>
                  <w:pPr>
                    <w:rPr>
                      <w:szCs w:val="21"/>
                    </w:rPr>
                  </w:pPr>
                  <w:r>
                    <w:rPr>
                      <w:rFonts w:hint="eastAsia"/>
                      <w:szCs w:val="21"/>
                    </w:rPr>
                    <w:t>项目运营期无废气、废水排放</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2" w:type="dxa"/>
                  <w:vMerge w:val="continue"/>
                  <w:vAlign w:val="center"/>
                </w:tcPr>
                <w:p>
                  <w:pPr>
                    <w:jc w:val="center"/>
                    <w:rPr>
                      <w:szCs w:val="21"/>
                    </w:rPr>
                  </w:pPr>
                </w:p>
              </w:tc>
              <w:tc>
                <w:tcPr>
                  <w:tcW w:w="492" w:type="dxa"/>
                  <w:vAlign w:val="center"/>
                </w:tcPr>
                <w:p>
                  <w:pPr>
                    <w:jc w:val="center"/>
                    <w:rPr>
                      <w:szCs w:val="21"/>
                    </w:rPr>
                  </w:pPr>
                  <w:r>
                    <w:rPr>
                      <w:szCs w:val="21"/>
                    </w:rPr>
                    <w:t>环境风险防控</w:t>
                  </w:r>
                </w:p>
              </w:tc>
              <w:tc>
                <w:tcPr>
                  <w:tcW w:w="5157" w:type="dxa"/>
                  <w:vAlign w:val="center"/>
                </w:tcPr>
                <w:p>
                  <w:pPr>
                    <w:rPr>
                      <w:szCs w:val="21"/>
                    </w:rPr>
                  </w:pPr>
                  <w:r>
                    <w:rPr>
                      <w:rFonts w:hint="eastAsia"/>
                      <w:szCs w:val="21"/>
                    </w:rPr>
                    <w:t>（1）严格控制长江、珠江两大水系干流沿岸和滇池、阳宗海流域的石化、化工、有色金属冶炼等项目环境风险，合理布局生产装置及危险化学品仓储等设施。</w:t>
                  </w:r>
                </w:p>
                <w:p>
                  <w:pPr>
                    <w:rPr>
                      <w:szCs w:val="21"/>
                    </w:rPr>
                  </w:pPr>
                  <w:r>
                    <w:rPr>
                      <w:rFonts w:hint="eastAsia"/>
                      <w:szCs w:val="21"/>
                    </w:rPr>
                    <w:t>（2）强化与其他滇中城市的大气污染防治联防联控协作机制，加强区域内重污染天气应急联动。</w:t>
                  </w:r>
                </w:p>
              </w:tc>
              <w:tc>
                <w:tcPr>
                  <w:tcW w:w="2146" w:type="dxa"/>
                  <w:vAlign w:val="center"/>
                </w:tcPr>
                <w:p>
                  <w:pPr>
                    <w:rPr>
                      <w:szCs w:val="21"/>
                    </w:rPr>
                  </w:pPr>
                  <w:r>
                    <w:rPr>
                      <w:szCs w:val="21"/>
                    </w:rPr>
                    <w:t>本工程</w:t>
                  </w:r>
                  <w:r>
                    <w:rPr>
                      <w:rFonts w:hint="eastAsia"/>
                      <w:szCs w:val="21"/>
                    </w:rPr>
                    <w:t>为光伏发电项目</w:t>
                  </w:r>
                  <w:r>
                    <w:rPr>
                      <w:szCs w:val="21"/>
                    </w:rPr>
                    <w:t>，不属于前文所列项目</w:t>
                  </w:r>
                  <w:r>
                    <w:rPr>
                      <w:rFonts w:hint="eastAsia"/>
                      <w:szCs w:val="21"/>
                    </w:rPr>
                    <w:t>，项目环境风险主要为油品的泄漏和燃烧爆炸产生的次生污染物对环境的影响，只要建设单位按照本报告提出的环境管理措施实施，项目环境风险影响范围较小，环境风险可控。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2" w:type="dxa"/>
                  <w:vMerge w:val="continue"/>
                  <w:vAlign w:val="center"/>
                </w:tcPr>
                <w:p>
                  <w:pPr>
                    <w:jc w:val="center"/>
                    <w:rPr>
                      <w:szCs w:val="21"/>
                    </w:rPr>
                  </w:pPr>
                </w:p>
              </w:tc>
              <w:tc>
                <w:tcPr>
                  <w:tcW w:w="492" w:type="dxa"/>
                  <w:vAlign w:val="center"/>
                </w:tcPr>
                <w:p>
                  <w:pPr>
                    <w:jc w:val="center"/>
                    <w:rPr>
                      <w:szCs w:val="21"/>
                    </w:rPr>
                  </w:pPr>
                  <w:r>
                    <w:rPr>
                      <w:szCs w:val="21"/>
                    </w:rPr>
                    <w:t>资源开发利用效率</w:t>
                  </w:r>
                </w:p>
              </w:tc>
              <w:tc>
                <w:tcPr>
                  <w:tcW w:w="5157" w:type="dxa"/>
                  <w:vAlign w:val="center"/>
                </w:tcPr>
                <w:p>
                  <w:pPr>
                    <w:rPr>
                      <w:szCs w:val="21"/>
                    </w:rPr>
                  </w:pPr>
                  <w:r>
                    <w:rPr>
                      <w:rFonts w:hint="eastAsia"/>
                      <w:szCs w:val="21"/>
                    </w:rPr>
                    <w:t>（1）水资源利用效率持续提高，完成省级下达的水资源利用效率目标要求。</w:t>
                  </w:r>
                </w:p>
                <w:p>
                  <w:pPr>
                    <w:rPr>
                      <w:szCs w:val="21"/>
                    </w:rPr>
                  </w:pPr>
                  <w:r>
                    <w:rPr>
                      <w:rFonts w:hint="eastAsia"/>
                      <w:szCs w:val="21"/>
                    </w:rPr>
                    <w:t>（2）能源利用效率持续提高，完成省级下达的能源利用效率目标。</w:t>
                  </w:r>
                </w:p>
                <w:p>
                  <w:pPr>
                    <w:rPr>
                      <w:szCs w:val="21"/>
                    </w:rPr>
                  </w:pPr>
                  <w:r>
                    <w:rPr>
                      <w:rFonts w:hint="eastAsia"/>
                      <w:szCs w:val="21"/>
                    </w:rPr>
                    <w:t>（3）全市绿色低碳产业结构基本形成，能源生产和消费结构进一步优化，实现单位地区生产总值二氧化碳排放量完成省下达任务。</w:t>
                  </w:r>
                </w:p>
                <w:p>
                  <w:pPr>
                    <w:rPr>
                      <w:szCs w:val="21"/>
                    </w:rPr>
                  </w:pPr>
                  <w:r>
                    <w:rPr>
                      <w:rFonts w:hint="eastAsia"/>
                      <w:szCs w:val="21"/>
                    </w:rPr>
                    <w:t>（4）非化石能源消费占能源消费总量比重达到20%。</w:t>
                  </w:r>
                </w:p>
              </w:tc>
              <w:tc>
                <w:tcPr>
                  <w:tcW w:w="2146" w:type="dxa"/>
                  <w:vAlign w:val="center"/>
                </w:tcPr>
                <w:p>
                  <w:pPr>
                    <w:rPr>
                      <w:szCs w:val="21"/>
                    </w:rPr>
                  </w:pPr>
                  <w:r>
                    <w:rPr>
                      <w:szCs w:val="21"/>
                    </w:rPr>
                    <w:t>本工程属于</w:t>
                  </w:r>
                  <w:r>
                    <w:rPr>
                      <w:rFonts w:hint="eastAsia"/>
                      <w:szCs w:val="21"/>
                    </w:rPr>
                    <w:t>新能源项目</w:t>
                  </w:r>
                  <w:r>
                    <w:rPr>
                      <w:szCs w:val="21"/>
                    </w:rPr>
                    <w:t>，可优化当地</w:t>
                  </w:r>
                  <w:r>
                    <w:rPr>
                      <w:rFonts w:hint="eastAsia"/>
                      <w:szCs w:val="21"/>
                    </w:rPr>
                    <w:t>能源</w:t>
                  </w:r>
                  <w:r>
                    <w:rPr>
                      <w:szCs w:val="21"/>
                    </w:rPr>
                    <w:t>结构，提升当地供电能力，</w:t>
                  </w:r>
                  <w:r>
                    <w:rPr>
                      <w:rFonts w:hint="eastAsia"/>
                      <w:szCs w:val="21"/>
                    </w:rPr>
                    <w:t>运营期使用的水量较少，用电为项目自供，不会突破区域的资源利用</w:t>
                  </w:r>
                  <w:r>
                    <w:rPr>
                      <w:rFonts w:hint="eastAsia"/>
                      <w:szCs w:val="21"/>
                      <w:lang w:eastAsia="zh-CN"/>
                    </w:rPr>
                    <w:t>上限</w:t>
                  </w:r>
                  <w:r>
                    <w:rPr>
                      <w:rFonts w:hint="eastAsia"/>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2" w:type="dxa"/>
                  <w:vMerge w:val="restart"/>
                  <w:vAlign w:val="center"/>
                </w:tcPr>
                <w:p>
                  <w:pPr>
                    <w:jc w:val="center"/>
                    <w:rPr>
                      <w:szCs w:val="21"/>
                    </w:rPr>
                  </w:pPr>
                  <w:r>
                    <w:rPr>
                      <w:szCs w:val="21"/>
                    </w:rPr>
                    <w:t>生态环境准入清单</w:t>
                  </w:r>
                </w:p>
              </w:tc>
              <w:tc>
                <w:tcPr>
                  <w:tcW w:w="492" w:type="dxa"/>
                  <w:vAlign w:val="center"/>
                </w:tcPr>
                <w:p>
                  <w:pPr>
                    <w:jc w:val="center"/>
                    <w:rPr>
                      <w:szCs w:val="21"/>
                    </w:rPr>
                  </w:pPr>
                  <w:r>
                    <w:rPr>
                      <w:rFonts w:hint="eastAsia"/>
                      <w:szCs w:val="21"/>
                    </w:rPr>
                    <w:t>一般生态空间优先保护单元</w:t>
                  </w:r>
                </w:p>
              </w:tc>
              <w:tc>
                <w:tcPr>
                  <w:tcW w:w="5157" w:type="dxa"/>
                  <w:vAlign w:val="center"/>
                </w:tcPr>
                <w:p>
                  <w:pPr>
                    <w:rPr>
                      <w:szCs w:val="21"/>
                    </w:rPr>
                  </w:pPr>
                  <w:r>
                    <w:rPr>
                      <w:rFonts w:hint="eastAsia"/>
                      <w:szCs w:val="21"/>
                    </w:rPr>
                    <w:t>（1）限制开发区域的要求进行管理，严格限制大规模开发建设活动。以保护和修复生态环境、提供生态产品为首要任务，因地制宜地发展不影响主体功能定位的产业。</w:t>
                  </w:r>
                </w:p>
                <w:p>
                  <w:r>
                    <w:rPr>
                      <w:rFonts w:hint="eastAsia"/>
                    </w:rPr>
                    <w:t>（2）禁止在二十五度以上陡坡地开垦种植农作物。</w:t>
                  </w:r>
                </w:p>
                <w:p>
                  <w:r>
                    <w:rPr>
                      <w:rFonts w:hint="eastAsia"/>
                    </w:rPr>
                    <w:t>（3）禁止围湖造田和侵占江河滩地。</w:t>
                  </w:r>
                </w:p>
                <w:p>
                  <w:r>
                    <w:rPr>
                      <w:rFonts w:hint="eastAsia"/>
                    </w:rPr>
                    <w:t>（4）畜禽养殖严格执行禁养区规定。对草原实行以草定蓄、</w:t>
                  </w:r>
                  <w:r>
                    <w:rPr>
                      <w:rFonts w:hint="eastAsia"/>
                      <w:lang w:eastAsia="zh-CN"/>
                    </w:rPr>
                    <w:t>草畜平衡</w:t>
                  </w:r>
                  <w:r>
                    <w:rPr>
                      <w:rFonts w:hint="eastAsia"/>
                    </w:rPr>
                    <w:t>制度，禁止过度放牧。</w:t>
                  </w:r>
                </w:p>
              </w:tc>
              <w:tc>
                <w:tcPr>
                  <w:tcW w:w="2146" w:type="dxa"/>
                  <w:vAlign w:val="center"/>
                </w:tcPr>
                <w:p>
                  <w:pPr>
                    <w:rPr>
                      <w:szCs w:val="21"/>
                    </w:rPr>
                  </w:pPr>
                  <w:r>
                    <w:rPr>
                      <w:szCs w:val="21"/>
                    </w:rPr>
                    <w:t>本工程为光伏发电项目，</w:t>
                  </w:r>
                  <w:r>
                    <w:rPr>
                      <w:rFonts w:hint="eastAsia"/>
                      <w:szCs w:val="21"/>
                    </w:rPr>
                    <w:t>占地主要为荒草地，项目工程量小，施工期短，施工结束后在光伏板下方进行植被恢复，对地块内生态修复具有积极作用，项目不涉及前述禁止活动。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2" w:type="dxa"/>
                  <w:vMerge w:val="continue"/>
                  <w:vAlign w:val="center"/>
                </w:tcPr>
                <w:p>
                  <w:pPr>
                    <w:jc w:val="center"/>
                    <w:rPr>
                      <w:szCs w:val="21"/>
                    </w:rPr>
                  </w:pPr>
                </w:p>
              </w:tc>
              <w:tc>
                <w:tcPr>
                  <w:tcW w:w="492" w:type="dxa"/>
                  <w:vAlign w:val="center"/>
                </w:tcPr>
                <w:p>
                  <w:pPr>
                    <w:jc w:val="center"/>
                    <w:rPr>
                      <w:szCs w:val="21"/>
                    </w:rPr>
                  </w:pPr>
                  <w:r>
                    <w:rPr>
                      <w:szCs w:val="21"/>
                    </w:rPr>
                    <w:t>一般管控单元</w:t>
                  </w:r>
                </w:p>
              </w:tc>
              <w:tc>
                <w:tcPr>
                  <w:tcW w:w="5157" w:type="dxa"/>
                  <w:vAlign w:val="center"/>
                </w:tcPr>
                <w:p>
                  <w:pPr>
                    <w:rPr>
                      <w:szCs w:val="21"/>
                    </w:rPr>
                  </w:pPr>
                  <w:r>
                    <w:rPr>
                      <w:rFonts w:hint="eastAsia"/>
                      <w:szCs w:val="21"/>
                    </w:rPr>
                    <w:t>（1）禁止一切破坏水环境生态平衡的活动及破坏水源林、护岸林、与水源保护相关植被的活动。</w:t>
                  </w:r>
                </w:p>
                <w:p>
                  <w:pPr>
                    <w:rPr>
                      <w:szCs w:val="21"/>
                    </w:rPr>
                  </w:pPr>
                  <w:r>
                    <w:rPr>
                      <w:rFonts w:hint="eastAsia"/>
                      <w:szCs w:val="21"/>
                    </w:rPr>
                    <w:t>（2）禁止向水域倾倒工业废渣、城市垃圾、粪便及其他废弃物。</w:t>
                  </w:r>
                </w:p>
                <w:p>
                  <w:pPr>
                    <w:rPr>
                      <w:szCs w:val="21"/>
                    </w:rPr>
                  </w:pPr>
                  <w:r>
                    <w:rPr>
                      <w:rFonts w:hint="eastAsia"/>
                      <w:szCs w:val="21"/>
                    </w:rPr>
                    <w:t>（3）禁止使用剧毒和高残留农药，不得滥用化肥，不得使用炸药、毒品捕杀鱼类。</w:t>
                  </w:r>
                </w:p>
                <w:p>
                  <w:pPr>
                    <w:rPr>
                      <w:szCs w:val="21"/>
                    </w:rPr>
                  </w:pPr>
                  <w:r>
                    <w:rPr>
                      <w:rFonts w:hint="eastAsia"/>
                      <w:szCs w:val="21"/>
                    </w:rPr>
                    <w:t>（4）禁止设立装卸垃圾、粪便、油类和有毒物品的码头。</w:t>
                  </w:r>
                </w:p>
                <w:p>
                  <w:pPr>
                    <w:rPr>
                      <w:szCs w:val="21"/>
                    </w:rPr>
                  </w:pPr>
                  <w:r>
                    <w:rPr>
                      <w:rFonts w:hint="eastAsia"/>
                      <w:szCs w:val="21"/>
                    </w:rPr>
                    <w:t>（5）禁止新建、扩建对水体污染严重的建设项目；改建建设项目，不得增加排污量。</w:t>
                  </w:r>
                </w:p>
                <w:p>
                  <w:pPr>
                    <w:rPr>
                      <w:szCs w:val="21"/>
                    </w:rPr>
                  </w:pPr>
                  <w:r>
                    <w:rPr>
                      <w:rFonts w:hint="eastAsia"/>
                      <w:szCs w:val="21"/>
                    </w:rPr>
                    <w:t>（6）防范农业面源污染，实现畜禽粪污资源化利用。</w:t>
                  </w:r>
                </w:p>
                <w:p>
                  <w:pPr>
                    <w:rPr>
                      <w:szCs w:val="21"/>
                    </w:rPr>
                  </w:pPr>
                  <w:r>
                    <w:rPr>
                      <w:rFonts w:hint="eastAsia"/>
                      <w:szCs w:val="21"/>
                    </w:rPr>
                    <w:t>（7）禁止高毒高风险农药使用。</w:t>
                  </w:r>
                </w:p>
                <w:p>
                  <w:pPr>
                    <w:rPr>
                      <w:szCs w:val="21"/>
                    </w:rPr>
                  </w:pPr>
                  <w:r>
                    <w:rPr>
                      <w:rFonts w:hint="eastAsia"/>
                      <w:szCs w:val="21"/>
                    </w:rPr>
                    <w:t>（8）建立环境风险预测预警体系，完善突发环境事件应急预案，提高预警能力。</w:t>
                  </w:r>
                </w:p>
              </w:tc>
              <w:tc>
                <w:tcPr>
                  <w:tcW w:w="2146" w:type="dxa"/>
                  <w:vAlign w:val="center"/>
                </w:tcPr>
                <w:p>
                  <w:pPr>
                    <w:rPr>
                      <w:szCs w:val="21"/>
                    </w:rPr>
                  </w:pPr>
                  <w:r>
                    <w:rPr>
                      <w:rFonts w:hint="eastAsia"/>
                      <w:szCs w:val="21"/>
                    </w:rPr>
                    <w:t>本项目为光伏电站，不涉及前述禁止行为，运营期无废水、废气排放，生活污水处理后全部回用于绿化，生活垃圾统一收集，定期清运至城镇垃圾收集点，每个箱变下方设置事故油池，建成后按要求编制突发环境事件应急预案</w:t>
                  </w:r>
                  <w:r>
                    <w:rPr>
                      <w:szCs w:val="21"/>
                    </w:rPr>
                    <w:t>。</w:t>
                  </w:r>
                </w:p>
              </w:tc>
            </w:tr>
          </w:tbl>
          <w:p>
            <w:pPr>
              <w:adjustRightInd w:val="0"/>
              <w:spacing w:line="360" w:lineRule="auto"/>
              <w:ind w:firstLine="480" w:firstLineChars="200"/>
              <w:rPr>
                <w:sz w:val="24"/>
              </w:rPr>
            </w:pPr>
            <w:r>
              <w:rPr>
                <w:sz w:val="24"/>
              </w:rPr>
              <w:t>综上所述，项目严格按照环评及有关部门要求建设，总体符合</w:t>
            </w:r>
            <w:r>
              <w:rPr>
                <w:rFonts w:hint="eastAsia"/>
                <w:sz w:val="24"/>
              </w:rPr>
              <w:t>昆明市</w:t>
            </w:r>
            <w:r>
              <w:rPr>
                <w:rFonts w:ascii="宋体" w:hAnsi="宋体"/>
                <w:sz w:val="24"/>
              </w:rPr>
              <w:t>“</w:t>
            </w:r>
            <w:r>
              <w:rPr>
                <w:sz w:val="24"/>
              </w:rPr>
              <w:t>三线一单</w:t>
            </w:r>
            <w:r>
              <w:rPr>
                <w:rFonts w:ascii="宋体" w:hAnsi="宋体"/>
                <w:sz w:val="24"/>
              </w:rPr>
              <w:t>”</w:t>
            </w:r>
            <w:r>
              <w:rPr>
                <w:sz w:val="24"/>
              </w:rPr>
              <w:t>管控要求</w:t>
            </w:r>
            <w:r>
              <w:rPr>
                <w:rFonts w:hint="eastAsia"/>
                <w:sz w:val="24"/>
              </w:rPr>
              <w:t>。</w:t>
            </w:r>
          </w:p>
          <w:p>
            <w:pPr>
              <w:pStyle w:val="15"/>
              <w:adjustRightInd w:val="0"/>
              <w:spacing w:line="360" w:lineRule="auto"/>
              <w:ind w:firstLine="0" w:firstLineChars="0"/>
              <w:rPr>
                <w:rFonts w:ascii="Times New Roman" w:hAnsi="Times New Roman"/>
                <w:b/>
                <w:snapToGrid w:val="0"/>
                <w:kern w:val="0"/>
              </w:rPr>
            </w:pPr>
            <w:r>
              <w:rPr>
                <w:rFonts w:ascii="Times New Roman" w:hAnsi="Times New Roman"/>
                <w:b/>
                <w:snapToGrid w:val="0"/>
                <w:kern w:val="0"/>
              </w:rPr>
              <w:t>2、产业政策符合性分析</w:t>
            </w:r>
          </w:p>
          <w:p>
            <w:pPr>
              <w:pStyle w:val="15"/>
              <w:adjustRightInd w:val="0"/>
              <w:spacing w:line="360" w:lineRule="auto"/>
              <w:ind w:firstLine="480"/>
            </w:pPr>
            <w:r>
              <w:rPr>
                <w:rFonts w:ascii="Times New Roman" w:hAnsi="Times New Roman"/>
                <w:bCs/>
                <w:snapToGrid w:val="0"/>
                <w:kern w:val="0"/>
              </w:rPr>
              <w:t>本项目为光伏电站建设项目，对照国家发展改革委第29号令《产业结构调整指导目录》（2019年本），项目属于鼓励类</w:t>
            </w:r>
            <w:r>
              <w:rPr>
                <w:rFonts w:hint="eastAsia" w:ascii="Times New Roman" w:hAnsi="Times New Roman"/>
                <w:bCs/>
                <w:snapToGrid w:val="0"/>
                <w:kern w:val="0"/>
              </w:rPr>
              <w:t>“</w:t>
            </w:r>
            <w:r>
              <w:rPr>
                <w:rFonts w:ascii="Times New Roman" w:hAnsi="Times New Roman"/>
                <w:bCs/>
                <w:snapToGrid w:val="0"/>
                <w:kern w:val="0"/>
              </w:rPr>
              <w:t>五、新能源</w:t>
            </w:r>
            <w:r>
              <w:rPr>
                <w:rFonts w:hint="eastAsia" w:ascii="Times New Roman" w:hAnsi="Times New Roman"/>
                <w:bCs/>
                <w:snapToGrid w:val="0"/>
                <w:kern w:val="0"/>
              </w:rPr>
              <w:t>”</w:t>
            </w:r>
            <w:r>
              <w:rPr>
                <w:rFonts w:ascii="Times New Roman" w:hAnsi="Times New Roman"/>
                <w:bCs/>
                <w:snapToGrid w:val="0"/>
                <w:kern w:val="0"/>
              </w:rPr>
              <w:t>中</w:t>
            </w:r>
            <w:r>
              <w:rPr>
                <w:rFonts w:hint="eastAsia" w:ascii="Times New Roman" w:hAnsi="Times New Roman"/>
                <w:bCs/>
                <w:snapToGrid w:val="0"/>
                <w:kern w:val="0"/>
              </w:rPr>
              <w:t>“</w:t>
            </w:r>
            <w:r>
              <w:rPr>
                <w:rFonts w:ascii="Times New Roman" w:hAnsi="Times New Roman"/>
                <w:bCs/>
                <w:snapToGrid w:val="0"/>
                <w:kern w:val="0"/>
              </w:rPr>
              <w:t>太阳能热发电集热系统、太阳能光伏发电系统集成技术开发应用</w:t>
            </w:r>
            <w:r>
              <w:rPr>
                <w:rFonts w:hint="eastAsia" w:ascii="Times New Roman" w:hAnsi="Times New Roman"/>
                <w:bCs/>
                <w:snapToGrid w:val="0"/>
                <w:kern w:val="0"/>
              </w:rPr>
              <w:t>”</w:t>
            </w:r>
            <w:r>
              <w:rPr>
                <w:rFonts w:ascii="Times New Roman" w:hAnsi="Times New Roman"/>
                <w:bCs/>
                <w:snapToGrid w:val="0"/>
                <w:kern w:val="0"/>
              </w:rPr>
              <w:t>；太阳能发电建设属于鼓励类项目。2023年7月10日项目取得了</w:t>
            </w:r>
            <w:r>
              <w:rPr>
                <w:rFonts w:hint="eastAsia" w:ascii="Times New Roman" w:hAnsi="Times New Roman"/>
                <w:bCs/>
                <w:snapToGrid w:val="0"/>
                <w:kern w:val="0"/>
              </w:rPr>
              <w:t>寻甸</w:t>
            </w:r>
            <w:r>
              <w:rPr>
                <w:rFonts w:ascii="Times New Roman" w:hAnsi="Times New Roman"/>
                <w:bCs/>
                <w:snapToGrid w:val="0"/>
                <w:kern w:val="0"/>
              </w:rPr>
              <w:t>县发展和改革局出具的投资备案证，备案号</w:t>
            </w:r>
            <w:r>
              <w:rPr>
                <w:rFonts w:hint="eastAsia" w:ascii="Times New Roman" w:hAnsi="Times New Roman"/>
                <w:bCs/>
                <w:snapToGrid w:val="0"/>
                <w:kern w:val="0"/>
              </w:rPr>
              <w:t>（</w:t>
            </w:r>
            <w:r>
              <w:rPr>
                <w:rFonts w:ascii="Times New Roman" w:hAnsi="Times New Roman"/>
                <w:bCs/>
                <w:snapToGrid w:val="0"/>
                <w:kern w:val="0"/>
              </w:rPr>
              <w:t>项目代码</w:t>
            </w:r>
            <w:r>
              <w:rPr>
                <w:rFonts w:hint="eastAsia" w:ascii="Times New Roman" w:hAnsi="Times New Roman"/>
                <w:bCs/>
                <w:snapToGrid w:val="0"/>
                <w:kern w:val="0"/>
              </w:rPr>
              <w:t>）</w:t>
            </w:r>
            <w:r>
              <w:rPr>
                <w:rFonts w:ascii="Times New Roman" w:hAnsi="Times New Roman"/>
                <w:bCs/>
                <w:snapToGrid w:val="0"/>
                <w:kern w:val="0"/>
              </w:rPr>
              <w:t>为：2307-530129-04-05-289404。因此，项目的建设符合国家和地区现行产业政策要求。</w:t>
            </w:r>
          </w:p>
          <w:p>
            <w:pPr>
              <w:adjustRightInd w:val="0"/>
              <w:spacing w:line="360" w:lineRule="auto"/>
              <w:rPr>
                <w:b/>
                <w:bCs/>
                <w:sz w:val="24"/>
              </w:rPr>
            </w:pPr>
            <w:r>
              <w:rPr>
                <w:b/>
                <w:bCs/>
                <w:sz w:val="24"/>
              </w:rPr>
              <w:t>3</w:t>
            </w:r>
            <w:r>
              <w:rPr>
                <w:rFonts w:hint="eastAsia"/>
                <w:b/>
                <w:bCs/>
                <w:sz w:val="24"/>
              </w:rPr>
              <w:t>、与《云南省主体功能区规划》的符合性分析</w:t>
            </w:r>
          </w:p>
          <w:p>
            <w:pPr>
              <w:adjustRightInd w:val="0"/>
              <w:spacing w:line="360" w:lineRule="auto"/>
              <w:ind w:firstLine="480" w:firstLineChars="200"/>
              <w:rPr>
                <w:sz w:val="24"/>
              </w:rPr>
            </w:pPr>
            <w:r>
              <w:rPr>
                <w:rFonts w:hint="eastAsia"/>
                <w:sz w:val="24"/>
              </w:rPr>
              <w:t>云南省人民政府于2014年1月6日印发了《云南省主体功能区规划》（云政发〔2014〕1号文），根据规划，将云南省国土空间分为重点开发区域、限制开发区域和禁止开发区域三种区域。</w:t>
            </w:r>
          </w:p>
          <w:p>
            <w:pPr>
              <w:adjustRightInd w:val="0"/>
              <w:spacing w:line="360" w:lineRule="auto"/>
              <w:ind w:firstLine="480" w:firstLineChars="200"/>
              <w:rPr>
                <w:sz w:val="24"/>
              </w:rPr>
            </w:pPr>
            <w:r>
              <w:rPr>
                <w:rFonts w:hint="eastAsia"/>
                <w:sz w:val="24"/>
              </w:rPr>
              <w:t>拟建项目位于昆明市寻甸县中部，根据《云南省主体功能区规划》，</w:t>
            </w:r>
            <w:r>
              <w:rPr>
                <w:rFonts w:hint="eastAsia"/>
                <w:kern w:val="0"/>
                <w:sz w:val="24"/>
              </w:rPr>
              <w:t>寻甸县大部分被划定为国家重点开发区域，少部分被划定为国家禁止开发区</w:t>
            </w:r>
            <w:r>
              <w:rPr>
                <w:rFonts w:hint="eastAsia"/>
                <w:sz w:val="24"/>
              </w:rPr>
              <w:t>。国家</w:t>
            </w:r>
            <w:r>
              <w:rPr>
                <w:rFonts w:hint="eastAsia"/>
                <w:kern w:val="0"/>
                <w:sz w:val="24"/>
              </w:rPr>
              <w:t>重点开发区域</w:t>
            </w:r>
            <w:r>
              <w:rPr>
                <w:rFonts w:hint="eastAsia"/>
                <w:sz w:val="24"/>
              </w:rPr>
              <w:t>功能定位是</w:t>
            </w:r>
            <w:r>
              <w:rPr>
                <w:rFonts w:hint="eastAsia"/>
                <w:color w:val="000000" w:themeColor="text1"/>
                <w:kern w:val="0"/>
                <w:sz w:val="24"/>
                <w14:textFill>
                  <w14:solidFill>
                    <w14:schemeClr w14:val="tx1"/>
                  </w14:solidFill>
                </w14:textFill>
              </w:rPr>
              <w:t>支撑全省乃至全国经济增长的重要增长级，工业化和城镇化的密集区域，落实国家新一轮西部大开发战略、我国面向西南开放重要桥头堡战略，促进区域协调，实现科学发展、和谐发展、跨越发展的重要支撑点；重点开发区域应在优化结构、提高效益、降低消耗、保护环境的基础上推动经济可持续发展；推进新型工业化进程，提高自主创新能力，聚集创新要素，增强产业聚集能力，积极承接国际国内产业转移，形成分工协作的现代产业体系；加快推进城镇化，壮大城市综合实力，改善人居环境，提高聚集人口的能力；推进区域一体化，承接限制和禁止开发区域的人口转移，努力形成城市群和都市区；发挥区位优势，加快沿边地区对外开放，加强国际通道、口岸和城镇建设，形成若干支撑沿边对外开放的经济增长点，拓展我国对外开放的战略空间</w:t>
            </w:r>
            <w:r>
              <w:rPr>
                <w:rFonts w:hint="eastAsia"/>
                <w:sz w:val="24"/>
              </w:rPr>
              <w:t>。</w:t>
            </w:r>
          </w:p>
          <w:p>
            <w:pPr>
              <w:adjustRightInd w:val="0"/>
              <w:spacing w:line="360" w:lineRule="auto"/>
              <w:ind w:firstLine="480" w:firstLineChars="200"/>
              <w:rPr>
                <w:sz w:val="24"/>
              </w:rPr>
            </w:pPr>
            <w:r>
              <w:rPr>
                <w:rFonts w:hint="eastAsia"/>
                <w:sz w:val="24"/>
              </w:rPr>
              <w:t>根据项目与云南省主体功能区划分总图进行叠图分析（附图</w:t>
            </w:r>
            <w:r>
              <w:rPr>
                <w:sz w:val="24"/>
              </w:rPr>
              <w:t>9</w:t>
            </w:r>
            <w:r>
              <w:rPr>
                <w:rFonts w:hint="eastAsia"/>
                <w:sz w:val="24"/>
              </w:rPr>
              <w:t>）可知，项目区域位于国家</w:t>
            </w:r>
            <w:r>
              <w:rPr>
                <w:rFonts w:hint="eastAsia"/>
                <w:color w:val="000000" w:themeColor="text1"/>
                <w:kern w:val="0"/>
                <w:sz w:val="24"/>
                <w14:textFill>
                  <w14:solidFill>
                    <w14:schemeClr w14:val="tx1"/>
                  </w14:solidFill>
                </w14:textFill>
              </w:rPr>
              <w:t>重点开发区域，不涉及</w:t>
            </w:r>
            <w:r>
              <w:rPr>
                <w:rFonts w:hint="eastAsia"/>
                <w:kern w:val="0"/>
                <w:sz w:val="24"/>
              </w:rPr>
              <w:t>国家禁止开发区</w:t>
            </w:r>
            <w:r>
              <w:rPr>
                <w:rFonts w:hint="eastAsia"/>
                <w:sz w:val="24"/>
              </w:rPr>
              <w:t>。根据调查，本项目不涉及自然保护区、风景名胜区、森林公园、世界自然遗产地等环境敏感区，不占用生态保护红线、生态公益林及基本农田。项目选址多为荒山荒坡，土壤贫瘠，只有少部分植被覆盖的土地，光伏电站建设后将采取严格的水土保持措施和植被恢复措施，恢复周边植被，对于防止生态环境荒漠化是有益的，因此与《云南省主体功能区规划》的要求不相冲突。</w:t>
            </w:r>
          </w:p>
          <w:p>
            <w:pPr>
              <w:adjustRightInd w:val="0"/>
              <w:spacing w:line="360" w:lineRule="auto"/>
              <w:rPr>
                <w:b/>
                <w:bCs/>
                <w:sz w:val="24"/>
              </w:rPr>
            </w:pPr>
            <w:r>
              <w:rPr>
                <w:b/>
                <w:bCs/>
                <w:sz w:val="24"/>
              </w:rPr>
              <w:t>4</w:t>
            </w:r>
            <w:r>
              <w:rPr>
                <w:rFonts w:hint="eastAsia"/>
                <w:b/>
                <w:bCs/>
                <w:sz w:val="24"/>
              </w:rPr>
              <w:t>、与《云南省生态功能区划》的符合性分析</w:t>
            </w:r>
          </w:p>
          <w:p>
            <w:pPr>
              <w:adjustRightInd w:val="0"/>
              <w:spacing w:line="360" w:lineRule="auto"/>
              <w:ind w:firstLine="480" w:firstLineChars="200"/>
              <w:rPr>
                <w:sz w:val="24"/>
              </w:rPr>
            </w:pPr>
            <w:r>
              <w:rPr>
                <w:rFonts w:hint="eastAsia"/>
                <w:sz w:val="24"/>
              </w:rPr>
              <w:t>根据云南省的生态环境敏感性、生态系统服务功能分异规律及存在的主要生态问题，2009年9月云南省人民政府批复的《云南省生态功能区划》，将云南生态功能分为5个一级区（生态区）、19个二级区（生态亚区）和65个三级区（生态功能区）。经查询，项目区位于Ⅲ1-9普渡河干流、小江上游水土保持生态功能区，该功能区生态特征以中山峡谷地貌为主。年降雨量在普渡河河谷为800毫米，高原面上为1200-1500毫米，植被垂直地带性分布明显，现存植被以云南松林为主，土壤以红壤和紫色土为主；主要生态环境问题为森林质量较差，水土流失严重；生态环境敏感性为土壤侵蚀高度敏感；主要生态服务功能为金沙江中段峡谷地带的水土保持和生态灾害的综合治理；保护措施与发展方向为保护现有植被，加大封山育林的强度，营造水土保护林，严格退耕还林，提高区域的森林数量及质量。</w:t>
            </w:r>
          </w:p>
          <w:p>
            <w:pPr>
              <w:adjustRightInd w:val="0"/>
              <w:spacing w:line="360" w:lineRule="auto"/>
              <w:ind w:firstLine="480" w:firstLineChars="200"/>
              <w:rPr>
                <w:sz w:val="24"/>
              </w:rPr>
            </w:pPr>
            <w:r>
              <w:rPr>
                <w:rFonts w:hint="eastAsia"/>
                <w:sz w:val="24"/>
              </w:rPr>
              <w:t>根据调查，本项目不涉及自然保护区、风景名胜区、森林公园、世界自然遗产地等环境敏感区，不占用生态保护红线、公益林、基本农田、耕地。本项目为光伏发电项目，现有植被覆盖率较差，工程在做好环境保护和水土保持的基础上，在光伏板下方进行植被恢复，有益于改善水土流失现象，对主要生态系统服务功能基本无影响。因此，本项目与《云南省生态功能区划》要求相符。</w:t>
            </w:r>
          </w:p>
          <w:p>
            <w:pPr>
              <w:adjustRightInd w:val="0"/>
              <w:spacing w:line="360" w:lineRule="auto"/>
              <w:rPr>
                <w:b/>
                <w:bCs/>
                <w:sz w:val="24"/>
              </w:rPr>
            </w:pPr>
            <w:r>
              <w:rPr>
                <w:rFonts w:hint="eastAsia"/>
                <w:b/>
                <w:bCs/>
                <w:sz w:val="24"/>
              </w:rPr>
              <w:t>5、光伏用地符合性分析</w:t>
            </w:r>
          </w:p>
          <w:p>
            <w:pPr>
              <w:adjustRightInd w:val="0"/>
              <w:spacing w:line="360" w:lineRule="auto"/>
              <w:ind w:firstLine="482" w:firstLineChars="200"/>
              <w:rPr>
                <w:b/>
                <w:bCs/>
                <w:kern w:val="0"/>
                <w:sz w:val="24"/>
              </w:rPr>
            </w:pPr>
            <w:r>
              <w:rPr>
                <w:rFonts w:hint="eastAsia"/>
                <w:b/>
                <w:bCs/>
                <w:kern w:val="0"/>
                <w:sz w:val="24"/>
              </w:rPr>
              <w:t>（1）相关文件</w:t>
            </w:r>
          </w:p>
          <w:p>
            <w:pPr>
              <w:adjustRightInd w:val="0"/>
              <w:spacing w:line="360" w:lineRule="auto"/>
              <w:ind w:firstLine="480" w:firstLineChars="200"/>
              <w:rPr>
                <w:kern w:val="0"/>
                <w:sz w:val="24"/>
              </w:rPr>
            </w:pPr>
            <w:r>
              <w:rPr>
                <w:kern w:val="0"/>
                <w:sz w:val="24"/>
              </w:rPr>
              <w:t>根据</w:t>
            </w:r>
            <w:r>
              <w:rPr>
                <w:rFonts w:hint="eastAsia"/>
                <w:kern w:val="0"/>
                <w:sz w:val="24"/>
              </w:rPr>
              <w:t>《自然资源部办公厅 国家林业和草原局办公室 国家能源局综合司关于支持光伏发电产业发展规范用地管理有关工作的通知》（自然资办发〔2023〕12号）、</w:t>
            </w:r>
            <w:r>
              <w:rPr>
                <w:kern w:val="0"/>
                <w:sz w:val="24"/>
              </w:rPr>
              <w:t>《云南省林业和草原局 云南省能源局关于进一步规范光伏复合项目使用林草地有关事项的通知》（云林规〔2021〕5号）</w:t>
            </w:r>
            <w:r>
              <w:rPr>
                <w:rFonts w:hint="eastAsia"/>
                <w:kern w:val="0"/>
                <w:sz w:val="24"/>
              </w:rPr>
              <w:t>、</w:t>
            </w:r>
            <w:r>
              <w:rPr>
                <w:kern w:val="0"/>
                <w:sz w:val="24"/>
              </w:rPr>
              <w:t>《云南省能源局关于进一步支持光伏扶贫和规范光伏发电产业用地的通知》（云自然资〔2019〕196号）</w:t>
            </w:r>
            <w:r>
              <w:rPr>
                <w:rFonts w:hint="eastAsia"/>
                <w:kern w:val="0"/>
                <w:sz w:val="24"/>
              </w:rPr>
              <w:t>、《云南省能源局关于推进太阳能光伏开发利用的指导意见》（云能源水电〔2016〕15号），提出以下光伏用地要求：</w:t>
            </w:r>
          </w:p>
          <w:p>
            <w:pPr>
              <w:adjustRightInd w:val="0"/>
              <w:spacing w:line="360" w:lineRule="auto"/>
              <w:ind w:firstLine="480" w:firstLineChars="200"/>
              <w:rPr>
                <w:sz w:val="24"/>
              </w:rPr>
            </w:pPr>
            <w:r>
              <w:rPr>
                <w:rFonts w:hint="eastAsia"/>
                <w:sz w:val="24"/>
              </w:rPr>
              <w:t>项目选址应当避让耕地、生态保护红线、历史文化保护线、特殊自然景观价值和文化标识区域、天然林地、国家沙化土地封禁保护区（光伏发电项目输出线路允许穿越国家沙化土地封禁保护区）等。新建、扩建光伏发电项目，一律不得占用永久基本农田、基本草原、Ⅰ级保护林地和东北内蒙古重点国有林区。</w:t>
            </w:r>
          </w:p>
          <w:p>
            <w:pPr>
              <w:adjustRightInd w:val="0"/>
              <w:spacing w:line="360" w:lineRule="auto"/>
              <w:ind w:firstLine="480" w:firstLineChars="200"/>
              <w:rPr>
                <w:sz w:val="24"/>
              </w:rPr>
            </w:pPr>
            <w:r>
              <w:rPr>
                <w:rFonts w:hint="eastAsia"/>
                <w:sz w:val="24"/>
              </w:rPr>
              <w:t>光伏方阵用地不得占用耕地，占用其他农用地的，应根据实际合理控制，节约集约用地，尽量避免对生态和农业生产造成影响。光伏方阵用地涉及使用林地的，须采用林光互补模式，可使用年降水量400毫米以下区域的灌木林地以及其他区域覆盖度低于50%的灌木林地，不得采伐林木、割灌及破坏原有植被，不得将乔木林地、竹林地等采伐改造为灌木林地后架设光伏板；光伏支架最低点应高于灌木高度1米以上，每列光伏板南北方向应合理设置净间距，具体由各地结合实地确定，并采取有效水土保持措施，确保灌木覆盖度等生长状态不低于林光互补前水平。光伏方阵按规定使用灌木林地的，施工期间应办理临时使用林地手续，运营期间相关方签订协议，项目服务期满后应当恢复林地原状。光伏方阵用地涉及占用基本草原外草原的，地方林草主管部门应科学评估本地区草原资源与生态状况，合理确定项目的适建区域、建设模式与建设要求。鼓励采用“草光互补”模式。</w:t>
            </w:r>
          </w:p>
          <w:p>
            <w:pPr>
              <w:adjustRightInd w:val="0"/>
              <w:spacing w:line="360" w:lineRule="auto"/>
              <w:ind w:firstLine="480" w:firstLineChars="200"/>
              <w:rPr>
                <w:sz w:val="24"/>
              </w:rPr>
            </w:pPr>
            <w:r>
              <w:rPr>
                <w:rFonts w:hint="eastAsia"/>
                <w:sz w:val="24"/>
              </w:rPr>
              <w:t>光伏复合项目禁止在国家公园、自然保护区、森林公园、风景名胜区、草原公园等各类自然保护地，世界自然遗产地，野生动物重要栖息地，珍稀濒危和极小种群野生植物重要原生境，天然林保护重点区域、基本草原以及生态保护红线内建设。</w:t>
            </w:r>
          </w:p>
          <w:p>
            <w:pPr>
              <w:adjustRightInd w:val="0"/>
              <w:spacing w:line="360" w:lineRule="auto"/>
              <w:ind w:firstLine="480" w:firstLineChars="200"/>
              <w:rPr>
                <w:sz w:val="24"/>
              </w:rPr>
            </w:pPr>
            <w:r>
              <w:rPr>
                <w:rFonts w:hint="eastAsia"/>
                <w:sz w:val="24"/>
              </w:rPr>
              <w:t>光伏复合项目的生产区（包括升压站、配电室、控制室、新建进场道路、新建场内检修道路、集电线路等）、生活区（包括办公、住宿、食堂、活动场所、仓库等附属设施），禁止使用天然乔木林地；施工期临时设置的弃渣场、取土场、砂石场、堆料场、</w:t>
            </w:r>
            <w:r>
              <w:rPr>
                <w:rFonts w:hint="eastAsia"/>
                <w:sz w:val="24"/>
                <w:lang w:eastAsia="zh-CN"/>
              </w:rPr>
              <w:t>拌和站</w:t>
            </w:r>
            <w:r>
              <w:rPr>
                <w:rFonts w:hint="eastAsia"/>
                <w:sz w:val="24"/>
              </w:rPr>
              <w:t>、工棚、临时施工道路等，禁止使用乔木林地。电池组件阵列区在设计方面应当尽可能节约集约使用林地，光伏板最低沿与地面距离不得低于2.5m。光伏复合项目在满足正常运营的同时，须保证电池组件阵列下方不得改变林草地用途，不得裸露地表、硬化或作其他用途。</w:t>
            </w:r>
          </w:p>
          <w:p>
            <w:pPr>
              <w:adjustRightInd w:val="0"/>
              <w:spacing w:line="360" w:lineRule="auto"/>
              <w:ind w:firstLine="480" w:firstLineChars="200"/>
              <w:rPr>
                <w:kern w:val="0"/>
                <w:sz w:val="24"/>
              </w:rPr>
            </w:pPr>
            <w:r>
              <w:rPr>
                <w:rFonts w:hint="eastAsia"/>
                <w:kern w:val="0"/>
                <w:sz w:val="24"/>
              </w:rPr>
              <w:t>光伏复合项目施工期要切实做好项目区原生植被的保护，最大程度减少对植被的破坏。施工车辆、设备、人员进场后应尽量不破坏原有土层和地表植物，地埋电缆槽、临时弃渣场等确需对地表进行开挖的，施工单位应当严格按照设计范围进行施工，施工结束后立即开展植被恢复工作，县级林草主管部门对恢复情况进行检查验收。电池组件阵列区内林地上涉及散生木的，应当优化设计、尽量避让，在满足光伏电站正常建设运营的同时，尽可能减少对散生木的采伐。涉及古树名木的，一律避让。</w:t>
            </w:r>
          </w:p>
          <w:p>
            <w:pPr>
              <w:adjustRightInd w:val="0"/>
              <w:spacing w:line="360" w:lineRule="auto"/>
              <w:ind w:firstLine="480" w:firstLineChars="200"/>
              <w:rPr>
                <w:kern w:val="0"/>
                <w:sz w:val="24"/>
              </w:rPr>
            </w:pPr>
            <w:r>
              <w:rPr>
                <w:rFonts w:hint="eastAsia"/>
                <w:kern w:val="0"/>
                <w:sz w:val="24"/>
              </w:rPr>
              <w:t>光伏复合项目运营期要采取多种综合措施，确保项目区原生植被正常生长。施工前项目业主单位应当对项目区植被情况以图文或影像方式进行记录，申报办理许可手续时，将记录材料提交县级林草主管部门存档。运营期电池组件阵列下方原有植被盖度达到30%以上，且具备自然恢复条件的，以自然恢复植被为主，不采取开挖补种、更替树种、除草等人工干预措施；原有植被盖度达到20%以上30%以下，且具备自然恢复条件的，采取补植补种修复植被；原有植被盖度低于20%的，采取人工种草等措施改良植被及土壤条件，防止水土流失和土壤侵蚀。项目区内未设计建设的空地区域，不得破坏原有植被和损毁地表，项目业主单位可在不影响光伏复合项目运营安全的前提下，科学制定绿化方案，适度补植补种乡土树种、草种。</w:t>
            </w:r>
          </w:p>
          <w:p>
            <w:pPr>
              <w:adjustRightInd w:val="0"/>
              <w:spacing w:line="360" w:lineRule="auto"/>
              <w:ind w:firstLine="482" w:firstLineChars="200"/>
              <w:rPr>
                <w:b/>
                <w:bCs/>
                <w:sz w:val="24"/>
              </w:rPr>
            </w:pPr>
            <w:r>
              <w:rPr>
                <w:rFonts w:hint="eastAsia"/>
                <w:b/>
                <w:bCs/>
                <w:sz w:val="24"/>
              </w:rPr>
              <w:t>（2）符合性分析</w:t>
            </w:r>
          </w:p>
          <w:p>
            <w:pPr>
              <w:adjustRightInd w:val="0"/>
              <w:spacing w:line="360" w:lineRule="auto"/>
              <w:ind w:firstLine="480" w:firstLineChars="200"/>
              <w:rPr>
                <w:sz w:val="24"/>
              </w:rPr>
            </w:pPr>
            <w:r>
              <w:rPr>
                <w:rFonts w:hint="eastAsia"/>
                <w:sz w:val="24"/>
              </w:rPr>
              <w:t>本项目选址避让了永久基本农田、耕地、基本草原、生态保护红线、自然保护区、风景名胜区、重要湿地、国家公园、</w:t>
            </w:r>
            <w:r>
              <w:rPr>
                <w:kern w:val="0"/>
                <w:sz w:val="24"/>
              </w:rPr>
              <w:t>森林公园、濒危物种栖息地</w:t>
            </w:r>
            <w:r>
              <w:rPr>
                <w:rFonts w:hint="eastAsia"/>
                <w:kern w:val="0"/>
                <w:sz w:val="24"/>
              </w:rPr>
              <w:t>等敏感区域，所使用的土地均为其他林地（荒草坡）及裸土地，用地范围内植被稀少，林木覆盖度低，多为稀疏低矮灌木及荒草。</w:t>
            </w:r>
            <w:r>
              <w:rPr>
                <w:kern w:val="0"/>
                <w:sz w:val="24"/>
              </w:rPr>
              <w:t>本项目光伏组件离地</w:t>
            </w:r>
            <w:r>
              <w:rPr>
                <w:rFonts w:hint="eastAsia"/>
                <w:kern w:val="0"/>
                <w:sz w:val="24"/>
              </w:rPr>
              <w:t>高度不低于</w:t>
            </w:r>
            <w:r>
              <w:rPr>
                <w:kern w:val="0"/>
                <w:sz w:val="24"/>
              </w:rPr>
              <w:t>2.5m，</w:t>
            </w:r>
            <w:r>
              <w:rPr>
                <w:rFonts w:hint="eastAsia"/>
                <w:kern w:val="0"/>
                <w:sz w:val="24"/>
              </w:rPr>
              <w:t>光伏区现有植被高度在0</w:t>
            </w:r>
            <w:r>
              <w:rPr>
                <w:kern w:val="0"/>
                <w:sz w:val="24"/>
              </w:rPr>
              <w:t>.3~1.3</w:t>
            </w:r>
            <w:r>
              <w:rPr>
                <w:rFonts w:hint="eastAsia"/>
                <w:kern w:val="0"/>
                <w:sz w:val="24"/>
              </w:rPr>
              <w:t>m之间，满足</w:t>
            </w:r>
            <w:r>
              <w:rPr>
                <w:rFonts w:hint="eastAsia"/>
                <w:sz w:val="24"/>
              </w:rPr>
              <w:t>光伏支架最低点应高于灌木高度1米以上的要求，能</w:t>
            </w:r>
            <w:r>
              <w:rPr>
                <w:rFonts w:hint="eastAsia"/>
                <w:kern w:val="0"/>
                <w:sz w:val="24"/>
              </w:rPr>
              <w:t>满足下方灌草生长条件，选址阶段对区域内散生木进行了避让，</w:t>
            </w:r>
            <w:r>
              <w:rPr>
                <w:kern w:val="0"/>
                <w:sz w:val="24"/>
              </w:rPr>
              <w:t>项目实施后光伏区</w:t>
            </w:r>
            <w:r>
              <w:rPr>
                <w:rFonts w:hint="eastAsia"/>
                <w:kern w:val="0"/>
                <w:sz w:val="24"/>
              </w:rPr>
              <w:t>域</w:t>
            </w:r>
            <w:r>
              <w:rPr>
                <w:kern w:val="0"/>
                <w:sz w:val="24"/>
              </w:rPr>
              <w:t>除桩基用地外，其他地面均不硬化</w:t>
            </w:r>
            <w:r>
              <w:rPr>
                <w:rFonts w:hint="eastAsia"/>
                <w:kern w:val="0"/>
                <w:sz w:val="24"/>
              </w:rPr>
              <w:t>，尽量保留原生植被，</w:t>
            </w:r>
            <w:r>
              <w:rPr>
                <w:kern w:val="0"/>
                <w:sz w:val="24"/>
              </w:rPr>
              <w:t>建成后</w:t>
            </w:r>
            <w:r>
              <w:rPr>
                <w:rFonts w:hint="eastAsia"/>
                <w:kern w:val="0"/>
                <w:sz w:val="24"/>
              </w:rPr>
              <w:t>根据植被盖度情况</w:t>
            </w:r>
            <w:r>
              <w:rPr>
                <w:kern w:val="0"/>
                <w:sz w:val="24"/>
              </w:rPr>
              <w:t>在</w:t>
            </w:r>
            <w:r>
              <w:rPr>
                <w:rFonts w:hint="eastAsia"/>
                <w:kern w:val="0"/>
                <w:sz w:val="24"/>
              </w:rPr>
              <w:t>光伏</w:t>
            </w:r>
            <w:r>
              <w:rPr>
                <w:kern w:val="0"/>
                <w:sz w:val="24"/>
              </w:rPr>
              <w:t>板下</w:t>
            </w:r>
            <w:r>
              <w:rPr>
                <w:rFonts w:hint="eastAsia"/>
                <w:kern w:val="0"/>
                <w:sz w:val="24"/>
              </w:rPr>
              <w:t>方</w:t>
            </w:r>
            <w:r>
              <w:rPr>
                <w:kern w:val="0"/>
                <w:sz w:val="24"/>
              </w:rPr>
              <w:t>适</w:t>
            </w:r>
            <w:r>
              <w:rPr>
                <w:rFonts w:hint="eastAsia"/>
                <w:kern w:val="0"/>
                <w:sz w:val="24"/>
              </w:rPr>
              <w:t>量补</w:t>
            </w:r>
            <w:r>
              <w:rPr>
                <w:kern w:val="0"/>
                <w:sz w:val="24"/>
              </w:rPr>
              <w:t>种</w:t>
            </w:r>
            <w:r>
              <w:rPr>
                <w:rFonts w:hint="eastAsia"/>
                <w:kern w:val="0"/>
                <w:sz w:val="24"/>
              </w:rPr>
              <w:t>林草</w:t>
            </w:r>
            <w:r>
              <w:rPr>
                <w:kern w:val="0"/>
                <w:sz w:val="24"/>
              </w:rPr>
              <w:t>，可减少土地的过度利用，降低土地退化，</w:t>
            </w:r>
            <w:r>
              <w:rPr>
                <w:rFonts w:hint="eastAsia"/>
                <w:kern w:val="0"/>
                <w:sz w:val="24"/>
              </w:rPr>
              <w:t>项目符合（自然资办发〔2023〕12号）、</w:t>
            </w:r>
            <w:r>
              <w:rPr>
                <w:kern w:val="0"/>
                <w:sz w:val="24"/>
              </w:rPr>
              <w:t>（云林规〔2021〕5号）</w:t>
            </w:r>
            <w:r>
              <w:rPr>
                <w:rFonts w:hint="eastAsia"/>
                <w:kern w:val="0"/>
                <w:sz w:val="24"/>
              </w:rPr>
              <w:t>、</w:t>
            </w:r>
            <w:r>
              <w:rPr>
                <w:kern w:val="0"/>
                <w:sz w:val="24"/>
              </w:rPr>
              <w:t>（云自然资〔2019〕196号）</w:t>
            </w:r>
            <w:r>
              <w:rPr>
                <w:rFonts w:hint="eastAsia"/>
                <w:kern w:val="0"/>
                <w:sz w:val="24"/>
              </w:rPr>
              <w:t>、（云能源水电〔2016〕15号）的要求。</w:t>
            </w:r>
          </w:p>
          <w:p>
            <w:pPr>
              <w:adjustRightInd w:val="0"/>
              <w:spacing w:line="360" w:lineRule="auto"/>
              <w:rPr>
                <w:b/>
                <w:bCs/>
                <w:sz w:val="24"/>
              </w:rPr>
            </w:pPr>
            <w:r>
              <w:rPr>
                <w:b/>
                <w:bCs/>
                <w:sz w:val="24"/>
              </w:rPr>
              <w:t>6、与长江经济带发展负面清单符合性分析</w:t>
            </w:r>
          </w:p>
          <w:p>
            <w:pPr>
              <w:adjustRightInd w:val="0"/>
              <w:spacing w:line="360" w:lineRule="auto"/>
              <w:ind w:firstLine="480" w:firstLineChars="200"/>
              <w:rPr>
                <w:kern w:val="0"/>
                <w:sz w:val="24"/>
              </w:rPr>
            </w:pPr>
            <w:r>
              <w:rPr>
                <w:kern w:val="0"/>
                <w:sz w:val="24"/>
              </w:rPr>
              <w:t>本项目与长江经济带发展负面清单符合性分析根据《长江经济带发展负面清单指南（试行，2022年版）》（长江办〔2022〕7号）要求和《云南省长江经济带发展负面清单指南实施细则（试行）》（云发改基础〔2022〕894号）要求进行分析。</w:t>
            </w:r>
          </w:p>
          <w:p>
            <w:pPr>
              <w:adjustRightInd w:val="0"/>
              <w:spacing w:line="360" w:lineRule="auto"/>
              <w:ind w:firstLine="482" w:firstLineChars="200"/>
              <w:rPr>
                <w:b/>
                <w:szCs w:val="21"/>
              </w:rPr>
            </w:pPr>
            <w:r>
              <w:rPr>
                <w:b/>
                <w:kern w:val="0"/>
                <w:sz w:val="24"/>
              </w:rPr>
              <w:t>（1）与《长江经济带发展负面清单指南（试行 2022年版）》（长江办〔2022〕7号）符合性分析</w:t>
            </w:r>
          </w:p>
          <w:p>
            <w:pPr>
              <w:adjustRightInd w:val="0"/>
              <w:jc w:val="center"/>
              <w:rPr>
                <w:b/>
                <w:bCs/>
                <w:szCs w:val="21"/>
              </w:rPr>
            </w:pPr>
            <w:r>
              <w:rPr>
                <w:b/>
                <w:bCs/>
                <w:szCs w:val="21"/>
              </w:rPr>
              <w:t>表1-2  与</w:t>
            </w:r>
            <w:r>
              <w:rPr>
                <w:rFonts w:ascii="宋体" w:hAnsi="宋体"/>
                <w:b/>
                <w:bCs/>
                <w:szCs w:val="21"/>
              </w:rPr>
              <w:t>“长江</w:t>
            </w:r>
            <w:r>
              <w:rPr>
                <w:b/>
                <w:bCs/>
                <w:szCs w:val="21"/>
              </w:rPr>
              <w:t>办〔2022〕7号</w:t>
            </w:r>
            <w:r>
              <w:rPr>
                <w:rFonts w:ascii="宋体" w:hAnsi="宋体"/>
                <w:b/>
                <w:bCs/>
                <w:szCs w:val="21"/>
              </w:rPr>
              <w:t>”符</w:t>
            </w:r>
            <w:r>
              <w:rPr>
                <w:b/>
                <w:bCs/>
                <w:szCs w:val="21"/>
              </w:rPr>
              <w:t>合性分析</w:t>
            </w:r>
          </w:p>
          <w:tbl>
            <w:tblPr>
              <w:tblStyle w:val="44"/>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5"/>
              <w:gridCol w:w="202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5" w:type="dxa"/>
                  <w:shd w:val="clear" w:color="auto" w:fill="auto"/>
                  <w:vAlign w:val="center"/>
                </w:tcPr>
                <w:p>
                  <w:pPr>
                    <w:adjustRightInd w:val="0"/>
                    <w:jc w:val="center"/>
                    <w:rPr>
                      <w:b/>
                      <w:szCs w:val="21"/>
                    </w:rPr>
                  </w:pPr>
                  <w:r>
                    <w:rPr>
                      <w:rFonts w:ascii="宋体" w:hAnsi="宋体"/>
                      <w:b/>
                      <w:szCs w:val="21"/>
                    </w:rPr>
                    <w:t>“长</w:t>
                  </w:r>
                  <w:r>
                    <w:rPr>
                      <w:b/>
                      <w:szCs w:val="21"/>
                    </w:rPr>
                    <w:t>江办〔2022〕7号</w:t>
                  </w:r>
                  <w:r>
                    <w:rPr>
                      <w:rFonts w:ascii="宋体" w:hAnsi="宋体"/>
                      <w:b/>
                      <w:szCs w:val="21"/>
                    </w:rPr>
                    <w:t>”相</w:t>
                  </w:r>
                  <w:r>
                    <w:rPr>
                      <w:b/>
                      <w:szCs w:val="21"/>
                    </w:rPr>
                    <w:t>关内容</w:t>
                  </w:r>
                </w:p>
              </w:tc>
              <w:tc>
                <w:tcPr>
                  <w:tcW w:w="2024" w:type="dxa"/>
                  <w:shd w:val="clear" w:color="auto" w:fill="auto"/>
                  <w:vAlign w:val="center"/>
                </w:tcPr>
                <w:p>
                  <w:pPr>
                    <w:adjustRightInd w:val="0"/>
                    <w:jc w:val="center"/>
                    <w:rPr>
                      <w:b/>
                      <w:szCs w:val="21"/>
                    </w:rPr>
                  </w:pPr>
                  <w:r>
                    <w:rPr>
                      <w:b/>
                      <w:szCs w:val="21"/>
                    </w:rPr>
                    <w:t>本项目内容</w:t>
                  </w:r>
                </w:p>
              </w:tc>
              <w:tc>
                <w:tcPr>
                  <w:tcW w:w="851" w:type="dxa"/>
                  <w:shd w:val="clear" w:color="auto" w:fill="auto"/>
                  <w:vAlign w:val="center"/>
                </w:tcPr>
                <w:p>
                  <w:pPr>
                    <w:adjustRightInd w:val="0"/>
                    <w:jc w:val="center"/>
                    <w:rPr>
                      <w:b/>
                      <w:szCs w:val="21"/>
                    </w:rPr>
                  </w:pPr>
                  <w:r>
                    <w:rPr>
                      <w:b/>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5" w:type="dxa"/>
                  <w:shd w:val="clear" w:color="auto" w:fill="auto"/>
                  <w:vAlign w:val="center"/>
                </w:tcPr>
                <w:p>
                  <w:pPr>
                    <w:adjustRightInd w:val="0"/>
                    <w:rPr>
                      <w:szCs w:val="21"/>
                    </w:rPr>
                  </w:pPr>
                  <w:r>
                    <w:rPr>
                      <w:szCs w:val="21"/>
                    </w:rPr>
                    <w:t>禁止在自然保护区核心区、缓冲区的岸线和河段范围内投资建设旅游和生产经营项目。禁止在风景名胜区核心景区的岸线和河段范围内投资建设与风景名胜资源保护无关的项目</w:t>
                  </w:r>
                </w:p>
              </w:tc>
              <w:tc>
                <w:tcPr>
                  <w:tcW w:w="2024" w:type="dxa"/>
                  <w:shd w:val="clear" w:color="auto" w:fill="auto"/>
                  <w:vAlign w:val="center"/>
                </w:tcPr>
                <w:p>
                  <w:pPr>
                    <w:adjustRightInd w:val="0"/>
                    <w:rPr>
                      <w:szCs w:val="21"/>
                    </w:rPr>
                  </w:pPr>
                  <w:r>
                    <w:rPr>
                      <w:szCs w:val="21"/>
                    </w:rPr>
                    <w:t>本项目用地不涉及自然保护区。</w:t>
                  </w:r>
                </w:p>
              </w:tc>
              <w:tc>
                <w:tcPr>
                  <w:tcW w:w="851" w:type="dxa"/>
                  <w:shd w:val="clear" w:color="auto" w:fill="auto"/>
                  <w:vAlign w:val="center"/>
                </w:tcPr>
                <w:p>
                  <w:pPr>
                    <w:adjustRightIn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5" w:type="dxa"/>
                  <w:shd w:val="clear" w:color="auto" w:fill="auto"/>
                  <w:vAlign w:val="center"/>
                </w:tcPr>
                <w:p>
                  <w:pPr>
                    <w:adjustRightInd w:val="0"/>
                    <w:rPr>
                      <w:szCs w:val="21"/>
                    </w:rPr>
                  </w:pPr>
                  <w:r>
                    <w:rPr>
                      <w:szCs w:val="21"/>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024" w:type="dxa"/>
                  <w:shd w:val="clear" w:color="auto" w:fill="auto"/>
                  <w:vAlign w:val="center"/>
                </w:tcPr>
                <w:p>
                  <w:pPr>
                    <w:adjustRightInd w:val="0"/>
                    <w:rPr>
                      <w:szCs w:val="21"/>
                    </w:rPr>
                  </w:pPr>
                  <w:r>
                    <w:rPr>
                      <w:szCs w:val="21"/>
                    </w:rPr>
                    <w:t>本项目用地不涉及饮用水源保护区。</w:t>
                  </w:r>
                </w:p>
              </w:tc>
              <w:tc>
                <w:tcPr>
                  <w:tcW w:w="851" w:type="dxa"/>
                  <w:shd w:val="clear" w:color="auto" w:fill="auto"/>
                  <w:vAlign w:val="center"/>
                </w:tcPr>
                <w:p>
                  <w:pPr>
                    <w:adjustRightIn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5" w:type="dxa"/>
                  <w:shd w:val="clear" w:color="auto" w:fill="auto"/>
                  <w:vAlign w:val="center"/>
                </w:tcPr>
                <w:p>
                  <w:pPr>
                    <w:adjustRightInd w:val="0"/>
                    <w:rPr>
                      <w:szCs w:val="21"/>
                    </w:rPr>
                  </w:pPr>
                  <w:r>
                    <w:rPr>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024" w:type="dxa"/>
                  <w:shd w:val="clear" w:color="auto" w:fill="auto"/>
                  <w:vAlign w:val="center"/>
                </w:tcPr>
                <w:p>
                  <w:pPr>
                    <w:adjustRightInd w:val="0"/>
                    <w:rPr>
                      <w:szCs w:val="21"/>
                    </w:rPr>
                  </w:pPr>
                  <w:r>
                    <w:rPr>
                      <w:szCs w:val="21"/>
                    </w:rPr>
                    <w:t>本项目用地不涉及水产种质资源保护区和国家湿地公园。</w:t>
                  </w:r>
                </w:p>
              </w:tc>
              <w:tc>
                <w:tcPr>
                  <w:tcW w:w="851" w:type="dxa"/>
                  <w:shd w:val="clear" w:color="auto" w:fill="auto"/>
                  <w:vAlign w:val="center"/>
                </w:tcPr>
                <w:p>
                  <w:pPr>
                    <w:adjustRightIn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5" w:type="dxa"/>
                  <w:shd w:val="clear" w:color="auto" w:fill="auto"/>
                  <w:vAlign w:val="center"/>
                </w:tcPr>
                <w:p>
                  <w:pPr>
                    <w:adjustRightInd w:val="0"/>
                    <w:rPr>
                      <w:szCs w:val="21"/>
                    </w:rPr>
                  </w:pPr>
                  <w:r>
                    <w:rPr>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024" w:type="dxa"/>
                  <w:shd w:val="clear" w:color="auto" w:fill="auto"/>
                  <w:vAlign w:val="center"/>
                </w:tcPr>
                <w:p>
                  <w:pPr>
                    <w:adjustRightInd w:val="0"/>
                    <w:rPr>
                      <w:szCs w:val="21"/>
                    </w:rPr>
                  </w:pPr>
                  <w:r>
                    <w:rPr>
                      <w:szCs w:val="21"/>
                    </w:rPr>
                    <w:t>本项目用地不属于《长江岸线保护和开发利用总体规划》划定的岸线保护区和保留区。</w:t>
                  </w:r>
                </w:p>
              </w:tc>
              <w:tc>
                <w:tcPr>
                  <w:tcW w:w="851" w:type="dxa"/>
                  <w:shd w:val="clear" w:color="auto" w:fill="auto"/>
                  <w:vAlign w:val="center"/>
                </w:tcPr>
                <w:p>
                  <w:pPr>
                    <w:adjustRightIn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5" w:type="dxa"/>
                  <w:shd w:val="clear" w:color="auto" w:fill="auto"/>
                  <w:vAlign w:val="center"/>
                </w:tcPr>
                <w:p>
                  <w:pPr>
                    <w:adjustRightInd w:val="0"/>
                    <w:rPr>
                      <w:szCs w:val="21"/>
                    </w:rPr>
                  </w:pPr>
                  <w:r>
                    <w:rPr>
                      <w:szCs w:val="21"/>
                    </w:rPr>
                    <w:t>禁止在长江干支流、重要湖泊岸线一公里范围内新建、扩建化工园区和化工项目。禁止在长江</w:t>
                  </w:r>
                  <w:r>
                    <w:rPr>
                      <w:rFonts w:hint="eastAsia"/>
                      <w:szCs w:val="21"/>
                    </w:rPr>
                    <w:t>干流</w:t>
                  </w:r>
                  <w:r>
                    <w:rPr>
                      <w:szCs w:val="21"/>
                    </w:rPr>
                    <w:t>岸线三公里范围内和重要支流岸线一公里范围内新建、改建、扩建尾矿库、冶炼渣库和磷石膏库，以提升安全、生态环境保护水平为目的的改建除外。</w:t>
                  </w:r>
                </w:p>
              </w:tc>
              <w:tc>
                <w:tcPr>
                  <w:tcW w:w="2024" w:type="dxa"/>
                  <w:shd w:val="clear" w:color="auto" w:fill="auto"/>
                  <w:vAlign w:val="center"/>
                </w:tcPr>
                <w:p>
                  <w:pPr>
                    <w:adjustRightInd w:val="0"/>
                    <w:rPr>
                      <w:szCs w:val="21"/>
                    </w:rPr>
                  </w:pPr>
                  <w:r>
                    <w:rPr>
                      <w:szCs w:val="21"/>
                    </w:rPr>
                    <w:t>本项目</w:t>
                  </w:r>
                  <w:r>
                    <w:rPr>
                      <w:rFonts w:hint="eastAsia"/>
                      <w:szCs w:val="21"/>
                    </w:rPr>
                    <w:t>为光伏发电，不属于前文所列项目</w:t>
                  </w:r>
                  <w:r>
                    <w:rPr>
                      <w:szCs w:val="21"/>
                    </w:rPr>
                    <w:t>。</w:t>
                  </w:r>
                </w:p>
              </w:tc>
              <w:tc>
                <w:tcPr>
                  <w:tcW w:w="851" w:type="dxa"/>
                  <w:shd w:val="clear" w:color="auto" w:fill="auto"/>
                  <w:vAlign w:val="center"/>
                </w:tcPr>
                <w:p>
                  <w:pPr>
                    <w:adjustRightInd w:val="0"/>
                    <w:jc w:val="center"/>
                    <w:rPr>
                      <w:szCs w:val="21"/>
                    </w:rPr>
                  </w:pPr>
                  <w:r>
                    <w:rPr>
                      <w:szCs w:val="21"/>
                    </w:rPr>
                    <w:t>符合</w:t>
                  </w:r>
                </w:p>
              </w:tc>
            </w:tr>
          </w:tbl>
          <w:p>
            <w:pPr>
              <w:adjustRightInd w:val="0"/>
              <w:spacing w:line="360" w:lineRule="auto"/>
              <w:ind w:firstLine="482" w:firstLineChars="200"/>
              <w:rPr>
                <w:b/>
                <w:kern w:val="0"/>
                <w:sz w:val="24"/>
              </w:rPr>
            </w:pPr>
            <w:r>
              <w:rPr>
                <w:b/>
                <w:kern w:val="0"/>
                <w:sz w:val="24"/>
              </w:rPr>
              <w:t>（2）与《云南省长江经济带发展负面清单指南实施细则（试行）》（云发改基础〔2022〕894号）的符合性分析</w:t>
            </w:r>
          </w:p>
          <w:p>
            <w:pPr>
              <w:adjustRightInd w:val="0"/>
              <w:jc w:val="center"/>
              <w:rPr>
                <w:b/>
                <w:bCs/>
                <w:szCs w:val="21"/>
              </w:rPr>
            </w:pPr>
            <w:r>
              <w:rPr>
                <w:b/>
                <w:bCs/>
                <w:szCs w:val="21"/>
              </w:rPr>
              <w:t>表1-3  与</w:t>
            </w:r>
            <w:r>
              <w:rPr>
                <w:rFonts w:ascii="宋体" w:hAnsi="宋体"/>
                <w:b/>
                <w:bCs/>
                <w:szCs w:val="21"/>
              </w:rPr>
              <w:t>“云发</w:t>
            </w:r>
            <w:r>
              <w:rPr>
                <w:b/>
                <w:bCs/>
                <w:szCs w:val="21"/>
              </w:rPr>
              <w:t>改基础〔2022〕894号</w:t>
            </w:r>
            <w:r>
              <w:rPr>
                <w:rFonts w:ascii="宋体" w:hAnsi="宋体"/>
                <w:b/>
                <w:bCs/>
                <w:szCs w:val="21"/>
              </w:rPr>
              <w:t>”符</w:t>
            </w:r>
            <w:r>
              <w:rPr>
                <w:b/>
                <w:bCs/>
                <w:szCs w:val="21"/>
              </w:rPr>
              <w:t>合性分析</w:t>
            </w:r>
          </w:p>
          <w:tbl>
            <w:tblPr>
              <w:tblStyle w:val="44"/>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6"/>
              <w:gridCol w:w="22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vAlign w:val="center"/>
                </w:tcPr>
                <w:p>
                  <w:pPr>
                    <w:adjustRightInd w:val="0"/>
                    <w:jc w:val="center"/>
                    <w:rPr>
                      <w:b/>
                      <w:szCs w:val="21"/>
                    </w:rPr>
                  </w:pPr>
                  <w:r>
                    <w:rPr>
                      <w:rFonts w:ascii="宋体" w:hAnsi="宋体"/>
                      <w:b/>
                      <w:szCs w:val="21"/>
                    </w:rPr>
                    <w:t>“云</w:t>
                  </w:r>
                  <w:r>
                    <w:rPr>
                      <w:b/>
                      <w:szCs w:val="21"/>
                    </w:rPr>
                    <w:t>发改基础〔2022〕894号</w:t>
                  </w:r>
                  <w:r>
                    <w:rPr>
                      <w:rFonts w:ascii="宋体" w:hAnsi="宋体"/>
                      <w:b/>
                      <w:szCs w:val="21"/>
                    </w:rPr>
                    <w:t>”相</w:t>
                  </w:r>
                  <w:r>
                    <w:rPr>
                      <w:b/>
                      <w:szCs w:val="21"/>
                    </w:rPr>
                    <w:t>关内容</w:t>
                  </w:r>
                </w:p>
              </w:tc>
              <w:tc>
                <w:tcPr>
                  <w:tcW w:w="2253" w:type="dxa"/>
                  <w:shd w:val="clear" w:color="auto" w:fill="auto"/>
                  <w:vAlign w:val="center"/>
                </w:tcPr>
                <w:p>
                  <w:pPr>
                    <w:adjustRightInd w:val="0"/>
                    <w:jc w:val="center"/>
                    <w:rPr>
                      <w:b/>
                      <w:szCs w:val="21"/>
                    </w:rPr>
                  </w:pPr>
                  <w:r>
                    <w:rPr>
                      <w:b/>
                      <w:szCs w:val="21"/>
                    </w:rPr>
                    <w:t>本项目内容</w:t>
                  </w:r>
                </w:p>
              </w:tc>
              <w:tc>
                <w:tcPr>
                  <w:tcW w:w="851" w:type="dxa"/>
                  <w:shd w:val="clear" w:color="auto" w:fill="auto"/>
                  <w:vAlign w:val="center"/>
                </w:tcPr>
                <w:p>
                  <w:pPr>
                    <w:adjustRightInd w:val="0"/>
                    <w:jc w:val="center"/>
                    <w:rPr>
                      <w:b/>
                      <w:szCs w:val="21"/>
                    </w:rPr>
                  </w:pPr>
                  <w:r>
                    <w:rPr>
                      <w:b/>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tcPr>
                <w:p>
                  <w:pPr>
                    <w:adjustRightInd w:val="0"/>
                    <w:jc w:val="left"/>
                    <w:rPr>
                      <w:szCs w:val="21"/>
                    </w:rPr>
                  </w:pPr>
                  <w:r>
                    <w:rPr>
                      <w:bCs/>
                      <w:kern w:val="0"/>
                      <w:szCs w:val="21"/>
                    </w:rPr>
                    <w:t>禁止新建、改建和扩建不符合《全国内河航道与港口布局规划》等全国港口规划和《昭通市港口码头岸线规划（金沙江段2019 年—2035年）</w:t>
                  </w:r>
                  <w:r>
                    <w:rPr>
                      <w:rFonts w:hint="eastAsia"/>
                      <w:bCs/>
                      <w:kern w:val="0"/>
                      <w:szCs w:val="21"/>
                    </w:rPr>
                    <w:t>》《</w:t>
                  </w:r>
                  <w:r>
                    <w:rPr>
                      <w:bCs/>
                      <w:kern w:val="0"/>
                      <w:szCs w:val="21"/>
                    </w:rPr>
                    <w:t>景洪港总体规划（2019—2035年）》等州（市）级以上港口布局规划以及港口总体规划的码头项目。</w:t>
                  </w:r>
                </w:p>
              </w:tc>
              <w:tc>
                <w:tcPr>
                  <w:tcW w:w="2253" w:type="dxa"/>
                  <w:shd w:val="clear" w:color="auto" w:fill="auto"/>
                  <w:vAlign w:val="center"/>
                </w:tcPr>
                <w:p>
                  <w:pPr>
                    <w:adjustRightInd w:val="0"/>
                    <w:jc w:val="center"/>
                    <w:rPr>
                      <w:szCs w:val="21"/>
                    </w:rPr>
                  </w:pPr>
                  <w:r>
                    <w:rPr>
                      <w:bCs/>
                      <w:kern w:val="0"/>
                      <w:szCs w:val="21"/>
                    </w:rPr>
                    <w:t>本项目属于光伏电站。</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tcPr>
                <w:p>
                  <w:pPr>
                    <w:adjustRightInd w:val="0"/>
                    <w:jc w:val="left"/>
                    <w:rPr>
                      <w:szCs w:val="21"/>
                    </w:rPr>
                  </w:pPr>
                  <w:r>
                    <w:rPr>
                      <w:bCs/>
                      <w:kern w:val="0"/>
                      <w:szCs w:val="21"/>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253" w:type="dxa"/>
                  <w:shd w:val="clear" w:color="auto" w:fill="auto"/>
                  <w:vAlign w:val="center"/>
                </w:tcPr>
                <w:p>
                  <w:pPr>
                    <w:adjustRightInd w:val="0"/>
                    <w:jc w:val="center"/>
                    <w:rPr>
                      <w:szCs w:val="21"/>
                    </w:rPr>
                  </w:pPr>
                  <w:r>
                    <w:rPr>
                      <w:bCs/>
                      <w:kern w:val="0"/>
                      <w:szCs w:val="21"/>
                    </w:rPr>
                    <w:t>项目用地不涉及自然保护区。</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tcPr>
                <w:p>
                  <w:pPr>
                    <w:adjustRightInd w:val="0"/>
                    <w:jc w:val="left"/>
                    <w:rPr>
                      <w:szCs w:val="21"/>
                    </w:rPr>
                  </w:pPr>
                  <w:r>
                    <w:rPr>
                      <w:bCs/>
                      <w:kern w:val="0"/>
                      <w:szCs w:val="21"/>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253" w:type="dxa"/>
                  <w:shd w:val="clear" w:color="auto" w:fill="auto"/>
                  <w:vAlign w:val="center"/>
                </w:tcPr>
                <w:p>
                  <w:pPr>
                    <w:adjustRightInd w:val="0"/>
                    <w:jc w:val="center"/>
                    <w:rPr>
                      <w:szCs w:val="21"/>
                    </w:rPr>
                  </w:pPr>
                  <w:r>
                    <w:rPr>
                      <w:bCs/>
                      <w:kern w:val="0"/>
                      <w:szCs w:val="21"/>
                    </w:rPr>
                    <w:t>项目用地不涉及风景名胜区。</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tcPr>
                <w:p>
                  <w:pPr>
                    <w:adjustRightInd w:val="0"/>
                    <w:jc w:val="left"/>
                    <w:rPr>
                      <w:szCs w:val="21"/>
                    </w:rPr>
                  </w:pPr>
                  <w:r>
                    <w:rPr>
                      <w:bCs/>
                      <w:kern w:val="0"/>
                      <w:szCs w:val="21"/>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253" w:type="dxa"/>
                  <w:shd w:val="clear" w:color="auto" w:fill="auto"/>
                  <w:vAlign w:val="center"/>
                </w:tcPr>
                <w:p>
                  <w:pPr>
                    <w:adjustRightInd w:val="0"/>
                    <w:jc w:val="center"/>
                    <w:rPr>
                      <w:szCs w:val="21"/>
                    </w:rPr>
                  </w:pPr>
                  <w:r>
                    <w:rPr>
                      <w:bCs/>
                      <w:kern w:val="0"/>
                      <w:szCs w:val="21"/>
                    </w:rPr>
                    <w:t>项目用地不涉及饮用水水源保护区。</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tcPr>
                <w:p>
                  <w:pPr>
                    <w:adjustRightInd w:val="0"/>
                    <w:rPr>
                      <w:szCs w:val="21"/>
                    </w:rPr>
                  </w:pPr>
                  <w:r>
                    <w:rPr>
                      <w:bCs/>
                      <w:kern w:val="0"/>
                      <w:szCs w:val="21"/>
                    </w:rPr>
                    <w:t>禁止在水产种质资源保护区的岸线和河段范围内新建围湖造田、围湖造地或</w:t>
                  </w:r>
                  <w:r>
                    <w:rPr>
                      <w:rFonts w:hint="eastAsia"/>
                      <w:bCs/>
                      <w:kern w:val="0"/>
                      <w:szCs w:val="21"/>
                      <w:lang w:eastAsia="zh-CN"/>
                    </w:rPr>
                    <w:t>围湖</w:t>
                  </w:r>
                  <w:r>
                    <w:rPr>
                      <w:bCs/>
                      <w:kern w:val="0"/>
                      <w:szCs w:val="21"/>
                    </w:rPr>
                    <w:t>填海等投资建设项目。禁止擅自征收、占用国家湿地公园的土地；禁止在国家湿地公园内挖沙、采矿，以及建设度假村、高尔夫球场等任何不符合主体功能定位的投资建设项目。</w:t>
                  </w:r>
                </w:p>
              </w:tc>
              <w:tc>
                <w:tcPr>
                  <w:tcW w:w="2253" w:type="dxa"/>
                  <w:shd w:val="clear" w:color="auto" w:fill="auto"/>
                  <w:vAlign w:val="center"/>
                </w:tcPr>
                <w:p>
                  <w:pPr>
                    <w:adjustRightInd w:val="0"/>
                    <w:jc w:val="center"/>
                    <w:rPr>
                      <w:szCs w:val="21"/>
                    </w:rPr>
                  </w:pPr>
                  <w:r>
                    <w:rPr>
                      <w:bCs/>
                      <w:kern w:val="0"/>
                      <w:szCs w:val="21"/>
                    </w:rPr>
                    <w:t>项目不涉及水产种质资源保护区。</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tcPr>
                <w:p>
                  <w:pPr>
                    <w:adjustRightInd w:val="0"/>
                    <w:rPr>
                      <w:szCs w:val="21"/>
                    </w:rPr>
                  </w:pPr>
                  <w:r>
                    <w:rPr>
                      <w:bCs/>
                      <w:kern w:val="0"/>
                      <w:szCs w:val="21"/>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253" w:type="dxa"/>
                  <w:shd w:val="clear" w:color="auto" w:fill="auto"/>
                  <w:vAlign w:val="center"/>
                </w:tcPr>
                <w:p>
                  <w:pPr>
                    <w:adjustRightInd w:val="0"/>
                    <w:jc w:val="center"/>
                    <w:rPr>
                      <w:szCs w:val="21"/>
                    </w:rPr>
                  </w:pPr>
                  <w:r>
                    <w:rPr>
                      <w:bCs/>
                      <w:kern w:val="0"/>
                      <w:szCs w:val="21"/>
                    </w:rPr>
                    <w:t>项目为光伏电站建设，不涉及金沙江岸线保护区和保留区。</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vAlign w:val="center"/>
                </w:tcPr>
                <w:p>
                  <w:pPr>
                    <w:adjustRightInd w:val="0"/>
                    <w:rPr>
                      <w:szCs w:val="21"/>
                    </w:rPr>
                  </w:pPr>
                  <w:r>
                    <w:rPr>
                      <w:bCs/>
                      <w:kern w:val="0"/>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253" w:type="dxa"/>
                  <w:shd w:val="clear" w:color="auto" w:fill="auto"/>
                  <w:vAlign w:val="center"/>
                </w:tcPr>
                <w:p>
                  <w:pPr>
                    <w:adjustRightInd w:val="0"/>
                    <w:jc w:val="center"/>
                    <w:rPr>
                      <w:szCs w:val="21"/>
                    </w:rPr>
                  </w:pPr>
                  <w:r>
                    <w:rPr>
                      <w:bCs/>
                      <w:kern w:val="0"/>
                      <w:szCs w:val="21"/>
                    </w:rPr>
                    <w:t>项目为光伏电站建设，最近处距离金沙江</w:t>
                  </w:r>
                  <w:r>
                    <w:rPr>
                      <w:rFonts w:hint="eastAsia"/>
                      <w:bCs/>
                      <w:kern w:val="0"/>
                      <w:szCs w:val="21"/>
                    </w:rPr>
                    <w:t>干流超</w:t>
                  </w:r>
                  <w:r>
                    <w:rPr>
                      <w:bCs/>
                      <w:kern w:val="0"/>
                      <w:szCs w:val="21"/>
                    </w:rPr>
                    <w:t>50km</w:t>
                  </w:r>
                  <w:r>
                    <w:rPr>
                      <w:rFonts w:hint="eastAsia"/>
                      <w:bCs/>
                      <w:kern w:val="0"/>
                      <w:szCs w:val="21"/>
                    </w:rPr>
                    <w:t>，项目不设排污口</w:t>
                  </w:r>
                  <w:r>
                    <w:rPr>
                      <w:bCs/>
                      <w:kern w:val="0"/>
                      <w:szCs w:val="21"/>
                    </w:rPr>
                    <w:t>。</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vAlign w:val="center"/>
                </w:tcPr>
                <w:p>
                  <w:pPr>
                    <w:adjustRightInd w:val="0"/>
                    <w:rPr>
                      <w:szCs w:val="21"/>
                    </w:rPr>
                  </w:pPr>
                  <w:r>
                    <w:rPr>
                      <w:bCs/>
                      <w:kern w:val="0"/>
                      <w:szCs w:val="21"/>
                    </w:rPr>
                    <w:t>禁止在金沙江干流、长江一级支流、水生生物保护区和长江流域禁捕水域开展天然渔业资源生产性捕捞。</w:t>
                  </w:r>
                </w:p>
              </w:tc>
              <w:tc>
                <w:tcPr>
                  <w:tcW w:w="2253" w:type="dxa"/>
                  <w:shd w:val="clear" w:color="auto" w:fill="auto"/>
                  <w:vAlign w:val="center"/>
                </w:tcPr>
                <w:p>
                  <w:pPr>
                    <w:adjustRightInd w:val="0"/>
                    <w:jc w:val="center"/>
                    <w:rPr>
                      <w:color w:val="FF0000"/>
                      <w:szCs w:val="21"/>
                    </w:rPr>
                  </w:pPr>
                  <w:r>
                    <w:rPr>
                      <w:bCs/>
                      <w:kern w:val="0"/>
                      <w:szCs w:val="21"/>
                    </w:rPr>
                    <w:t>项目为光伏电站建设。</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vAlign w:val="center"/>
                </w:tcPr>
                <w:p>
                  <w:pPr>
                    <w:adjustRightInd w:val="0"/>
                    <w:rPr>
                      <w:szCs w:val="21"/>
                    </w:rPr>
                  </w:pPr>
                  <w:r>
                    <w:rPr>
                      <w:bCs/>
                      <w:kern w:val="0"/>
                      <w:szCs w:val="21"/>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253" w:type="dxa"/>
                  <w:shd w:val="clear" w:color="auto" w:fill="auto"/>
                  <w:vAlign w:val="center"/>
                </w:tcPr>
                <w:p>
                  <w:pPr>
                    <w:adjustRightInd w:val="0"/>
                    <w:jc w:val="center"/>
                    <w:rPr>
                      <w:color w:val="FF0000"/>
                      <w:szCs w:val="21"/>
                    </w:rPr>
                  </w:pPr>
                  <w:r>
                    <w:rPr>
                      <w:bCs/>
                      <w:kern w:val="0"/>
                      <w:szCs w:val="21"/>
                    </w:rPr>
                    <w:t>项目为光伏电站建设，</w:t>
                  </w:r>
                  <w:r>
                    <w:rPr>
                      <w:rFonts w:hint="eastAsia"/>
                      <w:bCs/>
                      <w:kern w:val="0"/>
                      <w:szCs w:val="21"/>
                    </w:rPr>
                    <w:t>不属于前述项目</w:t>
                  </w:r>
                  <w:r>
                    <w:rPr>
                      <w:bCs/>
                      <w:kern w:val="0"/>
                      <w:szCs w:val="21"/>
                    </w:rPr>
                    <w:t>。</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vAlign w:val="center"/>
                </w:tcPr>
                <w:p>
                  <w:pPr>
                    <w:adjustRightInd w:val="0"/>
                    <w:rPr>
                      <w:szCs w:val="21"/>
                    </w:rPr>
                  </w:pPr>
                  <w:r>
                    <w:rPr>
                      <w:bCs/>
                      <w:kern w:val="0"/>
                      <w:szCs w:val="21"/>
                    </w:rPr>
                    <w:t>禁止在合规园区外新建、扩建钢铁、石化、化工、焦化、建材、有色、制浆造纸行业中的高污染项目。</w:t>
                  </w:r>
                </w:p>
              </w:tc>
              <w:tc>
                <w:tcPr>
                  <w:tcW w:w="2253" w:type="dxa"/>
                  <w:shd w:val="clear" w:color="auto" w:fill="auto"/>
                  <w:vAlign w:val="center"/>
                </w:tcPr>
                <w:p>
                  <w:pPr>
                    <w:adjustRightInd w:val="0"/>
                    <w:jc w:val="center"/>
                    <w:rPr>
                      <w:szCs w:val="21"/>
                    </w:rPr>
                  </w:pPr>
                  <w:r>
                    <w:rPr>
                      <w:bCs/>
                      <w:kern w:val="0"/>
                      <w:szCs w:val="21"/>
                    </w:rPr>
                    <w:t>项目为光伏电站建设，属于清洁能源项目。</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vAlign w:val="center"/>
                </w:tcPr>
                <w:p>
                  <w:pPr>
                    <w:adjustRightInd w:val="0"/>
                    <w:rPr>
                      <w:szCs w:val="21"/>
                    </w:rPr>
                  </w:pPr>
                  <w:r>
                    <w:rPr>
                      <w:bCs/>
                      <w:kern w:val="0"/>
                      <w:szCs w:val="21"/>
                    </w:rPr>
                    <w:t>禁止新建、扩建不符合国家石化、现代煤化工等产业布局规划的项目。禁止列入《云南省城镇人口密集区危险化学品生产企业搬迁改造名单》的搬迁改造企业在原址新建、扩建危险化学品生产项目。</w:t>
                  </w:r>
                </w:p>
              </w:tc>
              <w:tc>
                <w:tcPr>
                  <w:tcW w:w="2253" w:type="dxa"/>
                  <w:shd w:val="clear" w:color="auto" w:fill="auto"/>
                  <w:vAlign w:val="center"/>
                </w:tcPr>
                <w:p>
                  <w:pPr>
                    <w:adjustRightInd w:val="0"/>
                    <w:jc w:val="center"/>
                    <w:rPr>
                      <w:szCs w:val="21"/>
                    </w:rPr>
                  </w:pPr>
                  <w:r>
                    <w:rPr>
                      <w:bCs/>
                      <w:kern w:val="0"/>
                      <w:szCs w:val="21"/>
                    </w:rPr>
                    <w:t>项目为光伏电站建设，不属于该条款所列的项目。</w:t>
                  </w:r>
                </w:p>
              </w:tc>
              <w:tc>
                <w:tcPr>
                  <w:tcW w:w="851" w:type="dxa"/>
                  <w:shd w:val="clear" w:color="auto" w:fill="auto"/>
                  <w:vAlign w:val="center"/>
                </w:tcPr>
                <w:p>
                  <w:pPr>
                    <w:adjustRightInd w:val="0"/>
                    <w:jc w:val="center"/>
                    <w:rPr>
                      <w:szCs w:val="21"/>
                    </w:rPr>
                  </w:pPr>
                  <w:r>
                    <w:rPr>
                      <w:bCs/>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76" w:type="dxa"/>
                  <w:shd w:val="clear" w:color="auto" w:fill="auto"/>
                </w:tcPr>
                <w:p>
                  <w:pPr>
                    <w:adjustRightInd w:val="0"/>
                    <w:rPr>
                      <w:szCs w:val="21"/>
                    </w:rPr>
                  </w:pPr>
                  <w:r>
                    <w:rPr>
                      <w:bCs/>
                      <w:kern w:val="0"/>
                      <w:szCs w:val="21"/>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w:t>
                  </w:r>
                  <w:r>
                    <w:rPr>
                      <w:rFonts w:ascii="宋体" w:hAnsi="宋体"/>
                      <w:bCs/>
                      <w:kern w:val="0"/>
                      <w:szCs w:val="21"/>
                    </w:rPr>
                    <w:t>“限制类”</w:t>
                  </w:r>
                  <w:r>
                    <w:rPr>
                      <w:bCs/>
                      <w:kern w:val="0"/>
                      <w:szCs w:val="21"/>
                    </w:rPr>
                    <w:t>产能。禁止建设高毒高残留以及对环境影响大的农药原药生产装置，严控尿素、磷铵、电石、焦炭、黄磷、烧碱、纯碱、聚氯乙烯等行业新增产能。</w:t>
                  </w:r>
                </w:p>
              </w:tc>
              <w:tc>
                <w:tcPr>
                  <w:tcW w:w="2253" w:type="dxa"/>
                  <w:shd w:val="clear" w:color="auto" w:fill="auto"/>
                  <w:vAlign w:val="center"/>
                </w:tcPr>
                <w:p>
                  <w:pPr>
                    <w:adjustRightInd w:val="0"/>
                    <w:jc w:val="center"/>
                    <w:rPr>
                      <w:szCs w:val="21"/>
                    </w:rPr>
                  </w:pPr>
                  <w:r>
                    <w:rPr>
                      <w:bCs/>
                      <w:kern w:val="0"/>
                      <w:szCs w:val="21"/>
                    </w:rPr>
                    <w:t>对照《产业结构调整指导目录》（2019年本），项目属于鼓励类。</w:t>
                  </w:r>
                </w:p>
              </w:tc>
              <w:tc>
                <w:tcPr>
                  <w:tcW w:w="851" w:type="dxa"/>
                  <w:shd w:val="clear" w:color="auto" w:fill="auto"/>
                  <w:vAlign w:val="center"/>
                </w:tcPr>
                <w:p>
                  <w:pPr>
                    <w:adjustRightInd w:val="0"/>
                    <w:jc w:val="center"/>
                    <w:rPr>
                      <w:szCs w:val="21"/>
                    </w:rPr>
                  </w:pPr>
                  <w:r>
                    <w:rPr>
                      <w:bCs/>
                      <w:kern w:val="0"/>
                      <w:szCs w:val="21"/>
                    </w:rPr>
                    <w:t>符合</w:t>
                  </w:r>
                </w:p>
              </w:tc>
            </w:tr>
          </w:tbl>
          <w:p>
            <w:pPr>
              <w:adjustRightInd w:val="0"/>
              <w:spacing w:line="360" w:lineRule="auto"/>
              <w:ind w:firstLine="480" w:firstLineChars="200"/>
              <w:rPr>
                <w:kern w:val="0"/>
                <w:sz w:val="24"/>
              </w:rPr>
            </w:pPr>
            <w:r>
              <w:rPr>
                <w:kern w:val="0"/>
                <w:sz w:val="24"/>
              </w:rPr>
              <w:t>根据表1-2和表1-3分析，本项目建设使用林地符合</w:t>
            </w:r>
            <w:r>
              <w:rPr>
                <w:rFonts w:ascii="宋体" w:hAnsi="宋体"/>
                <w:kern w:val="0"/>
                <w:sz w:val="24"/>
              </w:rPr>
              <w:t>“长江</w:t>
            </w:r>
            <w:r>
              <w:rPr>
                <w:kern w:val="0"/>
                <w:sz w:val="24"/>
              </w:rPr>
              <w:t>办〔2022〕7</w:t>
            </w:r>
            <w:r>
              <w:rPr>
                <w:rFonts w:ascii="宋体" w:hAnsi="宋体"/>
                <w:kern w:val="0"/>
                <w:sz w:val="24"/>
              </w:rPr>
              <w:t>号”和“云</w:t>
            </w:r>
            <w:r>
              <w:rPr>
                <w:kern w:val="0"/>
                <w:sz w:val="24"/>
              </w:rPr>
              <w:t>发改基础〔2022〕894号</w:t>
            </w:r>
            <w:r>
              <w:rPr>
                <w:rFonts w:ascii="宋体" w:hAnsi="宋体"/>
                <w:kern w:val="0"/>
                <w:sz w:val="24"/>
              </w:rPr>
              <w:t>”相</w:t>
            </w:r>
            <w:r>
              <w:rPr>
                <w:kern w:val="0"/>
                <w:sz w:val="24"/>
              </w:rPr>
              <w:t>关内容要求。</w:t>
            </w:r>
          </w:p>
          <w:p>
            <w:pPr>
              <w:autoSpaceDE w:val="0"/>
              <w:autoSpaceDN w:val="0"/>
              <w:adjustRightInd w:val="0"/>
              <w:spacing w:line="360" w:lineRule="auto"/>
              <w:rPr>
                <w:b/>
                <w:bCs/>
                <w:kern w:val="0"/>
                <w:sz w:val="24"/>
              </w:rPr>
            </w:pPr>
            <w:r>
              <w:rPr>
                <w:b/>
                <w:bCs/>
                <w:kern w:val="0"/>
                <w:sz w:val="24"/>
              </w:rPr>
              <w:t>7、与《云南省生物多样性保护战略于行动计划（2012-2030年）》的相符性分析</w:t>
            </w:r>
          </w:p>
          <w:p>
            <w:pPr>
              <w:autoSpaceDE w:val="0"/>
              <w:autoSpaceDN w:val="0"/>
              <w:adjustRightInd w:val="0"/>
              <w:spacing w:line="360" w:lineRule="auto"/>
              <w:ind w:firstLine="480" w:firstLineChars="200"/>
              <w:rPr>
                <w:kern w:val="0"/>
                <w:sz w:val="24"/>
              </w:rPr>
            </w:pPr>
            <w:r>
              <w:rPr>
                <w:kern w:val="0"/>
                <w:sz w:val="24"/>
              </w:rPr>
              <w:t>为进一步加强云南生物多样性保护工作，积极推进生态文明建设，云南省生物多样性保护联席会议组织编制了《云南省生物多样性保护战略与行动计划（2012－2030年）》，划定了生物多样性保护的6个优先区域，提出了9大保护优先领域和34项行动。2013年2月5日云南省人民政府十二届第二次常务会议审议通过了《云南省生物多样性保护战略与行动计划（2012－2030年）》，作为我省未来20年生物多样性资源有效保护和可持续利用的指导性文件。</w:t>
            </w:r>
          </w:p>
          <w:p>
            <w:pPr>
              <w:adjustRightInd w:val="0"/>
              <w:jc w:val="center"/>
              <w:rPr>
                <w:b/>
                <w:bCs/>
                <w:szCs w:val="21"/>
              </w:rPr>
            </w:pPr>
            <w:r>
              <w:rPr>
                <w:b/>
                <w:bCs/>
                <w:szCs w:val="21"/>
              </w:rPr>
              <w:t>表1-4  生物多样性保护优先区域划分</w:t>
            </w:r>
          </w:p>
          <w:tbl>
            <w:tblPr>
              <w:tblStyle w:val="44"/>
              <w:tblW w:w="81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62"/>
              <w:gridCol w:w="48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tcBorders>
                    <w:bottom w:val="single" w:color="auto" w:sz="6" w:space="0"/>
                    <w:right w:val="single" w:color="auto" w:sz="6" w:space="0"/>
                  </w:tcBorders>
                  <w:vAlign w:val="center"/>
                </w:tcPr>
                <w:p>
                  <w:pPr>
                    <w:adjustRightInd w:val="0"/>
                    <w:jc w:val="center"/>
                    <w:rPr>
                      <w:b/>
                      <w:szCs w:val="21"/>
                    </w:rPr>
                  </w:pPr>
                  <w:r>
                    <w:rPr>
                      <w:b/>
                      <w:szCs w:val="21"/>
                    </w:rPr>
                    <w:t>生物多样性保护一级优先区域</w:t>
                  </w:r>
                </w:p>
              </w:tc>
              <w:tc>
                <w:tcPr>
                  <w:tcW w:w="4876" w:type="dxa"/>
                  <w:tcBorders>
                    <w:left w:val="single" w:color="auto" w:sz="6" w:space="0"/>
                    <w:bottom w:val="single" w:color="auto" w:sz="6" w:space="0"/>
                  </w:tcBorders>
                  <w:vAlign w:val="center"/>
                </w:tcPr>
                <w:p>
                  <w:pPr>
                    <w:adjustRightInd w:val="0"/>
                    <w:jc w:val="center"/>
                    <w:rPr>
                      <w:b/>
                      <w:szCs w:val="21"/>
                    </w:rPr>
                  </w:pPr>
                  <w:r>
                    <w:rPr>
                      <w:b/>
                      <w:szCs w:val="21"/>
                    </w:rPr>
                    <w:t>生物多样性保护二级优先区域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restart"/>
                  <w:tcBorders>
                    <w:top w:val="single" w:color="auto" w:sz="6" w:space="0"/>
                    <w:bottom w:val="single" w:color="auto" w:sz="6" w:space="0"/>
                    <w:right w:val="single" w:color="auto" w:sz="6" w:space="0"/>
                  </w:tcBorders>
                  <w:vAlign w:val="center"/>
                </w:tcPr>
                <w:p>
                  <w:pPr>
                    <w:adjustRightInd w:val="0"/>
                    <w:rPr>
                      <w:szCs w:val="21"/>
                    </w:rPr>
                  </w:pPr>
                  <w:r>
                    <w:rPr>
                      <w:szCs w:val="21"/>
                    </w:rPr>
                    <w:t>1.滇西北高山峡谷针叶林区域</w:t>
                  </w: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1.1高黎贡山北段温凉性针叶林区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1.2梅里雪山——碧罗雪山寒温性针叶林区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1.3云岭山脉寒温性——暖温性针叶林区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1.4香格里拉山原寒温性针叶林区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restart"/>
                  <w:tcBorders>
                    <w:top w:val="single" w:color="auto" w:sz="6" w:space="0"/>
                    <w:bottom w:val="single" w:color="auto" w:sz="6" w:space="0"/>
                    <w:right w:val="single" w:color="auto" w:sz="6" w:space="0"/>
                  </w:tcBorders>
                  <w:vAlign w:val="center"/>
                </w:tcPr>
                <w:p>
                  <w:pPr>
                    <w:adjustRightInd w:val="0"/>
                    <w:rPr>
                      <w:szCs w:val="21"/>
                    </w:rPr>
                  </w:pPr>
                  <w:r>
                    <w:rPr>
                      <w:szCs w:val="21"/>
                    </w:rPr>
                    <w:t>2.云南南部边缘热带雨林区域</w:t>
                  </w: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2.1高黎贡山南段中山湿性常绿阔叶林区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2.2铜壁关热带雨林区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2</w:t>
                  </w:r>
                  <w:r>
                    <w:rPr>
                      <w:rFonts w:hint="eastAsia"/>
                      <w:szCs w:val="21"/>
                    </w:rPr>
                    <w:t>.</w:t>
                  </w:r>
                  <w:r>
                    <w:rPr>
                      <w:szCs w:val="21"/>
                    </w:rPr>
                    <w:t>3南汀河热带雨林区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2.4西双版纳热带雨林区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2.5红河湿润雨林区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tcBorders>
                    <w:top w:val="single" w:color="auto" w:sz="6" w:space="0"/>
                    <w:bottom w:val="single" w:color="auto" w:sz="6" w:space="0"/>
                    <w:right w:val="single" w:color="auto" w:sz="6" w:space="0"/>
                  </w:tcBorders>
                  <w:vAlign w:val="center"/>
                </w:tcPr>
                <w:p>
                  <w:pPr>
                    <w:adjustRightInd w:val="0"/>
                    <w:rPr>
                      <w:szCs w:val="21"/>
                    </w:rPr>
                  </w:pPr>
                  <w:r>
                    <w:rPr>
                      <w:szCs w:val="21"/>
                    </w:rPr>
                    <w:t>3.滇东南喀斯特东南季风阔叶林区域</w:t>
                  </w: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3滇东南喀斯特东南季风阔叶林区域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restart"/>
                  <w:tcBorders>
                    <w:top w:val="single" w:color="auto" w:sz="6" w:space="0"/>
                    <w:bottom w:val="single" w:color="auto" w:sz="6" w:space="0"/>
                    <w:right w:val="single" w:color="auto" w:sz="6" w:space="0"/>
                  </w:tcBorders>
                  <w:vAlign w:val="center"/>
                </w:tcPr>
                <w:p>
                  <w:pPr>
                    <w:adjustRightInd w:val="0"/>
                    <w:rPr>
                      <w:szCs w:val="21"/>
                    </w:rPr>
                  </w:pPr>
                  <w:r>
                    <w:rPr>
                      <w:szCs w:val="21"/>
                    </w:rPr>
                    <w:t>4.滇东北乌蒙山湿润常绿阔叶林区域</w:t>
                  </w: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4.1乌蒙山湿润常绿阔叶林区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4.2金沙江下游干热河谷区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restart"/>
                  <w:tcBorders>
                    <w:top w:val="single" w:color="auto" w:sz="6" w:space="0"/>
                    <w:bottom w:val="single" w:color="auto" w:sz="6" w:space="0"/>
                    <w:right w:val="single" w:color="auto" w:sz="6" w:space="0"/>
                  </w:tcBorders>
                  <w:vAlign w:val="center"/>
                </w:tcPr>
                <w:p>
                  <w:pPr>
                    <w:adjustRightInd w:val="0"/>
                    <w:rPr>
                      <w:szCs w:val="21"/>
                    </w:rPr>
                  </w:pPr>
                  <w:r>
                    <w:rPr>
                      <w:szCs w:val="21"/>
                    </w:rPr>
                    <w:t>5.澜沧江中游—哀牢山中山湿性常绿阔叶林区域</w:t>
                  </w: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5.1澜沧江中山宽谷常绿阔叶林区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5.2无量山中山湿性常绿阔叶林区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6" w:space="0"/>
                    <w:right w:val="single" w:color="auto" w:sz="6" w:space="0"/>
                  </w:tcBorders>
                  <w:vAlign w:val="center"/>
                </w:tcPr>
                <w:p>
                  <w:pPr>
                    <w:adjustRightInd w:val="0"/>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5.3哀牢山中山湿性常绿阔叶林区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restart"/>
                  <w:tcBorders>
                    <w:top w:val="single" w:color="auto" w:sz="6" w:space="0"/>
                    <w:bottom w:val="single" w:color="auto" w:sz="12" w:space="0"/>
                    <w:right w:val="single" w:color="auto" w:sz="6" w:space="0"/>
                  </w:tcBorders>
                  <w:vAlign w:val="center"/>
                </w:tcPr>
                <w:p>
                  <w:pPr>
                    <w:adjustRightInd w:val="0"/>
                    <w:rPr>
                      <w:szCs w:val="21"/>
                    </w:rPr>
                  </w:pPr>
                  <w:r>
                    <w:rPr>
                      <w:szCs w:val="21"/>
                    </w:rPr>
                    <w:t>6.云南高原湿地区域</w:t>
                  </w: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6.1滇中高原湖泊区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bottom w:val="single" w:color="auto" w:sz="12" w:space="0"/>
                    <w:right w:val="single" w:color="auto" w:sz="6" w:space="0"/>
                  </w:tcBorders>
                  <w:vAlign w:val="center"/>
                </w:tcPr>
                <w:p>
                  <w:pPr>
                    <w:adjustRightInd w:val="0"/>
                    <w:jc w:val="center"/>
                    <w:rPr>
                      <w:szCs w:val="21"/>
                    </w:rPr>
                  </w:pPr>
                </w:p>
              </w:tc>
              <w:tc>
                <w:tcPr>
                  <w:tcW w:w="4876" w:type="dxa"/>
                  <w:tcBorders>
                    <w:top w:val="single" w:color="auto" w:sz="6" w:space="0"/>
                    <w:left w:val="single" w:color="auto" w:sz="6" w:space="0"/>
                    <w:bottom w:val="single" w:color="auto" w:sz="6" w:space="0"/>
                  </w:tcBorders>
                  <w:vAlign w:val="center"/>
                </w:tcPr>
                <w:p>
                  <w:pPr>
                    <w:adjustRightInd w:val="0"/>
                    <w:rPr>
                      <w:szCs w:val="21"/>
                    </w:rPr>
                  </w:pPr>
                  <w:r>
                    <w:rPr>
                      <w:szCs w:val="21"/>
                    </w:rPr>
                    <w:t>6.2滇西北高原湖泊区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3262" w:type="dxa"/>
                  <w:vMerge w:val="continue"/>
                  <w:tcBorders>
                    <w:top w:val="single" w:color="auto" w:sz="6" w:space="0"/>
                    <w:right w:val="single" w:color="auto" w:sz="6" w:space="0"/>
                  </w:tcBorders>
                  <w:vAlign w:val="center"/>
                </w:tcPr>
                <w:p>
                  <w:pPr>
                    <w:adjustRightInd w:val="0"/>
                    <w:jc w:val="center"/>
                    <w:rPr>
                      <w:szCs w:val="21"/>
                    </w:rPr>
                  </w:pPr>
                </w:p>
              </w:tc>
              <w:tc>
                <w:tcPr>
                  <w:tcW w:w="4876" w:type="dxa"/>
                  <w:tcBorders>
                    <w:top w:val="single" w:color="auto" w:sz="6" w:space="0"/>
                    <w:left w:val="single" w:color="auto" w:sz="6" w:space="0"/>
                  </w:tcBorders>
                  <w:vAlign w:val="center"/>
                </w:tcPr>
                <w:p>
                  <w:pPr>
                    <w:adjustRightInd w:val="0"/>
                    <w:rPr>
                      <w:szCs w:val="21"/>
                    </w:rPr>
                  </w:pPr>
                  <w:r>
                    <w:rPr>
                      <w:szCs w:val="21"/>
                    </w:rPr>
                    <w:t>6.3滇东北高山沼泽化草甸区</w:t>
                  </w:r>
                </w:p>
              </w:tc>
            </w:tr>
          </w:tbl>
          <w:p>
            <w:pPr>
              <w:autoSpaceDE w:val="0"/>
              <w:autoSpaceDN w:val="0"/>
              <w:adjustRightInd w:val="0"/>
              <w:spacing w:line="360" w:lineRule="auto"/>
              <w:ind w:firstLine="480" w:firstLineChars="200"/>
              <w:rPr>
                <w:sz w:val="24"/>
              </w:rPr>
            </w:pPr>
            <w:r>
              <w:rPr>
                <w:kern w:val="0"/>
                <w:sz w:val="24"/>
              </w:rPr>
              <w:t>项目位于</w:t>
            </w:r>
            <w:r>
              <w:rPr>
                <w:rFonts w:hint="eastAsia"/>
                <w:kern w:val="0"/>
                <w:sz w:val="24"/>
              </w:rPr>
              <w:t>昆明市寻甸</w:t>
            </w:r>
            <w:r>
              <w:rPr>
                <w:kern w:val="0"/>
                <w:sz w:val="24"/>
              </w:rPr>
              <w:t>县</w:t>
            </w:r>
            <w:r>
              <w:rPr>
                <w:rFonts w:hint="eastAsia"/>
                <w:kern w:val="0"/>
                <w:sz w:val="24"/>
              </w:rPr>
              <w:t>金所街道</w:t>
            </w:r>
            <w:r>
              <w:rPr>
                <w:kern w:val="0"/>
                <w:sz w:val="24"/>
              </w:rPr>
              <w:t>，不涉及《云南省生物多样性保护战略与行动计划（2012－2030年）》中划定的6个优先区域范围，</w:t>
            </w:r>
            <w:r>
              <w:rPr>
                <w:sz w:val="24"/>
              </w:rPr>
              <w:t>项目用地主要</w:t>
            </w:r>
            <w:r>
              <w:rPr>
                <w:rFonts w:hint="eastAsia"/>
                <w:sz w:val="24"/>
              </w:rPr>
              <w:t>以寻甸</w:t>
            </w:r>
            <w:r>
              <w:rPr>
                <w:sz w:val="24"/>
              </w:rPr>
              <w:t>县的</w:t>
            </w:r>
            <w:r>
              <w:rPr>
                <w:rFonts w:hint="eastAsia"/>
                <w:sz w:val="24"/>
              </w:rPr>
              <w:t>其他林地（荒草</w:t>
            </w:r>
            <w:r>
              <w:rPr>
                <w:sz w:val="24"/>
              </w:rPr>
              <w:t>地</w:t>
            </w:r>
            <w:r>
              <w:rPr>
                <w:rFonts w:hint="eastAsia"/>
                <w:sz w:val="24"/>
              </w:rPr>
              <w:t>）</w:t>
            </w:r>
            <w:r>
              <w:rPr>
                <w:sz w:val="24"/>
              </w:rPr>
              <w:t>为主，不占用基本农田、天然林地，现有植被多为荒草和稀疏低矮灌木，施工结束后除桩基占地外，其它土地可以恢复种植树木和灌丛，项目建设对生态环境影响较小。项目符合《云南省生物多样性保护战略于行动计划（2012-2030年）》中规定的相关要求。</w:t>
            </w:r>
          </w:p>
          <w:p>
            <w:pPr>
              <w:autoSpaceDE w:val="0"/>
              <w:autoSpaceDN w:val="0"/>
              <w:adjustRightInd w:val="0"/>
              <w:spacing w:line="360" w:lineRule="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8</w:t>
            </w:r>
            <w:r>
              <w:rPr>
                <w:rFonts w:hint="eastAsia"/>
                <w:b/>
                <w:bCs/>
                <w:color w:val="000000" w:themeColor="text1"/>
                <w:kern w:val="0"/>
                <w:sz w:val="24"/>
                <w14:textFill>
                  <w14:solidFill>
                    <w14:schemeClr w14:val="tx1"/>
                  </w14:solidFill>
                </w14:textFill>
              </w:rPr>
              <w:t>、与</w:t>
            </w:r>
            <w:r>
              <w:rPr>
                <w:b/>
                <w:bCs/>
                <w:color w:val="000000" w:themeColor="text1"/>
                <w:kern w:val="0"/>
                <w:sz w:val="24"/>
                <w14:textFill>
                  <w14:solidFill>
                    <w14:schemeClr w14:val="tx1"/>
                  </w14:solidFill>
                </w14:textFill>
              </w:rPr>
              <w:t>《云南省生物多样性保护条例》符合性分析</w:t>
            </w:r>
          </w:p>
          <w:p>
            <w:pPr>
              <w:autoSpaceDE w:val="0"/>
              <w:autoSpaceDN w:val="0"/>
              <w:adjustRightIn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（1）《云南省生物多样性保护条例》基本情况</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《云南省生物多样性保护条例》旨在保护生物多样性，保障生态安全，由云南省第十三届人大常务委员会第五次会议于2018年9月21日审议通过并公布，共七章四十条，自2019年1月1日起施行。</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其中，《云南省生物多样性保护条例》第二十九条规定：</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新建、改建、扩建建设项目以及开发自然资源，应当依法开展环境影响评价。对可能造成重要生态系统破坏、损害重要物种及其栖息地和生境的，应当制定专项保护、恢复和补偿方案，纳入环境影响评价。</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在生物多样性保护优先区域的建设项目以及自然资源开发，应当评价对生物多样性的影响，并作为环境影响评价的重要组成部分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autoSpaceDE w:val="0"/>
              <w:autoSpaceDN w:val="0"/>
              <w:adjustRightIn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（2）符合性分析</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根据生态调查，</w:t>
            </w:r>
            <w:r>
              <w:rPr>
                <w:rFonts w:hint="eastAsia"/>
                <w:color w:val="000000" w:themeColor="text1"/>
                <w:sz w:val="24"/>
                <w14:textFill>
                  <w14:solidFill>
                    <w14:schemeClr w14:val="tx1"/>
                  </w14:solidFill>
                </w14:textFill>
              </w:rPr>
              <w:t>本工程评</w:t>
            </w:r>
            <w:r>
              <w:rPr>
                <w:rFonts w:hint="eastAsia"/>
                <w:sz w:val="24"/>
              </w:rPr>
              <w:t>价范围内</w:t>
            </w:r>
            <w:r>
              <w:rPr>
                <w:sz w:val="24"/>
              </w:rPr>
              <w:t>植被包括</w:t>
            </w:r>
            <w:r>
              <w:rPr>
                <w:rFonts w:hint="eastAsia"/>
                <w:sz w:val="24"/>
              </w:rPr>
              <w:t>针叶林、稀树灌木草丛等自然植被型</w:t>
            </w:r>
            <w:r>
              <w:rPr>
                <w:sz w:val="24"/>
              </w:rPr>
              <w:t>。</w:t>
            </w:r>
            <w:r>
              <w:rPr>
                <w:rFonts w:hint="eastAsia"/>
                <w:sz w:val="24"/>
              </w:rPr>
              <w:t>其中，工程影响植被所涉及的小</w:t>
            </w:r>
            <w:r>
              <w:rPr>
                <w:sz w:val="24"/>
              </w:rPr>
              <w:t>铁仔</w:t>
            </w:r>
            <w:r>
              <w:rPr>
                <w:rFonts w:hint="eastAsia"/>
                <w:sz w:val="24"/>
              </w:rPr>
              <w:t>、</w:t>
            </w:r>
            <w:r>
              <w:rPr>
                <w:sz w:val="24"/>
                <w:lang w:val="pt-BR"/>
              </w:rPr>
              <w:t>火棘</w:t>
            </w:r>
            <w:r>
              <w:rPr>
                <w:rFonts w:hint="eastAsia"/>
                <w:sz w:val="24"/>
                <w:lang w:val="pt-BR"/>
              </w:rPr>
              <w:t>、毛蕨、</w:t>
            </w:r>
            <w:r>
              <w:rPr>
                <w:rFonts w:hint="eastAsia"/>
                <w:sz w:val="24"/>
              </w:rPr>
              <w:t>旱茅物种，为</w:t>
            </w:r>
            <w:r>
              <w:rPr>
                <w:rFonts w:hint="eastAsia"/>
                <w:color w:val="000000" w:themeColor="text1"/>
                <w:sz w:val="24"/>
                <w14:textFill>
                  <w14:solidFill>
                    <w14:schemeClr w14:val="tx1"/>
                  </w14:solidFill>
                </w14:textFill>
              </w:rPr>
              <w:t>该区域各植被类型的优势物种。</w:t>
            </w:r>
            <w:r>
              <w:rPr>
                <w:color w:val="000000" w:themeColor="text1"/>
                <w:sz w:val="24"/>
                <w14:textFill>
                  <w14:solidFill>
                    <w14:schemeClr w14:val="tx1"/>
                  </w14:solidFill>
                </w14:textFill>
              </w:rPr>
              <w:t>工程占地范围内无重要生态系统、重要物种及其栖息地和生境</w:t>
            </w:r>
            <w:r>
              <w:rPr>
                <w:rFonts w:hint="eastAsia"/>
                <w:color w:val="000000" w:themeColor="text1"/>
                <w:sz w:val="24"/>
                <w14:textFill>
                  <w14:solidFill>
                    <w14:schemeClr w14:val="tx1"/>
                  </w14:solidFill>
                </w14:textFill>
              </w:rPr>
              <w:t>，项目建设不会造成重要生态系统破坏，不会损害重要物种及其栖息地和生境。</w:t>
            </w:r>
            <w:r>
              <w:rPr>
                <w:color w:val="000000" w:themeColor="text1"/>
                <w:sz w:val="24"/>
                <w14:textFill>
                  <w14:solidFill>
                    <w14:schemeClr w14:val="tx1"/>
                  </w14:solidFill>
                </w14:textFill>
              </w:rPr>
              <w:t>本工程的建设不违背《云南省生物多样性保护条例》的</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要求。</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14:textFill>
                  <w14:solidFill>
                    <w14:schemeClr w14:val="tx1"/>
                  </w14:solidFill>
                </w14:textFill>
              </w:rPr>
            </w:pPr>
          </w:p>
          <w:p>
            <w:pPr>
              <w:autoSpaceDE w:val="0"/>
              <w:autoSpaceDN w:val="0"/>
              <w:adjustRightInd w:val="0"/>
              <w:spacing w:line="360" w:lineRule="auto"/>
              <w:ind w:firstLine="420" w:firstLineChars="200"/>
              <w:rPr>
                <w:szCs w:val="21"/>
              </w:rPr>
            </w:pPr>
          </w:p>
        </w:tc>
      </w:tr>
    </w:tbl>
    <w:p>
      <w:pPr>
        <w:adjustRightInd w:val="0"/>
        <w:spacing w:line="360" w:lineRule="auto"/>
        <w:outlineLvl w:val="0"/>
        <w:rPr>
          <w:rFonts w:eastAsia="黑体"/>
          <w:szCs w:val="18"/>
        </w:rPr>
        <w:sectPr>
          <w:footerReference r:id="rId10" w:type="default"/>
          <w:pgSz w:w="11906" w:h="16838"/>
          <w:pgMar w:top="1531" w:right="1531" w:bottom="1531" w:left="1531" w:header="851" w:footer="1077" w:gutter="0"/>
          <w:pgNumType w:start="1"/>
          <w:cols w:space="720" w:num="1"/>
          <w:docGrid w:linePitch="332" w:charSpace="0"/>
        </w:sectPr>
      </w:pPr>
    </w:p>
    <w:p>
      <w:pPr>
        <w:pStyle w:val="38"/>
        <w:adjustRightInd w:val="0"/>
        <w:spacing w:before="0" w:beforeAutospacing="0" w:after="240" w:afterLines="100" w:afterAutospacing="0"/>
        <w:jc w:val="center"/>
        <w:outlineLvl w:val="0"/>
        <w:rPr>
          <w:rFonts w:ascii="黑体" w:hAnsi="黑体" w:eastAsia="黑体"/>
          <w:snapToGrid w:val="0"/>
          <w:sz w:val="30"/>
          <w:szCs w:val="30"/>
        </w:rPr>
      </w:pPr>
      <w:bookmarkStart w:id="10" w:name="_Toc129880758"/>
      <w:bookmarkStart w:id="11" w:name="_Toc140704261"/>
      <w:bookmarkStart w:id="12" w:name="_Toc129854114"/>
      <w:r>
        <w:rPr>
          <w:rFonts w:hint="eastAsia" w:ascii="黑体" w:hAnsi="黑体" w:eastAsia="黑体"/>
          <w:snapToGrid w:val="0"/>
          <w:sz w:val="30"/>
          <w:szCs w:val="30"/>
        </w:rPr>
        <w:t>二、建设内容</w:t>
      </w:r>
      <w:bookmarkEnd w:id="10"/>
      <w:bookmarkEnd w:id="11"/>
      <w:bookmarkEnd w:id="12"/>
    </w:p>
    <w:tbl>
      <w:tblPr>
        <w:tblStyle w:val="4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地理位置</w:t>
            </w:r>
          </w:p>
        </w:tc>
        <w:tc>
          <w:tcPr>
            <w:tcW w:w="8391" w:type="dxa"/>
            <w:vAlign w:val="center"/>
          </w:tcPr>
          <w:p>
            <w:pPr>
              <w:adjustRightInd w:val="0"/>
              <w:spacing w:line="360" w:lineRule="auto"/>
              <w:ind w:firstLine="480" w:firstLineChars="200"/>
              <w:rPr>
                <w:rFonts w:cs="宋体"/>
                <w:kern w:val="0"/>
                <w:sz w:val="24"/>
              </w:rPr>
            </w:pPr>
            <w:r>
              <w:rPr>
                <w:rFonts w:hint="eastAsia" w:cs="宋体"/>
                <w:kern w:val="0"/>
                <w:sz w:val="24"/>
              </w:rPr>
              <w:t>项目场址位于云南省昆明市寻甸金所街道摆宰社区蔡家村北侧，总体分布于寻甸县中部，距寻甸县直线距离约1</w:t>
            </w:r>
            <w:r>
              <w:rPr>
                <w:rFonts w:cs="宋体"/>
                <w:kern w:val="0"/>
                <w:sz w:val="24"/>
              </w:rPr>
              <w:t>5</w:t>
            </w:r>
            <w:r>
              <w:rPr>
                <w:rFonts w:hint="eastAsia" w:cs="宋体"/>
                <w:kern w:val="0"/>
                <w:sz w:val="24"/>
              </w:rPr>
              <w:t>km，场址地形开阔，适宜光伏建设。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项目组成及规模</w:t>
            </w:r>
          </w:p>
        </w:tc>
        <w:tc>
          <w:tcPr>
            <w:tcW w:w="8391" w:type="dxa"/>
            <w:vAlign w:val="center"/>
          </w:tcPr>
          <w:p>
            <w:pPr>
              <w:pStyle w:val="21"/>
              <w:adjustRightInd w:val="0"/>
              <w:snapToGrid/>
              <w:spacing w:before="0" w:after="0" w:line="360" w:lineRule="auto"/>
              <w:ind w:right="0"/>
              <w:rPr>
                <w:b/>
                <w:sz w:val="24"/>
                <w:szCs w:val="24"/>
              </w:rPr>
            </w:pPr>
            <w:r>
              <w:rPr>
                <w:rFonts w:hint="eastAsia"/>
                <w:b/>
                <w:bCs/>
                <w:sz w:val="24"/>
              </w:rPr>
              <w:t>1</w:t>
            </w:r>
            <w:r>
              <w:rPr>
                <w:b/>
                <w:sz w:val="24"/>
                <w:szCs w:val="24"/>
              </w:rPr>
              <w:t>、建设内容及规模</w:t>
            </w:r>
          </w:p>
          <w:p>
            <w:pPr>
              <w:adjustRightInd w:val="0"/>
              <w:spacing w:line="360" w:lineRule="auto"/>
              <w:ind w:firstLine="480" w:firstLineChars="200"/>
              <w:rPr>
                <w:sz w:val="24"/>
                <w:szCs w:val="22"/>
              </w:rPr>
            </w:pPr>
            <w:r>
              <w:rPr>
                <w:rFonts w:hint="eastAsia"/>
                <w:sz w:val="24"/>
                <w:szCs w:val="22"/>
              </w:rPr>
              <w:t>本项目设计安装42900块580Wp规格的单晶硅N型双面双玻电池组件，交流容量为20MW，直流装机容量为24.882MWp。电站采用分块发电、集中并网方案，将系统分成6个3.3MW光伏发电单元。每个发电单元由7150块光伏组件组成，每个发电单元配置1台容量为3300kVA的双绕组箱式变压器和11台300kW型组串式逆变器，每台组串式逆变器接入25个直流回路，每个直流回路由26块580Wp双面光伏组件串联而成。</w:t>
            </w:r>
          </w:p>
          <w:p>
            <w:pPr>
              <w:adjustRightInd w:val="0"/>
              <w:spacing w:line="360" w:lineRule="auto"/>
              <w:ind w:firstLine="480" w:firstLineChars="200"/>
              <w:rPr>
                <w:sz w:val="24"/>
                <w:szCs w:val="22"/>
              </w:rPr>
            </w:pPr>
            <w:r>
              <w:rPr>
                <w:rFonts w:hint="eastAsia"/>
                <w:sz w:val="24"/>
                <w:szCs w:val="22"/>
              </w:rPr>
              <w:t>本项目通过1回集电线路接入项目新建的35kV开关站，集电线路采用直埋敷设。开关站最终以1回</w:t>
            </w:r>
            <w:r>
              <w:rPr>
                <w:sz w:val="24"/>
                <w:szCs w:val="22"/>
              </w:rPr>
              <w:t>35</w:t>
            </w:r>
            <w:r>
              <w:rPr>
                <w:rFonts w:hint="eastAsia"/>
                <w:sz w:val="24"/>
                <w:szCs w:val="22"/>
              </w:rPr>
              <w:t>kV架空线路送出接入电网</w:t>
            </w:r>
            <w:bookmarkStart w:id="13" w:name="_Hlk118041683"/>
            <w:r>
              <w:rPr>
                <w:rFonts w:hint="eastAsia"/>
                <w:sz w:val="24"/>
                <w:szCs w:val="22"/>
              </w:rPr>
              <w:t>（本项目不包含送出线路部分）</w:t>
            </w:r>
            <w:bookmarkEnd w:id="13"/>
            <w:r>
              <w:rPr>
                <w:rFonts w:hint="eastAsia"/>
                <w:sz w:val="24"/>
                <w:szCs w:val="22"/>
              </w:rPr>
              <w:t>。</w:t>
            </w:r>
          </w:p>
          <w:p>
            <w:pPr>
              <w:adjustRightInd w:val="0"/>
              <w:spacing w:line="360" w:lineRule="auto"/>
              <w:ind w:firstLine="480" w:firstLineChars="200"/>
              <w:rPr>
                <w:sz w:val="24"/>
                <w:szCs w:val="22"/>
              </w:rPr>
            </w:pPr>
            <w:r>
              <w:rPr>
                <w:rFonts w:hint="eastAsia"/>
                <w:sz w:val="24"/>
                <w:szCs w:val="22"/>
              </w:rPr>
              <w:t>项目主要建设工程内容见下表：</w:t>
            </w:r>
          </w:p>
          <w:p>
            <w:pPr>
              <w:adjustRightInd w:val="0"/>
              <w:jc w:val="center"/>
              <w:rPr>
                <w:b/>
                <w:szCs w:val="22"/>
              </w:rPr>
            </w:pPr>
            <w:r>
              <w:rPr>
                <w:rFonts w:hint="eastAsia"/>
                <w:b/>
                <w:szCs w:val="22"/>
              </w:rPr>
              <w:t>表</w:t>
            </w:r>
            <w:r>
              <w:rPr>
                <w:b/>
                <w:szCs w:val="22"/>
              </w:rPr>
              <w:t>2</w:t>
            </w:r>
            <w:r>
              <w:rPr>
                <w:rFonts w:hint="eastAsia"/>
                <w:b/>
                <w:szCs w:val="22"/>
              </w:rPr>
              <w:t>-1  项目建设内容一览表</w:t>
            </w:r>
          </w:p>
          <w:tbl>
            <w:tblPr>
              <w:tblStyle w:val="45"/>
              <w:tblW w:w="8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504"/>
              <w:gridCol w:w="1387"/>
              <w:gridCol w:w="5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547" w:type="dxa"/>
                  <w:gridSpan w:val="3"/>
                  <w:vAlign w:val="center"/>
                </w:tcPr>
                <w:p>
                  <w:pPr>
                    <w:adjustRightInd w:val="0"/>
                    <w:jc w:val="center"/>
                    <w:rPr>
                      <w:b/>
                      <w:kern w:val="0"/>
                      <w:szCs w:val="21"/>
                    </w:rPr>
                  </w:pPr>
                  <w:r>
                    <w:rPr>
                      <w:rFonts w:hint="eastAsia"/>
                      <w:b/>
                      <w:kern w:val="0"/>
                      <w:szCs w:val="21"/>
                    </w:rPr>
                    <w:t>工程组成部分</w:t>
                  </w:r>
                </w:p>
              </w:tc>
              <w:tc>
                <w:tcPr>
                  <w:tcW w:w="5629" w:type="dxa"/>
                  <w:vAlign w:val="center"/>
                </w:tcPr>
                <w:p>
                  <w:pPr>
                    <w:adjustRightInd w:val="0"/>
                    <w:jc w:val="center"/>
                    <w:rPr>
                      <w:b/>
                      <w:kern w:val="0"/>
                      <w:szCs w:val="21"/>
                    </w:rPr>
                  </w:pPr>
                  <w:r>
                    <w:rPr>
                      <w:rFonts w:hint="eastAsia"/>
                      <w:b/>
                      <w:kern w:val="0"/>
                      <w:szCs w:val="21"/>
                    </w:rPr>
                    <w:t>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restart"/>
                  <w:vAlign w:val="center"/>
                </w:tcPr>
                <w:p>
                  <w:pPr>
                    <w:adjustRightInd w:val="0"/>
                    <w:jc w:val="center"/>
                    <w:rPr>
                      <w:kern w:val="0"/>
                      <w:szCs w:val="21"/>
                    </w:rPr>
                  </w:pPr>
                  <w:r>
                    <w:rPr>
                      <w:rFonts w:hint="eastAsia"/>
                      <w:kern w:val="0"/>
                      <w:szCs w:val="21"/>
                    </w:rPr>
                    <w:t>主体工程</w:t>
                  </w:r>
                </w:p>
              </w:tc>
              <w:tc>
                <w:tcPr>
                  <w:tcW w:w="1891" w:type="dxa"/>
                  <w:gridSpan w:val="2"/>
                  <w:vAlign w:val="center"/>
                </w:tcPr>
                <w:p>
                  <w:pPr>
                    <w:adjustRightInd w:val="0"/>
                    <w:jc w:val="center"/>
                    <w:rPr>
                      <w:kern w:val="0"/>
                      <w:szCs w:val="21"/>
                    </w:rPr>
                  </w:pPr>
                  <w:r>
                    <w:rPr>
                      <w:rFonts w:hint="eastAsia"/>
                      <w:kern w:val="0"/>
                      <w:szCs w:val="21"/>
                    </w:rPr>
                    <w:t>太阳能电池方阵</w:t>
                  </w:r>
                </w:p>
              </w:tc>
              <w:tc>
                <w:tcPr>
                  <w:tcW w:w="5629" w:type="dxa"/>
                  <w:vAlign w:val="center"/>
                </w:tcPr>
                <w:p>
                  <w:pPr>
                    <w:adjustRightInd w:val="0"/>
                    <w:rPr>
                      <w:kern w:val="0"/>
                      <w:szCs w:val="21"/>
                    </w:rPr>
                  </w:pPr>
                  <w:r>
                    <w:rPr>
                      <w:rFonts w:hint="eastAsia"/>
                      <w:kern w:val="0"/>
                      <w:szCs w:val="21"/>
                    </w:rPr>
                    <w:t>（1）交流侧额定装机容量</w:t>
                  </w:r>
                  <w:r>
                    <w:rPr>
                      <w:kern w:val="0"/>
                      <w:szCs w:val="21"/>
                    </w:rPr>
                    <w:t>20</w:t>
                  </w:r>
                  <w:r>
                    <w:rPr>
                      <w:rFonts w:hint="eastAsia"/>
                      <w:kern w:val="0"/>
                      <w:szCs w:val="21"/>
                    </w:rPr>
                    <w:t>MW，直流侧装机容量</w:t>
                  </w:r>
                  <w:r>
                    <w:rPr>
                      <w:kern w:val="0"/>
                      <w:szCs w:val="21"/>
                    </w:rPr>
                    <w:t>24.882</w:t>
                  </w:r>
                  <w:r>
                    <w:rPr>
                      <w:rFonts w:hint="eastAsia"/>
                      <w:kern w:val="0"/>
                      <w:szCs w:val="21"/>
                    </w:rPr>
                    <w:t>MWp，共使用42900块</w:t>
                  </w:r>
                  <w:r>
                    <w:rPr>
                      <w:kern w:val="0"/>
                      <w:szCs w:val="21"/>
                    </w:rPr>
                    <w:t>580</w:t>
                  </w:r>
                  <w:r>
                    <w:rPr>
                      <w:rFonts w:hint="eastAsia"/>
                      <w:kern w:val="0"/>
                      <w:szCs w:val="21"/>
                    </w:rPr>
                    <w:t>Wp单晶硅N型双面双玻电池组件。发电系统分成6个3.3MW光伏发电单元，每个发电单元配置1台容量为3300kVA的双绕组箱式变压器和11台300kW型组串式逆变器，每台组串式逆变器接入25个直流回路，每个直流回路由26块580Wp双面光伏组件串联而成。</w:t>
                  </w:r>
                </w:p>
                <w:p>
                  <w:pPr>
                    <w:adjustRightInd w:val="0"/>
                    <w:rPr>
                      <w:kern w:val="0"/>
                      <w:szCs w:val="21"/>
                    </w:rPr>
                  </w:pPr>
                  <w:r>
                    <w:rPr>
                      <w:rFonts w:hint="eastAsia"/>
                      <w:kern w:val="0"/>
                      <w:szCs w:val="21"/>
                    </w:rPr>
                    <w:t>（2）支架由</w:t>
                  </w:r>
                  <w:r>
                    <w:rPr>
                      <w:kern w:val="0"/>
                      <w:szCs w:val="21"/>
                    </w:rPr>
                    <w:t>26</w:t>
                  </w:r>
                  <w:r>
                    <w:rPr>
                      <w:rFonts w:hint="eastAsia"/>
                      <w:kern w:val="0"/>
                      <w:szCs w:val="21"/>
                    </w:rPr>
                    <w:t>块单晶硅光伏组件按2（行）×1</w:t>
                  </w:r>
                  <w:r>
                    <w:rPr>
                      <w:kern w:val="0"/>
                      <w:szCs w:val="21"/>
                    </w:rPr>
                    <w:t>3</w:t>
                  </w:r>
                  <w:r>
                    <w:rPr>
                      <w:rFonts w:hint="eastAsia"/>
                      <w:kern w:val="0"/>
                      <w:szCs w:val="21"/>
                    </w:rPr>
                    <w:t>（列）的布置方式组成一个支架单元，支架倾角为</w:t>
                  </w:r>
                  <w:r>
                    <w:rPr>
                      <w:kern w:val="0"/>
                      <w:szCs w:val="21"/>
                    </w:rPr>
                    <w:t>17</w:t>
                  </w:r>
                  <w:r>
                    <w:rPr>
                      <w:rFonts w:hint="eastAsia"/>
                      <w:kern w:val="0"/>
                      <w:szCs w:val="21"/>
                    </w:rPr>
                    <w:t>°；光伏阵列支架基础采用钻孔灌注桩基础，灌注桩采用现场浇筑的C30钢筋混凝土，桩径300mm，每个光伏支架采用4根桩，初拟桩长为2</w:t>
                  </w:r>
                  <w:r>
                    <w:rPr>
                      <w:kern w:val="0"/>
                      <w:szCs w:val="21"/>
                    </w:rPr>
                    <w:t>3</w:t>
                  </w:r>
                  <w:r>
                    <w:rPr>
                      <w:rFonts w:hint="eastAsia"/>
                      <w:kern w:val="0"/>
                      <w:szCs w:val="21"/>
                    </w:rPr>
                    <w:t>00mm，桩顶高出地面</w:t>
                  </w:r>
                  <w:r>
                    <w:rPr>
                      <w:kern w:val="0"/>
                      <w:szCs w:val="21"/>
                    </w:rPr>
                    <w:t>5</w:t>
                  </w:r>
                  <w:r>
                    <w:rPr>
                      <w:rFonts w:hint="eastAsia"/>
                      <w:kern w:val="0"/>
                      <w:szCs w:val="21"/>
                    </w:rPr>
                    <w:t>00mm。光伏支架立柱与钻孔灌注桩基础采用地脚螺栓连接。</w:t>
                  </w:r>
                </w:p>
                <w:p>
                  <w:pPr>
                    <w:adjustRightInd w:val="0"/>
                    <w:rPr>
                      <w:kern w:val="0"/>
                      <w:szCs w:val="21"/>
                    </w:rPr>
                  </w:pPr>
                  <w:r>
                    <w:rPr>
                      <w:rFonts w:hint="eastAsia"/>
                      <w:kern w:val="0"/>
                      <w:szCs w:val="21"/>
                    </w:rPr>
                    <w:t>（3）光伏组件按最低端离地距离2.5m、桩基间列间距大于4m、行间距6.5m的要求进行架设。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kern w:val="0"/>
                      <w:szCs w:val="21"/>
                    </w:rPr>
                    <w:t>35</w:t>
                  </w:r>
                  <w:r>
                    <w:rPr>
                      <w:rFonts w:hint="eastAsia"/>
                      <w:kern w:val="0"/>
                      <w:szCs w:val="21"/>
                    </w:rPr>
                    <w:t>k</w:t>
                  </w:r>
                  <w:r>
                    <w:rPr>
                      <w:kern w:val="0"/>
                      <w:szCs w:val="21"/>
                    </w:rPr>
                    <w:t>V</w:t>
                  </w:r>
                  <w:r>
                    <w:rPr>
                      <w:rFonts w:hint="eastAsia"/>
                      <w:kern w:val="0"/>
                      <w:szCs w:val="21"/>
                    </w:rPr>
                    <w:t>开关站</w:t>
                  </w:r>
                </w:p>
              </w:tc>
              <w:tc>
                <w:tcPr>
                  <w:tcW w:w="5629" w:type="dxa"/>
                  <w:vAlign w:val="center"/>
                </w:tcPr>
                <w:p>
                  <w:pPr>
                    <w:adjustRightInd w:val="0"/>
                    <w:rPr>
                      <w:kern w:val="0"/>
                      <w:szCs w:val="21"/>
                    </w:rPr>
                  </w:pPr>
                  <w:r>
                    <w:rPr>
                      <w:rFonts w:hint="eastAsia"/>
                      <w:kern w:val="0"/>
                      <w:szCs w:val="21"/>
                    </w:rPr>
                    <w:t>新建一座开关站，呈矩形布置于光伏区南部地块中间，平面尺寸为</w:t>
                  </w:r>
                  <w:r>
                    <w:rPr>
                      <w:kern w:val="0"/>
                      <w:szCs w:val="21"/>
                    </w:rPr>
                    <w:t>47</w:t>
                  </w:r>
                  <w:r>
                    <w:rPr>
                      <w:rFonts w:hint="eastAsia"/>
                      <w:kern w:val="0"/>
                      <w:szCs w:val="21"/>
                    </w:rPr>
                    <w:t>m×</w:t>
                  </w:r>
                  <w:r>
                    <w:rPr>
                      <w:kern w:val="0"/>
                      <w:szCs w:val="21"/>
                    </w:rPr>
                    <w:t>61</w:t>
                  </w:r>
                  <w:r>
                    <w:rPr>
                      <w:rFonts w:hint="eastAsia"/>
                      <w:kern w:val="0"/>
                      <w:szCs w:val="21"/>
                    </w:rPr>
                    <w:t>m，围墙内用地面积约</w:t>
                  </w:r>
                  <w:r>
                    <w:rPr>
                      <w:kern w:val="0"/>
                      <w:szCs w:val="21"/>
                    </w:rPr>
                    <w:t>2867</w:t>
                  </w:r>
                  <w:r>
                    <w:rPr>
                      <w:rFonts w:hint="eastAsia"/>
                      <w:kern w:val="0"/>
                      <w:szCs w:val="21"/>
                    </w:rPr>
                    <w:t>m</w:t>
                  </w:r>
                  <w:r>
                    <w:rPr>
                      <w:rFonts w:hint="eastAsia"/>
                      <w:kern w:val="0"/>
                      <w:szCs w:val="21"/>
                      <w:vertAlign w:val="superscript"/>
                    </w:rPr>
                    <w:t>2</w:t>
                  </w:r>
                  <w:r>
                    <w:rPr>
                      <w:rFonts w:hint="eastAsia"/>
                      <w:kern w:val="0"/>
                      <w:szCs w:val="21"/>
                    </w:rPr>
                    <w:t>。开关站分为高压生产区和生活区，四周布置2.5m高的实体围墙，高压生产区布置了SVG集装箱、电气一次二次预制舱、构架等送配电构筑物；办公生活区布置有综合楼、危废库预制舱、备品库预制舱、一体化消防泵站等建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集电线路</w:t>
                  </w:r>
                </w:p>
              </w:tc>
              <w:tc>
                <w:tcPr>
                  <w:tcW w:w="5629" w:type="dxa"/>
                  <w:vAlign w:val="center"/>
                </w:tcPr>
                <w:p>
                  <w:pPr>
                    <w:adjustRightInd w:val="0"/>
                    <w:rPr>
                      <w:kern w:val="0"/>
                      <w:szCs w:val="21"/>
                    </w:rPr>
                  </w:pPr>
                  <w:r>
                    <w:rPr>
                      <w:rFonts w:hint="eastAsia"/>
                      <w:kern w:val="0"/>
                      <w:szCs w:val="21"/>
                    </w:rPr>
                    <w:t>光伏区通过1回集电线路接入本次新建的35kV开关站，采用35kV电缆直埋敷设，总长约</w:t>
                  </w:r>
                  <w:r>
                    <w:rPr>
                      <w:kern w:val="0"/>
                      <w:szCs w:val="21"/>
                    </w:rPr>
                    <w:t>3850</w:t>
                  </w:r>
                  <w:r>
                    <w:rPr>
                      <w:rFonts w:hint="eastAsia"/>
                      <w:kern w:val="0"/>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逆变器</w:t>
                  </w:r>
                </w:p>
              </w:tc>
              <w:tc>
                <w:tcPr>
                  <w:tcW w:w="5629" w:type="dxa"/>
                  <w:vAlign w:val="center"/>
                </w:tcPr>
                <w:p>
                  <w:pPr>
                    <w:adjustRightInd w:val="0"/>
                    <w:rPr>
                      <w:kern w:val="0"/>
                      <w:szCs w:val="21"/>
                    </w:rPr>
                  </w:pPr>
                  <w:r>
                    <w:rPr>
                      <w:rFonts w:hint="eastAsia"/>
                      <w:kern w:val="0"/>
                      <w:szCs w:val="21"/>
                    </w:rPr>
                    <w:t>共设置组串式逆变器</w:t>
                  </w:r>
                  <w:r>
                    <w:rPr>
                      <w:kern w:val="0"/>
                      <w:szCs w:val="21"/>
                    </w:rPr>
                    <w:t>66</w:t>
                  </w:r>
                  <w:r>
                    <w:rPr>
                      <w:rFonts w:hint="eastAsia"/>
                      <w:kern w:val="0"/>
                      <w:szCs w:val="21"/>
                    </w:rPr>
                    <w:t>台，单台功率</w:t>
                  </w:r>
                  <w:r>
                    <w:rPr>
                      <w:kern w:val="0"/>
                      <w:szCs w:val="21"/>
                    </w:rPr>
                    <w:t>300kW</w:t>
                  </w:r>
                  <w:r>
                    <w:rPr>
                      <w:rFonts w:hint="eastAsia"/>
                      <w:kern w:val="0"/>
                      <w:szCs w:val="21"/>
                    </w:rPr>
                    <w:t>。组串式逆变器不单独做基础，固定于光伏支架上。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35kV箱式变压器</w:t>
                  </w:r>
                </w:p>
              </w:tc>
              <w:tc>
                <w:tcPr>
                  <w:tcW w:w="5629" w:type="dxa"/>
                  <w:vAlign w:val="center"/>
                </w:tcPr>
                <w:p>
                  <w:pPr>
                    <w:adjustRightInd w:val="0"/>
                    <w:rPr>
                      <w:kern w:val="0"/>
                      <w:szCs w:val="21"/>
                    </w:rPr>
                  </w:pPr>
                  <w:r>
                    <w:rPr>
                      <w:rFonts w:hint="eastAsia"/>
                      <w:kern w:val="0"/>
                      <w:szCs w:val="21"/>
                    </w:rPr>
                    <w:t>每个方阵布置</w:t>
                  </w:r>
                  <w:r>
                    <w:rPr>
                      <w:kern w:val="0"/>
                      <w:szCs w:val="21"/>
                    </w:rPr>
                    <w:t>35kV</w:t>
                  </w:r>
                  <w:r>
                    <w:rPr>
                      <w:rFonts w:hint="eastAsia"/>
                      <w:kern w:val="0"/>
                      <w:szCs w:val="21"/>
                    </w:rPr>
                    <w:t>箱式变压器一台，共</w:t>
                  </w:r>
                  <w:r>
                    <w:rPr>
                      <w:kern w:val="0"/>
                      <w:szCs w:val="21"/>
                    </w:rPr>
                    <w:t>6台。</w:t>
                  </w:r>
                  <w:r>
                    <w:rPr>
                      <w:rFonts w:hint="eastAsia"/>
                      <w:kern w:val="0"/>
                      <w:szCs w:val="21"/>
                    </w:rPr>
                    <w:t>箱变基础为混凝土框架结构，配套事故油池。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restart"/>
                  <w:vAlign w:val="center"/>
                </w:tcPr>
                <w:p>
                  <w:pPr>
                    <w:adjustRightInd w:val="0"/>
                    <w:jc w:val="center"/>
                    <w:rPr>
                      <w:kern w:val="0"/>
                      <w:szCs w:val="21"/>
                    </w:rPr>
                  </w:pPr>
                  <w:r>
                    <w:rPr>
                      <w:rFonts w:hint="eastAsia"/>
                      <w:kern w:val="0"/>
                      <w:szCs w:val="21"/>
                    </w:rPr>
                    <w:t>辅助工程</w:t>
                  </w:r>
                </w:p>
              </w:tc>
              <w:tc>
                <w:tcPr>
                  <w:tcW w:w="1891" w:type="dxa"/>
                  <w:gridSpan w:val="2"/>
                  <w:vAlign w:val="center"/>
                </w:tcPr>
                <w:p>
                  <w:pPr>
                    <w:adjustRightInd w:val="0"/>
                    <w:jc w:val="center"/>
                    <w:rPr>
                      <w:kern w:val="0"/>
                      <w:szCs w:val="21"/>
                    </w:rPr>
                  </w:pPr>
                  <w:r>
                    <w:rPr>
                      <w:rFonts w:hint="eastAsia"/>
                      <w:kern w:val="0"/>
                      <w:szCs w:val="21"/>
                    </w:rPr>
                    <w:t>综合</w:t>
                  </w:r>
                  <w:r>
                    <w:rPr>
                      <w:kern w:val="0"/>
                      <w:szCs w:val="21"/>
                    </w:rPr>
                    <w:t>楼</w:t>
                  </w:r>
                </w:p>
              </w:tc>
              <w:tc>
                <w:tcPr>
                  <w:tcW w:w="5629" w:type="dxa"/>
                  <w:vAlign w:val="center"/>
                </w:tcPr>
                <w:p>
                  <w:pPr>
                    <w:adjustRightInd w:val="0"/>
                    <w:rPr>
                      <w:kern w:val="0"/>
                      <w:szCs w:val="21"/>
                    </w:rPr>
                  </w:pPr>
                  <w:bookmarkStart w:id="14" w:name="_Hlk118041944"/>
                  <w:r>
                    <w:rPr>
                      <w:kern w:val="0"/>
                      <w:szCs w:val="21"/>
                    </w:rPr>
                    <w:t>位于</w:t>
                  </w:r>
                  <w:r>
                    <w:rPr>
                      <w:rFonts w:hint="eastAsia"/>
                      <w:kern w:val="0"/>
                      <w:szCs w:val="21"/>
                    </w:rPr>
                    <w:t>开关站北侧</w:t>
                  </w:r>
                  <w:r>
                    <w:rPr>
                      <w:kern w:val="0"/>
                      <w:szCs w:val="21"/>
                    </w:rPr>
                    <w:t>，</w:t>
                  </w:r>
                  <w:r>
                    <w:rPr>
                      <w:rFonts w:hint="eastAsia"/>
                      <w:kern w:val="0"/>
                      <w:szCs w:val="21"/>
                    </w:rPr>
                    <w:t>为</w:t>
                  </w:r>
                  <w:r>
                    <w:rPr>
                      <w:kern w:val="0"/>
                      <w:szCs w:val="21"/>
                    </w:rPr>
                    <w:t>2</w:t>
                  </w:r>
                  <w:r>
                    <w:rPr>
                      <w:rFonts w:hint="eastAsia"/>
                      <w:kern w:val="0"/>
                      <w:szCs w:val="21"/>
                    </w:rPr>
                    <w:t>层框架建筑，建筑面积</w:t>
                  </w:r>
                  <w:r>
                    <w:rPr>
                      <w:kern w:val="0"/>
                      <w:szCs w:val="21"/>
                    </w:rPr>
                    <w:t>645</w:t>
                  </w:r>
                  <w:r>
                    <w:rPr>
                      <w:rFonts w:hint="eastAsia"/>
                      <w:kern w:val="0"/>
                      <w:szCs w:val="21"/>
                    </w:rPr>
                    <w:t>m</w:t>
                  </w:r>
                  <w:r>
                    <w:rPr>
                      <w:rFonts w:hint="eastAsia"/>
                      <w:kern w:val="0"/>
                      <w:szCs w:val="21"/>
                      <w:vertAlign w:val="superscript"/>
                    </w:rPr>
                    <w:t>2</w:t>
                  </w:r>
                  <w:r>
                    <w:rPr>
                      <w:rFonts w:hint="eastAsia"/>
                      <w:kern w:val="0"/>
                      <w:szCs w:val="21"/>
                    </w:rPr>
                    <w:t>，建筑高度</w:t>
                  </w:r>
                  <w:r>
                    <w:rPr>
                      <w:kern w:val="0"/>
                      <w:szCs w:val="21"/>
                    </w:rPr>
                    <w:t>8.45</w:t>
                  </w:r>
                  <w:r>
                    <w:rPr>
                      <w:rFonts w:hint="eastAsia"/>
                      <w:kern w:val="0"/>
                      <w:szCs w:val="21"/>
                    </w:rPr>
                    <w:t>m。布置有值班室、厨房、餐厅、办公室、会议室、卫生间。</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备品库预制舱</w:t>
                  </w:r>
                </w:p>
              </w:tc>
              <w:tc>
                <w:tcPr>
                  <w:tcW w:w="5629" w:type="dxa"/>
                  <w:vAlign w:val="center"/>
                </w:tcPr>
                <w:p>
                  <w:pPr>
                    <w:adjustRightInd w:val="0"/>
                    <w:rPr>
                      <w:kern w:val="0"/>
                      <w:szCs w:val="21"/>
                    </w:rPr>
                  </w:pPr>
                  <w:bookmarkStart w:id="15" w:name="_Hlk118041989"/>
                  <w:r>
                    <w:rPr>
                      <w:kern w:val="0"/>
                      <w:szCs w:val="21"/>
                    </w:rPr>
                    <w:t>位于</w:t>
                  </w:r>
                  <w:r>
                    <w:rPr>
                      <w:rFonts w:hint="eastAsia"/>
                      <w:kern w:val="0"/>
                      <w:szCs w:val="21"/>
                    </w:rPr>
                    <w:t>开关站东南侧</w:t>
                  </w:r>
                  <w:r>
                    <w:rPr>
                      <w:kern w:val="0"/>
                      <w:szCs w:val="21"/>
                    </w:rPr>
                    <w:t>，</w:t>
                  </w:r>
                  <w:r>
                    <w:rPr>
                      <w:rFonts w:hint="eastAsia"/>
                      <w:kern w:val="0"/>
                      <w:szCs w:val="21"/>
                    </w:rPr>
                    <w:t>面积约</w:t>
                  </w:r>
                  <w:r>
                    <w:rPr>
                      <w:kern w:val="0"/>
                      <w:szCs w:val="21"/>
                    </w:rPr>
                    <w:t>45</w:t>
                  </w:r>
                  <w:r>
                    <w:rPr>
                      <w:rFonts w:hint="eastAsia"/>
                      <w:kern w:val="0"/>
                      <w:szCs w:val="21"/>
                    </w:rPr>
                    <w:t>m</w:t>
                  </w:r>
                  <w:r>
                    <w:rPr>
                      <w:kern w:val="0"/>
                      <w:szCs w:val="21"/>
                      <w:vertAlign w:val="superscript"/>
                    </w:rPr>
                    <w:t>2</w:t>
                  </w:r>
                  <w:r>
                    <w:rPr>
                      <w:rFonts w:hint="eastAsia"/>
                      <w:kern w:val="0"/>
                      <w:szCs w:val="21"/>
                    </w:rPr>
                    <w:t>，</w:t>
                  </w:r>
                  <w:bookmarkEnd w:id="15"/>
                  <w:r>
                    <w:rPr>
                      <w:rFonts w:hint="eastAsia"/>
                      <w:kern w:val="0"/>
                      <w:szCs w:val="21"/>
                    </w:rPr>
                    <w:t>用于备品备件的存放。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视频安防监控系统、消防系统</w:t>
                  </w:r>
                </w:p>
              </w:tc>
              <w:tc>
                <w:tcPr>
                  <w:tcW w:w="5629" w:type="dxa"/>
                  <w:vAlign w:val="center"/>
                </w:tcPr>
                <w:p>
                  <w:pPr>
                    <w:adjustRightInd w:val="0"/>
                    <w:rPr>
                      <w:kern w:val="0"/>
                      <w:szCs w:val="21"/>
                    </w:rPr>
                  </w:pPr>
                  <w:r>
                    <w:rPr>
                      <w:rFonts w:hint="eastAsia"/>
                      <w:kern w:val="0"/>
                      <w:szCs w:val="21"/>
                    </w:rPr>
                    <w:t>拟建一套闭路电视监视系统及一套火灾报警系统。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围栏</w:t>
                  </w:r>
                </w:p>
              </w:tc>
              <w:tc>
                <w:tcPr>
                  <w:tcW w:w="5629" w:type="dxa"/>
                  <w:vAlign w:val="center"/>
                </w:tcPr>
                <w:p>
                  <w:pPr>
                    <w:adjustRightInd w:val="0"/>
                    <w:rPr>
                      <w:kern w:val="0"/>
                      <w:szCs w:val="21"/>
                    </w:rPr>
                  </w:pPr>
                  <w:r>
                    <w:rPr>
                      <w:rFonts w:hint="eastAsia"/>
                      <w:kern w:val="0"/>
                      <w:szCs w:val="21"/>
                    </w:rPr>
                    <w:t>沿光伏发电场阵列外侧设置钢丝网围栏，围栏高度</w:t>
                  </w:r>
                  <w:r>
                    <w:rPr>
                      <w:kern w:val="0"/>
                      <w:szCs w:val="21"/>
                    </w:rPr>
                    <w:t>1.8</w:t>
                  </w:r>
                  <w:r>
                    <w:rPr>
                      <w:rFonts w:hint="eastAsia"/>
                      <w:kern w:val="0"/>
                      <w:szCs w:val="21"/>
                    </w:rPr>
                    <w:t>m，基础拟采用素混凝土基础，基础直径300mm，入土0.5m，基础间距拟定3m。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道路</w:t>
                  </w:r>
                </w:p>
              </w:tc>
              <w:tc>
                <w:tcPr>
                  <w:tcW w:w="5629" w:type="dxa"/>
                  <w:vAlign w:val="center"/>
                </w:tcPr>
                <w:p>
                  <w:pPr>
                    <w:adjustRightInd w:val="0"/>
                    <w:rPr>
                      <w:kern w:val="0"/>
                      <w:szCs w:val="21"/>
                    </w:rPr>
                  </w:pPr>
                  <w:r>
                    <w:rPr>
                      <w:rFonts w:hint="eastAsia"/>
                      <w:kern w:val="0"/>
                      <w:szCs w:val="21"/>
                    </w:rPr>
                    <w:t>场区道路尽量利用现有道路规划，原有道路扩建长度约</w:t>
                  </w:r>
                  <w:r>
                    <w:rPr>
                      <w:kern w:val="0"/>
                      <w:szCs w:val="21"/>
                    </w:rPr>
                    <w:t>2.11</w:t>
                  </w:r>
                  <w:r>
                    <w:rPr>
                      <w:rFonts w:hint="eastAsia"/>
                      <w:kern w:val="0"/>
                      <w:szCs w:val="21"/>
                    </w:rPr>
                    <w:t>km，新建施工道路长约</w:t>
                  </w:r>
                  <w:r>
                    <w:rPr>
                      <w:kern w:val="0"/>
                      <w:szCs w:val="21"/>
                    </w:rPr>
                    <w:t>4.28</w:t>
                  </w:r>
                  <w:r>
                    <w:rPr>
                      <w:rFonts w:hint="eastAsia"/>
                      <w:kern w:val="0"/>
                      <w:szCs w:val="21"/>
                    </w:rPr>
                    <w:t>km。路基宽度为4.5m，路面宽度为3.5m，路面采用20cm泥结碎石面层。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restart"/>
                  <w:vAlign w:val="center"/>
                </w:tcPr>
                <w:p>
                  <w:pPr>
                    <w:adjustRightInd w:val="0"/>
                    <w:jc w:val="center"/>
                    <w:rPr>
                      <w:kern w:val="0"/>
                      <w:szCs w:val="21"/>
                    </w:rPr>
                  </w:pPr>
                  <w:r>
                    <w:rPr>
                      <w:rFonts w:hint="eastAsia"/>
                      <w:kern w:val="0"/>
                      <w:szCs w:val="21"/>
                    </w:rPr>
                    <w:t>公用工程</w:t>
                  </w:r>
                </w:p>
              </w:tc>
              <w:tc>
                <w:tcPr>
                  <w:tcW w:w="1891" w:type="dxa"/>
                  <w:gridSpan w:val="2"/>
                  <w:vAlign w:val="center"/>
                </w:tcPr>
                <w:p>
                  <w:pPr>
                    <w:adjustRightInd w:val="0"/>
                    <w:jc w:val="center"/>
                    <w:rPr>
                      <w:kern w:val="0"/>
                      <w:szCs w:val="21"/>
                    </w:rPr>
                  </w:pPr>
                  <w:r>
                    <w:rPr>
                      <w:rFonts w:hint="eastAsia"/>
                      <w:kern w:val="0"/>
                      <w:szCs w:val="21"/>
                    </w:rPr>
                    <w:t>供电</w:t>
                  </w:r>
                </w:p>
              </w:tc>
              <w:tc>
                <w:tcPr>
                  <w:tcW w:w="5629" w:type="dxa"/>
                  <w:vAlign w:val="center"/>
                </w:tcPr>
                <w:p>
                  <w:pPr>
                    <w:adjustRightInd w:val="0"/>
                    <w:rPr>
                      <w:kern w:val="0"/>
                      <w:szCs w:val="21"/>
                    </w:rPr>
                  </w:pPr>
                  <w:r>
                    <w:rPr>
                      <w:rFonts w:hint="eastAsia"/>
                      <w:kern w:val="0"/>
                      <w:szCs w:val="21"/>
                    </w:rPr>
                    <w:t>运营期逆变器自用电等低压负荷用电，由35kV箱变低压侧就地供电。开关站用电采用双电源供电。主供电源为开关站35kV站用变，备用电源为附近10kV电网。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供水</w:t>
                  </w:r>
                </w:p>
              </w:tc>
              <w:tc>
                <w:tcPr>
                  <w:tcW w:w="5629" w:type="dxa"/>
                  <w:vAlign w:val="center"/>
                </w:tcPr>
                <w:p>
                  <w:pPr>
                    <w:adjustRightInd w:val="0"/>
                    <w:rPr>
                      <w:kern w:val="0"/>
                      <w:szCs w:val="21"/>
                    </w:rPr>
                  </w:pPr>
                  <w:r>
                    <w:rPr>
                      <w:rFonts w:hint="eastAsia"/>
                      <w:kern w:val="0"/>
                      <w:szCs w:val="21"/>
                    </w:rPr>
                    <w:t>生活用水水源采用外运自来水，贮存于生活、消防公用蓄水池，再由生活变频恒压供水设备加压并经净化器后供给站内生活用水；光伏板清洗用水采用水车从电站周边村庄取水。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排水</w:t>
                  </w:r>
                </w:p>
              </w:tc>
              <w:tc>
                <w:tcPr>
                  <w:tcW w:w="5629" w:type="dxa"/>
                  <w:vAlign w:val="center"/>
                </w:tcPr>
                <w:p>
                  <w:pPr>
                    <w:adjustRightInd w:val="0"/>
                    <w:rPr>
                      <w:kern w:val="0"/>
                      <w:szCs w:val="21"/>
                    </w:rPr>
                  </w:pPr>
                  <w:r>
                    <w:rPr>
                      <w:rFonts w:hint="eastAsia"/>
                      <w:kern w:val="0"/>
                      <w:szCs w:val="21"/>
                    </w:rPr>
                    <w:t>（1）开关站实行雨污分流，站区及道路雨水经雨水口收集后，排至站外排水沟；生活污水经隔油池、化粪池预处理后，进入污水处理设备处理达标后，全部回用于场地绿化，不外排。</w:t>
                  </w:r>
                </w:p>
                <w:p>
                  <w:pPr>
                    <w:adjustRightInd w:val="0"/>
                    <w:rPr>
                      <w:kern w:val="0"/>
                      <w:szCs w:val="21"/>
                    </w:rPr>
                  </w:pPr>
                  <w:r>
                    <w:rPr>
                      <w:rFonts w:hint="eastAsia"/>
                      <w:kern w:val="0"/>
                      <w:szCs w:val="21"/>
                    </w:rPr>
                    <w:t>（2）光伏组件清洗废水用于周围植物浇洒。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restart"/>
                  <w:vAlign w:val="center"/>
                </w:tcPr>
                <w:p>
                  <w:pPr>
                    <w:adjustRightInd w:val="0"/>
                    <w:jc w:val="center"/>
                    <w:rPr>
                      <w:kern w:val="0"/>
                      <w:szCs w:val="21"/>
                    </w:rPr>
                  </w:pPr>
                  <w:r>
                    <w:rPr>
                      <w:rFonts w:hint="eastAsia"/>
                      <w:kern w:val="0"/>
                      <w:szCs w:val="21"/>
                    </w:rPr>
                    <w:t>环保工程</w:t>
                  </w:r>
                </w:p>
              </w:tc>
              <w:tc>
                <w:tcPr>
                  <w:tcW w:w="1891" w:type="dxa"/>
                  <w:gridSpan w:val="2"/>
                  <w:vAlign w:val="center"/>
                </w:tcPr>
                <w:p>
                  <w:pPr>
                    <w:adjustRightInd w:val="0"/>
                    <w:jc w:val="center"/>
                    <w:rPr>
                      <w:kern w:val="0"/>
                      <w:szCs w:val="21"/>
                    </w:rPr>
                  </w:pPr>
                  <w:r>
                    <w:rPr>
                      <w:rFonts w:hint="eastAsia"/>
                      <w:kern w:val="0"/>
                      <w:szCs w:val="21"/>
                    </w:rPr>
                    <w:t>废气</w:t>
                  </w:r>
                </w:p>
              </w:tc>
              <w:tc>
                <w:tcPr>
                  <w:tcW w:w="5629" w:type="dxa"/>
                  <w:vAlign w:val="center"/>
                </w:tcPr>
                <w:p>
                  <w:pPr>
                    <w:adjustRightInd w:val="0"/>
                    <w:rPr>
                      <w:kern w:val="0"/>
                      <w:szCs w:val="21"/>
                    </w:rPr>
                  </w:pPr>
                  <w:r>
                    <w:rPr>
                      <w:rFonts w:hint="eastAsia"/>
                      <w:kern w:val="0"/>
                      <w:szCs w:val="21"/>
                    </w:rPr>
                    <w:t>综合楼厨房内设置1套油烟净化器，油烟净化器处理效率不小于60%，厨房油烟经净化处理后引至屋顶排放。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504" w:type="dxa"/>
                  <w:vMerge w:val="restart"/>
                  <w:vAlign w:val="center"/>
                </w:tcPr>
                <w:p>
                  <w:pPr>
                    <w:adjustRightInd w:val="0"/>
                    <w:jc w:val="center"/>
                    <w:rPr>
                      <w:kern w:val="0"/>
                      <w:szCs w:val="21"/>
                    </w:rPr>
                  </w:pPr>
                  <w:r>
                    <w:rPr>
                      <w:rFonts w:hint="eastAsia"/>
                      <w:kern w:val="0"/>
                      <w:szCs w:val="21"/>
                    </w:rPr>
                    <w:t>固废</w:t>
                  </w:r>
                </w:p>
              </w:tc>
              <w:tc>
                <w:tcPr>
                  <w:tcW w:w="1387" w:type="dxa"/>
                  <w:vAlign w:val="center"/>
                </w:tcPr>
                <w:p>
                  <w:pPr>
                    <w:adjustRightInd w:val="0"/>
                    <w:jc w:val="center"/>
                    <w:rPr>
                      <w:kern w:val="0"/>
                      <w:szCs w:val="21"/>
                    </w:rPr>
                  </w:pPr>
                  <w:r>
                    <w:rPr>
                      <w:rFonts w:hint="eastAsia"/>
                      <w:kern w:val="0"/>
                      <w:szCs w:val="21"/>
                    </w:rPr>
                    <w:t>生活垃圾桶</w:t>
                  </w:r>
                </w:p>
              </w:tc>
              <w:tc>
                <w:tcPr>
                  <w:tcW w:w="5629" w:type="dxa"/>
                  <w:vAlign w:val="center"/>
                </w:tcPr>
                <w:p>
                  <w:pPr>
                    <w:adjustRightInd w:val="0"/>
                    <w:rPr>
                      <w:kern w:val="0"/>
                      <w:szCs w:val="21"/>
                    </w:rPr>
                  </w:pPr>
                  <w:r>
                    <w:rPr>
                      <w:rFonts w:hint="eastAsia"/>
                      <w:kern w:val="0"/>
                      <w:szCs w:val="21"/>
                    </w:rPr>
                    <w:t>若干，用于收集员工生活垃圾。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504" w:type="dxa"/>
                  <w:vMerge w:val="continue"/>
                  <w:vAlign w:val="center"/>
                </w:tcPr>
                <w:p>
                  <w:pPr>
                    <w:adjustRightInd w:val="0"/>
                    <w:jc w:val="center"/>
                    <w:rPr>
                      <w:kern w:val="0"/>
                      <w:szCs w:val="21"/>
                    </w:rPr>
                  </w:pPr>
                </w:p>
              </w:tc>
              <w:tc>
                <w:tcPr>
                  <w:tcW w:w="1387" w:type="dxa"/>
                  <w:vAlign w:val="center"/>
                </w:tcPr>
                <w:p>
                  <w:pPr>
                    <w:adjustRightInd w:val="0"/>
                    <w:jc w:val="center"/>
                    <w:rPr>
                      <w:kern w:val="0"/>
                      <w:szCs w:val="21"/>
                    </w:rPr>
                  </w:pPr>
                  <w:r>
                    <w:rPr>
                      <w:rFonts w:hint="eastAsia"/>
                      <w:kern w:val="0"/>
                      <w:szCs w:val="21"/>
                    </w:rPr>
                    <w:t>危废库预制舱</w:t>
                  </w:r>
                </w:p>
              </w:tc>
              <w:tc>
                <w:tcPr>
                  <w:tcW w:w="5629" w:type="dxa"/>
                  <w:vAlign w:val="center"/>
                </w:tcPr>
                <w:p>
                  <w:pPr>
                    <w:adjustRightInd w:val="0"/>
                    <w:rPr>
                      <w:kern w:val="0"/>
                      <w:szCs w:val="21"/>
                    </w:rPr>
                  </w:pPr>
                  <w:r>
                    <w:rPr>
                      <w:rFonts w:hint="eastAsia"/>
                      <w:kern w:val="0"/>
                      <w:szCs w:val="21"/>
                    </w:rPr>
                    <w:t>预制舱型式，</w:t>
                  </w:r>
                  <w:r>
                    <w:rPr>
                      <w:kern w:val="0"/>
                      <w:szCs w:val="21"/>
                    </w:rPr>
                    <w:t>位于</w:t>
                  </w:r>
                  <w:r>
                    <w:rPr>
                      <w:rFonts w:hint="eastAsia"/>
                      <w:kern w:val="0"/>
                      <w:szCs w:val="21"/>
                    </w:rPr>
                    <w:t>开关站东南侧，面积约45m</w:t>
                  </w:r>
                  <w:r>
                    <w:rPr>
                      <w:rFonts w:hint="eastAsia"/>
                      <w:kern w:val="0"/>
                      <w:szCs w:val="21"/>
                      <w:vertAlign w:val="superscript"/>
                    </w:rPr>
                    <w:t>2</w:t>
                  </w:r>
                  <w:r>
                    <w:rPr>
                      <w:rFonts w:hint="eastAsia"/>
                      <w:kern w:val="0"/>
                      <w:szCs w:val="21"/>
                    </w:rPr>
                    <w:t>，用于废矿物油、废铅蓄电池的暂存。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504" w:type="dxa"/>
                  <w:vMerge w:val="restart"/>
                  <w:vAlign w:val="center"/>
                </w:tcPr>
                <w:p>
                  <w:pPr>
                    <w:adjustRightInd w:val="0"/>
                    <w:jc w:val="center"/>
                    <w:rPr>
                      <w:kern w:val="0"/>
                      <w:szCs w:val="21"/>
                    </w:rPr>
                  </w:pPr>
                  <w:r>
                    <w:rPr>
                      <w:rFonts w:hint="eastAsia"/>
                      <w:kern w:val="0"/>
                      <w:szCs w:val="21"/>
                    </w:rPr>
                    <w:t>废水</w:t>
                  </w:r>
                </w:p>
              </w:tc>
              <w:tc>
                <w:tcPr>
                  <w:tcW w:w="1387" w:type="dxa"/>
                  <w:vAlign w:val="center"/>
                </w:tcPr>
                <w:p>
                  <w:pPr>
                    <w:adjustRightInd w:val="0"/>
                    <w:jc w:val="center"/>
                    <w:rPr>
                      <w:kern w:val="0"/>
                      <w:szCs w:val="21"/>
                    </w:rPr>
                  </w:pPr>
                  <w:r>
                    <w:rPr>
                      <w:rFonts w:hint="eastAsia"/>
                      <w:kern w:val="0"/>
                      <w:szCs w:val="21"/>
                    </w:rPr>
                    <w:t>隔油池</w:t>
                  </w:r>
                </w:p>
              </w:tc>
              <w:tc>
                <w:tcPr>
                  <w:tcW w:w="5629" w:type="dxa"/>
                </w:tcPr>
                <w:p>
                  <w:pPr>
                    <w:adjustRightInd w:val="0"/>
                    <w:rPr>
                      <w:kern w:val="0"/>
                      <w:szCs w:val="21"/>
                    </w:rPr>
                  </w:pPr>
                  <w:r>
                    <w:rPr>
                      <w:rFonts w:hint="eastAsia"/>
                      <w:kern w:val="0"/>
                      <w:szCs w:val="21"/>
                    </w:rPr>
                    <w:t>1个，容积为1m</w:t>
                  </w:r>
                  <w:r>
                    <w:rPr>
                      <w:rFonts w:hint="eastAsia"/>
                      <w:kern w:val="0"/>
                      <w:szCs w:val="21"/>
                      <w:vertAlign w:val="superscript"/>
                    </w:rPr>
                    <w:t>3</w:t>
                  </w:r>
                  <w:r>
                    <w:rPr>
                      <w:rFonts w:hint="eastAsia"/>
                      <w:kern w:val="0"/>
                      <w:szCs w:val="21"/>
                    </w:rPr>
                    <w:t>，用于预处理厨房废水。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color w:val="FF0000"/>
                      <w:kern w:val="0"/>
                      <w:szCs w:val="21"/>
                    </w:rPr>
                  </w:pPr>
                </w:p>
              </w:tc>
              <w:tc>
                <w:tcPr>
                  <w:tcW w:w="504" w:type="dxa"/>
                  <w:vMerge w:val="continue"/>
                  <w:vAlign w:val="center"/>
                </w:tcPr>
                <w:p>
                  <w:pPr>
                    <w:adjustRightInd w:val="0"/>
                    <w:jc w:val="center"/>
                    <w:rPr>
                      <w:color w:val="FF0000"/>
                      <w:kern w:val="0"/>
                      <w:szCs w:val="21"/>
                    </w:rPr>
                  </w:pPr>
                </w:p>
              </w:tc>
              <w:tc>
                <w:tcPr>
                  <w:tcW w:w="1387" w:type="dxa"/>
                  <w:vAlign w:val="center"/>
                </w:tcPr>
                <w:p>
                  <w:pPr>
                    <w:adjustRightInd w:val="0"/>
                    <w:jc w:val="center"/>
                    <w:rPr>
                      <w:kern w:val="0"/>
                      <w:szCs w:val="21"/>
                    </w:rPr>
                  </w:pPr>
                  <w:r>
                    <w:rPr>
                      <w:rFonts w:hint="eastAsia"/>
                      <w:kern w:val="0"/>
                      <w:szCs w:val="21"/>
                    </w:rPr>
                    <w:t>化粪池</w:t>
                  </w:r>
                </w:p>
              </w:tc>
              <w:tc>
                <w:tcPr>
                  <w:tcW w:w="5629" w:type="dxa"/>
                </w:tcPr>
                <w:p>
                  <w:pPr>
                    <w:adjustRightInd w:val="0"/>
                    <w:rPr>
                      <w:kern w:val="0"/>
                      <w:szCs w:val="21"/>
                    </w:rPr>
                  </w:pPr>
                  <w:r>
                    <w:rPr>
                      <w:rFonts w:hint="eastAsia"/>
                      <w:kern w:val="0"/>
                      <w:szCs w:val="21"/>
                    </w:rPr>
                    <w:t>1个，容积为</w:t>
                  </w:r>
                  <w:r>
                    <w:rPr>
                      <w:kern w:val="0"/>
                      <w:szCs w:val="21"/>
                    </w:rPr>
                    <w:t>5</w:t>
                  </w:r>
                  <w:r>
                    <w:rPr>
                      <w:rFonts w:hint="eastAsia"/>
                      <w:kern w:val="0"/>
                      <w:szCs w:val="21"/>
                    </w:rPr>
                    <w:t>m</w:t>
                  </w:r>
                  <w:r>
                    <w:rPr>
                      <w:rFonts w:hint="eastAsia"/>
                      <w:kern w:val="0"/>
                      <w:szCs w:val="21"/>
                      <w:vertAlign w:val="superscript"/>
                    </w:rPr>
                    <w:t>3</w:t>
                  </w:r>
                  <w:r>
                    <w:rPr>
                      <w:rFonts w:hint="eastAsia"/>
                      <w:kern w:val="0"/>
                      <w:szCs w:val="21"/>
                    </w:rPr>
                    <w:t>，用于收集预处理生活废水。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color w:val="FF0000"/>
                      <w:kern w:val="0"/>
                      <w:szCs w:val="21"/>
                    </w:rPr>
                  </w:pPr>
                </w:p>
              </w:tc>
              <w:tc>
                <w:tcPr>
                  <w:tcW w:w="504" w:type="dxa"/>
                  <w:vMerge w:val="continue"/>
                  <w:vAlign w:val="center"/>
                </w:tcPr>
                <w:p>
                  <w:pPr>
                    <w:adjustRightInd w:val="0"/>
                    <w:jc w:val="center"/>
                    <w:rPr>
                      <w:color w:val="FF0000"/>
                      <w:kern w:val="0"/>
                      <w:szCs w:val="21"/>
                    </w:rPr>
                  </w:pPr>
                </w:p>
              </w:tc>
              <w:tc>
                <w:tcPr>
                  <w:tcW w:w="1387" w:type="dxa"/>
                  <w:vAlign w:val="center"/>
                </w:tcPr>
                <w:p>
                  <w:pPr>
                    <w:adjustRightInd w:val="0"/>
                    <w:jc w:val="center"/>
                    <w:rPr>
                      <w:kern w:val="0"/>
                      <w:szCs w:val="21"/>
                    </w:rPr>
                  </w:pPr>
                  <w:r>
                    <w:rPr>
                      <w:rFonts w:hint="eastAsia"/>
                      <w:kern w:val="0"/>
                      <w:szCs w:val="21"/>
                    </w:rPr>
                    <w:t>中水暂存池</w:t>
                  </w:r>
                </w:p>
              </w:tc>
              <w:tc>
                <w:tcPr>
                  <w:tcW w:w="5629" w:type="dxa"/>
                </w:tcPr>
                <w:p>
                  <w:pPr>
                    <w:adjustRightInd w:val="0"/>
                    <w:rPr>
                      <w:kern w:val="0"/>
                      <w:szCs w:val="21"/>
                    </w:rPr>
                  </w:pPr>
                  <w:r>
                    <w:rPr>
                      <w:rFonts w:hint="eastAsia"/>
                      <w:kern w:val="0"/>
                      <w:szCs w:val="21"/>
                    </w:rPr>
                    <w:t>1个，容积为</w:t>
                  </w:r>
                  <w:r>
                    <w:rPr>
                      <w:kern w:val="0"/>
                      <w:szCs w:val="21"/>
                    </w:rPr>
                    <w:t>10</w:t>
                  </w:r>
                  <w:r>
                    <w:rPr>
                      <w:rFonts w:hint="eastAsia"/>
                      <w:kern w:val="0"/>
                      <w:szCs w:val="21"/>
                    </w:rPr>
                    <w:t>m</w:t>
                  </w:r>
                  <w:r>
                    <w:rPr>
                      <w:rFonts w:hint="eastAsia"/>
                      <w:kern w:val="0"/>
                      <w:szCs w:val="21"/>
                      <w:vertAlign w:val="superscript"/>
                    </w:rPr>
                    <w:t>3</w:t>
                  </w:r>
                  <w:r>
                    <w:rPr>
                      <w:rFonts w:hint="eastAsia"/>
                      <w:kern w:val="0"/>
                      <w:szCs w:val="21"/>
                    </w:rPr>
                    <w:t>，收集雨天经处理后的废水，待非雨天回用。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color w:val="FF0000"/>
                      <w:kern w:val="0"/>
                      <w:szCs w:val="21"/>
                    </w:rPr>
                  </w:pPr>
                </w:p>
              </w:tc>
              <w:tc>
                <w:tcPr>
                  <w:tcW w:w="504" w:type="dxa"/>
                  <w:vMerge w:val="continue"/>
                  <w:vAlign w:val="center"/>
                </w:tcPr>
                <w:p>
                  <w:pPr>
                    <w:adjustRightInd w:val="0"/>
                    <w:jc w:val="center"/>
                    <w:rPr>
                      <w:color w:val="FF0000"/>
                      <w:kern w:val="0"/>
                      <w:szCs w:val="21"/>
                    </w:rPr>
                  </w:pPr>
                </w:p>
              </w:tc>
              <w:tc>
                <w:tcPr>
                  <w:tcW w:w="1387" w:type="dxa"/>
                  <w:vAlign w:val="center"/>
                </w:tcPr>
                <w:p>
                  <w:pPr>
                    <w:adjustRightInd w:val="0"/>
                    <w:jc w:val="center"/>
                    <w:rPr>
                      <w:kern w:val="0"/>
                      <w:szCs w:val="21"/>
                    </w:rPr>
                  </w:pPr>
                  <w:r>
                    <w:rPr>
                      <w:rFonts w:hint="eastAsia"/>
                      <w:kern w:val="0"/>
                      <w:szCs w:val="21"/>
                    </w:rPr>
                    <w:t>一体化污水处理站</w:t>
                  </w:r>
                </w:p>
              </w:tc>
              <w:tc>
                <w:tcPr>
                  <w:tcW w:w="5629" w:type="dxa"/>
                </w:tcPr>
                <w:p>
                  <w:pPr>
                    <w:adjustRightInd w:val="0"/>
                    <w:rPr>
                      <w:kern w:val="0"/>
                      <w:szCs w:val="21"/>
                    </w:rPr>
                  </w:pPr>
                  <w:r>
                    <w:rPr>
                      <w:rFonts w:hint="eastAsia"/>
                      <w:kern w:val="0"/>
                      <w:szCs w:val="21"/>
                    </w:rPr>
                    <w:t>1套，处理能力为</w:t>
                  </w:r>
                  <w:r>
                    <w:rPr>
                      <w:kern w:val="0"/>
                      <w:szCs w:val="21"/>
                    </w:rPr>
                    <w:t>3</w:t>
                  </w:r>
                  <w:r>
                    <w:rPr>
                      <w:rFonts w:hint="eastAsia"/>
                      <w:kern w:val="0"/>
                      <w:szCs w:val="21"/>
                    </w:rPr>
                    <w:t>m</w:t>
                  </w:r>
                  <w:r>
                    <w:rPr>
                      <w:rFonts w:hint="eastAsia"/>
                      <w:kern w:val="0"/>
                      <w:szCs w:val="21"/>
                      <w:vertAlign w:val="superscript"/>
                    </w:rPr>
                    <w:t>3</w:t>
                  </w:r>
                  <w:r>
                    <w:rPr>
                      <w:rFonts w:hint="eastAsia"/>
                      <w:kern w:val="0"/>
                      <w:szCs w:val="21"/>
                    </w:rPr>
                    <w:t>/d，推荐采用“AAO+沉淀+消毒”工艺。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color w:val="FF0000"/>
                      <w:kern w:val="0"/>
                      <w:szCs w:val="21"/>
                    </w:rPr>
                  </w:pPr>
                </w:p>
              </w:tc>
              <w:tc>
                <w:tcPr>
                  <w:tcW w:w="504" w:type="dxa"/>
                  <w:vAlign w:val="center"/>
                </w:tcPr>
                <w:p>
                  <w:pPr>
                    <w:adjustRightInd w:val="0"/>
                    <w:jc w:val="center"/>
                    <w:rPr>
                      <w:kern w:val="0"/>
                      <w:szCs w:val="21"/>
                    </w:rPr>
                  </w:pPr>
                  <w:r>
                    <w:rPr>
                      <w:rFonts w:hint="eastAsia"/>
                      <w:kern w:val="0"/>
                      <w:szCs w:val="21"/>
                    </w:rPr>
                    <w:t>环境风险</w:t>
                  </w:r>
                </w:p>
              </w:tc>
              <w:tc>
                <w:tcPr>
                  <w:tcW w:w="1387" w:type="dxa"/>
                  <w:vAlign w:val="center"/>
                </w:tcPr>
                <w:p>
                  <w:pPr>
                    <w:adjustRightInd w:val="0"/>
                    <w:jc w:val="center"/>
                    <w:rPr>
                      <w:kern w:val="0"/>
                      <w:szCs w:val="21"/>
                    </w:rPr>
                  </w:pPr>
                  <w:r>
                    <w:rPr>
                      <w:rFonts w:hint="eastAsia"/>
                      <w:kern w:val="0"/>
                      <w:szCs w:val="21"/>
                    </w:rPr>
                    <w:t>事故油池</w:t>
                  </w:r>
                </w:p>
              </w:tc>
              <w:tc>
                <w:tcPr>
                  <w:tcW w:w="5629" w:type="dxa"/>
                  <w:vAlign w:val="center"/>
                </w:tcPr>
                <w:p>
                  <w:pPr>
                    <w:adjustRightInd w:val="0"/>
                    <w:rPr>
                      <w:color w:val="FF0000"/>
                      <w:kern w:val="0"/>
                      <w:szCs w:val="21"/>
                    </w:rPr>
                  </w:pPr>
                  <w:r>
                    <w:rPr>
                      <w:rFonts w:hint="eastAsia"/>
                      <w:kern w:val="0"/>
                      <w:szCs w:val="21"/>
                    </w:rPr>
                    <w:t>光伏场区每个3</w:t>
                  </w:r>
                  <w:r>
                    <w:rPr>
                      <w:kern w:val="0"/>
                      <w:szCs w:val="21"/>
                    </w:rPr>
                    <w:t>5</w:t>
                  </w:r>
                  <w:r>
                    <w:rPr>
                      <w:rFonts w:hint="eastAsia"/>
                      <w:kern w:val="0"/>
                      <w:szCs w:val="21"/>
                    </w:rPr>
                    <w:t>k</w:t>
                  </w:r>
                  <w:r>
                    <w:rPr>
                      <w:kern w:val="0"/>
                      <w:szCs w:val="21"/>
                    </w:rPr>
                    <w:t>V</w:t>
                  </w:r>
                  <w:r>
                    <w:rPr>
                      <w:rFonts w:hint="eastAsia"/>
                      <w:kern w:val="0"/>
                      <w:szCs w:val="21"/>
                    </w:rPr>
                    <w:t>箱式变压器下方设置</w:t>
                  </w:r>
                  <w:r>
                    <w:rPr>
                      <w:kern w:val="0"/>
                      <w:szCs w:val="21"/>
                    </w:rPr>
                    <w:t>1</w:t>
                  </w:r>
                  <w:r>
                    <w:rPr>
                      <w:rFonts w:hint="eastAsia"/>
                      <w:kern w:val="0"/>
                      <w:szCs w:val="21"/>
                    </w:rPr>
                    <w:t>个事故油池，共</w:t>
                  </w:r>
                  <w:r>
                    <w:rPr>
                      <w:kern w:val="0"/>
                      <w:szCs w:val="21"/>
                    </w:rPr>
                    <w:t>6</w:t>
                  </w:r>
                  <w:r>
                    <w:rPr>
                      <w:rFonts w:hint="eastAsia"/>
                      <w:kern w:val="0"/>
                      <w:szCs w:val="21"/>
                    </w:rPr>
                    <w:t>个。每个容积</w:t>
                  </w:r>
                  <w:r>
                    <w:rPr>
                      <w:kern w:val="0"/>
                      <w:szCs w:val="21"/>
                    </w:rPr>
                    <w:t>4</w:t>
                  </w:r>
                  <w:r>
                    <w:rPr>
                      <w:rFonts w:hint="eastAsia"/>
                      <w:kern w:val="0"/>
                      <w:szCs w:val="21"/>
                    </w:rPr>
                    <w:t>m</w:t>
                  </w:r>
                  <w:r>
                    <w:rPr>
                      <w:kern w:val="0"/>
                      <w:szCs w:val="21"/>
                      <w:vertAlign w:val="superscript"/>
                    </w:rPr>
                    <w:t>3</w:t>
                  </w:r>
                  <w:r>
                    <w:rPr>
                      <w:rFonts w:hint="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Cs w:val="21"/>
                    </w:rPr>
                  </w:pPr>
                </w:p>
              </w:tc>
              <w:tc>
                <w:tcPr>
                  <w:tcW w:w="1891" w:type="dxa"/>
                  <w:gridSpan w:val="2"/>
                  <w:vAlign w:val="center"/>
                </w:tcPr>
                <w:p>
                  <w:pPr>
                    <w:adjustRightInd w:val="0"/>
                    <w:jc w:val="center"/>
                    <w:rPr>
                      <w:kern w:val="0"/>
                      <w:szCs w:val="21"/>
                    </w:rPr>
                  </w:pPr>
                  <w:r>
                    <w:rPr>
                      <w:rFonts w:hint="eastAsia"/>
                      <w:kern w:val="0"/>
                      <w:szCs w:val="21"/>
                    </w:rPr>
                    <w:t>植被恢复</w:t>
                  </w:r>
                </w:p>
              </w:tc>
              <w:tc>
                <w:tcPr>
                  <w:tcW w:w="5629" w:type="dxa"/>
                  <w:vAlign w:val="center"/>
                </w:tcPr>
                <w:p>
                  <w:pPr>
                    <w:adjustRightInd w:val="0"/>
                    <w:rPr>
                      <w:kern w:val="0"/>
                      <w:szCs w:val="21"/>
                    </w:rPr>
                  </w:pPr>
                  <w:r>
                    <w:rPr>
                      <w:rFonts w:hint="eastAsia"/>
                      <w:kern w:val="0"/>
                      <w:szCs w:val="21"/>
                    </w:rPr>
                    <w:t>光伏板下方、施工临时占地全部恢复生态。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restart"/>
                  <w:vAlign w:val="center"/>
                </w:tcPr>
                <w:p>
                  <w:pPr>
                    <w:adjustRightInd w:val="0"/>
                    <w:jc w:val="center"/>
                    <w:rPr>
                      <w:kern w:val="0"/>
                      <w:szCs w:val="21"/>
                    </w:rPr>
                  </w:pPr>
                  <w:r>
                    <w:rPr>
                      <w:rFonts w:hint="eastAsia"/>
                      <w:kern w:val="0"/>
                      <w:szCs w:val="21"/>
                    </w:rPr>
                    <w:t>临时工程</w:t>
                  </w:r>
                </w:p>
              </w:tc>
              <w:tc>
                <w:tcPr>
                  <w:tcW w:w="1891" w:type="dxa"/>
                  <w:gridSpan w:val="2"/>
                  <w:vAlign w:val="center"/>
                </w:tcPr>
                <w:p>
                  <w:pPr>
                    <w:adjustRightInd w:val="0"/>
                    <w:jc w:val="center"/>
                    <w:rPr>
                      <w:kern w:val="0"/>
                      <w:szCs w:val="21"/>
                    </w:rPr>
                  </w:pPr>
                  <w:r>
                    <w:rPr>
                      <w:rFonts w:hint="eastAsia"/>
                      <w:kern w:val="0"/>
                      <w:szCs w:val="21"/>
                    </w:rPr>
                    <w:t>施工场地</w:t>
                  </w:r>
                </w:p>
              </w:tc>
              <w:tc>
                <w:tcPr>
                  <w:tcW w:w="5629" w:type="dxa"/>
                  <w:vAlign w:val="center"/>
                </w:tcPr>
                <w:p>
                  <w:pPr>
                    <w:adjustRightInd w:val="0"/>
                    <w:rPr>
                      <w:kern w:val="0"/>
                      <w:szCs w:val="21"/>
                    </w:rPr>
                  </w:pPr>
                  <w:r>
                    <w:rPr>
                      <w:rFonts w:hint="eastAsia"/>
                      <w:kern w:val="0"/>
                      <w:szCs w:val="21"/>
                    </w:rPr>
                    <w:t>施工场地规划现场办公区1处、材料仓库2处、材料加工厂2处。施工临时场地总计占地面积为</w:t>
                  </w:r>
                  <w:r>
                    <w:rPr>
                      <w:kern w:val="0"/>
                      <w:szCs w:val="21"/>
                    </w:rPr>
                    <w:t>3200</w:t>
                  </w:r>
                  <w:r>
                    <w:rPr>
                      <w:rFonts w:hint="eastAsia"/>
                      <w:kern w:val="0"/>
                      <w:szCs w:val="21"/>
                    </w:rPr>
                    <w:t>m</w:t>
                  </w:r>
                  <w:r>
                    <w:rPr>
                      <w:rFonts w:hint="eastAsia"/>
                      <w:kern w:val="0"/>
                      <w:szCs w:val="21"/>
                      <w:vertAlign w:val="superscript"/>
                    </w:rPr>
                    <w:t>2</w:t>
                  </w:r>
                  <w:r>
                    <w:rPr>
                      <w:rFonts w:hint="eastAsia"/>
                      <w:kern w:val="0"/>
                      <w:szCs w:val="21"/>
                    </w:rPr>
                    <w:t>，全部为临时占地。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 w:val="20"/>
                      <w:szCs w:val="21"/>
                      <w:highlight w:val="red"/>
                    </w:rPr>
                  </w:pPr>
                </w:p>
              </w:tc>
              <w:tc>
                <w:tcPr>
                  <w:tcW w:w="1891" w:type="dxa"/>
                  <w:gridSpan w:val="2"/>
                  <w:vAlign w:val="center"/>
                </w:tcPr>
                <w:p>
                  <w:pPr>
                    <w:adjustRightInd w:val="0"/>
                    <w:jc w:val="center"/>
                    <w:rPr>
                      <w:kern w:val="0"/>
                      <w:szCs w:val="21"/>
                    </w:rPr>
                  </w:pPr>
                  <w:r>
                    <w:rPr>
                      <w:rFonts w:hint="eastAsia"/>
                      <w:kern w:val="0"/>
                      <w:szCs w:val="21"/>
                    </w:rPr>
                    <w:t>表土堆场</w:t>
                  </w:r>
                </w:p>
              </w:tc>
              <w:tc>
                <w:tcPr>
                  <w:tcW w:w="5629" w:type="dxa"/>
                  <w:vAlign w:val="center"/>
                </w:tcPr>
                <w:p>
                  <w:pPr>
                    <w:adjustRightInd w:val="0"/>
                    <w:rPr>
                      <w:kern w:val="0"/>
                      <w:szCs w:val="21"/>
                    </w:rPr>
                  </w:pPr>
                  <w:r>
                    <w:rPr>
                      <w:rFonts w:hint="eastAsia"/>
                      <w:kern w:val="0"/>
                      <w:szCs w:val="21"/>
                    </w:rPr>
                    <w:t>规划3处表土堆场，设置在用地范围内植被稀少的凹地处，不新增占用土地，面积约</w:t>
                  </w:r>
                  <w:r>
                    <w:rPr>
                      <w:kern w:val="0"/>
                      <w:szCs w:val="21"/>
                    </w:rPr>
                    <w:t>6000</w:t>
                  </w:r>
                  <w:r>
                    <w:rPr>
                      <w:rFonts w:hint="eastAsia"/>
                      <w:kern w:val="0"/>
                      <w:szCs w:val="21"/>
                    </w:rPr>
                    <w:t>m</w:t>
                  </w:r>
                  <w:r>
                    <w:rPr>
                      <w:kern w:val="0"/>
                      <w:szCs w:val="21"/>
                      <w:vertAlign w:val="superscript"/>
                    </w:rPr>
                    <w:t>2</w:t>
                  </w:r>
                  <w:r>
                    <w:rPr>
                      <w:rFonts w:hint="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6" w:type="dxa"/>
                  <w:vMerge w:val="continue"/>
                  <w:vAlign w:val="center"/>
                </w:tcPr>
                <w:p>
                  <w:pPr>
                    <w:adjustRightInd w:val="0"/>
                    <w:jc w:val="center"/>
                    <w:rPr>
                      <w:kern w:val="0"/>
                      <w:sz w:val="20"/>
                      <w:szCs w:val="21"/>
                    </w:rPr>
                  </w:pPr>
                </w:p>
              </w:tc>
              <w:tc>
                <w:tcPr>
                  <w:tcW w:w="1891" w:type="dxa"/>
                  <w:gridSpan w:val="2"/>
                  <w:vAlign w:val="center"/>
                </w:tcPr>
                <w:p>
                  <w:pPr>
                    <w:adjustRightInd w:val="0"/>
                    <w:jc w:val="center"/>
                    <w:rPr>
                      <w:kern w:val="0"/>
                      <w:szCs w:val="21"/>
                    </w:rPr>
                  </w:pPr>
                  <w:r>
                    <w:rPr>
                      <w:rFonts w:hint="eastAsia"/>
                      <w:kern w:val="0"/>
                      <w:szCs w:val="21"/>
                    </w:rPr>
                    <w:t>临时沉淀池</w:t>
                  </w:r>
                </w:p>
              </w:tc>
              <w:tc>
                <w:tcPr>
                  <w:tcW w:w="5629" w:type="dxa"/>
                  <w:vAlign w:val="center"/>
                </w:tcPr>
                <w:p>
                  <w:pPr>
                    <w:adjustRightInd w:val="0"/>
                    <w:rPr>
                      <w:kern w:val="0"/>
                      <w:szCs w:val="21"/>
                    </w:rPr>
                  </w:pPr>
                  <w:r>
                    <w:rPr>
                      <w:rFonts w:hint="eastAsia"/>
                      <w:kern w:val="0"/>
                      <w:szCs w:val="21"/>
                    </w:rPr>
                    <w:t>每个施工场地在地势低处设置排水沟，排水沟末端设置沉淀池，容积（</w:t>
                  </w:r>
                  <w:r>
                    <w:rPr>
                      <w:kern w:val="0"/>
                      <w:szCs w:val="21"/>
                    </w:rPr>
                    <w:t>3</w:t>
                  </w:r>
                  <w:r>
                    <w:rPr>
                      <w:rFonts w:hint="eastAsia"/>
                      <w:kern w:val="0"/>
                      <w:szCs w:val="21"/>
                    </w:rPr>
                    <w:t>m</w:t>
                  </w:r>
                  <w:r>
                    <w:rPr>
                      <w:kern w:val="0"/>
                      <w:szCs w:val="21"/>
                      <w:vertAlign w:val="superscript"/>
                    </w:rPr>
                    <w:t>3</w:t>
                  </w:r>
                  <w:r>
                    <w:rPr>
                      <w:rFonts w:hint="eastAsia"/>
                      <w:kern w:val="0"/>
                      <w:szCs w:val="21"/>
                    </w:rPr>
                    <w:t>）。</w:t>
                  </w:r>
                </w:p>
              </w:tc>
            </w:tr>
          </w:tbl>
          <w:p>
            <w:pPr>
              <w:pStyle w:val="21"/>
              <w:adjustRightInd w:val="0"/>
              <w:snapToGrid/>
              <w:spacing w:before="0" w:after="0" w:line="360" w:lineRule="auto"/>
              <w:ind w:right="0"/>
              <w:rPr>
                <w:b/>
                <w:bCs/>
                <w:sz w:val="24"/>
                <w:szCs w:val="22"/>
              </w:rPr>
            </w:pPr>
            <w:r>
              <w:rPr>
                <w:rFonts w:hint="eastAsia"/>
                <w:b/>
                <w:bCs/>
                <w:sz w:val="24"/>
                <w:szCs w:val="22"/>
              </w:rPr>
              <w:t>2、项目主要设备</w:t>
            </w:r>
          </w:p>
          <w:p>
            <w:pPr>
              <w:pStyle w:val="21"/>
              <w:adjustRightInd w:val="0"/>
              <w:snapToGrid/>
              <w:spacing w:before="0" w:after="0" w:line="240" w:lineRule="auto"/>
              <w:ind w:right="0"/>
              <w:jc w:val="center"/>
              <w:rPr>
                <w:b/>
                <w:bCs/>
                <w:sz w:val="21"/>
                <w:szCs w:val="20"/>
              </w:rPr>
            </w:pPr>
            <w:r>
              <w:rPr>
                <w:rFonts w:hint="eastAsia"/>
                <w:b/>
                <w:bCs/>
                <w:sz w:val="21"/>
                <w:szCs w:val="20"/>
              </w:rPr>
              <w:t>表2</w:t>
            </w:r>
            <w:r>
              <w:rPr>
                <w:b/>
                <w:bCs/>
                <w:sz w:val="21"/>
                <w:szCs w:val="20"/>
              </w:rPr>
              <w:t xml:space="preserve">-2  </w:t>
            </w:r>
            <w:r>
              <w:rPr>
                <w:rFonts w:hint="eastAsia"/>
                <w:b/>
                <w:bCs/>
                <w:sz w:val="21"/>
                <w:szCs w:val="20"/>
              </w:rPr>
              <w:t>项目主要电气设备表</w:t>
            </w:r>
          </w:p>
          <w:tbl>
            <w:tblPr>
              <w:tblStyle w:val="44"/>
              <w:tblW w:w="81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921"/>
              <w:gridCol w:w="3261"/>
              <w:gridCol w:w="708"/>
              <w:gridCol w:w="851"/>
              <w:gridCol w:w="7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658" w:type="dxa"/>
                  <w:vAlign w:val="center"/>
                </w:tcPr>
                <w:p>
                  <w:pPr>
                    <w:adjustRightInd w:val="0"/>
                    <w:jc w:val="center"/>
                    <w:rPr>
                      <w:b/>
                      <w:szCs w:val="21"/>
                    </w:rPr>
                  </w:pPr>
                  <w:bookmarkStart w:id="16" w:name="_Hlk73561412"/>
                  <w:r>
                    <w:rPr>
                      <w:b/>
                      <w:szCs w:val="21"/>
                    </w:rPr>
                    <w:t>序号</w:t>
                  </w:r>
                </w:p>
              </w:tc>
              <w:tc>
                <w:tcPr>
                  <w:tcW w:w="1921" w:type="dxa"/>
                  <w:vAlign w:val="center"/>
                </w:tcPr>
                <w:p>
                  <w:pPr>
                    <w:adjustRightInd w:val="0"/>
                    <w:jc w:val="center"/>
                    <w:rPr>
                      <w:b/>
                      <w:szCs w:val="21"/>
                    </w:rPr>
                  </w:pPr>
                  <w:r>
                    <w:rPr>
                      <w:b/>
                      <w:szCs w:val="21"/>
                    </w:rPr>
                    <w:t>名称</w:t>
                  </w:r>
                </w:p>
              </w:tc>
              <w:tc>
                <w:tcPr>
                  <w:tcW w:w="3261" w:type="dxa"/>
                  <w:vAlign w:val="center"/>
                </w:tcPr>
                <w:p>
                  <w:pPr>
                    <w:adjustRightInd w:val="0"/>
                    <w:jc w:val="center"/>
                    <w:rPr>
                      <w:b/>
                      <w:szCs w:val="21"/>
                    </w:rPr>
                  </w:pPr>
                  <w:r>
                    <w:rPr>
                      <w:b/>
                      <w:szCs w:val="21"/>
                    </w:rPr>
                    <w:t>型号及规格</w:t>
                  </w:r>
                </w:p>
              </w:tc>
              <w:tc>
                <w:tcPr>
                  <w:tcW w:w="708" w:type="dxa"/>
                  <w:vAlign w:val="center"/>
                </w:tcPr>
                <w:p>
                  <w:pPr>
                    <w:adjustRightInd w:val="0"/>
                    <w:jc w:val="center"/>
                    <w:rPr>
                      <w:b/>
                      <w:szCs w:val="21"/>
                    </w:rPr>
                  </w:pPr>
                  <w:r>
                    <w:rPr>
                      <w:b/>
                      <w:szCs w:val="21"/>
                    </w:rPr>
                    <w:t>单位</w:t>
                  </w:r>
                </w:p>
              </w:tc>
              <w:tc>
                <w:tcPr>
                  <w:tcW w:w="851" w:type="dxa"/>
                  <w:vAlign w:val="center"/>
                </w:tcPr>
                <w:p>
                  <w:pPr>
                    <w:adjustRightInd w:val="0"/>
                    <w:jc w:val="center"/>
                    <w:rPr>
                      <w:b/>
                      <w:szCs w:val="21"/>
                    </w:rPr>
                  </w:pPr>
                  <w:r>
                    <w:rPr>
                      <w:b/>
                      <w:szCs w:val="21"/>
                    </w:rPr>
                    <w:t>数量</w:t>
                  </w:r>
                </w:p>
              </w:tc>
              <w:tc>
                <w:tcPr>
                  <w:tcW w:w="721" w:type="dxa"/>
                  <w:vAlign w:val="center"/>
                </w:tcPr>
                <w:p>
                  <w:pPr>
                    <w:adjustRightInd w:val="0"/>
                    <w:jc w:val="center"/>
                    <w:rPr>
                      <w:b/>
                      <w:szCs w:val="21"/>
                    </w:rPr>
                  </w:pPr>
                  <w:r>
                    <w:rPr>
                      <w:rFonts w:hint="eastAsia"/>
                      <w:b/>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120" w:type="dxa"/>
                  <w:gridSpan w:val="6"/>
                  <w:vAlign w:val="center"/>
                </w:tcPr>
                <w:p>
                  <w:pPr>
                    <w:adjustRightInd w:val="0"/>
                    <w:jc w:val="center"/>
                    <w:rPr>
                      <w:b/>
                      <w:bCs/>
                      <w:szCs w:val="21"/>
                    </w:rPr>
                  </w:pPr>
                  <w:r>
                    <w:rPr>
                      <w:b/>
                      <w:bCs/>
                      <w:szCs w:val="21"/>
                    </w:rPr>
                    <w:t>一、光伏区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adjustRightInd w:val="0"/>
                    <w:jc w:val="center"/>
                    <w:rPr>
                      <w:szCs w:val="21"/>
                    </w:rPr>
                  </w:pPr>
                  <w:r>
                    <w:rPr>
                      <w:rFonts w:hint="eastAsia"/>
                      <w:szCs w:val="21"/>
                    </w:rPr>
                    <w:t>1.</w:t>
                  </w:r>
                  <w:r>
                    <w:rPr>
                      <w:szCs w:val="21"/>
                    </w:rPr>
                    <w:t>1</w:t>
                  </w:r>
                </w:p>
              </w:tc>
              <w:tc>
                <w:tcPr>
                  <w:tcW w:w="1921" w:type="dxa"/>
                  <w:vAlign w:val="center"/>
                </w:tcPr>
                <w:p>
                  <w:pPr>
                    <w:adjustRightInd w:val="0"/>
                    <w:jc w:val="center"/>
                    <w:rPr>
                      <w:szCs w:val="21"/>
                    </w:rPr>
                  </w:pPr>
                  <w:r>
                    <w:rPr>
                      <w:szCs w:val="21"/>
                    </w:rPr>
                    <w:t>光伏组件</w:t>
                  </w:r>
                </w:p>
              </w:tc>
              <w:tc>
                <w:tcPr>
                  <w:tcW w:w="3261" w:type="dxa"/>
                  <w:vAlign w:val="center"/>
                </w:tcPr>
                <w:p>
                  <w:pPr>
                    <w:adjustRightInd w:val="0"/>
                    <w:jc w:val="center"/>
                    <w:rPr>
                      <w:szCs w:val="21"/>
                    </w:rPr>
                  </w:pPr>
                  <w:r>
                    <w:rPr>
                      <w:rFonts w:hint="eastAsia"/>
                      <w:kern w:val="0"/>
                      <w:szCs w:val="21"/>
                    </w:rPr>
                    <w:t>580W，1500V单晶N型双面组件</w:t>
                  </w:r>
                </w:p>
              </w:tc>
              <w:tc>
                <w:tcPr>
                  <w:tcW w:w="708" w:type="dxa"/>
                  <w:vAlign w:val="center"/>
                </w:tcPr>
                <w:p>
                  <w:pPr>
                    <w:adjustRightInd w:val="0"/>
                    <w:jc w:val="center"/>
                    <w:rPr>
                      <w:szCs w:val="21"/>
                    </w:rPr>
                  </w:pPr>
                  <w:r>
                    <w:rPr>
                      <w:szCs w:val="21"/>
                    </w:rPr>
                    <w:t>块</w:t>
                  </w:r>
                </w:p>
              </w:tc>
              <w:tc>
                <w:tcPr>
                  <w:tcW w:w="851" w:type="dxa"/>
                  <w:vAlign w:val="center"/>
                </w:tcPr>
                <w:p>
                  <w:pPr>
                    <w:adjustRightInd w:val="0"/>
                    <w:jc w:val="center"/>
                    <w:rPr>
                      <w:szCs w:val="21"/>
                    </w:rPr>
                  </w:pPr>
                  <w:r>
                    <w:rPr>
                      <w:szCs w:val="21"/>
                    </w:rPr>
                    <w:t>42900</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adjustRightInd w:val="0"/>
                    <w:jc w:val="center"/>
                    <w:rPr>
                      <w:szCs w:val="21"/>
                    </w:rPr>
                  </w:pPr>
                  <w:r>
                    <w:rPr>
                      <w:rFonts w:hint="eastAsia"/>
                      <w:szCs w:val="21"/>
                    </w:rPr>
                    <w:t>1.</w:t>
                  </w:r>
                  <w:r>
                    <w:rPr>
                      <w:szCs w:val="21"/>
                    </w:rPr>
                    <w:t>2</w:t>
                  </w:r>
                </w:p>
              </w:tc>
              <w:tc>
                <w:tcPr>
                  <w:tcW w:w="1921" w:type="dxa"/>
                  <w:vAlign w:val="center"/>
                </w:tcPr>
                <w:p>
                  <w:pPr>
                    <w:adjustRightInd w:val="0"/>
                    <w:jc w:val="center"/>
                    <w:rPr>
                      <w:szCs w:val="21"/>
                    </w:rPr>
                  </w:pPr>
                  <w:r>
                    <w:rPr>
                      <w:szCs w:val="21"/>
                    </w:rPr>
                    <w:t>组串式逆变器</w:t>
                  </w:r>
                </w:p>
              </w:tc>
              <w:tc>
                <w:tcPr>
                  <w:tcW w:w="3261" w:type="dxa"/>
                  <w:vAlign w:val="center"/>
                </w:tcPr>
                <w:p>
                  <w:pPr>
                    <w:adjustRightInd w:val="0"/>
                    <w:jc w:val="center"/>
                    <w:rPr>
                      <w:szCs w:val="21"/>
                    </w:rPr>
                  </w:pPr>
                  <w:r>
                    <w:rPr>
                      <w:szCs w:val="21"/>
                    </w:rPr>
                    <w:t>300kW</w:t>
                  </w:r>
                </w:p>
              </w:tc>
              <w:tc>
                <w:tcPr>
                  <w:tcW w:w="708" w:type="dxa"/>
                  <w:vAlign w:val="center"/>
                </w:tcPr>
                <w:p>
                  <w:pPr>
                    <w:adjustRightInd w:val="0"/>
                    <w:jc w:val="center"/>
                    <w:rPr>
                      <w:szCs w:val="21"/>
                    </w:rPr>
                  </w:pPr>
                  <w:r>
                    <w:rPr>
                      <w:szCs w:val="21"/>
                    </w:rPr>
                    <w:t>台</w:t>
                  </w:r>
                </w:p>
              </w:tc>
              <w:tc>
                <w:tcPr>
                  <w:tcW w:w="851" w:type="dxa"/>
                  <w:vAlign w:val="center"/>
                </w:tcPr>
                <w:p>
                  <w:pPr>
                    <w:adjustRightInd w:val="0"/>
                    <w:jc w:val="center"/>
                    <w:rPr>
                      <w:szCs w:val="21"/>
                    </w:rPr>
                  </w:pPr>
                  <w:r>
                    <w:rPr>
                      <w:szCs w:val="21"/>
                    </w:rPr>
                    <w:t>66</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adjustRightInd w:val="0"/>
                    <w:jc w:val="center"/>
                    <w:rPr>
                      <w:szCs w:val="21"/>
                    </w:rPr>
                  </w:pPr>
                  <w:r>
                    <w:rPr>
                      <w:rFonts w:hint="eastAsia"/>
                      <w:szCs w:val="21"/>
                    </w:rPr>
                    <w:t>1.3</w:t>
                  </w:r>
                </w:p>
              </w:tc>
              <w:tc>
                <w:tcPr>
                  <w:tcW w:w="1921" w:type="dxa"/>
                  <w:vAlign w:val="center"/>
                </w:tcPr>
                <w:p>
                  <w:pPr>
                    <w:adjustRightInd w:val="0"/>
                    <w:jc w:val="center"/>
                    <w:rPr>
                      <w:kern w:val="0"/>
                      <w:szCs w:val="21"/>
                    </w:rPr>
                  </w:pPr>
                  <w:r>
                    <w:rPr>
                      <w:rFonts w:hint="eastAsia"/>
                      <w:kern w:val="0"/>
                      <w:szCs w:val="21"/>
                    </w:rPr>
                    <w:t>3</w:t>
                  </w:r>
                  <w:r>
                    <w:rPr>
                      <w:kern w:val="0"/>
                      <w:szCs w:val="21"/>
                    </w:rPr>
                    <w:t>5</w:t>
                  </w:r>
                  <w:r>
                    <w:rPr>
                      <w:rFonts w:hint="eastAsia"/>
                      <w:kern w:val="0"/>
                      <w:szCs w:val="21"/>
                    </w:rPr>
                    <w:t>k</w:t>
                  </w:r>
                  <w:r>
                    <w:rPr>
                      <w:kern w:val="0"/>
                      <w:szCs w:val="21"/>
                    </w:rPr>
                    <w:t>V箱变</w:t>
                  </w:r>
                </w:p>
              </w:tc>
              <w:tc>
                <w:tcPr>
                  <w:tcW w:w="3261" w:type="dxa"/>
                  <w:vAlign w:val="center"/>
                </w:tcPr>
                <w:p>
                  <w:pPr>
                    <w:adjustRightInd w:val="0"/>
                    <w:jc w:val="center"/>
                    <w:rPr>
                      <w:kern w:val="0"/>
                      <w:szCs w:val="21"/>
                    </w:rPr>
                  </w:pPr>
                  <w:r>
                    <w:rPr>
                      <w:rFonts w:hint="eastAsia"/>
                      <w:kern w:val="0"/>
                      <w:szCs w:val="21"/>
                    </w:rPr>
                    <w:t>3</w:t>
                  </w:r>
                  <w:r>
                    <w:rPr>
                      <w:kern w:val="0"/>
                      <w:szCs w:val="21"/>
                    </w:rPr>
                    <w:t>3</w:t>
                  </w:r>
                  <w:r>
                    <w:rPr>
                      <w:rFonts w:hint="eastAsia"/>
                      <w:kern w:val="0"/>
                      <w:szCs w:val="21"/>
                    </w:rPr>
                    <w:t>00kVA油浸式箱变</w:t>
                  </w:r>
                </w:p>
              </w:tc>
              <w:tc>
                <w:tcPr>
                  <w:tcW w:w="708" w:type="dxa"/>
                  <w:vAlign w:val="center"/>
                </w:tcPr>
                <w:p>
                  <w:pPr>
                    <w:widowControl/>
                    <w:adjustRightInd w:val="0"/>
                    <w:jc w:val="center"/>
                    <w:rPr>
                      <w:kern w:val="0"/>
                      <w:szCs w:val="21"/>
                    </w:rPr>
                  </w:pPr>
                  <w:r>
                    <w:rPr>
                      <w:rFonts w:hint="eastAsia"/>
                      <w:kern w:val="0"/>
                      <w:szCs w:val="21"/>
                    </w:rPr>
                    <w:t>台</w:t>
                  </w:r>
                </w:p>
              </w:tc>
              <w:tc>
                <w:tcPr>
                  <w:tcW w:w="851" w:type="dxa"/>
                  <w:vAlign w:val="center"/>
                </w:tcPr>
                <w:p>
                  <w:pPr>
                    <w:widowControl/>
                    <w:adjustRightInd w:val="0"/>
                    <w:jc w:val="center"/>
                    <w:rPr>
                      <w:szCs w:val="21"/>
                    </w:rPr>
                  </w:pPr>
                  <w:r>
                    <w:rPr>
                      <w:szCs w:val="21"/>
                    </w:rPr>
                    <w:t>6</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kern w:val="0"/>
                      <w:szCs w:val="21"/>
                    </w:rPr>
                    <w:t>1.</w:t>
                  </w:r>
                  <w:r>
                    <w:rPr>
                      <w:kern w:val="0"/>
                      <w:szCs w:val="21"/>
                    </w:rPr>
                    <w:t>4</w:t>
                  </w:r>
                </w:p>
              </w:tc>
              <w:tc>
                <w:tcPr>
                  <w:tcW w:w="1921" w:type="dxa"/>
                  <w:vAlign w:val="center"/>
                </w:tcPr>
                <w:p>
                  <w:pPr>
                    <w:widowControl/>
                    <w:adjustRightInd w:val="0"/>
                    <w:jc w:val="center"/>
                    <w:rPr>
                      <w:szCs w:val="21"/>
                    </w:rPr>
                  </w:pPr>
                  <w:r>
                    <w:rPr>
                      <w:rFonts w:hint="eastAsia"/>
                      <w:szCs w:val="21"/>
                    </w:rPr>
                    <w:t>光伏支架</w:t>
                  </w:r>
                </w:p>
              </w:tc>
              <w:tc>
                <w:tcPr>
                  <w:tcW w:w="3261" w:type="dxa"/>
                  <w:vAlign w:val="center"/>
                </w:tcPr>
                <w:p>
                  <w:pPr>
                    <w:widowControl/>
                    <w:adjustRightInd w:val="0"/>
                    <w:jc w:val="center"/>
                    <w:rPr>
                      <w:szCs w:val="21"/>
                    </w:rPr>
                  </w:pPr>
                  <w:r>
                    <w:rPr>
                      <w:rFonts w:hint="eastAsia"/>
                      <w:kern w:val="0"/>
                      <w:szCs w:val="21"/>
                    </w:rPr>
                    <w:t>固定式支架，2×13竖向布置，倾角17°</w:t>
                  </w:r>
                </w:p>
              </w:tc>
              <w:tc>
                <w:tcPr>
                  <w:tcW w:w="708" w:type="dxa"/>
                  <w:vAlign w:val="center"/>
                </w:tcPr>
                <w:p>
                  <w:pPr>
                    <w:widowControl/>
                    <w:adjustRightInd w:val="0"/>
                    <w:jc w:val="center"/>
                    <w:rPr>
                      <w:szCs w:val="21"/>
                    </w:rPr>
                  </w:pPr>
                  <w:r>
                    <w:rPr>
                      <w:rFonts w:hint="eastAsia"/>
                      <w:szCs w:val="21"/>
                    </w:rPr>
                    <w:t>套</w:t>
                  </w:r>
                </w:p>
              </w:tc>
              <w:tc>
                <w:tcPr>
                  <w:tcW w:w="851" w:type="dxa"/>
                  <w:vAlign w:val="center"/>
                </w:tcPr>
                <w:p>
                  <w:pPr>
                    <w:widowControl/>
                    <w:adjustRightInd w:val="0"/>
                    <w:jc w:val="center"/>
                    <w:rPr>
                      <w:szCs w:val="21"/>
                    </w:rPr>
                  </w:pPr>
                  <w:r>
                    <w:rPr>
                      <w:szCs w:val="21"/>
                    </w:rPr>
                    <w:t>1650</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1.5</w:t>
                  </w:r>
                </w:p>
              </w:tc>
              <w:tc>
                <w:tcPr>
                  <w:tcW w:w="1921" w:type="dxa"/>
                  <w:vAlign w:val="center"/>
                </w:tcPr>
                <w:p>
                  <w:pPr>
                    <w:widowControl/>
                    <w:adjustRightInd w:val="0"/>
                    <w:jc w:val="center"/>
                    <w:rPr>
                      <w:kern w:val="0"/>
                      <w:szCs w:val="21"/>
                    </w:rPr>
                  </w:pPr>
                  <w:r>
                    <w:rPr>
                      <w:rFonts w:hint="eastAsia"/>
                      <w:kern w:val="0"/>
                      <w:szCs w:val="21"/>
                    </w:rPr>
                    <w:t>光伏电缆</w:t>
                  </w:r>
                </w:p>
              </w:tc>
              <w:tc>
                <w:tcPr>
                  <w:tcW w:w="3261" w:type="dxa"/>
                  <w:vAlign w:val="center"/>
                </w:tcPr>
                <w:p>
                  <w:pPr>
                    <w:widowControl/>
                    <w:adjustRightInd w:val="0"/>
                    <w:jc w:val="center"/>
                    <w:rPr>
                      <w:kern w:val="0"/>
                      <w:szCs w:val="21"/>
                    </w:rPr>
                  </w:pPr>
                  <w:r>
                    <w:rPr>
                      <w:rFonts w:hint="eastAsia"/>
                      <w:kern w:val="0"/>
                      <w:szCs w:val="21"/>
                      <w:lang w:bidi="ar"/>
                    </w:rPr>
                    <w:t>H1Z2Z2-K-1×4，1500V</w:t>
                  </w:r>
                </w:p>
              </w:tc>
              <w:tc>
                <w:tcPr>
                  <w:tcW w:w="708" w:type="dxa"/>
                  <w:vAlign w:val="center"/>
                </w:tcPr>
                <w:p>
                  <w:pPr>
                    <w:widowControl/>
                    <w:adjustRightInd w:val="0"/>
                    <w:jc w:val="center"/>
                    <w:rPr>
                      <w:kern w:val="0"/>
                      <w:szCs w:val="21"/>
                    </w:rPr>
                  </w:pPr>
                  <w:r>
                    <w:rPr>
                      <w:rFonts w:hint="eastAsia"/>
                      <w:kern w:val="0"/>
                      <w:szCs w:val="21"/>
                    </w:rPr>
                    <w:t>km</w:t>
                  </w:r>
                </w:p>
              </w:tc>
              <w:tc>
                <w:tcPr>
                  <w:tcW w:w="851" w:type="dxa"/>
                  <w:vAlign w:val="center"/>
                </w:tcPr>
                <w:p>
                  <w:pPr>
                    <w:widowControl/>
                    <w:adjustRightInd w:val="0"/>
                    <w:jc w:val="center"/>
                    <w:rPr>
                      <w:szCs w:val="21"/>
                    </w:rPr>
                  </w:pPr>
                  <w:r>
                    <w:rPr>
                      <w:szCs w:val="21"/>
                    </w:rPr>
                    <w:t>165</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.6</w:t>
                  </w:r>
                </w:p>
              </w:tc>
              <w:tc>
                <w:tcPr>
                  <w:tcW w:w="1921" w:type="dxa"/>
                  <w:vAlign w:val="center"/>
                </w:tcPr>
                <w:p>
                  <w:pPr>
                    <w:widowControl/>
                    <w:adjustRightInd w:val="0"/>
                    <w:jc w:val="center"/>
                    <w:rPr>
                      <w:kern w:val="0"/>
                      <w:szCs w:val="21"/>
                    </w:rPr>
                  </w:pPr>
                  <w:r>
                    <w:rPr>
                      <w:rFonts w:hint="eastAsia"/>
                      <w:kern w:val="0"/>
                      <w:szCs w:val="21"/>
                    </w:rPr>
                    <w:t>光伏电缆连接器</w:t>
                  </w:r>
                </w:p>
              </w:tc>
              <w:tc>
                <w:tcPr>
                  <w:tcW w:w="3261" w:type="dxa"/>
                  <w:vAlign w:val="center"/>
                </w:tcPr>
                <w:p>
                  <w:pPr>
                    <w:widowControl/>
                    <w:adjustRightInd w:val="0"/>
                    <w:jc w:val="center"/>
                    <w:rPr>
                      <w:kern w:val="0"/>
                      <w:szCs w:val="21"/>
                      <w:lang w:bidi="ar"/>
                    </w:rPr>
                  </w:pPr>
                  <w:r>
                    <w:rPr>
                      <w:rFonts w:hint="eastAsia"/>
                      <w:kern w:val="0"/>
                      <w:szCs w:val="21"/>
                      <w:lang w:bidi="ar"/>
                    </w:rPr>
                    <w:t>适用于4mm</w:t>
                  </w:r>
                  <w:r>
                    <w:rPr>
                      <w:rFonts w:hint="eastAsia"/>
                      <w:kern w:val="0"/>
                      <w:szCs w:val="21"/>
                      <w:vertAlign w:val="superscript"/>
                      <w:lang w:bidi="ar"/>
                    </w:rPr>
                    <w:t>2</w:t>
                  </w:r>
                  <w:r>
                    <w:rPr>
                      <w:rFonts w:hint="eastAsia"/>
                      <w:kern w:val="0"/>
                      <w:szCs w:val="21"/>
                      <w:lang w:bidi="ar"/>
                    </w:rPr>
                    <w:t>光伏电缆</w:t>
                  </w:r>
                </w:p>
              </w:tc>
              <w:tc>
                <w:tcPr>
                  <w:tcW w:w="708" w:type="dxa"/>
                  <w:vAlign w:val="center"/>
                </w:tcPr>
                <w:p>
                  <w:pPr>
                    <w:widowControl/>
                    <w:adjustRightInd w:val="0"/>
                    <w:jc w:val="center"/>
                    <w:rPr>
                      <w:kern w:val="0"/>
                      <w:szCs w:val="21"/>
                    </w:rPr>
                  </w:pPr>
                  <w:r>
                    <w:rPr>
                      <w:rFonts w:hint="eastAsia"/>
                      <w:kern w:val="0"/>
                      <w:szCs w:val="21"/>
                    </w:rPr>
                    <w:t>套</w:t>
                  </w:r>
                </w:p>
              </w:tc>
              <w:tc>
                <w:tcPr>
                  <w:tcW w:w="851" w:type="dxa"/>
                  <w:vAlign w:val="center"/>
                </w:tcPr>
                <w:p>
                  <w:pPr>
                    <w:widowControl/>
                    <w:adjustRightInd w:val="0"/>
                    <w:jc w:val="center"/>
                    <w:rPr>
                      <w:szCs w:val="21"/>
                    </w:rPr>
                  </w:pPr>
                  <w:r>
                    <w:rPr>
                      <w:szCs w:val="21"/>
                    </w:rPr>
                    <w:t>1650</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7</w:t>
                  </w:r>
                </w:p>
              </w:tc>
              <w:tc>
                <w:tcPr>
                  <w:tcW w:w="1921" w:type="dxa"/>
                  <w:vAlign w:val="center"/>
                </w:tcPr>
                <w:p>
                  <w:pPr>
                    <w:widowControl/>
                    <w:adjustRightInd w:val="0"/>
                    <w:jc w:val="center"/>
                    <w:rPr>
                      <w:kern w:val="0"/>
                      <w:szCs w:val="21"/>
                    </w:rPr>
                  </w:pPr>
                  <w:r>
                    <w:rPr>
                      <w:rFonts w:hint="eastAsia"/>
                      <w:kern w:val="0"/>
                      <w:szCs w:val="21"/>
                    </w:rPr>
                    <w:t>35kV电力电缆</w:t>
                  </w:r>
                </w:p>
              </w:tc>
              <w:tc>
                <w:tcPr>
                  <w:tcW w:w="3261" w:type="dxa"/>
                  <w:vAlign w:val="center"/>
                </w:tcPr>
                <w:p>
                  <w:pPr>
                    <w:widowControl/>
                    <w:adjustRightInd w:val="0"/>
                    <w:jc w:val="center"/>
                    <w:rPr>
                      <w:kern w:val="0"/>
                      <w:szCs w:val="21"/>
                    </w:rPr>
                  </w:pPr>
                  <w:r>
                    <w:rPr>
                      <w:kern w:val="0"/>
                      <w:szCs w:val="21"/>
                    </w:rPr>
                    <w:t>YJLY23-26/35kV-3×70</w:t>
                  </w:r>
                </w:p>
              </w:tc>
              <w:tc>
                <w:tcPr>
                  <w:tcW w:w="708" w:type="dxa"/>
                  <w:vAlign w:val="center"/>
                </w:tcPr>
                <w:p>
                  <w:pPr>
                    <w:widowControl/>
                    <w:adjustRightInd w:val="0"/>
                    <w:jc w:val="center"/>
                    <w:rPr>
                      <w:kern w:val="0"/>
                      <w:szCs w:val="21"/>
                    </w:rPr>
                  </w:pPr>
                  <w:r>
                    <w:rPr>
                      <w:rFonts w:hint="eastAsia"/>
                      <w:kern w:val="0"/>
                      <w:szCs w:val="21"/>
                    </w:rPr>
                    <w:t>m</w:t>
                  </w:r>
                </w:p>
              </w:tc>
              <w:tc>
                <w:tcPr>
                  <w:tcW w:w="851" w:type="dxa"/>
                  <w:vAlign w:val="center"/>
                </w:tcPr>
                <w:p>
                  <w:pPr>
                    <w:widowControl/>
                    <w:adjustRightInd w:val="0"/>
                    <w:jc w:val="center"/>
                    <w:rPr>
                      <w:szCs w:val="21"/>
                    </w:rPr>
                  </w:pPr>
                  <w:r>
                    <w:rPr>
                      <w:rFonts w:hint="eastAsia"/>
                      <w:szCs w:val="21"/>
                    </w:rPr>
                    <w:t>1</w:t>
                  </w:r>
                  <w:r>
                    <w:rPr>
                      <w:szCs w:val="21"/>
                    </w:rPr>
                    <w:t>960</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.8</w:t>
                  </w:r>
                </w:p>
              </w:tc>
              <w:tc>
                <w:tcPr>
                  <w:tcW w:w="1921" w:type="dxa"/>
                  <w:vAlign w:val="center"/>
                </w:tcPr>
                <w:p>
                  <w:pPr>
                    <w:widowControl/>
                    <w:adjustRightInd w:val="0"/>
                    <w:jc w:val="center"/>
                    <w:rPr>
                      <w:kern w:val="0"/>
                      <w:szCs w:val="21"/>
                    </w:rPr>
                  </w:pPr>
                  <w:r>
                    <w:rPr>
                      <w:rFonts w:hint="eastAsia"/>
                      <w:kern w:val="0"/>
                      <w:szCs w:val="21"/>
                    </w:rPr>
                    <w:t>35kV电力电缆</w:t>
                  </w:r>
                </w:p>
              </w:tc>
              <w:tc>
                <w:tcPr>
                  <w:tcW w:w="3261" w:type="dxa"/>
                  <w:vAlign w:val="center"/>
                </w:tcPr>
                <w:p>
                  <w:pPr>
                    <w:widowControl/>
                    <w:adjustRightInd w:val="0"/>
                    <w:jc w:val="center"/>
                    <w:rPr>
                      <w:kern w:val="0"/>
                      <w:szCs w:val="21"/>
                    </w:rPr>
                  </w:pPr>
                  <w:r>
                    <w:rPr>
                      <w:kern w:val="0"/>
                      <w:szCs w:val="21"/>
                    </w:rPr>
                    <w:t>YJLY23-26/35kV-3×120</w:t>
                  </w:r>
                </w:p>
              </w:tc>
              <w:tc>
                <w:tcPr>
                  <w:tcW w:w="708" w:type="dxa"/>
                  <w:vAlign w:val="center"/>
                </w:tcPr>
                <w:p>
                  <w:pPr>
                    <w:widowControl/>
                    <w:adjustRightInd w:val="0"/>
                    <w:jc w:val="center"/>
                    <w:rPr>
                      <w:kern w:val="0"/>
                      <w:szCs w:val="21"/>
                    </w:rPr>
                  </w:pPr>
                  <w:r>
                    <w:rPr>
                      <w:rFonts w:hint="eastAsia"/>
                      <w:kern w:val="0"/>
                      <w:szCs w:val="21"/>
                    </w:rPr>
                    <w:t>m</w:t>
                  </w:r>
                </w:p>
              </w:tc>
              <w:tc>
                <w:tcPr>
                  <w:tcW w:w="851" w:type="dxa"/>
                  <w:vAlign w:val="center"/>
                </w:tcPr>
                <w:p>
                  <w:pPr>
                    <w:widowControl/>
                    <w:adjustRightInd w:val="0"/>
                    <w:jc w:val="center"/>
                    <w:rPr>
                      <w:szCs w:val="21"/>
                    </w:rPr>
                  </w:pPr>
                  <w:r>
                    <w:rPr>
                      <w:rFonts w:hint="eastAsia"/>
                      <w:szCs w:val="21"/>
                    </w:rPr>
                    <w:t>8</w:t>
                  </w:r>
                  <w:r>
                    <w:rPr>
                      <w:szCs w:val="21"/>
                    </w:rPr>
                    <w:t>90</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.9</w:t>
                  </w:r>
                </w:p>
              </w:tc>
              <w:tc>
                <w:tcPr>
                  <w:tcW w:w="1921" w:type="dxa"/>
                  <w:vAlign w:val="center"/>
                </w:tcPr>
                <w:p>
                  <w:pPr>
                    <w:widowControl/>
                    <w:adjustRightInd w:val="0"/>
                    <w:jc w:val="center"/>
                    <w:rPr>
                      <w:kern w:val="0"/>
                      <w:szCs w:val="21"/>
                    </w:rPr>
                  </w:pPr>
                  <w:r>
                    <w:rPr>
                      <w:rFonts w:hint="eastAsia"/>
                      <w:kern w:val="0"/>
                      <w:szCs w:val="21"/>
                    </w:rPr>
                    <w:t>35kV电力电缆</w:t>
                  </w:r>
                </w:p>
              </w:tc>
              <w:tc>
                <w:tcPr>
                  <w:tcW w:w="3261" w:type="dxa"/>
                  <w:vAlign w:val="center"/>
                </w:tcPr>
                <w:p>
                  <w:pPr>
                    <w:widowControl/>
                    <w:adjustRightInd w:val="0"/>
                    <w:jc w:val="center"/>
                    <w:rPr>
                      <w:kern w:val="0"/>
                      <w:szCs w:val="21"/>
                    </w:rPr>
                  </w:pPr>
                  <w:r>
                    <w:rPr>
                      <w:kern w:val="0"/>
                      <w:szCs w:val="21"/>
                    </w:rPr>
                    <w:t>YJLY23-26/35kV-3×185</w:t>
                  </w:r>
                </w:p>
              </w:tc>
              <w:tc>
                <w:tcPr>
                  <w:tcW w:w="708" w:type="dxa"/>
                  <w:vAlign w:val="center"/>
                </w:tcPr>
                <w:p>
                  <w:pPr>
                    <w:widowControl/>
                    <w:adjustRightInd w:val="0"/>
                    <w:jc w:val="center"/>
                    <w:rPr>
                      <w:kern w:val="0"/>
                      <w:szCs w:val="21"/>
                    </w:rPr>
                  </w:pPr>
                  <w:r>
                    <w:rPr>
                      <w:rFonts w:hint="eastAsia"/>
                      <w:kern w:val="0"/>
                      <w:szCs w:val="21"/>
                    </w:rPr>
                    <w:t>m</w:t>
                  </w:r>
                </w:p>
              </w:tc>
              <w:tc>
                <w:tcPr>
                  <w:tcW w:w="851" w:type="dxa"/>
                  <w:vAlign w:val="center"/>
                </w:tcPr>
                <w:p>
                  <w:pPr>
                    <w:widowControl/>
                    <w:adjustRightInd w:val="0"/>
                    <w:jc w:val="center"/>
                    <w:rPr>
                      <w:szCs w:val="21"/>
                    </w:rPr>
                  </w:pPr>
                  <w:r>
                    <w:rPr>
                      <w:rFonts w:hint="eastAsia"/>
                      <w:szCs w:val="21"/>
                    </w:rPr>
                    <w:t>4</w:t>
                  </w:r>
                  <w:r>
                    <w:rPr>
                      <w:szCs w:val="21"/>
                    </w:rPr>
                    <w:t>80</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.10</w:t>
                  </w:r>
                </w:p>
              </w:tc>
              <w:tc>
                <w:tcPr>
                  <w:tcW w:w="1921" w:type="dxa"/>
                  <w:vAlign w:val="center"/>
                </w:tcPr>
                <w:p>
                  <w:pPr>
                    <w:widowControl/>
                    <w:adjustRightInd w:val="0"/>
                    <w:jc w:val="center"/>
                    <w:rPr>
                      <w:kern w:val="0"/>
                      <w:szCs w:val="21"/>
                    </w:rPr>
                  </w:pPr>
                  <w:r>
                    <w:rPr>
                      <w:rFonts w:hint="eastAsia"/>
                      <w:kern w:val="0"/>
                      <w:szCs w:val="21"/>
                    </w:rPr>
                    <w:t>35kV电力电缆</w:t>
                  </w:r>
                </w:p>
              </w:tc>
              <w:tc>
                <w:tcPr>
                  <w:tcW w:w="3261" w:type="dxa"/>
                  <w:vAlign w:val="center"/>
                </w:tcPr>
                <w:p>
                  <w:pPr>
                    <w:widowControl/>
                    <w:adjustRightInd w:val="0"/>
                    <w:jc w:val="center"/>
                    <w:rPr>
                      <w:kern w:val="0"/>
                      <w:szCs w:val="21"/>
                    </w:rPr>
                  </w:pPr>
                  <w:r>
                    <w:rPr>
                      <w:kern w:val="0"/>
                      <w:szCs w:val="21"/>
                    </w:rPr>
                    <w:t>YJLY23-26/35kV-3×400</w:t>
                  </w:r>
                </w:p>
              </w:tc>
              <w:tc>
                <w:tcPr>
                  <w:tcW w:w="708" w:type="dxa"/>
                  <w:vAlign w:val="center"/>
                </w:tcPr>
                <w:p>
                  <w:pPr>
                    <w:widowControl/>
                    <w:adjustRightInd w:val="0"/>
                    <w:jc w:val="center"/>
                    <w:rPr>
                      <w:kern w:val="0"/>
                      <w:szCs w:val="21"/>
                    </w:rPr>
                  </w:pPr>
                  <w:r>
                    <w:rPr>
                      <w:rFonts w:hint="eastAsia"/>
                      <w:kern w:val="0"/>
                      <w:szCs w:val="21"/>
                    </w:rPr>
                    <w:t>m</w:t>
                  </w:r>
                </w:p>
              </w:tc>
              <w:tc>
                <w:tcPr>
                  <w:tcW w:w="851" w:type="dxa"/>
                  <w:vAlign w:val="center"/>
                </w:tcPr>
                <w:p>
                  <w:pPr>
                    <w:widowControl/>
                    <w:adjustRightInd w:val="0"/>
                    <w:jc w:val="center"/>
                    <w:rPr>
                      <w:szCs w:val="21"/>
                    </w:rPr>
                  </w:pPr>
                  <w:r>
                    <w:rPr>
                      <w:rFonts w:hint="eastAsia"/>
                      <w:szCs w:val="21"/>
                    </w:rPr>
                    <w:t>5</w:t>
                  </w:r>
                  <w:r>
                    <w:rPr>
                      <w:szCs w:val="21"/>
                    </w:rPr>
                    <w:t>80</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.11</w:t>
                  </w:r>
                </w:p>
              </w:tc>
              <w:tc>
                <w:tcPr>
                  <w:tcW w:w="1921" w:type="dxa"/>
                  <w:vAlign w:val="center"/>
                </w:tcPr>
                <w:p>
                  <w:pPr>
                    <w:widowControl/>
                    <w:adjustRightInd w:val="0"/>
                    <w:jc w:val="center"/>
                    <w:rPr>
                      <w:kern w:val="0"/>
                      <w:szCs w:val="21"/>
                    </w:rPr>
                  </w:pPr>
                  <w:r>
                    <w:rPr>
                      <w:rFonts w:hint="eastAsia"/>
                      <w:kern w:val="0"/>
                      <w:szCs w:val="21"/>
                    </w:rPr>
                    <w:t>35kV电缆中间接头</w:t>
                  </w:r>
                </w:p>
              </w:tc>
              <w:tc>
                <w:tcPr>
                  <w:tcW w:w="3261" w:type="dxa"/>
                  <w:vAlign w:val="center"/>
                </w:tcPr>
                <w:p>
                  <w:pPr>
                    <w:widowControl/>
                    <w:adjustRightInd w:val="0"/>
                    <w:jc w:val="center"/>
                    <w:rPr>
                      <w:kern w:val="0"/>
                      <w:szCs w:val="21"/>
                    </w:rPr>
                  </w:pPr>
                </w:p>
              </w:tc>
              <w:tc>
                <w:tcPr>
                  <w:tcW w:w="708" w:type="dxa"/>
                  <w:vAlign w:val="center"/>
                </w:tcPr>
                <w:p>
                  <w:pPr>
                    <w:widowControl/>
                    <w:adjustRightInd w:val="0"/>
                    <w:jc w:val="center"/>
                    <w:rPr>
                      <w:kern w:val="0"/>
                      <w:szCs w:val="21"/>
                    </w:rPr>
                  </w:pPr>
                  <w:r>
                    <w:rPr>
                      <w:rFonts w:hint="eastAsia"/>
                      <w:kern w:val="0"/>
                      <w:szCs w:val="21"/>
                    </w:rPr>
                    <w:t>套</w:t>
                  </w:r>
                </w:p>
              </w:tc>
              <w:tc>
                <w:tcPr>
                  <w:tcW w:w="851" w:type="dxa"/>
                  <w:vAlign w:val="center"/>
                </w:tcPr>
                <w:p>
                  <w:pPr>
                    <w:widowControl/>
                    <w:adjustRightInd w:val="0"/>
                    <w:jc w:val="center"/>
                    <w:rPr>
                      <w:szCs w:val="21"/>
                    </w:rPr>
                  </w:pPr>
                  <w:r>
                    <w:rPr>
                      <w:rFonts w:hint="eastAsia"/>
                      <w:szCs w:val="21"/>
                    </w:rPr>
                    <w:t>5</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.12</w:t>
                  </w:r>
                </w:p>
              </w:tc>
              <w:tc>
                <w:tcPr>
                  <w:tcW w:w="1921" w:type="dxa"/>
                  <w:vAlign w:val="center"/>
                </w:tcPr>
                <w:p>
                  <w:pPr>
                    <w:widowControl/>
                    <w:adjustRightInd w:val="0"/>
                    <w:jc w:val="center"/>
                    <w:rPr>
                      <w:kern w:val="0"/>
                      <w:szCs w:val="21"/>
                    </w:rPr>
                  </w:pPr>
                  <w:r>
                    <w:rPr>
                      <w:rFonts w:hint="eastAsia"/>
                      <w:kern w:val="0"/>
                      <w:szCs w:val="21"/>
                    </w:rPr>
                    <w:t>35kV电缆终端头</w:t>
                  </w:r>
                </w:p>
              </w:tc>
              <w:tc>
                <w:tcPr>
                  <w:tcW w:w="3261" w:type="dxa"/>
                  <w:vAlign w:val="center"/>
                </w:tcPr>
                <w:p>
                  <w:pPr>
                    <w:widowControl/>
                    <w:adjustRightInd w:val="0"/>
                    <w:jc w:val="center"/>
                    <w:rPr>
                      <w:kern w:val="0"/>
                      <w:szCs w:val="21"/>
                    </w:rPr>
                  </w:pPr>
                </w:p>
              </w:tc>
              <w:tc>
                <w:tcPr>
                  <w:tcW w:w="708" w:type="dxa"/>
                  <w:vAlign w:val="center"/>
                </w:tcPr>
                <w:p>
                  <w:pPr>
                    <w:widowControl/>
                    <w:adjustRightInd w:val="0"/>
                    <w:jc w:val="center"/>
                    <w:rPr>
                      <w:kern w:val="0"/>
                      <w:szCs w:val="21"/>
                    </w:rPr>
                  </w:pPr>
                  <w:r>
                    <w:rPr>
                      <w:rFonts w:hint="eastAsia"/>
                      <w:kern w:val="0"/>
                      <w:szCs w:val="21"/>
                    </w:rPr>
                    <w:t>套</w:t>
                  </w:r>
                </w:p>
              </w:tc>
              <w:tc>
                <w:tcPr>
                  <w:tcW w:w="851" w:type="dxa"/>
                  <w:vAlign w:val="center"/>
                </w:tcPr>
                <w:p>
                  <w:pPr>
                    <w:widowControl/>
                    <w:adjustRightInd w:val="0"/>
                    <w:jc w:val="center"/>
                    <w:rPr>
                      <w:szCs w:val="21"/>
                    </w:rPr>
                  </w:pPr>
                  <w:r>
                    <w:rPr>
                      <w:rFonts w:hint="eastAsia"/>
                      <w:szCs w:val="21"/>
                    </w:rPr>
                    <w:t>1</w:t>
                  </w:r>
                  <w:r>
                    <w:rPr>
                      <w:szCs w:val="21"/>
                    </w:rPr>
                    <w:t>4</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.13</w:t>
                  </w:r>
                </w:p>
              </w:tc>
              <w:tc>
                <w:tcPr>
                  <w:tcW w:w="1921" w:type="dxa"/>
                  <w:vAlign w:val="center"/>
                </w:tcPr>
                <w:p>
                  <w:pPr>
                    <w:widowControl/>
                    <w:adjustRightInd w:val="0"/>
                    <w:jc w:val="center"/>
                    <w:rPr>
                      <w:kern w:val="0"/>
                      <w:szCs w:val="21"/>
                    </w:rPr>
                  </w:pPr>
                  <w:r>
                    <w:rPr>
                      <w:rFonts w:hint="eastAsia"/>
                      <w:kern w:val="0"/>
                      <w:szCs w:val="21"/>
                    </w:rPr>
                    <w:t>电缆分支箱</w:t>
                  </w:r>
                </w:p>
              </w:tc>
              <w:tc>
                <w:tcPr>
                  <w:tcW w:w="3261" w:type="dxa"/>
                  <w:vAlign w:val="center"/>
                </w:tcPr>
                <w:p>
                  <w:pPr>
                    <w:widowControl/>
                    <w:adjustRightInd w:val="0"/>
                    <w:jc w:val="center"/>
                    <w:rPr>
                      <w:kern w:val="0"/>
                      <w:szCs w:val="21"/>
                    </w:rPr>
                  </w:pPr>
                  <w:r>
                    <w:rPr>
                      <w:rFonts w:hint="eastAsia"/>
                      <w:kern w:val="0"/>
                      <w:szCs w:val="21"/>
                    </w:rPr>
                    <w:t>二进一出</w:t>
                  </w:r>
                </w:p>
              </w:tc>
              <w:tc>
                <w:tcPr>
                  <w:tcW w:w="708" w:type="dxa"/>
                  <w:vAlign w:val="center"/>
                </w:tcPr>
                <w:p>
                  <w:pPr>
                    <w:widowControl/>
                    <w:adjustRightInd w:val="0"/>
                    <w:jc w:val="center"/>
                    <w:rPr>
                      <w:kern w:val="0"/>
                      <w:szCs w:val="21"/>
                    </w:rPr>
                  </w:pPr>
                  <w:r>
                    <w:rPr>
                      <w:rFonts w:hint="eastAsia"/>
                      <w:kern w:val="0"/>
                      <w:szCs w:val="21"/>
                    </w:rPr>
                    <w:t>台</w:t>
                  </w:r>
                </w:p>
              </w:tc>
              <w:tc>
                <w:tcPr>
                  <w:tcW w:w="851" w:type="dxa"/>
                  <w:vAlign w:val="center"/>
                </w:tcPr>
                <w:p>
                  <w:pPr>
                    <w:widowControl/>
                    <w:adjustRightInd w:val="0"/>
                    <w:jc w:val="center"/>
                    <w:rPr>
                      <w:szCs w:val="21"/>
                    </w:rPr>
                  </w:pPr>
                  <w:r>
                    <w:rPr>
                      <w:rFonts w:hint="eastAsia"/>
                      <w:szCs w:val="21"/>
                    </w:rPr>
                    <w:t>1</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widowControl/>
                    <w:adjustRightInd w:val="0"/>
                    <w:jc w:val="center"/>
                    <w:rPr>
                      <w:szCs w:val="21"/>
                    </w:rPr>
                  </w:pPr>
                  <w:r>
                    <w:rPr>
                      <w:rFonts w:hint="eastAsia"/>
                      <w:szCs w:val="21"/>
                    </w:rPr>
                    <w:t>1</w:t>
                  </w:r>
                  <w:r>
                    <w:rPr>
                      <w:szCs w:val="21"/>
                    </w:rPr>
                    <w:t>.14</w:t>
                  </w:r>
                </w:p>
              </w:tc>
              <w:tc>
                <w:tcPr>
                  <w:tcW w:w="1921" w:type="dxa"/>
                  <w:vAlign w:val="center"/>
                </w:tcPr>
                <w:p>
                  <w:pPr>
                    <w:widowControl/>
                    <w:adjustRightInd w:val="0"/>
                    <w:jc w:val="center"/>
                    <w:rPr>
                      <w:kern w:val="0"/>
                      <w:szCs w:val="21"/>
                    </w:rPr>
                  </w:pPr>
                  <w:r>
                    <w:rPr>
                      <w:rFonts w:hint="eastAsia"/>
                      <w:kern w:val="0"/>
                      <w:szCs w:val="21"/>
                    </w:rPr>
                    <w:t>热镀锌钢管</w:t>
                  </w:r>
                </w:p>
              </w:tc>
              <w:tc>
                <w:tcPr>
                  <w:tcW w:w="3261" w:type="dxa"/>
                  <w:vAlign w:val="center"/>
                </w:tcPr>
                <w:p>
                  <w:pPr>
                    <w:widowControl/>
                    <w:adjustRightInd w:val="0"/>
                    <w:jc w:val="center"/>
                    <w:rPr>
                      <w:kern w:val="0"/>
                      <w:szCs w:val="21"/>
                    </w:rPr>
                  </w:pPr>
                  <w:r>
                    <w:rPr>
                      <w:rFonts w:hint="eastAsia" w:ascii="宋体" w:hAnsi="宋体"/>
                      <w:kern w:val="0"/>
                      <w:szCs w:val="21"/>
                    </w:rPr>
                    <w:t>Ф</w:t>
                  </w:r>
                  <w:r>
                    <w:rPr>
                      <w:rFonts w:hint="eastAsia"/>
                      <w:kern w:val="0"/>
                      <w:szCs w:val="21"/>
                    </w:rPr>
                    <w:t>150</w:t>
                  </w:r>
                </w:p>
              </w:tc>
              <w:tc>
                <w:tcPr>
                  <w:tcW w:w="708" w:type="dxa"/>
                  <w:vAlign w:val="center"/>
                </w:tcPr>
                <w:p>
                  <w:pPr>
                    <w:widowControl/>
                    <w:adjustRightInd w:val="0"/>
                    <w:jc w:val="center"/>
                    <w:rPr>
                      <w:kern w:val="0"/>
                      <w:szCs w:val="21"/>
                    </w:rPr>
                  </w:pPr>
                  <w:r>
                    <w:rPr>
                      <w:rFonts w:hint="eastAsia"/>
                      <w:kern w:val="0"/>
                      <w:szCs w:val="21"/>
                    </w:rPr>
                    <w:t>m</w:t>
                  </w:r>
                </w:p>
              </w:tc>
              <w:tc>
                <w:tcPr>
                  <w:tcW w:w="851" w:type="dxa"/>
                  <w:vAlign w:val="center"/>
                </w:tcPr>
                <w:p>
                  <w:pPr>
                    <w:widowControl/>
                    <w:adjustRightInd w:val="0"/>
                    <w:jc w:val="center"/>
                    <w:rPr>
                      <w:szCs w:val="21"/>
                    </w:rPr>
                  </w:pPr>
                  <w:r>
                    <w:rPr>
                      <w:rFonts w:hint="eastAsia"/>
                      <w:szCs w:val="21"/>
                    </w:rPr>
                    <w:t>1</w:t>
                  </w:r>
                  <w:r>
                    <w:rPr>
                      <w:szCs w:val="21"/>
                    </w:rPr>
                    <w:t>20</w:t>
                  </w:r>
                </w:p>
              </w:tc>
              <w:tc>
                <w:tcPr>
                  <w:tcW w:w="721" w:type="dxa"/>
                  <w:vAlign w:val="center"/>
                </w:tcPr>
                <w:p>
                  <w:pPr>
                    <w:widowControl/>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120" w:type="dxa"/>
                  <w:gridSpan w:val="6"/>
                  <w:vAlign w:val="center"/>
                </w:tcPr>
                <w:p>
                  <w:pPr>
                    <w:adjustRightInd w:val="0"/>
                    <w:jc w:val="center"/>
                    <w:rPr>
                      <w:szCs w:val="21"/>
                    </w:rPr>
                  </w:pPr>
                  <w:r>
                    <w:rPr>
                      <w:b/>
                      <w:bCs/>
                      <w:szCs w:val="21"/>
                    </w:rPr>
                    <w:t>二、</w:t>
                  </w:r>
                  <w:r>
                    <w:rPr>
                      <w:rFonts w:hint="eastAsia"/>
                      <w:b/>
                      <w:bCs/>
                      <w:szCs w:val="21"/>
                    </w:rPr>
                    <w:t>开关站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restart"/>
                  <w:vAlign w:val="center"/>
                </w:tcPr>
                <w:p>
                  <w:pPr>
                    <w:adjustRightInd w:val="0"/>
                    <w:jc w:val="center"/>
                    <w:rPr>
                      <w:szCs w:val="21"/>
                    </w:rPr>
                  </w:pPr>
                  <w:r>
                    <w:rPr>
                      <w:rFonts w:hint="eastAsia"/>
                      <w:szCs w:val="21"/>
                    </w:rPr>
                    <w:t>2.</w:t>
                  </w:r>
                  <w:r>
                    <w:rPr>
                      <w:szCs w:val="21"/>
                    </w:rPr>
                    <w:t>1</w:t>
                  </w:r>
                </w:p>
              </w:tc>
              <w:tc>
                <w:tcPr>
                  <w:tcW w:w="1921" w:type="dxa"/>
                  <w:vMerge w:val="restart"/>
                  <w:vAlign w:val="center"/>
                </w:tcPr>
                <w:p>
                  <w:pPr>
                    <w:pStyle w:val="79"/>
                    <w:jc w:val="center"/>
                    <w:rPr>
                      <w:rFonts w:ascii="Times New Roman" w:cs="Times New Roman"/>
                      <w:color w:val="auto"/>
                      <w:sz w:val="21"/>
                      <w:szCs w:val="21"/>
                    </w:rPr>
                  </w:pPr>
                  <w:r>
                    <w:rPr>
                      <w:rFonts w:hint="eastAsia" w:ascii="Times New Roman" w:cs="Times New Roman"/>
                      <w:color w:val="auto"/>
                      <w:sz w:val="21"/>
                      <w:szCs w:val="21"/>
                    </w:rPr>
                    <w:t>35kV配电装置</w:t>
                  </w:r>
                </w:p>
              </w:tc>
              <w:tc>
                <w:tcPr>
                  <w:tcW w:w="3261" w:type="dxa"/>
                  <w:vAlign w:val="center"/>
                </w:tcPr>
                <w:p>
                  <w:pPr>
                    <w:adjustRightInd w:val="0"/>
                    <w:jc w:val="center"/>
                    <w:rPr>
                      <w:szCs w:val="21"/>
                    </w:rPr>
                  </w:pPr>
                  <w:r>
                    <w:rPr>
                      <w:rFonts w:hint="eastAsia"/>
                      <w:szCs w:val="21"/>
                    </w:rPr>
                    <w:t>35kV出线柜</w:t>
                  </w:r>
                </w:p>
                <w:p>
                  <w:pPr>
                    <w:adjustRightInd w:val="0"/>
                    <w:jc w:val="center"/>
                    <w:rPr>
                      <w:szCs w:val="21"/>
                    </w:rPr>
                  </w:pPr>
                  <w:r>
                    <w:rPr>
                      <w:rFonts w:hint="eastAsia"/>
                      <w:szCs w:val="21"/>
                    </w:rPr>
                    <w:t>SF</w:t>
                  </w:r>
                  <w:r>
                    <w:rPr>
                      <w:rFonts w:hint="eastAsia"/>
                      <w:szCs w:val="21"/>
                      <w:vertAlign w:val="subscript"/>
                    </w:rPr>
                    <w:t>6</w:t>
                  </w:r>
                  <w:r>
                    <w:rPr>
                      <w:rFonts w:hint="eastAsia"/>
                      <w:szCs w:val="21"/>
                    </w:rPr>
                    <w:t>气体绝缘金属封闭开关柜1250A真空断路器</w:t>
                  </w:r>
                </w:p>
              </w:tc>
              <w:tc>
                <w:tcPr>
                  <w:tcW w:w="708" w:type="dxa"/>
                  <w:vAlign w:val="center"/>
                </w:tcPr>
                <w:p>
                  <w:pPr>
                    <w:adjustRightInd w:val="0"/>
                    <w:jc w:val="center"/>
                    <w:rPr>
                      <w:szCs w:val="21"/>
                    </w:rPr>
                  </w:pPr>
                  <w:r>
                    <w:rPr>
                      <w:rFonts w:hint="eastAsia"/>
                      <w:szCs w:val="21"/>
                    </w:rPr>
                    <w:t>面</w:t>
                  </w:r>
                </w:p>
              </w:tc>
              <w:tc>
                <w:tcPr>
                  <w:tcW w:w="851" w:type="dxa"/>
                  <w:vAlign w:val="center"/>
                </w:tcPr>
                <w:p>
                  <w:pPr>
                    <w:adjustRightInd w:val="0"/>
                    <w:jc w:val="center"/>
                    <w:rPr>
                      <w:szCs w:val="21"/>
                    </w:rPr>
                  </w:pPr>
                  <w:r>
                    <w:rPr>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35kV集电线路柜</w:t>
                  </w:r>
                </w:p>
                <w:p>
                  <w:pPr>
                    <w:adjustRightInd w:val="0"/>
                    <w:jc w:val="center"/>
                    <w:rPr>
                      <w:szCs w:val="21"/>
                    </w:rPr>
                  </w:pPr>
                  <w:r>
                    <w:rPr>
                      <w:rFonts w:hint="eastAsia"/>
                      <w:szCs w:val="21"/>
                    </w:rPr>
                    <w:t>SF</w:t>
                  </w:r>
                  <w:r>
                    <w:rPr>
                      <w:rFonts w:hint="eastAsia"/>
                      <w:szCs w:val="21"/>
                      <w:vertAlign w:val="subscript"/>
                    </w:rPr>
                    <w:t>6</w:t>
                  </w:r>
                  <w:r>
                    <w:rPr>
                      <w:rFonts w:hint="eastAsia"/>
                      <w:szCs w:val="21"/>
                    </w:rPr>
                    <w:t>气体绝缘金属封闭开关柜1250A真空断路器</w:t>
                  </w:r>
                </w:p>
              </w:tc>
              <w:tc>
                <w:tcPr>
                  <w:tcW w:w="708" w:type="dxa"/>
                  <w:vAlign w:val="center"/>
                </w:tcPr>
                <w:p>
                  <w:pPr>
                    <w:adjustRightInd w:val="0"/>
                    <w:jc w:val="center"/>
                    <w:rPr>
                      <w:szCs w:val="21"/>
                    </w:rPr>
                  </w:pPr>
                  <w:r>
                    <w:rPr>
                      <w:rFonts w:hint="eastAsia"/>
                      <w:szCs w:val="21"/>
                    </w:rPr>
                    <w:t>面</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35kV PT兼避雷器柜</w:t>
                  </w:r>
                </w:p>
                <w:p>
                  <w:pPr>
                    <w:adjustRightInd w:val="0"/>
                    <w:jc w:val="center"/>
                    <w:rPr>
                      <w:szCs w:val="21"/>
                    </w:rPr>
                  </w:pPr>
                  <w:r>
                    <w:rPr>
                      <w:rFonts w:hint="eastAsia"/>
                      <w:szCs w:val="21"/>
                    </w:rPr>
                    <w:t>SF</w:t>
                  </w:r>
                  <w:r>
                    <w:rPr>
                      <w:rFonts w:hint="eastAsia"/>
                      <w:szCs w:val="21"/>
                      <w:vertAlign w:val="subscript"/>
                    </w:rPr>
                    <w:t>6</w:t>
                  </w:r>
                  <w:r>
                    <w:rPr>
                      <w:rFonts w:hint="eastAsia"/>
                      <w:szCs w:val="21"/>
                    </w:rPr>
                    <w:t>气体绝缘金属封闭开关柜</w:t>
                  </w:r>
                </w:p>
              </w:tc>
              <w:tc>
                <w:tcPr>
                  <w:tcW w:w="708" w:type="dxa"/>
                  <w:vAlign w:val="center"/>
                </w:tcPr>
                <w:p>
                  <w:pPr>
                    <w:adjustRightInd w:val="0"/>
                    <w:jc w:val="center"/>
                    <w:rPr>
                      <w:szCs w:val="21"/>
                    </w:rPr>
                  </w:pPr>
                  <w:r>
                    <w:rPr>
                      <w:rFonts w:hint="eastAsia"/>
                      <w:szCs w:val="21"/>
                    </w:rPr>
                    <w:t>面</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35kV无功补偿柜</w:t>
                  </w:r>
                </w:p>
                <w:p>
                  <w:pPr>
                    <w:adjustRightInd w:val="0"/>
                    <w:jc w:val="center"/>
                    <w:rPr>
                      <w:szCs w:val="21"/>
                    </w:rPr>
                  </w:pPr>
                  <w:r>
                    <w:rPr>
                      <w:rFonts w:hint="eastAsia"/>
                      <w:szCs w:val="21"/>
                    </w:rPr>
                    <w:t>SF</w:t>
                  </w:r>
                  <w:r>
                    <w:rPr>
                      <w:rFonts w:hint="eastAsia"/>
                      <w:szCs w:val="21"/>
                      <w:vertAlign w:val="subscript"/>
                    </w:rPr>
                    <w:t>6</w:t>
                  </w:r>
                  <w:r>
                    <w:rPr>
                      <w:rFonts w:hint="eastAsia"/>
                      <w:szCs w:val="21"/>
                    </w:rPr>
                    <w:t>气体绝缘金属封闭开关柜</w:t>
                  </w:r>
                </w:p>
                <w:p>
                  <w:pPr>
                    <w:adjustRightInd w:val="0"/>
                    <w:jc w:val="center"/>
                    <w:rPr>
                      <w:szCs w:val="21"/>
                    </w:rPr>
                  </w:pPr>
                  <w:r>
                    <w:rPr>
                      <w:rFonts w:hint="eastAsia"/>
                      <w:szCs w:val="21"/>
                    </w:rPr>
                    <w:t>1250A真空断路器（老练试验）</w:t>
                  </w:r>
                </w:p>
              </w:tc>
              <w:tc>
                <w:tcPr>
                  <w:tcW w:w="708" w:type="dxa"/>
                  <w:vAlign w:val="center"/>
                </w:tcPr>
                <w:p>
                  <w:pPr>
                    <w:adjustRightInd w:val="0"/>
                    <w:jc w:val="center"/>
                    <w:rPr>
                      <w:szCs w:val="21"/>
                    </w:rPr>
                  </w:pPr>
                  <w:r>
                    <w:rPr>
                      <w:rFonts w:hint="eastAsia"/>
                      <w:szCs w:val="21"/>
                    </w:rPr>
                    <w:t>面</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35kV接地变柜</w:t>
                  </w:r>
                </w:p>
                <w:p>
                  <w:pPr>
                    <w:adjustRightInd w:val="0"/>
                    <w:jc w:val="center"/>
                    <w:rPr>
                      <w:szCs w:val="21"/>
                    </w:rPr>
                  </w:pPr>
                  <w:r>
                    <w:rPr>
                      <w:rFonts w:hint="eastAsia"/>
                      <w:szCs w:val="21"/>
                    </w:rPr>
                    <w:t>SF</w:t>
                  </w:r>
                  <w:r>
                    <w:rPr>
                      <w:rFonts w:hint="eastAsia"/>
                      <w:szCs w:val="21"/>
                      <w:vertAlign w:val="subscript"/>
                    </w:rPr>
                    <w:t>6</w:t>
                  </w:r>
                  <w:r>
                    <w:rPr>
                      <w:rFonts w:hint="eastAsia"/>
                      <w:szCs w:val="21"/>
                    </w:rPr>
                    <w:t>气体绝缘金属封闭开关柜</w:t>
                  </w:r>
                </w:p>
                <w:p>
                  <w:pPr>
                    <w:adjustRightInd w:val="0"/>
                    <w:jc w:val="center"/>
                    <w:rPr>
                      <w:szCs w:val="21"/>
                    </w:rPr>
                  </w:pPr>
                  <w:r>
                    <w:rPr>
                      <w:rFonts w:hint="eastAsia"/>
                      <w:szCs w:val="21"/>
                    </w:rPr>
                    <w:t>真空断路器</w:t>
                  </w:r>
                </w:p>
              </w:tc>
              <w:tc>
                <w:tcPr>
                  <w:tcW w:w="708" w:type="dxa"/>
                  <w:vAlign w:val="center"/>
                </w:tcPr>
                <w:p>
                  <w:pPr>
                    <w:adjustRightInd w:val="0"/>
                    <w:jc w:val="center"/>
                    <w:rPr>
                      <w:szCs w:val="21"/>
                    </w:rPr>
                  </w:pPr>
                  <w:r>
                    <w:rPr>
                      <w:rFonts w:hint="eastAsia"/>
                      <w:szCs w:val="21"/>
                    </w:rPr>
                    <w:t>面</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35kV站用变柜</w:t>
                  </w:r>
                </w:p>
                <w:p>
                  <w:pPr>
                    <w:adjustRightInd w:val="0"/>
                    <w:jc w:val="center"/>
                    <w:rPr>
                      <w:szCs w:val="21"/>
                    </w:rPr>
                  </w:pPr>
                  <w:r>
                    <w:rPr>
                      <w:rFonts w:hint="eastAsia"/>
                      <w:szCs w:val="21"/>
                    </w:rPr>
                    <w:t>SF</w:t>
                  </w:r>
                  <w:r>
                    <w:rPr>
                      <w:rFonts w:hint="eastAsia"/>
                      <w:szCs w:val="21"/>
                      <w:vertAlign w:val="subscript"/>
                    </w:rPr>
                    <w:t>6</w:t>
                  </w:r>
                  <w:r>
                    <w:rPr>
                      <w:rFonts w:hint="eastAsia"/>
                      <w:szCs w:val="21"/>
                    </w:rPr>
                    <w:t>气体绝缘金属封闭开关柜</w:t>
                  </w:r>
                </w:p>
                <w:p>
                  <w:pPr>
                    <w:adjustRightInd w:val="0"/>
                    <w:jc w:val="center"/>
                    <w:rPr>
                      <w:szCs w:val="21"/>
                    </w:rPr>
                  </w:pPr>
                  <w:r>
                    <w:rPr>
                      <w:rFonts w:hint="eastAsia"/>
                      <w:szCs w:val="21"/>
                    </w:rPr>
                    <w:t>真空断路器</w:t>
                  </w:r>
                </w:p>
              </w:tc>
              <w:tc>
                <w:tcPr>
                  <w:tcW w:w="708" w:type="dxa"/>
                  <w:vAlign w:val="center"/>
                </w:tcPr>
                <w:p>
                  <w:pPr>
                    <w:adjustRightInd w:val="0"/>
                    <w:jc w:val="center"/>
                    <w:rPr>
                      <w:szCs w:val="21"/>
                    </w:rPr>
                  </w:pPr>
                  <w:r>
                    <w:rPr>
                      <w:rFonts w:hint="eastAsia"/>
                      <w:szCs w:val="21"/>
                    </w:rPr>
                    <w:t>面</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全绝缘管母线1250A</w:t>
                  </w:r>
                </w:p>
              </w:tc>
              <w:tc>
                <w:tcPr>
                  <w:tcW w:w="708" w:type="dxa"/>
                  <w:vAlign w:val="center"/>
                </w:tcPr>
                <w:p>
                  <w:pPr>
                    <w:adjustRightInd w:val="0"/>
                    <w:jc w:val="center"/>
                    <w:rPr>
                      <w:szCs w:val="21"/>
                    </w:rPr>
                  </w:pPr>
                  <w:r>
                    <w:rPr>
                      <w:rFonts w:hint="eastAsia"/>
                      <w:szCs w:val="21"/>
                    </w:rPr>
                    <w:t>m</w:t>
                  </w:r>
                </w:p>
              </w:tc>
              <w:tc>
                <w:tcPr>
                  <w:tcW w:w="851" w:type="dxa"/>
                  <w:vAlign w:val="center"/>
                </w:tcPr>
                <w:p>
                  <w:pPr>
                    <w:adjustRightInd w:val="0"/>
                    <w:jc w:val="center"/>
                    <w:rPr>
                      <w:szCs w:val="21"/>
                    </w:rPr>
                  </w:pPr>
                  <w:r>
                    <w:rPr>
                      <w:rFonts w:hint="eastAsia"/>
                      <w:szCs w:val="21"/>
                    </w:rPr>
                    <w:t>3</w:t>
                  </w:r>
                  <w:r>
                    <w:rPr>
                      <w:szCs w:val="21"/>
                    </w:rPr>
                    <w:t>0</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35kV避雷器YH5WZ-51/134，附在线监测仪</w:t>
                  </w:r>
                </w:p>
              </w:tc>
              <w:tc>
                <w:tcPr>
                  <w:tcW w:w="708" w:type="dxa"/>
                  <w:vAlign w:val="center"/>
                </w:tcPr>
                <w:p>
                  <w:pPr>
                    <w:adjustRightInd w:val="0"/>
                    <w:jc w:val="center"/>
                    <w:rPr>
                      <w:szCs w:val="21"/>
                    </w:rPr>
                  </w:pPr>
                  <w:r>
                    <w:rPr>
                      <w:rFonts w:hint="eastAsia"/>
                      <w:szCs w:val="21"/>
                    </w:rPr>
                    <w:t>台</w:t>
                  </w:r>
                </w:p>
              </w:tc>
              <w:tc>
                <w:tcPr>
                  <w:tcW w:w="851" w:type="dxa"/>
                  <w:vAlign w:val="center"/>
                </w:tcPr>
                <w:p>
                  <w:pPr>
                    <w:adjustRightInd w:val="0"/>
                    <w:jc w:val="center"/>
                    <w:rPr>
                      <w:szCs w:val="21"/>
                    </w:rPr>
                  </w:pPr>
                  <w:r>
                    <w:rPr>
                      <w:rFonts w:hint="eastAsia"/>
                      <w:szCs w:val="21"/>
                    </w:rPr>
                    <w:t>3</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SF</w:t>
                  </w:r>
                  <w:r>
                    <w:rPr>
                      <w:rFonts w:hint="eastAsia"/>
                      <w:szCs w:val="21"/>
                      <w:vertAlign w:val="subscript"/>
                    </w:rPr>
                    <w:t>6</w:t>
                  </w:r>
                  <w:r>
                    <w:rPr>
                      <w:rFonts w:hint="eastAsia"/>
                      <w:szCs w:val="21"/>
                    </w:rPr>
                    <w:t>气体泄漏检测报警装置</w:t>
                  </w:r>
                </w:p>
              </w:tc>
              <w:tc>
                <w:tcPr>
                  <w:tcW w:w="708" w:type="dxa"/>
                  <w:vAlign w:val="center"/>
                </w:tcPr>
                <w:p>
                  <w:pPr>
                    <w:adjustRightInd w:val="0"/>
                    <w:jc w:val="center"/>
                    <w:rPr>
                      <w:szCs w:val="21"/>
                    </w:rPr>
                  </w:pPr>
                  <w:r>
                    <w:rPr>
                      <w:rFonts w:hint="eastAsia"/>
                      <w:szCs w:val="21"/>
                    </w:rPr>
                    <w:t>套</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Merge w:val="continue"/>
                  <w:vAlign w:val="center"/>
                </w:tcPr>
                <w:p>
                  <w:pPr>
                    <w:adjustRightInd w:val="0"/>
                    <w:jc w:val="center"/>
                    <w:rPr>
                      <w:szCs w:val="21"/>
                    </w:rPr>
                  </w:pPr>
                </w:p>
              </w:tc>
              <w:tc>
                <w:tcPr>
                  <w:tcW w:w="1921" w:type="dxa"/>
                  <w:vMerge w:val="continue"/>
                  <w:vAlign w:val="center"/>
                </w:tcPr>
                <w:p>
                  <w:pPr>
                    <w:pStyle w:val="79"/>
                    <w:jc w:val="center"/>
                    <w:rPr>
                      <w:rFonts w:ascii="Times New Roman" w:cs="Times New Roman"/>
                      <w:color w:val="auto"/>
                      <w:sz w:val="21"/>
                      <w:szCs w:val="21"/>
                    </w:rPr>
                  </w:pPr>
                </w:p>
              </w:tc>
              <w:tc>
                <w:tcPr>
                  <w:tcW w:w="3261" w:type="dxa"/>
                  <w:vAlign w:val="center"/>
                </w:tcPr>
                <w:p>
                  <w:pPr>
                    <w:adjustRightInd w:val="0"/>
                    <w:jc w:val="center"/>
                    <w:rPr>
                      <w:szCs w:val="21"/>
                    </w:rPr>
                  </w:pPr>
                  <w:r>
                    <w:rPr>
                      <w:rFonts w:hint="eastAsia"/>
                      <w:szCs w:val="21"/>
                    </w:rPr>
                    <w:t>35kV预制舱（27700*6500*3500mm）</w:t>
                  </w:r>
                </w:p>
              </w:tc>
              <w:tc>
                <w:tcPr>
                  <w:tcW w:w="708" w:type="dxa"/>
                  <w:vAlign w:val="center"/>
                </w:tcPr>
                <w:p>
                  <w:pPr>
                    <w:adjustRightInd w:val="0"/>
                    <w:jc w:val="center"/>
                    <w:rPr>
                      <w:szCs w:val="21"/>
                    </w:rPr>
                  </w:pPr>
                  <w:r>
                    <w:rPr>
                      <w:szCs w:val="21"/>
                    </w:rPr>
                    <w:t>m</w:t>
                  </w:r>
                  <w:r>
                    <w:rPr>
                      <w:szCs w:val="21"/>
                      <w:vertAlign w:val="superscript"/>
                    </w:rPr>
                    <w:t>2</w:t>
                  </w:r>
                </w:p>
              </w:tc>
              <w:tc>
                <w:tcPr>
                  <w:tcW w:w="851" w:type="dxa"/>
                  <w:vAlign w:val="center"/>
                </w:tcPr>
                <w:p>
                  <w:pPr>
                    <w:adjustRightInd w:val="0"/>
                    <w:jc w:val="center"/>
                    <w:rPr>
                      <w:szCs w:val="21"/>
                    </w:rPr>
                  </w:pPr>
                  <w:r>
                    <w:rPr>
                      <w:rFonts w:hint="eastAsia"/>
                      <w:szCs w:val="21"/>
                    </w:rPr>
                    <w:t>1</w:t>
                  </w:r>
                  <w:r>
                    <w:rPr>
                      <w:szCs w:val="21"/>
                    </w:rPr>
                    <w:t>80</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adjustRightInd w:val="0"/>
                    <w:jc w:val="center"/>
                    <w:rPr>
                      <w:szCs w:val="21"/>
                    </w:rPr>
                  </w:pPr>
                  <w:r>
                    <w:rPr>
                      <w:rFonts w:hint="eastAsia"/>
                      <w:szCs w:val="21"/>
                    </w:rPr>
                    <w:t>2</w:t>
                  </w:r>
                  <w:r>
                    <w:rPr>
                      <w:szCs w:val="21"/>
                    </w:rPr>
                    <w:t>.2</w:t>
                  </w:r>
                </w:p>
              </w:tc>
              <w:tc>
                <w:tcPr>
                  <w:tcW w:w="1921" w:type="dxa"/>
                  <w:vAlign w:val="center"/>
                </w:tcPr>
                <w:p>
                  <w:pPr>
                    <w:pStyle w:val="79"/>
                    <w:jc w:val="center"/>
                    <w:rPr>
                      <w:rFonts w:ascii="Times New Roman" w:cs="Times New Roman"/>
                      <w:color w:val="auto"/>
                      <w:sz w:val="21"/>
                      <w:szCs w:val="21"/>
                    </w:rPr>
                  </w:pPr>
                  <w:r>
                    <w:rPr>
                      <w:rFonts w:hint="eastAsia" w:ascii="Times New Roman" w:cs="Times New Roman"/>
                      <w:color w:val="auto"/>
                      <w:sz w:val="21"/>
                      <w:szCs w:val="21"/>
                    </w:rPr>
                    <w:t>无功补偿装置</w:t>
                  </w:r>
                </w:p>
              </w:tc>
              <w:tc>
                <w:tcPr>
                  <w:tcW w:w="3261" w:type="dxa"/>
                  <w:vAlign w:val="center"/>
                </w:tcPr>
                <w:p>
                  <w:pPr>
                    <w:adjustRightInd w:val="0"/>
                    <w:jc w:val="center"/>
                    <w:rPr>
                      <w:kern w:val="0"/>
                      <w:szCs w:val="21"/>
                    </w:rPr>
                  </w:pPr>
                  <w:r>
                    <w:rPr>
                      <w:rFonts w:hint="eastAsia"/>
                      <w:kern w:val="0"/>
                      <w:szCs w:val="21"/>
                    </w:rPr>
                    <w:t>动态无功补偿装置：SVG±5MVar</w:t>
                  </w:r>
                </w:p>
              </w:tc>
              <w:tc>
                <w:tcPr>
                  <w:tcW w:w="708" w:type="dxa"/>
                  <w:vAlign w:val="center"/>
                </w:tcPr>
                <w:p>
                  <w:pPr>
                    <w:adjustRightInd w:val="0"/>
                    <w:jc w:val="center"/>
                    <w:rPr>
                      <w:szCs w:val="21"/>
                    </w:rPr>
                  </w:pPr>
                  <w:r>
                    <w:rPr>
                      <w:rFonts w:hint="eastAsia"/>
                      <w:szCs w:val="21"/>
                    </w:rPr>
                    <w:t>组</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adjustRightInd w:val="0"/>
                    <w:jc w:val="center"/>
                    <w:rPr>
                      <w:szCs w:val="21"/>
                    </w:rPr>
                  </w:pPr>
                  <w:r>
                    <w:rPr>
                      <w:rFonts w:hint="eastAsia"/>
                      <w:szCs w:val="21"/>
                    </w:rPr>
                    <w:t>2</w:t>
                  </w:r>
                  <w:r>
                    <w:rPr>
                      <w:szCs w:val="21"/>
                    </w:rPr>
                    <w:t>.3</w:t>
                  </w:r>
                </w:p>
              </w:tc>
              <w:tc>
                <w:tcPr>
                  <w:tcW w:w="1921" w:type="dxa"/>
                  <w:vAlign w:val="center"/>
                </w:tcPr>
                <w:p>
                  <w:pPr>
                    <w:pStyle w:val="79"/>
                    <w:jc w:val="center"/>
                    <w:rPr>
                      <w:rFonts w:ascii="Times New Roman" w:cs="Times New Roman"/>
                      <w:color w:val="auto"/>
                      <w:sz w:val="21"/>
                      <w:szCs w:val="21"/>
                    </w:rPr>
                  </w:pPr>
                  <w:r>
                    <w:rPr>
                      <w:rFonts w:hint="eastAsia" w:ascii="Times New Roman" w:cs="Times New Roman"/>
                      <w:color w:val="auto"/>
                      <w:sz w:val="21"/>
                      <w:szCs w:val="21"/>
                    </w:rPr>
                    <w:t>接地变成套装置</w:t>
                  </w:r>
                </w:p>
              </w:tc>
              <w:tc>
                <w:tcPr>
                  <w:tcW w:w="3261" w:type="dxa"/>
                  <w:vAlign w:val="center"/>
                </w:tcPr>
                <w:p>
                  <w:pPr>
                    <w:adjustRightInd w:val="0"/>
                    <w:jc w:val="center"/>
                    <w:rPr>
                      <w:kern w:val="0"/>
                      <w:szCs w:val="21"/>
                    </w:rPr>
                  </w:pPr>
                  <w:r>
                    <w:rPr>
                      <w:kern w:val="0"/>
                      <w:szCs w:val="21"/>
                    </w:rPr>
                    <w:t>DKSC-400/37</w:t>
                  </w:r>
                </w:p>
              </w:tc>
              <w:tc>
                <w:tcPr>
                  <w:tcW w:w="708" w:type="dxa"/>
                  <w:vAlign w:val="center"/>
                </w:tcPr>
                <w:p>
                  <w:pPr>
                    <w:adjustRightInd w:val="0"/>
                    <w:jc w:val="center"/>
                    <w:rPr>
                      <w:szCs w:val="21"/>
                    </w:rPr>
                  </w:pPr>
                  <w:r>
                    <w:rPr>
                      <w:rFonts w:hint="eastAsia"/>
                      <w:szCs w:val="21"/>
                    </w:rPr>
                    <w:t>台</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adjustRightInd w:val="0"/>
                    <w:jc w:val="center"/>
                    <w:rPr>
                      <w:szCs w:val="21"/>
                    </w:rPr>
                  </w:pPr>
                  <w:r>
                    <w:rPr>
                      <w:rFonts w:hint="eastAsia"/>
                      <w:szCs w:val="21"/>
                    </w:rPr>
                    <w:t>2</w:t>
                  </w:r>
                  <w:r>
                    <w:rPr>
                      <w:szCs w:val="21"/>
                    </w:rPr>
                    <w:t>.4</w:t>
                  </w:r>
                </w:p>
              </w:tc>
              <w:tc>
                <w:tcPr>
                  <w:tcW w:w="1921" w:type="dxa"/>
                  <w:vAlign w:val="center"/>
                </w:tcPr>
                <w:p>
                  <w:pPr>
                    <w:pStyle w:val="79"/>
                    <w:jc w:val="center"/>
                    <w:rPr>
                      <w:rFonts w:ascii="Times New Roman" w:cs="Times New Roman"/>
                      <w:color w:val="auto"/>
                      <w:sz w:val="21"/>
                      <w:szCs w:val="21"/>
                    </w:rPr>
                  </w:pPr>
                  <w:r>
                    <w:rPr>
                      <w:rFonts w:hint="eastAsia" w:ascii="Times New Roman" w:cs="Times New Roman"/>
                      <w:color w:val="auto"/>
                      <w:sz w:val="21"/>
                      <w:szCs w:val="21"/>
                    </w:rPr>
                    <w:t>站用变</w:t>
                  </w:r>
                </w:p>
              </w:tc>
              <w:tc>
                <w:tcPr>
                  <w:tcW w:w="3261" w:type="dxa"/>
                  <w:vAlign w:val="center"/>
                </w:tcPr>
                <w:p>
                  <w:pPr>
                    <w:adjustRightInd w:val="0"/>
                    <w:jc w:val="center"/>
                    <w:rPr>
                      <w:kern w:val="0"/>
                      <w:szCs w:val="21"/>
                    </w:rPr>
                  </w:pPr>
                  <w:r>
                    <w:rPr>
                      <w:rFonts w:hint="eastAsia"/>
                      <w:szCs w:val="21"/>
                    </w:rPr>
                    <w:t>SCB13-200/37</w:t>
                  </w:r>
                </w:p>
              </w:tc>
              <w:tc>
                <w:tcPr>
                  <w:tcW w:w="708" w:type="dxa"/>
                  <w:vAlign w:val="center"/>
                </w:tcPr>
                <w:p>
                  <w:pPr>
                    <w:adjustRightInd w:val="0"/>
                    <w:jc w:val="center"/>
                    <w:rPr>
                      <w:szCs w:val="21"/>
                    </w:rPr>
                  </w:pPr>
                  <w:r>
                    <w:rPr>
                      <w:rFonts w:hint="eastAsia"/>
                      <w:szCs w:val="21"/>
                    </w:rPr>
                    <w:t>台</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8" w:type="dxa"/>
                  <w:vAlign w:val="center"/>
                </w:tcPr>
                <w:p>
                  <w:pPr>
                    <w:adjustRightInd w:val="0"/>
                    <w:jc w:val="center"/>
                    <w:rPr>
                      <w:szCs w:val="21"/>
                    </w:rPr>
                  </w:pPr>
                  <w:r>
                    <w:rPr>
                      <w:rFonts w:hint="eastAsia"/>
                      <w:szCs w:val="21"/>
                    </w:rPr>
                    <w:t>2</w:t>
                  </w:r>
                  <w:r>
                    <w:rPr>
                      <w:szCs w:val="21"/>
                    </w:rPr>
                    <w:t>.5</w:t>
                  </w:r>
                </w:p>
              </w:tc>
              <w:tc>
                <w:tcPr>
                  <w:tcW w:w="1921" w:type="dxa"/>
                  <w:vAlign w:val="center"/>
                </w:tcPr>
                <w:p>
                  <w:pPr>
                    <w:pStyle w:val="79"/>
                    <w:jc w:val="center"/>
                    <w:rPr>
                      <w:rFonts w:ascii="Times New Roman" w:cs="Times New Roman"/>
                      <w:color w:val="auto"/>
                      <w:sz w:val="21"/>
                      <w:szCs w:val="21"/>
                    </w:rPr>
                  </w:pPr>
                  <w:r>
                    <w:rPr>
                      <w:rFonts w:hint="eastAsia" w:ascii="Times New Roman" w:cs="Times New Roman"/>
                      <w:color w:val="auto"/>
                      <w:sz w:val="21"/>
                      <w:szCs w:val="21"/>
                    </w:rPr>
                    <w:t>10kV备用变</w:t>
                  </w:r>
                </w:p>
              </w:tc>
              <w:tc>
                <w:tcPr>
                  <w:tcW w:w="3261" w:type="dxa"/>
                  <w:vAlign w:val="center"/>
                </w:tcPr>
                <w:p>
                  <w:pPr>
                    <w:adjustRightInd w:val="0"/>
                    <w:jc w:val="center"/>
                    <w:rPr>
                      <w:kern w:val="0"/>
                      <w:szCs w:val="21"/>
                    </w:rPr>
                  </w:pPr>
                  <w:r>
                    <w:rPr>
                      <w:rFonts w:hint="eastAsia"/>
                      <w:szCs w:val="21"/>
                    </w:rPr>
                    <w:t>YBM1-200/10.5</w:t>
                  </w:r>
                </w:p>
              </w:tc>
              <w:tc>
                <w:tcPr>
                  <w:tcW w:w="708" w:type="dxa"/>
                  <w:vAlign w:val="center"/>
                </w:tcPr>
                <w:p>
                  <w:pPr>
                    <w:adjustRightInd w:val="0"/>
                    <w:jc w:val="center"/>
                    <w:rPr>
                      <w:szCs w:val="21"/>
                    </w:rPr>
                  </w:pPr>
                  <w:r>
                    <w:rPr>
                      <w:rFonts w:hint="eastAsia"/>
                      <w:szCs w:val="21"/>
                    </w:rPr>
                    <w:t>台</w:t>
                  </w:r>
                </w:p>
              </w:tc>
              <w:tc>
                <w:tcPr>
                  <w:tcW w:w="851" w:type="dxa"/>
                  <w:vAlign w:val="center"/>
                </w:tcPr>
                <w:p>
                  <w:pPr>
                    <w:adjustRightInd w:val="0"/>
                    <w:jc w:val="center"/>
                    <w:rPr>
                      <w:szCs w:val="21"/>
                    </w:rPr>
                  </w:pPr>
                  <w:r>
                    <w:rPr>
                      <w:rFonts w:hint="eastAsia"/>
                      <w:szCs w:val="21"/>
                    </w:rPr>
                    <w:t>1</w:t>
                  </w:r>
                </w:p>
              </w:tc>
              <w:tc>
                <w:tcPr>
                  <w:tcW w:w="721" w:type="dxa"/>
                  <w:vAlign w:val="center"/>
                </w:tcPr>
                <w:p>
                  <w:pPr>
                    <w:adjustRightInd w:val="0"/>
                    <w:jc w:val="center"/>
                    <w:rPr>
                      <w:szCs w:val="21"/>
                    </w:rPr>
                  </w:pPr>
                </w:p>
              </w:tc>
            </w:tr>
            <w:bookmarkEnd w:id="16"/>
          </w:tbl>
          <w:p>
            <w:pPr>
              <w:pStyle w:val="21"/>
              <w:adjustRightInd w:val="0"/>
              <w:snapToGrid/>
              <w:spacing w:before="0" w:after="0" w:line="360" w:lineRule="auto"/>
              <w:ind w:right="0"/>
              <w:rPr>
                <w:b/>
                <w:bCs/>
                <w:sz w:val="24"/>
                <w:szCs w:val="24"/>
              </w:rPr>
            </w:pPr>
            <w:r>
              <w:rPr>
                <w:b/>
                <w:bCs/>
                <w:sz w:val="24"/>
                <w:szCs w:val="22"/>
              </w:rPr>
              <w:t>3</w:t>
            </w:r>
            <w:r>
              <w:rPr>
                <w:rFonts w:hint="eastAsia"/>
                <w:b/>
                <w:bCs/>
                <w:sz w:val="24"/>
                <w:szCs w:val="22"/>
              </w:rPr>
              <w:t>、项目占地情况</w:t>
            </w:r>
          </w:p>
          <w:p>
            <w:pPr>
              <w:adjustRightInd w:val="0"/>
              <w:spacing w:line="360" w:lineRule="auto"/>
              <w:ind w:firstLine="480" w:firstLineChars="200"/>
              <w:rPr>
                <w:sz w:val="24"/>
              </w:rPr>
            </w:pPr>
            <w:r>
              <w:rPr>
                <w:rFonts w:hint="eastAsia"/>
                <w:sz w:val="24"/>
              </w:rPr>
              <w:t>项目建设占地总面积</w:t>
            </w:r>
            <w:r>
              <w:rPr>
                <w:rFonts w:hint="eastAsia"/>
                <w:spacing w:val="-20"/>
                <w:sz w:val="24"/>
              </w:rPr>
              <w:t>为</w:t>
            </w:r>
            <w:r>
              <w:rPr>
                <w:kern w:val="0"/>
                <w:sz w:val="24"/>
              </w:rPr>
              <w:t>391000</w:t>
            </w:r>
            <w:r>
              <w:rPr>
                <w:rFonts w:hint="eastAsia"/>
                <w:kern w:val="0"/>
                <w:sz w:val="24"/>
              </w:rPr>
              <w:t>m</w:t>
            </w:r>
            <w:r>
              <w:rPr>
                <w:rFonts w:hint="eastAsia"/>
                <w:kern w:val="0"/>
                <w:sz w:val="24"/>
                <w:vertAlign w:val="superscript"/>
              </w:rPr>
              <w:t>2</w:t>
            </w:r>
            <w:r>
              <w:rPr>
                <w:rFonts w:hint="eastAsia"/>
                <w:sz w:val="24"/>
              </w:rPr>
              <w:t>。其中，开关站用地面积为</w:t>
            </w:r>
            <w:r>
              <w:rPr>
                <w:sz w:val="24"/>
              </w:rPr>
              <w:t>3090</w:t>
            </w:r>
            <w:r>
              <w:rPr>
                <w:rFonts w:hint="eastAsia"/>
                <w:spacing w:val="20"/>
                <w:sz w:val="24"/>
              </w:rPr>
              <w:t>m</w:t>
            </w:r>
            <w:r>
              <w:rPr>
                <w:rFonts w:hint="eastAsia"/>
                <w:sz w:val="24"/>
                <w:vertAlign w:val="superscript"/>
              </w:rPr>
              <w:t>2</w:t>
            </w:r>
            <w:r>
              <w:rPr>
                <w:rFonts w:hint="eastAsia"/>
                <w:sz w:val="24"/>
              </w:rPr>
              <w:t>，场内道路用地面积为</w:t>
            </w:r>
            <w:r>
              <w:rPr>
                <w:sz w:val="24"/>
              </w:rPr>
              <w:t>16760</w:t>
            </w:r>
            <w:r>
              <w:rPr>
                <w:rFonts w:hint="eastAsia"/>
                <w:sz w:val="24"/>
              </w:rPr>
              <w:t>m</w:t>
            </w:r>
            <w:r>
              <w:rPr>
                <w:rFonts w:hint="eastAsia"/>
                <w:sz w:val="24"/>
                <w:vertAlign w:val="superscript"/>
              </w:rPr>
              <w:t>2</w:t>
            </w:r>
            <w:r>
              <w:rPr>
                <w:rFonts w:hint="eastAsia"/>
                <w:sz w:val="24"/>
              </w:rPr>
              <w:t>。占地现状主要为其他林地（荒草地）及裸土地等，不涉及基本农田及稳定耕地，占地情况一览表见下。</w:t>
            </w:r>
          </w:p>
          <w:p>
            <w:pPr>
              <w:adjustRightInd w:val="0"/>
              <w:jc w:val="center"/>
              <w:rPr>
                <w:b/>
                <w:kern w:val="0"/>
                <w:szCs w:val="21"/>
              </w:rPr>
            </w:pPr>
            <w:r>
              <w:rPr>
                <w:rFonts w:hint="eastAsia"/>
                <w:b/>
              </w:rPr>
              <w:t>表</w:t>
            </w:r>
            <w:r>
              <w:rPr>
                <w:b/>
              </w:rPr>
              <w:t>2-3</w:t>
            </w:r>
            <w:r>
              <w:rPr>
                <w:rFonts w:hint="eastAsia"/>
                <w:b/>
              </w:rPr>
              <w:t xml:space="preserve">  项目占地情况一览表</w:t>
            </w:r>
          </w:p>
          <w:tbl>
            <w:tblPr>
              <w:tblStyle w:val="44"/>
              <w:tblW w:w="8039"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45"/>
              <w:gridCol w:w="4000"/>
              <w:gridCol w:w="1134"/>
              <w:gridCol w:w="2160"/>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b/>
                      <w:bCs/>
                      <w:szCs w:val="21"/>
                    </w:rPr>
                  </w:pPr>
                  <w:r>
                    <w:rPr>
                      <w:b/>
                      <w:bCs/>
                      <w:szCs w:val="21"/>
                    </w:rPr>
                    <w:t>序号</w:t>
                  </w:r>
                </w:p>
              </w:tc>
              <w:tc>
                <w:tcPr>
                  <w:tcW w:w="4000" w:type="dxa"/>
                  <w:vAlign w:val="center"/>
                </w:tcPr>
                <w:p>
                  <w:pPr>
                    <w:adjustRightInd w:val="0"/>
                    <w:jc w:val="center"/>
                    <w:rPr>
                      <w:b/>
                      <w:bCs/>
                      <w:szCs w:val="21"/>
                    </w:rPr>
                  </w:pPr>
                  <w:r>
                    <w:rPr>
                      <w:b/>
                      <w:bCs/>
                      <w:szCs w:val="21"/>
                    </w:rPr>
                    <w:t>项目</w:t>
                  </w:r>
                </w:p>
              </w:tc>
              <w:tc>
                <w:tcPr>
                  <w:tcW w:w="1134" w:type="dxa"/>
                  <w:vAlign w:val="center"/>
                </w:tcPr>
                <w:p>
                  <w:pPr>
                    <w:adjustRightInd w:val="0"/>
                    <w:jc w:val="center"/>
                    <w:rPr>
                      <w:b/>
                      <w:bCs/>
                      <w:szCs w:val="21"/>
                    </w:rPr>
                  </w:pPr>
                  <w:r>
                    <w:rPr>
                      <w:b/>
                      <w:bCs/>
                      <w:szCs w:val="21"/>
                    </w:rPr>
                    <w:t>数量</w:t>
                  </w:r>
                </w:p>
              </w:tc>
              <w:tc>
                <w:tcPr>
                  <w:tcW w:w="2160" w:type="dxa"/>
                  <w:vAlign w:val="center"/>
                </w:tcPr>
                <w:p>
                  <w:pPr>
                    <w:adjustRightInd w:val="0"/>
                    <w:jc w:val="center"/>
                    <w:rPr>
                      <w:b/>
                      <w:bCs/>
                      <w:szCs w:val="21"/>
                    </w:rPr>
                  </w:pPr>
                  <w:r>
                    <w:rPr>
                      <w:b/>
                      <w:bCs/>
                      <w:szCs w:val="21"/>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b/>
                      <w:bCs/>
                      <w:szCs w:val="21"/>
                    </w:rPr>
                  </w:pPr>
                  <w:r>
                    <w:rPr>
                      <w:rFonts w:hint="eastAsia"/>
                      <w:b/>
                      <w:bCs/>
                      <w:szCs w:val="21"/>
                    </w:rPr>
                    <w:t>一</w:t>
                  </w:r>
                </w:p>
              </w:tc>
              <w:tc>
                <w:tcPr>
                  <w:tcW w:w="4000" w:type="dxa"/>
                  <w:vAlign w:val="center"/>
                </w:tcPr>
                <w:p>
                  <w:pPr>
                    <w:adjustRightInd w:val="0"/>
                    <w:jc w:val="center"/>
                    <w:rPr>
                      <w:b/>
                      <w:bCs/>
                      <w:szCs w:val="21"/>
                    </w:rPr>
                  </w:pPr>
                  <w:r>
                    <w:rPr>
                      <w:b/>
                      <w:bCs/>
                      <w:szCs w:val="21"/>
                    </w:rPr>
                    <w:t>总占地面积（m</w:t>
                  </w:r>
                  <w:r>
                    <w:rPr>
                      <w:b/>
                      <w:bCs/>
                      <w:szCs w:val="21"/>
                      <w:vertAlign w:val="superscript"/>
                    </w:rPr>
                    <w:t>2</w:t>
                  </w:r>
                  <w:r>
                    <w:rPr>
                      <w:b/>
                      <w:bCs/>
                      <w:szCs w:val="21"/>
                    </w:rPr>
                    <w:t>）</w:t>
                  </w:r>
                </w:p>
              </w:tc>
              <w:tc>
                <w:tcPr>
                  <w:tcW w:w="1134" w:type="dxa"/>
                  <w:vAlign w:val="center"/>
                </w:tcPr>
                <w:p>
                  <w:pPr>
                    <w:adjustRightInd w:val="0"/>
                    <w:jc w:val="center"/>
                    <w:rPr>
                      <w:b/>
                      <w:bCs/>
                      <w:szCs w:val="21"/>
                    </w:rPr>
                  </w:pPr>
                  <w:r>
                    <w:rPr>
                      <w:b/>
                      <w:bCs/>
                      <w:szCs w:val="21"/>
                    </w:rPr>
                    <w:t>391000</w:t>
                  </w:r>
                </w:p>
              </w:tc>
              <w:tc>
                <w:tcPr>
                  <w:tcW w:w="2160" w:type="dxa"/>
                  <w:vAlign w:val="center"/>
                </w:tcPr>
                <w:p>
                  <w:pPr>
                    <w:adjustRightInd w:val="0"/>
                    <w:jc w:val="center"/>
                    <w:rPr>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b/>
                      <w:bCs/>
                      <w:szCs w:val="21"/>
                    </w:rPr>
                  </w:pPr>
                  <w:r>
                    <w:rPr>
                      <w:b/>
                      <w:bCs/>
                      <w:szCs w:val="21"/>
                    </w:rPr>
                    <w:t>1</w:t>
                  </w:r>
                </w:p>
              </w:tc>
              <w:tc>
                <w:tcPr>
                  <w:tcW w:w="4000" w:type="dxa"/>
                  <w:vAlign w:val="center"/>
                </w:tcPr>
                <w:p>
                  <w:pPr>
                    <w:adjustRightInd w:val="0"/>
                    <w:jc w:val="center"/>
                    <w:rPr>
                      <w:b/>
                      <w:bCs/>
                      <w:szCs w:val="21"/>
                    </w:rPr>
                  </w:pPr>
                  <w:r>
                    <w:rPr>
                      <w:b/>
                      <w:bCs/>
                      <w:szCs w:val="21"/>
                    </w:rPr>
                    <w:t>永久占地</w:t>
                  </w:r>
                </w:p>
              </w:tc>
              <w:tc>
                <w:tcPr>
                  <w:tcW w:w="1134" w:type="dxa"/>
                  <w:vAlign w:val="center"/>
                </w:tcPr>
                <w:p>
                  <w:pPr>
                    <w:adjustRightInd w:val="0"/>
                    <w:jc w:val="center"/>
                    <w:rPr>
                      <w:b/>
                      <w:bCs/>
                      <w:szCs w:val="21"/>
                    </w:rPr>
                  </w:pPr>
                  <w:r>
                    <w:rPr>
                      <w:b/>
                      <w:bCs/>
                      <w:szCs w:val="21"/>
                    </w:rPr>
                    <w:t>3790</w:t>
                  </w:r>
                </w:p>
              </w:tc>
              <w:tc>
                <w:tcPr>
                  <w:tcW w:w="2160" w:type="dxa"/>
                  <w:vAlign w:val="center"/>
                </w:tcPr>
                <w:p>
                  <w:pPr>
                    <w:adjustRightInd w:val="0"/>
                    <w:jc w:val="center"/>
                    <w:rPr>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szCs w:val="21"/>
                    </w:rPr>
                  </w:pPr>
                  <w:r>
                    <w:rPr>
                      <w:szCs w:val="21"/>
                    </w:rPr>
                    <w:t>1.1</w:t>
                  </w:r>
                </w:p>
              </w:tc>
              <w:tc>
                <w:tcPr>
                  <w:tcW w:w="4000" w:type="dxa"/>
                  <w:vAlign w:val="center"/>
                </w:tcPr>
                <w:p>
                  <w:pPr>
                    <w:adjustRightInd w:val="0"/>
                    <w:jc w:val="center"/>
                    <w:rPr>
                      <w:szCs w:val="21"/>
                    </w:rPr>
                  </w:pPr>
                  <w:r>
                    <w:rPr>
                      <w:rFonts w:hint="eastAsia"/>
                      <w:szCs w:val="21"/>
                    </w:rPr>
                    <w:t>开关站</w:t>
                  </w:r>
                  <w:r>
                    <w:rPr>
                      <w:szCs w:val="21"/>
                    </w:rPr>
                    <w:t>占地面积</w:t>
                  </w:r>
                </w:p>
              </w:tc>
              <w:tc>
                <w:tcPr>
                  <w:tcW w:w="1134" w:type="dxa"/>
                  <w:vAlign w:val="center"/>
                </w:tcPr>
                <w:p>
                  <w:pPr>
                    <w:adjustRightInd w:val="0"/>
                    <w:jc w:val="center"/>
                    <w:rPr>
                      <w:szCs w:val="21"/>
                    </w:rPr>
                  </w:pPr>
                  <w:r>
                    <w:rPr>
                      <w:szCs w:val="21"/>
                    </w:rPr>
                    <w:t>3090</w:t>
                  </w:r>
                </w:p>
              </w:tc>
              <w:tc>
                <w:tcPr>
                  <w:tcW w:w="2160" w:type="dxa"/>
                  <w:vAlign w:val="center"/>
                </w:tcPr>
                <w:p>
                  <w:pPr>
                    <w:adjustRightInd w:val="0"/>
                    <w:jc w:val="center"/>
                    <w:rPr>
                      <w:szCs w:val="21"/>
                    </w:rPr>
                  </w:pPr>
                  <w:r>
                    <w:rPr>
                      <w:rFonts w:hint="eastAsia"/>
                      <w:szCs w:val="21"/>
                    </w:rPr>
                    <w:t>含边坡、进站道路及水沟，围墙内</w:t>
                  </w:r>
                  <w:r>
                    <w:rPr>
                      <w:szCs w:val="21"/>
                    </w:rPr>
                    <w:t>2867</w:t>
                  </w:r>
                  <w:r>
                    <w:rPr>
                      <w:rFonts w:hint="eastAsia"/>
                      <w:szCs w:val="21"/>
                    </w:rPr>
                    <w:t>m</w:t>
                  </w:r>
                  <w:r>
                    <w:rPr>
                      <w:szCs w:val="21"/>
                      <w:vertAlign w:val="superscript"/>
                    </w:rPr>
                    <w:t>2</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szCs w:val="21"/>
                    </w:rPr>
                  </w:pPr>
                  <w:r>
                    <w:rPr>
                      <w:rFonts w:hint="eastAsia"/>
                      <w:szCs w:val="21"/>
                    </w:rPr>
                    <w:t>1</w:t>
                  </w:r>
                  <w:r>
                    <w:rPr>
                      <w:szCs w:val="21"/>
                    </w:rPr>
                    <w:t>.2</w:t>
                  </w:r>
                </w:p>
              </w:tc>
              <w:tc>
                <w:tcPr>
                  <w:tcW w:w="4000" w:type="dxa"/>
                  <w:vAlign w:val="center"/>
                </w:tcPr>
                <w:p>
                  <w:pPr>
                    <w:adjustRightInd w:val="0"/>
                    <w:jc w:val="center"/>
                    <w:rPr>
                      <w:szCs w:val="21"/>
                    </w:rPr>
                  </w:pPr>
                  <w:r>
                    <w:rPr>
                      <w:rFonts w:hint="eastAsia"/>
                      <w:szCs w:val="21"/>
                    </w:rPr>
                    <w:t>设备基础用地</w:t>
                  </w:r>
                  <w:r>
                    <w:rPr>
                      <w:szCs w:val="21"/>
                    </w:rPr>
                    <w:t>面积</w:t>
                  </w:r>
                </w:p>
              </w:tc>
              <w:tc>
                <w:tcPr>
                  <w:tcW w:w="1134" w:type="dxa"/>
                  <w:vAlign w:val="center"/>
                </w:tcPr>
                <w:p>
                  <w:pPr>
                    <w:adjustRightInd w:val="0"/>
                    <w:jc w:val="center"/>
                    <w:rPr>
                      <w:szCs w:val="21"/>
                    </w:rPr>
                  </w:pPr>
                  <w:r>
                    <w:rPr>
                      <w:szCs w:val="21"/>
                    </w:rPr>
                    <w:t>700</w:t>
                  </w:r>
                </w:p>
              </w:tc>
              <w:tc>
                <w:tcPr>
                  <w:tcW w:w="2160" w:type="dxa"/>
                  <w:vAlign w:val="center"/>
                </w:tcPr>
                <w:p>
                  <w:pPr>
                    <w:adjustRightInd w:val="0"/>
                    <w:jc w:val="center"/>
                    <w:rPr>
                      <w:szCs w:val="21"/>
                    </w:rPr>
                  </w:pPr>
                  <w:r>
                    <w:rPr>
                      <w:rFonts w:hint="eastAsia"/>
                      <w:szCs w:val="21"/>
                    </w:rPr>
                    <w:t>箱变、分支箱基础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b/>
                      <w:bCs/>
                      <w:szCs w:val="21"/>
                    </w:rPr>
                  </w:pPr>
                  <w:r>
                    <w:rPr>
                      <w:b/>
                      <w:bCs/>
                      <w:szCs w:val="21"/>
                    </w:rPr>
                    <w:t>2</w:t>
                  </w:r>
                </w:p>
              </w:tc>
              <w:tc>
                <w:tcPr>
                  <w:tcW w:w="4000" w:type="dxa"/>
                  <w:vAlign w:val="center"/>
                </w:tcPr>
                <w:p>
                  <w:pPr>
                    <w:adjustRightInd w:val="0"/>
                    <w:jc w:val="center"/>
                    <w:rPr>
                      <w:b/>
                      <w:bCs/>
                      <w:szCs w:val="21"/>
                    </w:rPr>
                  </w:pPr>
                  <w:r>
                    <w:rPr>
                      <w:b/>
                      <w:bCs/>
                      <w:szCs w:val="21"/>
                    </w:rPr>
                    <w:t>临时占地</w:t>
                  </w:r>
                </w:p>
              </w:tc>
              <w:tc>
                <w:tcPr>
                  <w:tcW w:w="1134" w:type="dxa"/>
                  <w:vAlign w:val="center"/>
                </w:tcPr>
                <w:p>
                  <w:pPr>
                    <w:adjustRightInd w:val="0"/>
                    <w:jc w:val="center"/>
                    <w:rPr>
                      <w:b/>
                      <w:bCs/>
                      <w:szCs w:val="21"/>
                    </w:rPr>
                  </w:pPr>
                  <w:r>
                    <w:rPr>
                      <w:b/>
                      <w:bCs/>
                      <w:szCs w:val="21"/>
                    </w:rPr>
                    <w:t>387210</w:t>
                  </w:r>
                </w:p>
              </w:tc>
              <w:tc>
                <w:tcPr>
                  <w:tcW w:w="2160" w:type="dxa"/>
                  <w:vAlign w:val="center"/>
                </w:tcPr>
                <w:p>
                  <w:pPr>
                    <w:adjustRightInd w:val="0"/>
                    <w:jc w:val="center"/>
                    <w:rPr>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szCs w:val="21"/>
                    </w:rPr>
                  </w:pPr>
                  <w:r>
                    <w:rPr>
                      <w:szCs w:val="21"/>
                    </w:rPr>
                    <w:t>2.1</w:t>
                  </w:r>
                </w:p>
              </w:tc>
              <w:tc>
                <w:tcPr>
                  <w:tcW w:w="4000" w:type="dxa"/>
                  <w:vAlign w:val="center"/>
                </w:tcPr>
                <w:p>
                  <w:pPr>
                    <w:adjustRightInd w:val="0"/>
                    <w:jc w:val="center"/>
                    <w:rPr>
                      <w:szCs w:val="21"/>
                    </w:rPr>
                  </w:pPr>
                  <w:r>
                    <w:rPr>
                      <w:szCs w:val="21"/>
                    </w:rPr>
                    <w:t>光伏阵列</w:t>
                  </w:r>
                  <w:r>
                    <w:rPr>
                      <w:rFonts w:hint="eastAsia"/>
                      <w:szCs w:val="21"/>
                    </w:rPr>
                    <w:t>占地</w:t>
                  </w:r>
                </w:p>
              </w:tc>
              <w:tc>
                <w:tcPr>
                  <w:tcW w:w="1134" w:type="dxa"/>
                  <w:vAlign w:val="center"/>
                </w:tcPr>
                <w:p>
                  <w:pPr>
                    <w:adjustRightInd w:val="0"/>
                    <w:jc w:val="center"/>
                    <w:rPr>
                      <w:szCs w:val="21"/>
                    </w:rPr>
                  </w:pPr>
                  <w:r>
                    <w:rPr>
                      <w:rFonts w:hint="eastAsia"/>
                      <w:szCs w:val="21"/>
                    </w:rPr>
                    <w:t>3</w:t>
                  </w:r>
                  <w:r>
                    <w:rPr>
                      <w:szCs w:val="21"/>
                    </w:rPr>
                    <w:t>70450</w:t>
                  </w:r>
                </w:p>
              </w:tc>
              <w:tc>
                <w:tcPr>
                  <w:tcW w:w="2160" w:type="dxa"/>
                  <w:vAlign w:val="center"/>
                </w:tcPr>
                <w:p>
                  <w:pPr>
                    <w:adjustRightInd w:val="0"/>
                    <w:jc w:val="center"/>
                    <w:rPr>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szCs w:val="21"/>
                    </w:rPr>
                  </w:pPr>
                  <w:r>
                    <w:rPr>
                      <w:szCs w:val="21"/>
                    </w:rPr>
                    <w:t>2.2</w:t>
                  </w:r>
                </w:p>
              </w:tc>
              <w:tc>
                <w:tcPr>
                  <w:tcW w:w="4000" w:type="dxa"/>
                  <w:vAlign w:val="center"/>
                </w:tcPr>
                <w:p>
                  <w:pPr>
                    <w:adjustRightInd w:val="0"/>
                    <w:jc w:val="center"/>
                    <w:rPr>
                      <w:szCs w:val="21"/>
                    </w:rPr>
                  </w:pPr>
                  <w:r>
                    <w:rPr>
                      <w:szCs w:val="21"/>
                    </w:rPr>
                    <w:t>场内</w:t>
                  </w:r>
                  <w:r>
                    <w:rPr>
                      <w:rFonts w:hint="eastAsia"/>
                      <w:szCs w:val="21"/>
                    </w:rPr>
                    <w:t>检修</w:t>
                  </w:r>
                  <w:r>
                    <w:rPr>
                      <w:szCs w:val="21"/>
                    </w:rPr>
                    <w:t>道路</w:t>
                  </w:r>
                </w:p>
              </w:tc>
              <w:tc>
                <w:tcPr>
                  <w:tcW w:w="1134" w:type="dxa"/>
                  <w:vAlign w:val="center"/>
                </w:tcPr>
                <w:p>
                  <w:pPr>
                    <w:adjustRightInd w:val="0"/>
                    <w:jc w:val="center"/>
                    <w:rPr>
                      <w:szCs w:val="21"/>
                    </w:rPr>
                  </w:pPr>
                  <w:r>
                    <w:rPr>
                      <w:rFonts w:hint="eastAsia"/>
                      <w:szCs w:val="21"/>
                    </w:rPr>
                    <w:t>1</w:t>
                  </w:r>
                  <w:r>
                    <w:rPr>
                      <w:szCs w:val="21"/>
                    </w:rPr>
                    <w:t>6760</w:t>
                  </w:r>
                </w:p>
              </w:tc>
              <w:tc>
                <w:tcPr>
                  <w:tcW w:w="2160" w:type="dxa"/>
                  <w:vAlign w:val="center"/>
                </w:tcPr>
                <w:p>
                  <w:pPr>
                    <w:adjustRightInd w:val="0"/>
                    <w:jc w:val="center"/>
                    <w:rPr>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45" w:type="dxa"/>
                  <w:vAlign w:val="center"/>
                </w:tcPr>
                <w:p>
                  <w:pPr>
                    <w:adjustRightInd w:val="0"/>
                    <w:jc w:val="center"/>
                    <w:rPr>
                      <w:szCs w:val="21"/>
                    </w:rPr>
                  </w:pPr>
                  <w:r>
                    <w:rPr>
                      <w:rFonts w:hint="eastAsia"/>
                      <w:szCs w:val="21"/>
                    </w:rPr>
                    <w:t>2</w:t>
                  </w:r>
                  <w:r>
                    <w:rPr>
                      <w:szCs w:val="21"/>
                    </w:rPr>
                    <w:t>.3</w:t>
                  </w:r>
                </w:p>
              </w:tc>
              <w:tc>
                <w:tcPr>
                  <w:tcW w:w="4000" w:type="dxa"/>
                  <w:vAlign w:val="center"/>
                </w:tcPr>
                <w:p>
                  <w:pPr>
                    <w:adjustRightInd w:val="0"/>
                    <w:jc w:val="center"/>
                    <w:rPr>
                      <w:b/>
                      <w:bCs/>
                      <w:szCs w:val="21"/>
                    </w:rPr>
                  </w:pPr>
                  <w:r>
                    <w:rPr>
                      <w:szCs w:val="21"/>
                    </w:rPr>
                    <w:t>临时生产设施及仓库</w:t>
                  </w:r>
                  <w:r>
                    <w:rPr>
                      <w:rFonts w:hint="eastAsia"/>
                      <w:szCs w:val="21"/>
                    </w:rPr>
                    <w:t>等</w:t>
                  </w:r>
                </w:p>
              </w:tc>
              <w:tc>
                <w:tcPr>
                  <w:tcW w:w="1134" w:type="dxa"/>
                  <w:vAlign w:val="center"/>
                </w:tcPr>
                <w:p>
                  <w:pPr>
                    <w:adjustRightInd w:val="0"/>
                    <w:jc w:val="center"/>
                    <w:rPr>
                      <w:szCs w:val="21"/>
                    </w:rPr>
                  </w:pPr>
                  <w:r>
                    <w:rPr>
                      <w:rFonts w:hint="eastAsia"/>
                      <w:szCs w:val="21"/>
                    </w:rPr>
                    <w:t>/</w:t>
                  </w:r>
                </w:p>
              </w:tc>
              <w:tc>
                <w:tcPr>
                  <w:tcW w:w="2160" w:type="dxa"/>
                  <w:vAlign w:val="center"/>
                </w:tcPr>
                <w:p>
                  <w:pPr>
                    <w:adjustRightInd w:val="0"/>
                    <w:jc w:val="center"/>
                    <w:rPr>
                      <w:szCs w:val="21"/>
                    </w:rPr>
                  </w:pPr>
                  <w:r>
                    <w:rPr>
                      <w:szCs w:val="21"/>
                    </w:rPr>
                    <w:t>利用光伏</w:t>
                  </w:r>
                  <w:r>
                    <w:rPr>
                      <w:rFonts w:hint="eastAsia"/>
                      <w:szCs w:val="21"/>
                    </w:rPr>
                    <w:t>区</w:t>
                  </w:r>
                  <w:r>
                    <w:rPr>
                      <w:szCs w:val="21"/>
                    </w:rPr>
                    <w:t>面积，不计</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745" w:type="dxa"/>
                  <w:gridSpan w:val="2"/>
                  <w:vAlign w:val="center"/>
                </w:tcPr>
                <w:p>
                  <w:pPr>
                    <w:adjustRightInd w:val="0"/>
                    <w:jc w:val="center"/>
                    <w:rPr>
                      <w:szCs w:val="21"/>
                    </w:rPr>
                  </w:pPr>
                  <w:r>
                    <w:rPr>
                      <w:rFonts w:hint="eastAsia"/>
                      <w:szCs w:val="21"/>
                    </w:rPr>
                    <w:t>合计</w:t>
                  </w:r>
                </w:p>
              </w:tc>
              <w:tc>
                <w:tcPr>
                  <w:tcW w:w="1134" w:type="dxa"/>
                  <w:vAlign w:val="center"/>
                </w:tcPr>
                <w:p>
                  <w:pPr>
                    <w:adjustRightInd w:val="0"/>
                    <w:jc w:val="center"/>
                    <w:rPr>
                      <w:szCs w:val="21"/>
                    </w:rPr>
                  </w:pPr>
                  <w:r>
                    <w:rPr>
                      <w:szCs w:val="21"/>
                    </w:rPr>
                    <w:t>391000</w:t>
                  </w:r>
                </w:p>
              </w:tc>
              <w:tc>
                <w:tcPr>
                  <w:tcW w:w="2160" w:type="dxa"/>
                  <w:vAlign w:val="center"/>
                </w:tcPr>
                <w:p>
                  <w:pPr>
                    <w:adjustRightInd w:val="0"/>
                    <w:jc w:val="center"/>
                    <w:rPr>
                      <w:szCs w:val="21"/>
                    </w:rPr>
                  </w:pPr>
                </w:p>
              </w:tc>
            </w:tr>
          </w:tbl>
          <w:p>
            <w:pPr>
              <w:adjustRightInd w:val="0"/>
              <w:spacing w:line="360" w:lineRule="auto"/>
              <w:rPr>
                <w:b/>
                <w:bCs/>
                <w:sz w:val="24"/>
              </w:rPr>
            </w:pPr>
            <w:r>
              <w:rPr>
                <w:b/>
                <w:bCs/>
                <w:sz w:val="24"/>
              </w:rPr>
              <w:t>4</w:t>
            </w:r>
            <w:r>
              <w:rPr>
                <w:rFonts w:hint="eastAsia"/>
                <w:b/>
                <w:bCs/>
                <w:sz w:val="24"/>
              </w:rPr>
              <w:t>、工作制度和劳动定员</w:t>
            </w:r>
          </w:p>
          <w:p>
            <w:pPr>
              <w:adjustRightInd w:val="0"/>
              <w:spacing w:line="360" w:lineRule="auto"/>
              <w:ind w:firstLine="480" w:firstLineChars="200"/>
              <w:rPr>
                <w:kern w:val="0"/>
                <w:sz w:val="24"/>
              </w:rPr>
            </w:pPr>
            <w:r>
              <w:rPr>
                <w:rFonts w:hint="eastAsia"/>
                <w:kern w:val="0"/>
                <w:sz w:val="24"/>
              </w:rPr>
              <w:t>本项目劳动定员</w:t>
            </w:r>
            <w:r>
              <w:rPr>
                <w:kern w:val="0"/>
                <w:sz w:val="24"/>
              </w:rPr>
              <w:t>5</w:t>
            </w:r>
            <w:r>
              <w:rPr>
                <w:rFonts w:hint="eastAsia"/>
                <w:kern w:val="0"/>
                <w:sz w:val="24"/>
              </w:rPr>
              <w:t>人，主要负责运行监控、日常保养、故障维修和事故报告等，全年工作轮休制。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总平面及现场布置</w:t>
            </w:r>
          </w:p>
        </w:tc>
        <w:tc>
          <w:tcPr>
            <w:tcW w:w="8391" w:type="dxa"/>
            <w:vAlign w:val="center"/>
          </w:tcPr>
          <w:p>
            <w:pPr>
              <w:autoSpaceDE w:val="0"/>
              <w:autoSpaceDN w:val="0"/>
              <w:adjustRightInd w:val="0"/>
              <w:spacing w:line="360" w:lineRule="auto"/>
              <w:jc w:val="left"/>
              <w:rPr>
                <w:sz w:val="24"/>
              </w:rPr>
            </w:pPr>
            <w:r>
              <w:rPr>
                <w:rFonts w:hint="eastAsia"/>
                <w:b/>
                <w:sz w:val="24"/>
              </w:rPr>
              <w:t>1、总平面布置</w:t>
            </w:r>
          </w:p>
          <w:p>
            <w:pPr>
              <w:pStyle w:val="21"/>
              <w:adjustRightInd w:val="0"/>
              <w:snapToGrid/>
              <w:spacing w:before="0" w:after="0" w:line="360" w:lineRule="auto"/>
              <w:ind w:right="0" w:firstLine="482" w:firstLineChars="200"/>
              <w:rPr>
                <w:b/>
                <w:bCs/>
                <w:sz w:val="24"/>
                <w:szCs w:val="24"/>
              </w:rPr>
            </w:pPr>
            <w:r>
              <w:rPr>
                <w:rFonts w:hint="eastAsia"/>
                <w:b/>
                <w:bCs/>
                <w:sz w:val="24"/>
                <w:szCs w:val="24"/>
              </w:rPr>
              <w:t>（1）光伏区</w:t>
            </w:r>
          </w:p>
          <w:p>
            <w:pPr>
              <w:pStyle w:val="21"/>
              <w:widowControl w:val="0"/>
              <w:adjustRightInd w:val="0"/>
              <w:spacing w:before="0" w:after="0" w:line="360" w:lineRule="auto"/>
              <w:ind w:right="0" w:firstLine="480" w:firstLineChars="200"/>
              <w:rPr>
                <w:kern w:val="24"/>
                <w:sz w:val="24"/>
                <w:szCs w:val="24"/>
              </w:rPr>
            </w:pPr>
            <w:r>
              <w:rPr>
                <w:rFonts w:hint="eastAsia"/>
                <w:sz w:val="24"/>
                <w:szCs w:val="24"/>
              </w:rPr>
              <w:t>鲁纳光伏发电项目场址位于云南省昆明市寻甸县金所街道摆宰社区蔡家村北侧1</w:t>
            </w:r>
            <w:r>
              <w:rPr>
                <w:sz w:val="24"/>
                <w:szCs w:val="24"/>
              </w:rPr>
              <w:t>.5</w:t>
            </w:r>
            <w:r>
              <w:rPr>
                <w:rFonts w:hint="eastAsia"/>
                <w:sz w:val="24"/>
                <w:szCs w:val="24"/>
              </w:rPr>
              <w:t>km，距寻甸县城直线距离约15km，场区附近有S91滇中环线高速、G85银昆高速、Y147乡道。光伏场区在现有山坡植被较差或裸土处建设，总占地面积约</w:t>
            </w:r>
            <w:r>
              <w:rPr>
                <w:sz w:val="24"/>
                <w:szCs w:val="24"/>
              </w:rPr>
              <w:t>39.1</w:t>
            </w:r>
            <w:r>
              <w:rPr>
                <w:rFonts w:hint="eastAsia"/>
                <w:sz w:val="24"/>
                <w:szCs w:val="24"/>
              </w:rPr>
              <w:t>公顷，各光伏方阵间有场内道路连接，场内道路设计考虑永临结合，施工期间为满足施工及设备运输要求，运行期满足检修维护的需要，场内道路路基宽4.5m，路面宽3.5m，路面结构采用20cm泥结石路面；集电线路沿场内道路地埋敷设；箱变布置在道路两侧，满足检修需求。根据工程需要，在南部场区中间规划</w:t>
            </w:r>
            <w:r>
              <w:rPr>
                <w:sz w:val="24"/>
                <w:szCs w:val="24"/>
              </w:rPr>
              <w:t>35</w:t>
            </w:r>
            <w:r>
              <w:rPr>
                <w:rFonts w:hint="eastAsia"/>
                <w:sz w:val="24"/>
                <w:szCs w:val="24"/>
              </w:rPr>
              <w:t>kV开关站一座，该场地相对平坦宽阔，汇集场区电力后送出。</w:t>
            </w:r>
          </w:p>
          <w:p>
            <w:pPr>
              <w:autoSpaceDE w:val="0"/>
              <w:autoSpaceDN w:val="0"/>
              <w:adjustRightInd w:val="0"/>
              <w:spacing w:line="360" w:lineRule="auto"/>
              <w:ind w:firstLine="482" w:firstLineChars="200"/>
              <w:rPr>
                <w:b/>
                <w:sz w:val="24"/>
              </w:rPr>
            </w:pPr>
            <w:r>
              <w:rPr>
                <w:rFonts w:hint="eastAsia"/>
                <w:b/>
                <w:sz w:val="24"/>
              </w:rPr>
              <w:t>（2）开关站</w:t>
            </w:r>
          </w:p>
          <w:p>
            <w:pPr>
              <w:pStyle w:val="79"/>
              <w:spacing w:line="360" w:lineRule="auto"/>
              <w:ind w:firstLine="480" w:firstLineChars="200"/>
              <w:jc w:val="both"/>
              <w:rPr>
                <w:rFonts w:ascii="Times New Roman" w:hAnsi="Times New Roman"/>
                <w:color w:val="auto"/>
              </w:rPr>
            </w:pPr>
            <w:bookmarkStart w:id="17" w:name="_Hlk118041795"/>
            <w:r>
              <w:rPr>
                <w:rFonts w:hint="eastAsia" w:ascii="Times New Roman" w:hAnsi="Times New Roman"/>
                <w:color w:val="auto"/>
              </w:rPr>
              <w:t>本项目拟新建一座开关站。开关站呈矩形布置，平面尺寸为</w:t>
            </w:r>
            <w:r>
              <w:rPr>
                <w:rFonts w:ascii="Times New Roman" w:hAnsi="Times New Roman"/>
                <w:color w:val="auto"/>
              </w:rPr>
              <w:t>47</w:t>
            </w:r>
            <w:r>
              <w:rPr>
                <w:rFonts w:hint="eastAsia" w:ascii="Times New Roman" w:hAnsi="Times New Roman"/>
                <w:color w:val="auto"/>
              </w:rPr>
              <w:t>m×</w:t>
            </w:r>
            <w:r>
              <w:rPr>
                <w:rFonts w:ascii="Times New Roman" w:hAnsi="Times New Roman"/>
                <w:color w:val="auto"/>
              </w:rPr>
              <w:t>61</w:t>
            </w:r>
            <w:r>
              <w:rPr>
                <w:rFonts w:hint="eastAsia" w:ascii="Times New Roman" w:hAnsi="Times New Roman"/>
                <w:color w:val="auto"/>
              </w:rPr>
              <w:t>m，围墙内用地面积为</w:t>
            </w:r>
            <w:r>
              <w:rPr>
                <w:rFonts w:ascii="Times New Roman" w:hAnsi="Times New Roman"/>
                <w:color w:val="auto"/>
              </w:rPr>
              <w:t>2867</w:t>
            </w:r>
            <w:r>
              <w:rPr>
                <w:rFonts w:hint="eastAsia" w:ascii="Times New Roman" w:hAnsi="Times New Roman"/>
                <w:color w:val="auto"/>
              </w:rPr>
              <w:t>m</w:t>
            </w:r>
            <w:r>
              <w:rPr>
                <w:rFonts w:hint="eastAsia" w:ascii="Times New Roman" w:hAnsi="Times New Roman"/>
                <w:color w:val="auto"/>
                <w:vertAlign w:val="superscript"/>
              </w:rPr>
              <w:t>2</w:t>
            </w:r>
            <w:r>
              <w:rPr>
                <w:rFonts w:hint="eastAsia" w:ascii="Times New Roman" w:hAnsi="Times New Roman"/>
                <w:color w:val="auto"/>
              </w:rPr>
              <w:t>，四周布置2.5m高的实体围墙。开关站分为高压生产区和办公生活区，高压生产区布置了SVG集装箱、电气一次二次预制舱、构架等送配电构筑物；办公生活区布置有综合楼、危废库预制舱和备品库预制舱、一体化消防泵站、污水处理装置等建构筑物，开关站内设置雨水排水沟，沿道路两侧及建筑周围布置，将雨水直接排出。</w:t>
            </w:r>
            <w:bookmarkEnd w:id="17"/>
          </w:p>
          <w:p>
            <w:pPr>
              <w:pStyle w:val="79"/>
              <w:spacing w:line="360" w:lineRule="auto"/>
              <w:ind w:firstLine="482" w:firstLineChars="200"/>
              <w:jc w:val="both"/>
              <w:rPr>
                <w:rFonts w:ascii="Times New Roman" w:hAnsi="Times New Roman"/>
                <w:b/>
                <w:bCs/>
                <w:color w:val="auto"/>
              </w:rPr>
            </w:pPr>
            <w:r>
              <w:rPr>
                <w:rFonts w:hint="eastAsia" w:ascii="Times New Roman" w:hAnsi="Times New Roman"/>
                <w:b/>
                <w:bCs/>
                <w:color w:val="auto"/>
              </w:rPr>
              <w:t>（3）集电线路</w:t>
            </w:r>
          </w:p>
          <w:p>
            <w:pPr>
              <w:pStyle w:val="79"/>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本</w:t>
            </w:r>
            <w:r>
              <w:rPr>
                <w:rFonts w:hint="eastAsia" w:ascii="Times New Roman" w:hAnsi="Times New Roman" w:cs="Times New Roman"/>
                <w:color w:val="auto"/>
              </w:rPr>
              <w:t>项目</w:t>
            </w:r>
            <w:r>
              <w:rPr>
                <w:rFonts w:ascii="Times New Roman" w:hAnsi="Times New Roman" w:cs="Times New Roman"/>
                <w:color w:val="auto"/>
              </w:rPr>
              <w:t>采用1回集电线路接至</w:t>
            </w:r>
            <w:r>
              <w:rPr>
                <w:rFonts w:hint="eastAsia" w:ascii="Times New Roman" w:hAnsi="Times New Roman" w:cs="Times New Roman"/>
                <w:color w:val="auto"/>
              </w:rPr>
              <w:t>本期新建开关</w:t>
            </w:r>
            <w:r>
              <w:rPr>
                <w:rFonts w:ascii="Times New Roman" w:hAnsi="Times New Roman" w:cs="Times New Roman"/>
                <w:color w:val="auto"/>
              </w:rPr>
              <w:t>站，</w:t>
            </w:r>
            <w:r>
              <w:rPr>
                <w:rFonts w:hint="eastAsia" w:ascii="Times New Roman" w:hAnsi="Times New Roman" w:cs="Times New Roman"/>
                <w:color w:val="auto"/>
              </w:rPr>
              <w:t>采用地埋的方式，沿场内道路及光伏区边缘布设，总长约</w:t>
            </w:r>
            <w:r>
              <w:rPr>
                <w:rFonts w:ascii="Times New Roman" w:hAnsi="Times New Roman" w:cs="Times New Roman"/>
                <w:color w:val="auto"/>
              </w:rPr>
              <w:t>3850</w:t>
            </w:r>
            <w:r>
              <w:rPr>
                <w:rFonts w:hint="eastAsia" w:ascii="Times New Roman" w:hAnsi="Times New Roman" w:cs="Times New Roman"/>
                <w:color w:val="auto"/>
              </w:rPr>
              <w:t>m。地埋电缆周围采取回填</w:t>
            </w:r>
            <w:r>
              <w:rPr>
                <w:rFonts w:hint="eastAsia" w:ascii="Times New Roman" w:hAnsi="Times New Roman" w:cs="Times New Roman"/>
                <w:color w:val="auto"/>
                <w:lang w:eastAsia="zh-CN"/>
              </w:rPr>
              <w:t>干燥沙土</w:t>
            </w:r>
            <w:r>
              <w:rPr>
                <w:rFonts w:hint="eastAsia" w:ascii="Times New Roman" w:hAnsi="Times New Roman" w:cs="Times New Roman"/>
                <w:color w:val="auto"/>
              </w:rPr>
              <w:t>，地埋电缆在通过道路和其它可能受到机械损伤的地段时，采用穿管保护。</w:t>
            </w:r>
          </w:p>
          <w:p>
            <w:pPr>
              <w:adjustRightInd w:val="0"/>
              <w:spacing w:line="360" w:lineRule="auto"/>
              <w:rPr>
                <w:b/>
                <w:sz w:val="24"/>
              </w:rPr>
            </w:pPr>
            <w:r>
              <w:rPr>
                <w:b/>
                <w:sz w:val="24"/>
              </w:rPr>
              <w:t>3</w:t>
            </w:r>
            <w:r>
              <w:rPr>
                <w:rFonts w:hint="eastAsia"/>
                <w:b/>
                <w:sz w:val="24"/>
              </w:rPr>
              <w:t>、施工布置</w:t>
            </w:r>
          </w:p>
          <w:p>
            <w:pPr>
              <w:pStyle w:val="79"/>
              <w:spacing w:line="360" w:lineRule="auto"/>
              <w:ind w:firstLine="480" w:firstLineChars="200"/>
              <w:jc w:val="both"/>
              <w:rPr>
                <w:rFonts w:ascii="Times New Roman" w:hAnsi="Times New Roman"/>
                <w:color w:val="auto"/>
              </w:rPr>
            </w:pPr>
            <w:r>
              <w:rPr>
                <w:rFonts w:hint="eastAsia" w:ascii="Times New Roman" w:hAnsi="Times New Roman"/>
                <w:color w:val="auto"/>
              </w:rPr>
              <w:t>本工程工期较短，不考虑在现场设生活营地、机械修配间等。施工所需的这些设施，拟利用当地资源。在施工现场主要设置的临建设施有：现场办公区、材料加工场、材料仓库、表土堆场，从安全及环保角度出发，在与光伏电池组件相邻的地势较平坦、植被稀少区域设置。</w:t>
            </w:r>
          </w:p>
          <w:p>
            <w:pPr>
              <w:pStyle w:val="79"/>
              <w:spacing w:line="360" w:lineRule="auto"/>
              <w:ind w:firstLine="482" w:firstLineChars="200"/>
              <w:rPr>
                <w:rFonts w:ascii="Times New Roman" w:hAnsi="Times New Roman"/>
                <w:b/>
                <w:bCs/>
                <w:color w:val="auto"/>
              </w:rPr>
            </w:pPr>
            <w:r>
              <w:rPr>
                <w:rFonts w:hint="eastAsia" w:ascii="Times New Roman" w:hAnsi="Times New Roman"/>
                <w:b/>
                <w:bCs/>
                <w:color w:val="auto"/>
              </w:rPr>
              <w:t>（</w:t>
            </w:r>
            <w:r>
              <w:rPr>
                <w:rFonts w:ascii="Times New Roman" w:hAnsi="Times New Roman" w:cs="Times New Roman"/>
                <w:b/>
                <w:bCs/>
                <w:color w:val="auto"/>
              </w:rPr>
              <w:t>1</w:t>
            </w:r>
            <w:r>
              <w:rPr>
                <w:rFonts w:hint="eastAsia" w:ascii="Times New Roman" w:hAnsi="Times New Roman"/>
                <w:b/>
                <w:bCs/>
                <w:color w:val="auto"/>
              </w:rPr>
              <w:t>）临时施工场地</w:t>
            </w:r>
          </w:p>
          <w:p>
            <w:pPr>
              <w:pStyle w:val="79"/>
              <w:spacing w:line="360" w:lineRule="auto"/>
              <w:ind w:firstLine="480" w:firstLineChars="200"/>
              <w:jc w:val="both"/>
              <w:rPr>
                <w:rFonts w:ascii="Times New Roman" w:hAnsi="Times New Roman"/>
                <w:color w:val="auto"/>
              </w:rPr>
            </w:pPr>
            <w:r>
              <w:rPr>
                <w:rFonts w:hint="eastAsia" w:ascii="Times New Roman" w:hAnsi="Times New Roman"/>
                <w:color w:val="auto"/>
              </w:rPr>
              <w:t>现场办公区、材料加工场、材料仓库、表土堆场全部布置在征地范围内。型钢、钢筋等可露天堆放，电池板组件、缆线、主要发电和电气设备等需仓库存放。电池板组件存放场地应采取防水、防倾倒等措施。</w:t>
            </w:r>
          </w:p>
          <w:p>
            <w:pPr>
              <w:adjustRightInd w:val="0"/>
              <w:spacing w:line="360" w:lineRule="auto"/>
              <w:ind w:firstLine="480" w:firstLineChars="200"/>
              <w:rPr>
                <w:sz w:val="24"/>
              </w:rPr>
            </w:pPr>
            <w:r>
              <w:rPr>
                <w:rFonts w:hint="eastAsia"/>
                <w:sz w:val="24"/>
              </w:rPr>
              <w:t>通过提高对外运输效率以减少现场库存量，本工程临时施工场地建筑面积约为</w:t>
            </w:r>
            <w:r>
              <w:rPr>
                <w:sz w:val="24"/>
              </w:rPr>
              <w:t>1800m</w:t>
            </w:r>
            <w:r>
              <w:rPr>
                <w:sz w:val="24"/>
                <w:vertAlign w:val="superscript"/>
              </w:rPr>
              <w:t>2</w:t>
            </w:r>
            <w:r>
              <w:rPr>
                <w:rFonts w:hint="eastAsia"/>
                <w:sz w:val="24"/>
              </w:rPr>
              <w:t>，占地面积约为</w:t>
            </w:r>
            <w:r>
              <w:rPr>
                <w:sz w:val="24"/>
              </w:rPr>
              <w:t>3200m</w:t>
            </w:r>
            <w:r>
              <w:rPr>
                <w:sz w:val="24"/>
                <w:vertAlign w:val="superscript"/>
              </w:rPr>
              <w:t>2</w:t>
            </w:r>
            <w:r>
              <w:rPr>
                <w:rFonts w:hint="eastAsia"/>
                <w:sz w:val="24"/>
              </w:rPr>
              <w:t>，具体见下表。</w:t>
            </w:r>
          </w:p>
          <w:p>
            <w:pPr>
              <w:adjustRightInd w:val="0"/>
              <w:jc w:val="center"/>
              <w:rPr>
                <w:b/>
                <w:kern w:val="0"/>
                <w:szCs w:val="21"/>
              </w:rPr>
            </w:pPr>
            <w:r>
              <w:rPr>
                <w:b/>
                <w:kern w:val="0"/>
                <w:szCs w:val="21"/>
              </w:rPr>
              <w:t>表2-4  施工临建设施工程量表</w:t>
            </w:r>
          </w:p>
          <w:tbl>
            <w:tblPr>
              <w:tblStyle w:val="44"/>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4"/>
              <w:gridCol w:w="1384"/>
              <w:gridCol w:w="1276"/>
              <w:gridCol w:w="1257"/>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04" w:type="dxa"/>
                  <w:vAlign w:val="center"/>
                </w:tcPr>
                <w:p>
                  <w:pPr>
                    <w:adjustRightInd w:val="0"/>
                    <w:jc w:val="center"/>
                    <w:rPr>
                      <w:b/>
                      <w:bCs/>
                      <w:szCs w:val="21"/>
                    </w:rPr>
                  </w:pPr>
                  <w:r>
                    <w:rPr>
                      <w:rFonts w:hint="eastAsia"/>
                      <w:b/>
                      <w:bCs/>
                      <w:szCs w:val="21"/>
                    </w:rPr>
                    <w:t>类别</w:t>
                  </w:r>
                </w:p>
              </w:tc>
              <w:tc>
                <w:tcPr>
                  <w:tcW w:w="1384" w:type="dxa"/>
                  <w:vAlign w:val="center"/>
                </w:tcPr>
                <w:p>
                  <w:pPr>
                    <w:adjustRightInd w:val="0"/>
                    <w:jc w:val="center"/>
                    <w:rPr>
                      <w:b/>
                      <w:bCs/>
                      <w:szCs w:val="21"/>
                    </w:rPr>
                  </w:pPr>
                  <w:r>
                    <w:rPr>
                      <w:rFonts w:hint="eastAsia"/>
                      <w:b/>
                      <w:bCs/>
                      <w:szCs w:val="21"/>
                    </w:rPr>
                    <w:t>分区</w:t>
                  </w:r>
                </w:p>
              </w:tc>
              <w:tc>
                <w:tcPr>
                  <w:tcW w:w="1276" w:type="dxa"/>
                  <w:vAlign w:val="center"/>
                </w:tcPr>
                <w:p>
                  <w:pPr>
                    <w:adjustRightInd w:val="0"/>
                    <w:jc w:val="center"/>
                    <w:rPr>
                      <w:b/>
                      <w:bCs/>
                      <w:szCs w:val="21"/>
                    </w:rPr>
                  </w:pPr>
                  <w:r>
                    <w:rPr>
                      <w:b/>
                      <w:bCs/>
                      <w:szCs w:val="21"/>
                    </w:rPr>
                    <w:t>建筑面积（m</w:t>
                  </w:r>
                  <w:r>
                    <w:rPr>
                      <w:b/>
                      <w:bCs/>
                      <w:szCs w:val="21"/>
                      <w:vertAlign w:val="superscript"/>
                    </w:rPr>
                    <w:t>2</w:t>
                  </w:r>
                  <w:r>
                    <w:rPr>
                      <w:b/>
                      <w:bCs/>
                      <w:szCs w:val="21"/>
                    </w:rPr>
                    <w:t>）</w:t>
                  </w:r>
                </w:p>
              </w:tc>
              <w:tc>
                <w:tcPr>
                  <w:tcW w:w="1257" w:type="dxa"/>
                  <w:vAlign w:val="center"/>
                </w:tcPr>
                <w:p>
                  <w:pPr>
                    <w:adjustRightInd w:val="0"/>
                    <w:jc w:val="center"/>
                    <w:rPr>
                      <w:b/>
                      <w:bCs/>
                      <w:szCs w:val="21"/>
                    </w:rPr>
                  </w:pPr>
                  <w:r>
                    <w:rPr>
                      <w:b/>
                      <w:bCs/>
                      <w:szCs w:val="21"/>
                    </w:rPr>
                    <w:t>占地面积（m</w:t>
                  </w:r>
                  <w:r>
                    <w:rPr>
                      <w:b/>
                      <w:bCs/>
                      <w:szCs w:val="21"/>
                      <w:vertAlign w:val="superscript"/>
                    </w:rPr>
                    <w:t>2</w:t>
                  </w:r>
                  <w:r>
                    <w:rPr>
                      <w:b/>
                      <w:bCs/>
                      <w:szCs w:val="21"/>
                    </w:rPr>
                    <w:t>）</w:t>
                  </w:r>
                </w:p>
              </w:tc>
              <w:tc>
                <w:tcPr>
                  <w:tcW w:w="3116" w:type="dxa"/>
                  <w:vAlign w:val="center"/>
                </w:tcPr>
                <w:p>
                  <w:pPr>
                    <w:adjustRightInd w:val="0"/>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04" w:type="dxa"/>
                  <w:vMerge w:val="restart"/>
                  <w:vAlign w:val="center"/>
                </w:tcPr>
                <w:p>
                  <w:pPr>
                    <w:adjustRightInd w:val="0"/>
                    <w:jc w:val="center"/>
                    <w:rPr>
                      <w:szCs w:val="21"/>
                    </w:rPr>
                  </w:pPr>
                  <w:r>
                    <w:rPr>
                      <w:rFonts w:hint="eastAsia"/>
                      <w:szCs w:val="21"/>
                    </w:rPr>
                    <w:t>临时施工场地</w:t>
                  </w:r>
                </w:p>
              </w:tc>
              <w:tc>
                <w:tcPr>
                  <w:tcW w:w="1384" w:type="dxa"/>
                  <w:vAlign w:val="center"/>
                </w:tcPr>
                <w:p>
                  <w:pPr>
                    <w:adjustRightInd w:val="0"/>
                    <w:jc w:val="center"/>
                    <w:rPr>
                      <w:szCs w:val="21"/>
                    </w:rPr>
                  </w:pPr>
                  <w:r>
                    <w:rPr>
                      <w:rFonts w:hint="eastAsia"/>
                      <w:szCs w:val="21"/>
                    </w:rPr>
                    <w:t>现场办公</w:t>
                  </w:r>
                  <w:r>
                    <w:rPr>
                      <w:szCs w:val="21"/>
                    </w:rPr>
                    <w:t>区</w:t>
                  </w:r>
                </w:p>
              </w:tc>
              <w:tc>
                <w:tcPr>
                  <w:tcW w:w="1276" w:type="dxa"/>
                  <w:vAlign w:val="center"/>
                </w:tcPr>
                <w:p>
                  <w:pPr>
                    <w:adjustRightInd w:val="0"/>
                    <w:jc w:val="center"/>
                    <w:rPr>
                      <w:szCs w:val="21"/>
                    </w:rPr>
                  </w:pPr>
                  <w:r>
                    <w:rPr>
                      <w:szCs w:val="21"/>
                    </w:rPr>
                    <w:t>800</w:t>
                  </w:r>
                </w:p>
              </w:tc>
              <w:tc>
                <w:tcPr>
                  <w:tcW w:w="1257" w:type="dxa"/>
                  <w:vAlign w:val="center"/>
                </w:tcPr>
                <w:p>
                  <w:pPr>
                    <w:adjustRightInd w:val="0"/>
                    <w:jc w:val="center"/>
                    <w:rPr>
                      <w:szCs w:val="21"/>
                    </w:rPr>
                  </w:pPr>
                  <w:r>
                    <w:rPr>
                      <w:szCs w:val="21"/>
                    </w:rPr>
                    <w:t>1000</w:t>
                  </w:r>
                </w:p>
              </w:tc>
              <w:tc>
                <w:tcPr>
                  <w:tcW w:w="3116" w:type="dxa"/>
                  <w:vAlign w:val="center"/>
                </w:tcPr>
                <w:p>
                  <w:pPr>
                    <w:adjustRightInd w:val="0"/>
                    <w:jc w:val="center"/>
                    <w:rPr>
                      <w:szCs w:val="21"/>
                    </w:rPr>
                  </w:pPr>
                  <w:r>
                    <w:rPr>
                      <w:rFonts w:hint="eastAsia"/>
                      <w:szCs w:val="21"/>
                    </w:rPr>
                    <w:t>南部地块设置</w:t>
                  </w:r>
                  <w:r>
                    <w:rPr>
                      <w:szCs w:val="21"/>
                    </w:rPr>
                    <w:t>1</w:t>
                  </w:r>
                  <w:r>
                    <w:rPr>
                      <w:rFonts w:hint="eastAsia"/>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04" w:type="dxa"/>
                  <w:vMerge w:val="continue"/>
                  <w:vAlign w:val="center"/>
                </w:tcPr>
                <w:p>
                  <w:pPr>
                    <w:adjustRightInd w:val="0"/>
                    <w:jc w:val="center"/>
                    <w:rPr>
                      <w:szCs w:val="21"/>
                    </w:rPr>
                  </w:pPr>
                </w:p>
              </w:tc>
              <w:tc>
                <w:tcPr>
                  <w:tcW w:w="1384" w:type="dxa"/>
                  <w:vAlign w:val="center"/>
                </w:tcPr>
                <w:p>
                  <w:pPr>
                    <w:adjustRightInd w:val="0"/>
                    <w:jc w:val="center"/>
                    <w:rPr>
                      <w:szCs w:val="21"/>
                    </w:rPr>
                  </w:pPr>
                  <w:r>
                    <w:rPr>
                      <w:rFonts w:hint="eastAsia"/>
                      <w:szCs w:val="21"/>
                    </w:rPr>
                    <w:t>材料</w:t>
                  </w:r>
                  <w:r>
                    <w:rPr>
                      <w:szCs w:val="21"/>
                    </w:rPr>
                    <w:t>仓库</w:t>
                  </w:r>
                </w:p>
              </w:tc>
              <w:tc>
                <w:tcPr>
                  <w:tcW w:w="1276" w:type="dxa"/>
                  <w:vAlign w:val="center"/>
                </w:tcPr>
                <w:p>
                  <w:pPr>
                    <w:adjustRightInd w:val="0"/>
                    <w:jc w:val="center"/>
                    <w:rPr>
                      <w:szCs w:val="21"/>
                    </w:rPr>
                  </w:pPr>
                  <w:r>
                    <w:rPr>
                      <w:szCs w:val="21"/>
                    </w:rPr>
                    <w:t>1000</w:t>
                  </w:r>
                </w:p>
              </w:tc>
              <w:tc>
                <w:tcPr>
                  <w:tcW w:w="1257" w:type="dxa"/>
                  <w:vAlign w:val="center"/>
                </w:tcPr>
                <w:p>
                  <w:pPr>
                    <w:adjustRightInd w:val="0"/>
                    <w:jc w:val="center"/>
                    <w:rPr>
                      <w:szCs w:val="21"/>
                    </w:rPr>
                  </w:pPr>
                  <w:r>
                    <w:rPr>
                      <w:szCs w:val="21"/>
                    </w:rPr>
                    <w:t>1200</w:t>
                  </w:r>
                </w:p>
              </w:tc>
              <w:tc>
                <w:tcPr>
                  <w:tcW w:w="3116" w:type="dxa"/>
                  <w:vAlign w:val="center"/>
                </w:tcPr>
                <w:p>
                  <w:pPr>
                    <w:adjustRightInd w:val="0"/>
                    <w:jc w:val="center"/>
                    <w:rPr>
                      <w:szCs w:val="21"/>
                    </w:rPr>
                  </w:pPr>
                  <w:r>
                    <w:rPr>
                      <w:rFonts w:hint="eastAsia"/>
                      <w:szCs w:val="21"/>
                    </w:rPr>
                    <w:t>电池组件、支架、机电设备等堆放，设置</w:t>
                  </w:r>
                  <w:r>
                    <w:rPr>
                      <w:szCs w:val="21"/>
                    </w:rPr>
                    <w:t>2</w:t>
                  </w:r>
                  <w:r>
                    <w:rPr>
                      <w:rFonts w:hint="eastAsia"/>
                      <w:szCs w:val="21"/>
                    </w:rPr>
                    <w:t>处，南、北地块各一处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04" w:type="dxa"/>
                  <w:vMerge w:val="continue"/>
                  <w:vAlign w:val="center"/>
                </w:tcPr>
                <w:p>
                  <w:pPr>
                    <w:adjustRightInd w:val="0"/>
                    <w:jc w:val="center"/>
                    <w:rPr>
                      <w:szCs w:val="21"/>
                    </w:rPr>
                  </w:pPr>
                </w:p>
              </w:tc>
              <w:tc>
                <w:tcPr>
                  <w:tcW w:w="1384" w:type="dxa"/>
                  <w:vAlign w:val="center"/>
                </w:tcPr>
                <w:p>
                  <w:pPr>
                    <w:adjustRightInd w:val="0"/>
                    <w:jc w:val="center"/>
                    <w:rPr>
                      <w:szCs w:val="21"/>
                    </w:rPr>
                  </w:pPr>
                  <w:r>
                    <w:rPr>
                      <w:rFonts w:hint="eastAsia"/>
                      <w:szCs w:val="21"/>
                    </w:rPr>
                    <w:t>材料</w:t>
                  </w:r>
                  <w:r>
                    <w:rPr>
                      <w:szCs w:val="21"/>
                    </w:rPr>
                    <w:t>加工厂</w:t>
                  </w:r>
                </w:p>
              </w:tc>
              <w:tc>
                <w:tcPr>
                  <w:tcW w:w="1276" w:type="dxa"/>
                  <w:vAlign w:val="center"/>
                </w:tcPr>
                <w:p>
                  <w:pPr>
                    <w:adjustRightInd w:val="0"/>
                    <w:jc w:val="center"/>
                    <w:rPr>
                      <w:szCs w:val="21"/>
                    </w:rPr>
                  </w:pPr>
                  <w:r>
                    <w:rPr>
                      <w:szCs w:val="21"/>
                    </w:rPr>
                    <w:t>/</w:t>
                  </w:r>
                </w:p>
              </w:tc>
              <w:tc>
                <w:tcPr>
                  <w:tcW w:w="1257" w:type="dxa"/>
                  <w:vAlign w:val="center"/>
                </w:tcPr>
                <w:p>
                  <w:pPr>
                    <w:adjustRightInd w:val="0"/>
                    <w:jc w:val="center"/>
                    <w:rPr>
                      <w:szCs w:val="21"/>
                    </w:rPr>
                  </w:pPr>
                  <w:r>
                    <w:rPr>
                      <w:szCs w:val="21"/>
                    </w:rPr>
                    <w:t>1000</w:t>
                  </w:r>
                </w:p>
              </w:tc>
              <w:tc>
                <w:tcPr>
                  <w:tcW w:w="3116" w:type="dxa"/>
                  <w:vAlign w:val="center"/>
                </w:tcPr>
                <w:p>
                  <w:pPr>
                    <w:adjustRightInd w:val="0"/>
                    <w:jc w:val="center"/>
                    <w:rPr>
                      <w:szCs w:val="21"/>
                    </w:rPr>
                  </w:pPr>
                  <w:r>
                    <w:rPr>
                      <w:rFonts w:hint="eastAsia"/>
                      <w:szCs w:val="21"/>
                    </w:rPr>
                    <w:t>钢结构加工、机械停放，设置</w:t>
                  </w:r>
                  <w:r>
                    <w:rPr>
                      <w:szCs w:val="21"/>
                    </w:rPr>
                    <w:t>2</w:t>
                  </w:r>
                  <w:r>
                    <w:rPr>
                      <w:rFonts w:hint="eastAsia"/>
                      <w:szCs w:val="21"/>
                    </w:rPr>
                    <w:t>处，南、北地块各一处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2488" w:type="dxa"/>
                  <w:gridSpan w:val="2"/>
                  <w:vAlign w:val="center"/>
                </w:tcPr>
                <w:p>
                  <w:pPr>
                    <w:adjustRightInd w:val="0"/>
                    <w:jc w:val="center"/>
                    <w:rPr>
                      <w:szCs w:val="21"/>
                    </w:rPr>
                  </w:pPr>
                  <w:r>
                    <w:rPr>
                      <w:szCs w:val="21"/>
                    </w:rPr>
                    <w:t>合计</w:t>
                  </w:r>
                </w:p>
              </w:tc>
              <w:tc>
                <w:tcPr>
                  <w:tcW w:w="1276" w:type="dxa"/>
                  <w:vAlign w:val="center"/>
                </w:tcPr>
                <w:p>
                  <w:pPr>
                    <w:adjustRightInd w:val="0"/>
                    <w:jc w:val="center"/>
                    <w:rPr>
                      <w:szCs w:val="21"/>
                    </w:rPr>
                  </w:pPr>
                  <w:r>
                    <w:rPr>
                      <w:szCs w:val="21"/>
                    </w:rPr>
                    <w:t>1800</w:t>
                  </w:r>
                </w:p>
              </w:tc>
              <w:tc>
                <w:tcPr>
                  <w:tcW w:w="1257" w:type="dxa"/>
                  <w:vAlign w:val="center"/>
                </w:tcPr>
                <w:p>
                  <w:pPr>
                    <w:adjustRightInd w:val="0"/>
                    <w:jc w:val="center"/>
                    <w:rPr>
                      <w:szCs w:val="21"/>
                    </w:rPr>
                  </w:pPr>
                  <w:r>
                    <w:rPr>
                      <w:szCs w:val="21"/>
                    </w:rPr>
                    <w:t>3200</w:t>
                  </w:r>
                </w:p>
              </w:tc>
              <w:tc>
                <w:tcPr>
                  <w:tcW w:w="3116" w:type="dxa"/>
                  <w:vAlign w:val="center"/>
                </w:tcPr>
                <w:p>
                  <w:pPr>
                    <w:adjustRightInd w:val="0"/>
                    <w:jc w:val="center"/>
                    <w:rPr>
                      <w:szCs w:val="21"/>
                    </w:rPr>
                  </w:pPr>
                </w:p>
              </w:tc>
            </w:tr>
          </w:tbl>
          <w:p>
            <w:pPr>
              <w:adjustRightInd w:val="0"/>
              <w:spacing w:line="360" w:lineRule="auto"/>
              <w:ind w:firstLine="482" w:firstLineChars="200"/>
              <w:rPr>
                <w:b/>
                <w:bCs/>
                <w:sz w:val="24"/>
              </w:rPr>
            </w:pPr>
            <w:r>
              <w:rPr>
                <w:rFonts w:hint="eastAsia"/>
                <w:b/>
                <w:bCs/>
                <w:sz w:val="24"/>
              </w:rPr>
              <w:t>（</w:t>
            </w:r>
            <w:r>
              <w:rPr>
                <w:b/>
                <w:bCs/>
                <w:sz w:val="24"/>
              </w:rPr>
              <w:t>2</w:t>
            </w:r>
            <w:r>
              <w:rPr>
                <w:rFonts w:hint="eastAsia"/>
                <w:b/>
                <w:bCs/>
                <w:sz w:val="24"/>
              </w:rPr>
              <w:t>）取料场</w:t>
            </w:r>
          </w:p>
          <w:p>
            <w:pPr>
              <w:pStyle w:val="21"/>
              <w:adjustRightInd w:val="0"/>
              <w:snapToGrid/>
              <w:spacing w:before="0" w:after="0" w:line="360" w:lineRule="auto"/>
              <w:ind w:right="0" w:firstLine="480" w:firstLineChars="200"/>
              <w:rPr>
                <w:sz w:val="24"/>
                <w:szCs w:val="24"/>
              </w:rPr>
            </w:pPr>
            <w:r>
              <w:rPr>
                <w:rFonts w:hint="eastAsia"/>
                <w:sz w:val="24"/>
              </w:rPr>
              <w:t>本项目建筑材料均外购，项目回填土方来源于自身开挖，能满足用土要求，故项目不设置砂石料场及取土场。</w:t>
            </w:r>
          </w:p>
          <w:p>
            <w:pPr>
              <w:pStyle w:val="21"/>
              <w:adjustRightInd w:val="0"/>
              <w:snapToGrid/>
              <w:spacing w:before="0" w:after="0" w:line="360" w:lineRule="auto"/>
              <w:ind w:right="0" w:firstLine="482" w:firstLineChars="200"/>
              <w:rPr>
                <w:b/>
                <w:bCs/>
                <w:sz w:val="24"/>
                <w:szCs w:val="24"/>
              </w:rPr>
            </w:pPr>
            <w:r>
              <w:rPr>
                <w:rFonts w:hint="eastAsia"/>
                <w:b/>
                <w:bCs/>
                <w:sz w:val="24"/>
                <w:szCs w:val="24"/>
              </w:rPr>
              <w:t>（</w:t>
            </w:r>
            <w:r>
              <w:rPr>
                <w:b/>
                <w:bCs/>
                <w:sz w:val="24"/>
                <w:szCs w:val="24"/>
              </w:rPr>
              <w:t>3</w:t>
            </w:r>
            <w:r>
              <w:rPr>
                <w:rFonts w:hint="eastAsia"/>
                <w:b/>
                <w:bCs/>
                <w:sz w:val="24"/>
                <w:szCs w:val="24"/>
              </w:rPr>
              <w:t>）表土堆场</w:t>
            </w:r>
          </w:p>
          <w:p>
            <w:pPr>
              <w:pStyle w:val="21"/>
              <w:adjustRightInd w:val="0"/>
              <w:snapToGrid/>
              <w:spacing w:before="0" w:after="0" w:line="360" w:lineRule="auto"/>
              <w:ind w:right="0" w:firstLine="480" w:firstLineChars="200"/>
              <w:rPr>
                <w:sz w:val="24"/>
                <w:szCs w:val="24"/>
              </w:rPr>
            </w:pPr>
            <w:r>
              <w:rPr>
                <w:rFonts w:hint="eastAsia"/>
                <w:sz w:val="24"/>
                <w:szCs w:val="24"/>
              </w:rPr>
              <w:t>根据项目水保方案，为了合理利用表土资源和减少项目外购土方投资，对临时施工场地、开关站占用到土地进行表土剥离。</w:t>
            </w:r>
            <w:r>
              <w:rPr>
                <w:sz w:val="24"/>
              </w:rPr>
              <w:t>共规划3</w:t>
            </w:r>
            <w:r>
              <w:rPr>
                <w:rFonts w:hint="eastAsia"/>
                <w:sz w:val="24"/>
              </w:rPr>
              <w:t>个临时表土堆场</w:t>
            </w:r>
            <w:r>
              <w:rPr>
                <w:sz w:val="24"/>
              </w:rPr>
              <w:t>，</w:t>
            </w:r>
            <w:r>
              <w:rPr>
                <w:rFonts w:hint="eastAsia"/>
                <w:sz w:val="24"/>
              </w:rPr>
              <w:t>开关站区域1个，南、北地块各1个，表土</w:t>
            </w:r>
            <w:r>
              <w:rPr>
                <w:sz w:val="24"/>
              </w:rPr>
              <w:t>堆场总占地6000m</w:t>
            </w:r>
            <w:r>
              <w:rPr>
                <w:sz w:val="24"/>
                <w:vertAlign w:val="superscript"/>
              </w:rPr>
              <w:t>2</w:t>
            </w:r>
            <w:r>
              <w:rPr>
                <w:rFonts w:hint="eastAsia"/>
                <w:sz w:val="24"/>
              </w:rPr>
              <w:t>，最大</w:t>
            </w:r>
            <w:r>
              <w:rPr>
                <w:sz w:val="24"/>
              </w:rPr>
              <w:t>堆放表土</w:t>
            </w:r>
            <w:r>
              <w:rPr>
                <w:rFonts w:hint="eastAsia"/>
                <w:sz w:val="24"/>
              </w:rPr>
              <w:t>高度</w:t>
            </w:r>
            <w:r>
              <w:rPr>
                <w:sz w:val="24"/>
              </w:rPr>
              <w:t>3m</w:t>
            </w:r>
            <w:r>
              <w:rPr>
                <w:rFonts w:hint="eastAsia"/>
                <w:sz w:val="24"/>
              </w:rPr>
              <w:t>，可堆存</w:t>
            </w:r>
            <w:r>
              <w:rPr>
                <w:sz w:val="24"/>
              </w:rPr>
              <w:t>表土容量1.3万m</w:t>
            </w:r>
            <w:r>
              <w:rPr>
                <w:sz w:val="24"/>
                <w:vertAlign w:val="superscript"/>
              </w:rPr>
              <w:t>3</w:t>
            </w:r>
            <w:r>
              <w:rPr>
                <w:rFonts w:hint="eastAsia"/>
                <w:sz w:val="24"/>
              </w:rPr>
              <w:t>（松方），</w:t>
            </w:r>
            <w:r>
              <w:rPr>
                <w:sz w:val="24"/>
              </w:rPr>
              <w:t>实际</w:t>
            </w:r>
            <w:r>
              <w:rPr>
                <w:rFonts w:hint="eastAsia"/>
                <w:sz w:val="24"/>
              </w:rPr>
              <w:t>堆存</w:t>
            </w:r>
            <w:r>
              <w:rPr>
                <w:sz w:val="24"/>
              </w:rPr>
              <w:t>表土量1.23万m</w:t>
            </w:r>
            <w:r>
              <w:rPr>
                <w:sz w:val="24"/>
                <w:vertAlign w:val="superscript"/>
              </w:rPr>
              <w:t>3</w:t>
            </w:r>
            <w:r>
              <w:rPr>
                <w:rFonts w:hint="eastAsia"/>
                <w:sz w:val="24"/>
              </w:rPr>
              <w:t>（松方）。</w:t>
            </w:r>
          </w:p>
          <w:p>
            <w:pPr>
              <w:pStyle w:val="21"/>
              <w:adjustRightInd w:val="0"/>
              <w:snapToGrid/>
              <w:spacing w:before="0" w:after="0" w:line="360" w:lineRule="auto"/>
              <w:ind w:right="0" w:firstLine="480" w:firstLineChars="200"/>
              <w:rPr>
                <w:sz w:val="24"/>
                <w:szCs w:val="24"/>
              </w:rPr>
            </w:pPr>
            <w:r>
              <w:rPr>
                <w:rFonts w:hint="eastAsia"/>
                <w:sz w:val="24"/>
                <w:szCs w:val="24"/>
              </w:rPr>
              <w:t>表土堆场规划在用地范围内植被稀少的凹地处，不新增占用土地。边施工边回填，减少临时占地面积。堆放时表土堆场四周设置临时拦挡，堆土坡面用临时土工布覆盖，堆放时间最长约</w:t>
            </w:r>
            <w:r>
              <w:rPr>
                <w:sz w:val="24"/>
                <w:szCs w:val="24"/>
              </w:rPr>
              <w:t>2.5</w:t>
            </w:r>
            <w:r>
              <w:rPr>
                <w:rFonts w:hint="eastAsia"/>
                <w:sz w:val="24"/>
                <w:szCs w:val="24"/>
              </w:rPr>
              <w:t>个月，后期用于光伏区域及开关站区域回填覆土，并同步对堆场区域采用当地树种草种进行植被恢复。</w:t>
            </w:r>
          </w:p>
          <w:p>
            <w:pPr>
              <w:pStyle w:val="21"/>
              <w:adjustRightInd w:val="0"/>
              <w:snapToGrid/>
              <w:spacing w:before="0" w:after="0" w:line="360" w:lineRule="auto"/>
              <w:ind w:right="0" w:firstLine="482" w:firstLineChars="200"/>
              <w:rPr>
                <w:b/>
                <w:bCs/>
                <w:sz w:val="24"/>
                <w:szCs w:val="24"/>
              </w:rPr>
            </w:pPr>
            <w:r>
              <w:rPr>
                <w:rFonts w:hint="eastAsia"/>
                <w:b/>
                <w:bCs/>
                <w:sz w:val="24"/>
                <w:szCs w:val="24"/>
              </w:rPr>
              <w:t>（</w:t>
            </w:r>
            <w:r>
              <w:rPr>
                <w:b/>
                <w:bCs/>
                <w:sz w:val="24"/>
                <w:szCs w:val="24"/>
              </w:rPr>
              <w:t>4</w:t>
            </w:r>
            <w:r>
              <w:rPr>
                <w:rFonts w:hint="eastAsia"/>
                <w:b/>
                <w:bCs/>
                <w:sz w:val="24"/>
                <w:szCs w:val="24"/>
              </w:rPr>
              <w:t>）弃渣场</w:t>
            </w:r>
          </w:p>
          <w:p>
            <w:pPr>
              <w:adjustRightInd w:val="0"/>
              <w:spacing w:line="360" w:lineRule="auto"/>
              <w:ind w:firstLine="480" w:firstLineChars="200"/>
              <w:rPr>
                <w:sz w:val="24"/>
              </w:rPr>
            </w:pPr>
            <w:r>
              <w:rPr>
                <w:rFonts w:hint="eastAsia"/>
                <w:sz w:val="24"/>
              </w:rPr>
              <w:t>本工程基础工程量较小，根据项目水保方案，各地块开挖产生的土石方尽量回填于该地块，共计开挖量为</w:t>
            </w:r>
            <w:r>
              <w:rPr>
                <w:sz w:val="24"/>
              </w:rPr>
              <w:t>10.09</w:t>
            </w:r>
            <w:r>
              <w:rPr>
                <w:rFonts w:hint="eastAsia"/>
                <w:sz w:val="24"/>
              </w:rPr>
              <w:t>万m</w:t>
            </w:r>
            <w:r>
              <w:rPr>
                <w:rFonts w:hint="eastAsia"/>
                <w:sz w:val="24"/>
                <w:vertAlign w:val="superscript"/>
              </w:rPr>
              <w:t>3</w:t>
            </w:r>
            <w:r>
              <w:rPr>
                <w:rFonts w:hint="eastAsia"/>
                <w:sz w:val="24"/>
              </w:rPr>
              <w:t>，回填量为</w:t>
            </w:r>
            <w:r>
              <w:rPr>
                <w:sz w:val="24"/>
              </w:rPr>
              <w:t>10.09</w:t>
            </w:r>
            <w:r>
              <w:rPr>
                <w:rFonts w:hint="eastAsia"/>
                <w:sz w:val="24"/>
              </w:rPr>
              <w:t>万m</w:t>
            </w:r>
            <w:r>
              <w:rPr>
                <w:rFonts w:hint="eastAsia"/>
                <w:sz w:val="24"/>
                <w:vertAlign w:val="superscript"/>
              </w:rPr>
              <w:t>3</w:t>
            </w:r>
            <w:r>
              <w:rPr>
                <w:rFonts w:hint="eastAsia"/>
                <w:sz w:val="24"/>
              </w:rPr>
              <w:t>，无永久弃渣产生，不设弃渣场</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施工方案</w:t>
            </w:r>
          </w:p>
        </w:tc>
        <w:tc>
          <w:tcPr>
            <w:tcW w:w="8391" w:type="dxa"/>
            <w:vAlign w:val="center"/>
          </w:tcPr>
          <w:p>
            <w:pPr>
              <w:adjustRightInd w:val="0"/>
              <w:spacing w:line="360" w:lineRule="auto"/>
              <w:rPr>
                <w:b/>
                <w:sz w:val="24"/>
              </w:rPr>
            </w:pPr>
            <w:r>
              <w:rPr>
                <w:rFonts w:hint="eastAsia"/>
                <w:b/>
                <w:sz w:val="24"/>
              </w:rPr>
              <w:t>1、施工工艺</w:t>
            </w:r>
          </w:p>
          <w:p>
            <w:pPr>
              <w:adjustRightInd w:val="0"/>
              <w:spacing w:line="360" w:lineRule="auto"/>
              <w:ind w:firstLine="480" w:firstLineChars="200"/>
              <w:rPr>
                <w:sz w:val="24"/>
              </w:rPr>
            </w:pPr>
            <w:r>
              <w:rPr>
                <w:rFonts w:hint="eastAsia"/>
                <w:sz w:val="24"/>
              </w:rPr>
              <w:t>项目施工期施工工艺流程简介：</w:t>
            </w:r>
          </w:p>
          <w:p>
            <w:pPr>
              <w:adjustRightInd w:val="0"/>
              <w:spacing w:line="360" w:lineRule="auto"/>
              <w:ind w:firstLine="480" w:firstLineChars="200"/>
              <w:rPr>
                <w:sz w:val="24"/>
              </w:rPr>
            </w:pPr>
            <w:r>
              <w:rPr>
                <w:sz w:val="24"/>
              </w:rPr>
              <w:t>项目施工期间将施工所需材料及施工机械运至项目场地内，对项目主要构筑物区需要进行平整的</w:t>
            </w:r>
            <w:r>
              <w:rPr>
                <w:rFonts w:hint="eastAsia"/>
                <w:sz w:val="24"/>
              </w:rPr>
              <w:t>场地</w:t>
            </w:r>
            <w:r>
              <w:rPr>
                <w:sz w:val="24"/>
              </w:rPr>
              <w:t>进行平整，继而进行项目区内主要的构筑物建设及太阳能电池组件的安装。电站建设及电池组件安装完成后进</w:t>
            </w:r>
            <w:r>
              <w:rPr>
                <w:rFonts w:hint="eastAsia"/>
                <w:sz w:val="24"/>
              </w:rPr>
              <w:t>行</w:t>
            </w:r>
            <w:r>
              <w:rPr>
                <w:sz w:val="24"/>
              </w:rPr>
              <w:t>设备调试，同时对项目厂区内破坏的地表植被进行适当绿化恢复</w:t>
            </w:r>
            <w:r>
              <w:rPr>
                <w:rFonts w:hint="eastAsia"/>
                <w:sz w:val="24"/>
              </w:rPr>
              <w:t>，</w:t>
            </w:r>
            <w:r>
              <w:rPr>
                <w:sz w:val="24"/>
              </w:rPr>
              <w:t>调试</w:t>
            </w:r>
            <w:r>
              <w:rPr>
                <w:rFonts w:hint="eastAsia"/>
                <w:sz w:val="24"/>
              </w:rPr>
              <w:t>完成</w:t>
            </w:r>
            <w:r>
              <w:rPr>
                <w:sz w:val="24"/>
              </w:rPr>
              <w:t>后投入正式运营。</w:t>
            </w:r>
          </w:p>
          <w:p>
            <w:pPr>
              <w:adjustRightInd w:val="0"/>
              <w:spacing w:line="360" w:lineRule="auto"/>
              <w:ind w:firstLine="482" w:firstLineChars="200"/>
              <w:rPr>
                <w:b/>
                <w:bCs/>
                <w:sz w:val="24"/>
              </w:rPr>
            </w:pPr>
            <w:r>
              <w:rPr>
                <w:rFonts w:hint="eastAsia"/>
                <w:b/>
                <w:bCs/>
                <w:sz w:val="24"/>
              </w:rPr>
              <w:t>（1）场地平整、道路施工</w:t>
            </w:r>
          </w:p>
          <w:p>
            <w:pPr>
              <w:adjustRightInd w:val="0"/>
              <w:spacing w:line="360" w:lineRule="auto"/>
              <w:ind w:firstLine="480" w:firstLineChars="200"/>
              <w:rPr>
                <w:sz w:val="24"/>
              </w:rPr>
            </w:pPr>
            <w:r>
              <w:rPr>
                <w:rFonts w:hint="eastAsia"/>
                <w:sz w:val="24"/>
              </w:rPr>
              <w:t>本项目场平方案采用局部场平措施，仅对场内道路、升压站、箱变基础等建（构）筑物处进行场平，对于场区不做大规模处理。平整前必须把场地平整范围内的障碍物清理干净，然后根据总图要求的标高，从水准基点引进基准标高作为确定土方量计算的基点。平整土方采用机械进行，采用挖土机等进行。</w:t>
            </w:r>
          </w:p>
          <w:p>
            <w:pPr>
              <w:adjustRightInd w:val="0"/>
              <w:spacing w:line="360" w:lineRule="auto"/>
              <w:ind w:firstLine="480" w:firstLineChars="200"/>
              <w:rPr>
                <w:sz w:val="24"/>
              </w:rPr>
            </w:pPr>
            <w:r>
              <w:rPr>
                <w:rFonts w:hint="eastAsia"/>
                <w:sz w:val="24"/>
              </w:rPr>
              <w:t>场区内路面设计遵循因地制宜、合理选材的原则。尽量利用原有道路，仅对部分不满足运输要求的位置进行拓宽处理，共</w:t>
            </w:r>
            <w:r>
              <w:rPr>
                <w:sz w:val="24"/>
              </w:rPr>
              <w:t>2.11</w:t>
            </w:r>
            <w:r>
              <w:rPr>
                <w:rFonts w:hint="eastAsia"/>
                <w:sz w:val="24"/>
              </w:rPr>
              <w:t>km。场内新建道路</w:t>
            </w:r>
            <w:r>
              <w:rPr>
                <w:sz w:val="24"/>
              </w:rPr>
              <w:t>4.28</w:t>
            </w:r>
            <w:r>
              <w:rPr>
                <w:rFonts w:hint="eastAsia"/>
                <w:sz w:val="24"/>
              </w:rPr>
              <w:t>km，充分利用原有地形，不满足要求的地方采用机械进行少量开挖或回填。根据当地的建筑材料实际供应条件，改扩建道路及场内新建施工道路拟采用20cm泥结碎石路面，路基宽度为4.5m，路面宽度为3.5m，道路两侧设置排水沟。</w:t>
            </w:r>
          </w:p>
          <w:p>
            <w:pPr>
              <w:adjustRightInd w:val="0"/>
              <w:spacing w:line="360" w:lineRule="auto"/>
              <w:ind w:firstLine="482" w:firstLineChars="200"/>
              <w:rPr>
                <w:b/>
                <w:bCs/>
                <w:sz w:val="24"/>
              </w:rPr>
            </w:pPr>
            <w:r>
              <w:rPr>
                <w:rFonts w:hint="eastAsia"/>
                <w:b/>
                <w:bCs/>
                <w:sz w:val="24"/>
              </w:rPr>
              <w:t>（</w:t>
            </w:r>
            <w:r>
              <w:rPr>
                <w:b/>
                <w:bCs/>
                <w:sz w:val="24"/>
              </w:rPr>
              <w:t>2</w:t>
            </w:r>
            <w:r>
              <w:rPr>
                <w:rFonts w:hint="eastAsia"/>
                <w:b/>
                <w:bCs/>
                <w:sz w:val="24"/>
              </w:rPr>
              <w:t>）建（构）筑物施工</w:t>
            </w:r>
          </w:p>
          <w:p>
            <w:pPr>
              <w:pStyle w:val="79"/>
              <w:spacing w:line="360" w:lineRule="auto"/>
              <w:ind w:firstLine="480" w:firstLineChars="200"/>
              <w:jc w:val="both"/>
              <w:rPr>
                <w:color w:val="auto"/>
              </w:rPr>
            </w:pPr>
            <w:r>
              <w:rPr>
                <w:rFonts w:hint="eastAsia"/>
                <w:color w:val="auto"/>
              </w:rPr>
              <w:t>光伏发电项目建（构）筑物包括光伏场区内建（构）筑物、开关站内建（构）筑物、大门、围栏等。光伏阵列内建（构）筑物主要是指光伏支架及设备基础，开关站内建（构）筑物包括配综合楼、配电装置等建筑物及基础等。</w:t>
            </w:r>
          </w:p>
          <w:p>
            <w:pPr>
              <w:pStyle w:val="79"/>
              <w:spacing w:line="360" w:lineRule="auto"/>
              <w:ind w:firstLine="480" w:firstLineChars="200"/>
              <w:jc w:val="both"/>
              <w:rPr>
                <w:color w:val="auto"/>
              </w:rPr>
            </w:pPr>
            <w:r>
              <w:rPr>
                <w:rFonts w:hint="eastAsia"/>
                <w:color w:val="auto"/>
              </w:rPr>
              <w:t>主体结构施工、建筑装饰装修、建筑屋面、建筑给水、排水及采暖、通风与空调应满足相关施工质量验收规范要求。</w:t>
            </w:r>
          </w:p>
          <w:p>
            <w:pPr>
              <w:adjustRightInd w:val="0"/>
              <w:spacing w:line="360" w:lineRule="auto"/>
              <w:ind w:firstLine="482" w:firstLineChars="200"/>
              <w:rPr>
                <w:b/>
                <w:bCs/>
                <w:sz w:val="24"/>
              </w:rPr>
            </w:pPr>
            <w:r>
              <w:rPr>
                <w:rFonts w:hint="eastAsia"/>
                <w:b/>
                <w:bCs/>
                <w:sz w:val="24"/>
              </w:rPr>
              <w:t>（</w:t>
            </w:r>
            <w:r>
              <w:rPr>
                <w:b/>
                <w:bCs/>
                <w:sz w:val="24"/>
              </w:rPr>
              <w:t>3</w:t>
            </w:r>
            <w:r>
              <w:rPr>
                <w:rFonts w:hint="eastAsia"/>
                <w:b/>
                <w:bCs/>
                <w:sz w:val="24"/>
              </w:rPr>
              <w:t>）光伏电池组件基础施工</w:t>
            </w:r>
          </w:p>
          <w:p>
            <w:pPr>
              <w:adjustRightInd w:val="0"/>
              <w:spacing w:line="360" w:lineRule="auto"/>
              <w:ind w:firstLine="480" w:firstLineChars="200"/>
              <w:rPr>
                <w:sz w:val="24"/>
              </w:rPr>
            </w:pPr>
            <w:r>
              <w:rPr>
                <w:rFonts w:hint="eastAsia"/>
                <w:sz w:val="24"/>
              </w:rPr>
              <w:t>光伏组件支架独立基础施工包括基坑开挖、浇筑混凝土、回填夯实施工。土方开挖采取以机械施工开挖为主，人工配合为辅的方法。采用小型混凝土搅拌机搅拌、罐车运输、泵车浇筑、插入式振捣器振捣的施工方案，基础混凝土浇筑完成，及时进行覆盖，模板拆除后及时进行回填以维护养护，待混凝土强度达到90%以上方可进行光伏发电组件支架的安装。基础施工完毕，在混凝土强度达到规范、设计要求并经由监理公司参加的隐蔽工程验收后，及时进行土方回填。</w:t>
            </w:r>
          </w:p>
          <w:p>
            <w:pPr>
              <w:adjustRightInd w:val="0"/>
              <w:spacing w:line="360" w:lineRule="auto"/>
              <w:ind w:firstLine="482" w:firstLineChars="200"/>
              <w:rPr>
                <w:b/>
                <w:bCs/>
                <w:sz w:val="24"/>
              </w:rPr>
            </w:pPr>
            <w:r>
              <w:rPr>
                <w:rFonts w:hint="eastAsia"/>
                <w:b/>
                <w:bCs/>
                <w:sz w:val="24"/>
              </w:rPr>
              <w:t>（</w:t>
            </w:r>
            <w:r>
              <w:rPr>
                <w:b/>
                <w:bCs/>
                <w:sz w:val="24"/>
              </w:rPr>
              <w:t>4</w:t>
            </w:r>
            <w:r>
              <w:rPr>
                <w:rFonts w:hint="eastAsia"/>
                <w:b/>
                <w:bCs/>
                <w:sz w:val="24"/>
              </w:rPr>
              <w:t>）太阳能电池组件安装</w:t>
            </w:r>
          </w:p>
          <w:p>
            <w:pPr>
              <w:adjustRightInd w:val="0"/>
              <w:spacing w:line="360" w:lineRule="auto"/>
              <w:ind w:firstLine="480" w:firstLineChars="200"/>
              <w:rPr>
                <w:sz w:val="24"/>
              </w:rPr>
            </w:pPr>
            <w:r>
              <w:rPr>
                <w:sz w:val="24"/>
              </w:rPr>
              <w:t>太阳</w:t>
            </w:r>
            <w:r>
              <w:rPr>
                <w:rFonts w:hint="eastAsia"/>
                <w:sz w:val="24"/>
              </w:rPr>
              <w:t>能</w:t>
            </w:r>
            <w:r>
              <w:rPr>
                <w:sz w:val="24"/>
              </w:rPr>
              <w:t>电池方阵采用固定式</w:t>
            </w:r>
            <w:r>
              <w:rPr>
                <w:rFonts w:hint="eastAsia"/>
                <w:sz w:val="24"/>
              </w:rPr>
              <w:t>支架方式</w:t>
            </w:r>
            <w:r>
              <w:rPr>
                <w:sz w:val="24"/>
              </w:rPr>
              <w:t>安装</w:t>
            </w:r>
            <w:r>
              <w:rPr>
                <w:rFonts w:hint="eastAsia"/>
                <w:sz w:val="24"/>
              </w:rPr>
              <w:t>，</w:t>
            </w:r>
            <w:r>
              <w:rPr>
                <w:sz w:val="24"/>
              </w:rPr>
              <w:t>支架采用钢结构支架，基础采用锚杆。选用带螺纹且直径不等的镀锌合金钢管打入持力层内不同长度，满足上部支架的支撑要求，之后进行高度的调试，确定标高之后安装太阳电池组件。阵列支架表面应平整，固定太阳电池组件的支架面必须调整在同一平面，各组件应对整齐并成一直线，倾角必须符合设计要求，构件连接螺栓必须加防松垫片并拧紧。</w:t>
            </w:r>
            <w:r>
              <w:rPr>
                <w:rFonts w:hint="eastAsia"/>
                <w:sz w:val="24"/>
              </w:rPr>
              <w:t>在对太阳能电池组装件进行安装过程中将产生部分损坏材料，主要为太阳能电池板，应当返回厂家进行处理，不得随意丢弃。</w:t>
            </w:r>
          </w:p>
          <w:p>
            <w:pPr>
              <w:adjustRightInd w:val="0"/>
              <w:spacing w:line="360" w:lineRule="auto"/>
              <w:ind w:firstLine="482" w:firstLineChars="200"/>
              <w:rPr>
                <w:b/>
                <w:bCs/>
                <w:sz w:val="24"/>
              </w:rPr>
            </w:pPr>
            <w:r>
              <w:rPr>
                <w:rFonts w:hint="eastAsia"/>
                <w:b/>
                <w:bCs/>
                <w:sz w:val="24"/>
              </w:rPr>
              <w:t>（</w:t>
            </w:r>
            <w:r>
              <w:rPr>
                <w:b/>
                <w:bCs/>
                <w:sz w:val="24"/>
              </w:rPr>
              <w:t>5</w:t>
            </w:r>
            <w:r>
              <w:rPr>
                <w:rFonts w:hint="eastAsia"/>
                <w:b/>
                <w:bCs/>
                <w:sz w:val="24"/>
              </w:rPr>
              <w:t>）逆变器、35kV箱式变安装</w:t>
            </w:r>
          </w:p>
          <w:p>
            <w:pPr>
              <w:adjustRightInd w:val="0"/>
              <w:spacing w:line="360" w:lineRule="auto"/>
              <w:ind w:firstLine="480" w:firstLineChars="200"/>
              <w:rPr>
                <w:sz w:val="24"/>
              </w:rPr>
            </w:pPr>
            <w:r>
              <w:rPr>
                <w:rFonts w:hint="eastAsia"/>
                <w:sz w:val="24"/>
              </w:rPr>
              <w:t>组串式逆变器及其配套电气设备通过汽车运抵安装位置附近，采用吊车、液压升降小车等设备进行安装就位。其安装要求和方法参照相关安装规范以及生产厂家提供的相关安装技术要求和方法。</w:t>
            </w:r>
          </w:p>
          <w:p>
            <w:pPr>
              <w:adjustRightInd w:val="0"/>
              <w:spacing w:line="360" w:lineRule="auto"/>
              <w:ind w:firstLine="480" w:firstLineChars="200"/>
              <w:rPr>
                <w:sz w:val="24"/>
              </w:rPr>
            </w:pPr>
            <w:r>
              <w:rPr>
                <w:rFonts w:hint="eastAsia"/>
                <w:sz w:val="24"/>
              </w:rPr>
              <w:t>35kV箱式变通过现有道路运至安装现场后，可采用汽车吊对箱变进行就位，设备的起吊应采用柔软的麻绳，防止破坏其外壳油漆。安装程序为：设备安装→引下线安装→接地系统安装→电缆敷设接线→整体调试。</w:t>
            </w:r>
          </w:p>
          <w:p>
            <w:pPr>
              <w:adjustRightInd w:val="0"/>
              <w:spacing w:line="360" w:lineRule="auto"/>
              <w:ind w:firstLine="482" w:firstLineChars="200"/>
              <w:rPr>
                <w:b/>
                <w:bCs/>
                <w:sz w:val="24"/>
              </w:rPr>
            </w:pPr>
            <w:r>
              <w:rPr>
                <w:rFonts w:hint="eastAsia"/>
                <w:b/>
                <w:bCs/>
                <w:sz w:val="24"/>
              </w:rPr>
              <w:t>（</w:t>
            </w:r>
            <w:r>
              <w:rPr>
                <w:b/>
                <w:bCs/>
                <w:sz w:val="24"/>
              </w:rPr>
              <w:t>6</w:t>
            </w:r>
            <w:r>
              <w:rPr>
                <w:rFonts w:hint="eastAsia"/>
                <w:b/>
                <w:bCs/>
                <w:sz w:val="24"/>
              </w:rPr>
              <w:t>）开关站内电气设备安装</w:t>
            </w:r>
          </w:p>
          <w:p>
            <w:pPr>
              <w:adjustRightInd w:val="0"/>
              <w:spacing w:line="360" w:lineRule="auto"/>
              <w:ind w:firstLine="480" w:firstLineChars="200"/>
              <w:rPr>
                <w:sz w:val="24"/>
              </w:rPr>
            </w:pPr>
            <w:r>
              <w:rPr>
                <w:rFonts w:hint="eastAsia"/>
                <w:sz w:val="24"/>
              </w:rPr>
              <w:t>在电气设备安装前，屋顶、楼板应施工完毕，不得渗漏，屋内地面的基层施工完毕。设备就位时应固定牢靠，连接准确，操作灵活，无卡阻现象，摩擦部分涂以润滑油；屏、箱、柜以及可开启的门，都应用裸铜线与接地的金属构架可靠接地。接地闸刀下端可通过扁钢或铜排与地网直接相连接。</w:t>
            </w:r>
          </w:p>
          <w:p>
            <w:pPr>
              <w:adjustRightInd w:val="0"/>
              <w:spacing w:line="360" w:lineRule="auto"/>
              <w:ind w:firstLine="482" w:firstLineChars="200"/>
              <w:rPr>
                <w:b/>
                <w:bCs/>
                <w:sz w:val="24"/>
              </w:rPr>
            </w:pPr>
            <w:r>
              <w:rPr>
                <w:rFonts w:hint="eastAsia"/>
                <w:b/>
                <w:bCs/>
                <w:sz w:val="24"/>
              </w:rPr>
              <w:t>（7）电缆敷设</w:t>
            </w:r>
          </w:p>
          <w:p>
            <w:pPr>
              <w:adjustRightInd w:val="0"/>
              <w:spacing w:line="360" w:lineRule="auto"/>
              <w:ind w:firstLine="480" w:firstLineChars="200"/>
              <w:rPr>
                <w:sz w:val="24"/>
              </w:rPr>
            </w:pPr>
            <w:r>
              <w:rPr>
                <w:rFonts w:hint="eastAsia"/>
                <w:sz w:val="24"/>
              </w:rPr>
              <w:t>直埋电缆采用直接在原地面进行开挖，因山区光伏地形复杂，主要以人工为主，小型机械辅助施工，直埋壕沟截面尺寸有0.4m×1.0m、0.9m×1.0m、0.9m×1.2m和1.2m×1.2m。下部铺10cm细砂，电缆敷设完毕后，上部再铺10cm厚细砂，用水泥标砖（保护板）进行保护，最后回填碎石土，并沿电缆路径埋设电缆标示桩。</w:t>
            </w:r>
          </w:p>
          <w:p>
            <w:pPr>
              <w:adjustRightInd w:val="0"/>
              <w:spacing w:line="360" w:lineRule="auto"/>
              <w:ind w:firstLine="482" w:firstLineChars="200"/>
              <w:rPr>
                <w:b/>
                <w:bCs/>
                <w:sz w:val="24"/>
              </w:rPr>
            </w:pPr>
            <w:r>
              <w:rPr>
                <w:rFonts w:hint="eastAsia"/>
                <w:b/>
                <w:bCs/>
                <w:sz w:val="24"/>
              </w:rPr>
              <w:t>（</w:t>
            </w:r>
            <w:r>
              <w:rPr>
                <w:b/>
                <w:bCs/>
                <w:sz w:val="24"/>
              </w:rPr>
              <w:t>8</w:t>
            </w:r>
            <w:r>
              <w:rPr>
                <w:rFonts w:hint="eastAsia"/>
                <w:b/>
                <w:bCs/>
                <w:sz w:val="24"/>
              </w:rPr>
              <w:t>）设备调试</w:t>
            </w:r>
          </w:p>
          <w:p>
            <w:pPr>
              <w:adjustRightInd w:val="0"/>
              <w:spacing w:line="360" w:lineRule="auto"/>
              <w:ind w:firstLine="480" w:firstLineChars="200"/>
              <w:rPr>
                <w:sz w:val="24"/>
              </w:rPr>
            </w:pPr>
            <w:r>
              <w:rPr>
                <w:sz w:val="24"/>
              </w:rPr>
              <w:t>太阳</w:t>
            </w:r>
            <w:r>
              <w:rPr>
                <w:rFonts w:hint="eastAsia"/>
                <w:sz w:val="24"/>
              </w:rPr>
              <w:t>能</w:t>
            </w:r>
            <w:r>
              <w:rPr>
                <w:sz w:val="24"/>
              </w:rPr>
              <w:t>电池板安装好以后还不能立即</w:t>
            </w:r>
            <w:r>
              <w:rPr>
                <w:rFonts w:hint="eastAsia"/>
                <w:sz w:val="24"/>
              </w:rPr>
              <w:t>投入使用</w:t>
            </w:r>
            <w:r>
              <w:rPr>
                <w:sz w:val="24"/>
              </w:rPr>
              <w:t>，需要对其进行调试，保证电池板有最好的工作效率。</w:t>
            </w:r>
          </w:p>
          <w:p>
            <w:pPr>
              <w:adjustRightInd w:val="0"/>
              <w:spacing w:line="360" w:lineRule="auto"/>
              <w:rPr>
                <w:b/>
                <w:bCs/>
                <w:kern w:val="0"/>
                <w:sz w:val="24"/>
              </w:rPr>
            </w:pPr>
            <w:r>
              <w:rPr>
                <w:rFonts w:hint="eastAsia"/>
                <w:b/>
                <w:bCs/>
                <w:kern w:val="0"/>
                <w:sz w:val="24"/>
              </w:rPr>
              <w:t>2</w:t>
            </w:r>
            <w:r>
              <w:rPr>
                <w:b/>
                <w:bCs/>
                <w:kern w:val="0"/>
                <w:sz w:val="24"/>
              </w:rPr>
              <w:t>、施工组织</w:t>
            </w:r>
          </w:p>
          <w:p>
            <w:pPr>
              <w:adjustRightInd w:val="0"/>
              <w:spacing w:line="360" w:lineRule="auto"/>
              <w:ind w:firstLine="482" w:firstLineChars="200"/>
              <w:rPr>
                <w:b/>
                <w:bCs/>
                <w:kern w:val="0"/>
                <w:sz w:val="24"/>
              </w:rPr>
            </w:pPr>
            <w:r>
              <w:rPr>
                <w:b/>
                <w:bCs/>
                <w:kern w:val="0"/>
                <w:sz w:val="24"/>
              </w:rPr>
              <w:t>（1）交通条件</w:t>
            </w:r>
          </w:p>
          <w:p>
            <w:pPr>
              <w:pStyle w:val="79"/>
              <w:spacing w:line="360" w:lineRule="auto"/>
              <w:ind w:firstLine="480" w:firstLineChars="200"/>
              <w:jc w:val="both"/>
              <w:rPr>
                <w:rFonts w:ascii="Times New Roman" w:hAnsi="Times New Roman"/>
                <w:color w:val="auto"/>
              </w:rPr>
            </w:pPr>
            <w:r>
              <w:rPr>
                <w:rFonts w:hint="eastAsia" w:ascii="Times New Roman" w:hAnsi="Times New Roman"/>
                <w:color w:val="auto"/>
              </w:rPr>
              <w:t>设备运输路径为：初步考虑从S91滇中环线高速→甸沙收费站出口→金所街道蔡家村→村道及现有道路→新建道路至开关站及箱变；其中原有土路及部分现有村道需要改扩宽造，总体运输条件一般。</w:t>
            </w:r>
          </w:p>
          <w:p>
            <w:pPr>
              <w:adjustRightInd w:val="0"/>
              <w:spacing w:line="360" w:lineRule="auto"/>
              <w:ind w:firstLine="482" w:firstLineChars="200"/>
              <w:rPr>
                <w:b/>
                <w:bCs/>
                <w:kern w:val="0"/>
                <w:sz w:val="24"/>
              </w:rPr>
            </w:pPr>
            <w:r>
              <w:rPr>
                <w:b/>
                <w:bCs/>
                <w:kern w:val="0"/>
                <w:sz w:val="24"/>
              </w:rPr>
              <w:t>（2）施工建筑材料来源</w:t>
            </w:r>
          </w:p>
          <w:p>
            <w:pPr>
              <w:adjustRightInd w:val="0"/>
              <w:spacing w:line="360" w:lineRule="auto"/>
              <w:ind w:firstLine="480" w:firstLineChars="200"/>
              <w:rPr>
                <w:kern w:val="0"/>
                <w:sz w:val="24"/>
              </w:rPr>
            </w:pPr>
            <w:r>
              <w:rPr>
                <w:kern w:val="0"/>
                <w:sz w:val="24"/>
              </w:rPr>
              <w:t>1）砌石料、砂石骨料</w:t>
            </w:r>
          </w:p>
          <w:p>
            <w:pPr>
              <w:adjustRightInd w:val="0"/>
              <w:spacing w:line="360" w:lineRule="auto"/>
              <w:ind w:firstLine="480" w:firstLineChars="200"/>
              <w:rPr>
                <w:kern w:val="0"/>
                <w:sz w:val="24"/>
              </w:rPr>
            </w:pPr>
            <w:r>
              <w:rPr>
                <w:kern w:val="0"/>
                <w:sz w:val="24"/>
              </w:rPr>
              <w:t>本工程所需的砌石料、砂石骨料初步考虑从场址附近砂石料场采购。</w:t>
            </w:r>
            <w:r>
              <w:rPr>
                <w:rFonts w:hint="eastAsia"/>
                <w:kern w:val="0"/>
                <w:sz w:val="24"/>
              </w:rPr>
              <w:t>不涉及</w:t>
            </w:r>
            <w:r>
              <w:rPr>
                <w:kern w:val="0"/>
                <w:sz w:val="24"/>
              </w:rPr>
              <w:t>工程取料场选址问题，施工方必须选择合法的砂石料场，买卖双方需签订购销合同。</w:t>
            </w:r>
          </w:p>
          <w:p>
            <w:pPr>
              <w:adjustRightInd w:val="0"/>
              <w:spacing w:line="360" w:lineRule="auto"/>
              <w:ind w:firstLine="480" w:firstLineChars="200"/>
              <w:rPr>
                <w:kern w:val="0"/>
                <w:sz w:val="24"/>
              </w:rPr>
            </w:pPr>
            <w:r>
              <w:rPr>
                <w:kern w:val="0"/>
                <w:sz w:val="24"/>
              </w:rPr>
              <w:t>2）水泥</w:t>
            </w:r>
          </w:p>
          <w:p>
            <w:pPr>
              <w:adjustRightInd w:val="0"/>
              <w:spacing w:line="360" w:lineRule="auto"/>
              <w:ind w:firstLine="480" w:firstLineChars="200"/>
              <w:rPr>
                <w:kern w:val="0"/>
                <w:sz w:val="24"/>
              </w:rPr>
            </w:pPr>
            <w:r>
              <w:rPr>
                <w:kern w:val="0"/>
                <w:sz w:val="24"/>
              </w:rPr>
              <w:t>从</w:t>
            </w:r>
            <w:r>
              <w:rPr>
                <w:rFonts w:hint="eastAsia"/>
                <w:kern w:val="0"/>
                <w:sz w:val="24"/>
              </w:rPr>
              <w:t>寻甸县</w:t>
            </w:r>
            <w:r>
              <w:rPr>
                <w:kern w:val="0"/>
                <w:sz w:val="24"/>
              </w:rPr>
              <w:t>采购。</w:t>
            </w:r>
          </w:p>
          <w:p>
            <w:pPr>
              <w:adjustRightInd w:val="0"/>
              <w:spacing w:line="360" w:lineRule="auto"/>
              <w:ind w:firstLine="480" w:firstLineChars="200"/>
              <w:rPr>
                <w:kern w:val="0"/>
                <w:sz w:val="24"/>
              </w:rPr>
            </w:pPr>
            <w:r>
              <w:rPr>
                <w:kern w:val="0"/>
                <w:sz w:val="24"/>
              </w:rPr>
              <w:t>3）</w:t>
            </w:r>
            <w:r>
              <w:rPr>
                <w:rFonts w:hint="eastAsia"/>
                <w:kern w:val="0"/>
                <w:sz w:val="24"/>
              </w:rPr>
              <w:t>商业</w:t>
            </w:r>
            <w:r>
              <w:rPr>
                <w:kern w:val="0"/>
                <w:sz w:val="24"/>
              </w:rPr>
              <w:t>混凝土</w:t>
            </w:r>
          </w:p>
          <w:p>
            <w:pPr>
              <w:adjustRightInd w:val="0"/>
              <w:spacing w:line="360" w:lineRule="auto"/>
              <w:ind w:firstLine="480" w:firstLineChars="200"/>
              <w:rPr>
                <w:kern w:val="0"/>
                <w:sz w:val="24"/>
              </w:rPr>
            </w:pPr>
            <w:r>
              <w:rPr>
                <w:kern w:val="0"/>
                <w:sz w:val="24"/>
              </w:rPr>
              <w:t>从</w:t>
            </w:r>
            <w:r>
              <w:rPr>
                <w:rFonts w:hint="eastAsia"/>
                <w:kern w:val="0"/>
                <w:sz w:val="24"/>
              </w:rPr>
              <w:t>寻甸县</w:t>
            </w:r>
            <w:r>
              <w:rPr>
                <w:kern w:val="0"/>
                <w:sz w:val="24"/>
              </w:rPr>
              <w:t>采购。</w:t>
            </w:r>
          </w:p>
          <w:p>
            <w:pPr>
              <w:adjustRightInd w:val="0"/>
              <w:spacing w:line="360" w:lineRule="auto"/>
              <w:ind w:firstLine="480" w:firstLineChars="200"/>
              <w:rPr>
                <w:kern w:val="0"/>
                <w:sz w:val="24"/>
              </w:rPr>
            </w:pPr>
            <w:r>
              <w:rPr>
                <w:kern w:val="0"/>
                <w:sz w:val="24"/>
              </w:rPr>
              <w:t>4）钢材、木材、油料</w:t>
            </w:r>
          </w:p>
          <w:p>
            <w:pPr>
              <w:adjustRightInd w:val="0"/>
              <w:spacing w:line="360" w:lineRule="auto"/>
              <w:ind w:firstLine="480" w:firstLineChars="200"/>
              <w:rPr>
                <w:kern w:val="0"/>
                <w:sz w:val="24"/>
              </w:rPr>
            </w:pPr>
            <w:r>
              <w:rPr>
                <w:kern w:val="0"/>
                <w:sz w:val="24"/>
              </w:rPr>
              <w:t>从</w:t>
            </w:r>
            <w:r>
              <w:rPr>
                <w:rFonts w:hint="eastAsia"/>
                <w:kern w:val="0"/>
                <w:sz w:val="24"/>
              </w:rPr>
              <w:t>寻甸县</w:t>
            </w:r>
            <w:r>
              <w:rPr>
                <w:kern w:val="0"/>
                <w:sz w:val="24"/>
              </w:rPr>
              <w:t>采购。</w:t>
            </w:r>
          </w:p>
          <w:p>
            <w:pPr>
              <w:adjustRightInd w:val="0"/>
              <w:spacing w:line="360" w:lineRule="auto"/>
              <w:ind w:firstLine="482" w:firstLineChars="200"/>
              <w:rPr>
                <w:b/>
                <w:bCs/>
                <w:kern w:val="0"/>
                <w:sz w:val="24"/>
              </w:rPr>
            </w:pPr>
            <w:r>
              <w:rPr>
                <w:b/>
                <w:bCs/>
                <w:kern w:val="0"/>
                <w:sz w:val="24"/>
              </w:rPr>
              <w:t>（3）施工用水</w:t>
            </w:r>
          </w:p>
          <w:p>
            <w:pPr>
              <w:adjustRightInd w:val="0"/>
              <w:spacing w:line="360" w:lineRule="auto"/>
              <w:ind w:firstLine="480" w:firstLineChars="200"/>
              <w:rPr>
                <w:kern w:val="0"/>
                <w:sz w:val="24"/>
              </w:rPr>
            </w:pPr>
            <w:r>
              <w:rPr>
                <w:rFonts w:hint="eastAsia"/>
                <w:kern w:val="0"/>
                <w:sz w:val="24"/>
              </w:rPr>
              <w:t>本工程施工用水由建筑施工用水、施工机械用水、生活用水和消防用水等组成，</w:t>
            </w:r>
            <w:r>
              <w:rPr>
                <w:rFonts w:hint="eastAsia"/>
                <w:sz w:val="24"/>
              </w:rPr>
              <w:t>项目临近村庄，交通运输条件便利，可作为本项目施工用水水源</w:t>
            </w:r>
            <w:r>
              <w:rPr>
                <w:sz w:val="24"/>
              </w:rPr>
              <w:t>。</w:t>
            </w:r>
            <w:r>
              <w:rPr>
                <w:rFonts w:hint="eastAsia"/>
                <w:kern w:val="0"/>
                <w:sz w:val="24"/>
              </w:rPr>
              <w:t>场地内设临时水池，供施工用水。</w:t>
            </w:r>
          </w:p>
          <w:p>
            <w:pPr>
              <w:adjustRightInd w:val="0"/>
              <w:spacing w:line="360" w:lineRule="auto"/>
              <w:ind w:firstLine="482" w:firstLineChars="200"/>
              <w:rPr>
                <w:b/>
                <w:bCs/>
                <w:kern w:val="0"/>
                <w:sz w:val="24"/>
              </w:rPr>
            </w:pPr>
            <w:r>
              <w:rPr>
                <w:b/>
                <w:bCs/>
                <w:kern w:val="0"/>
                <w:sz w:val="24"/>
              </w:rPr>
              <w:t>（4）施工用电</w:t>
            </w:r>
          </w:p>
          <w:p>
            <w:pPr>
              <w:adjustRightInd w:val="0"/>
              <w:spacing w:line="360" w:lineRule="auto"/>
              <w:ind w:firstLine="480" w:firstLineChars="200"/>
              <w:rPr>
                <w:sz w:val="24"/>
              </w:rPr>
            </w:pPr>
            <w:r>
              <w:rPr>
                <w:kern w:val="0"/>
                <w:sz w:val="24"/>
              </w:rPr>
              <w:t>场址附近有农网10kV线路，施工用电可由该10kV线路引接作为电源</w:t>
            </w:r>
            <w:r>
              <w:rPr>
                <w:rFonts w:hint="eastAsia"/>
                <w:kern w:val="0"/>
                <w:sz w:val="24"/>
              </w:rPr>
              <w:t>，距离较远处施工及紧急备用电源采用柴油发电机供电。</w:t>
            </w:r>
          </w:p>
          <w:p>
            <w:pPr>
              <w:adjustRightInd w:val="0"/>
              <w:spacing w:line="360" w:lineRule="auto"/>
              <w:rPr>
                <w:b/>
                <w:sz w:val="24"/>
              </w:rPr>
            </w:pPr>
            <w:r>
              <w:rPr>
                <w:b/>
                <w:sz w:val="24"/>
              </w:rPr>
              <w:t>3</w:t>
            </w:r>
            <w:r>
              <w:rPr>
                <w:rFonts w:hint="eastAsia"/>
                <w:b/>
                <w:sz w:val="24"/>
              </w:rPr>
              <w:t>、施工进度</w:t>
            </w:r>
          </w:p>
          <w:p>
            <w:pPr>
              <w:adjustRightInd w:val="0"/>
              <w:spacing w:line="360" w:lineRule="auto"/>
              <w:ind w:firstLine="480" w:firstLineChars="200"/>
              <w:rPr>
                <w:sz w:val="24"/>
              </w:rPr>
            </w:pPr>
            <w:r>
              <w:rPr>
                <w:rFonts w:hint="eastAsia"/>
                <w:sz w:val="24"/>
              </w:rPr>
              <w:t>本工程建设总工期为</w:t>
            </w:r>
            <w:r>
              <w:rPr>
                <w:sz w:val="24"/>
              </w:rPr>
              <w:t>3</w:t>
            </w:r>
            <w:r>
              <w:rPr>
                <w:rFonts w:hint="eastAsia"/>
                <w:sz w:val="24"/>
              </w:rPr>
              <w:t>个月，项目施工高峰期施工人员可达</w:t>
            </w:r>
            <w:r>
              <w:rPr>
                <w:sz w:val="24"/>
              </w:rPr>
              <w:t>2</w:t>
            </w:r>
            <w:r>
              <w:rPr>
                <w:rFonts w:hint="eastAsia"/>
                <w:sz w:val="24"/>
              </w:rPr>
              <w:t>00人，日常平均施工人员为</w:t>
            </w:r>
            <w:r>
              <w:rPr>
                <w:sz w:val="24"/>
              </w:rPr>
              <w:t>15</w:t>
            </w:r>
            <w:r>
              <w:rPr>
                <w:rFonts w:hint="eastAsia"/>
                <w:sz w:val="24"/>
              </w:rPr>
              <w:t>0人/d，施工人员分散居住于周围乡村，不在工地食宿。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其他</w:t>
            </w:r>
          </w:p>
        </w:tc>
        <w:tc>
          <w:tcPr>
            <w:tcW w:w="8391" w:type="dxa"/>
          </w:tcPr>
          <w:p>
            <w:pPr>
              <w:adjustRightInd w:val="0"/>
              <w:spacing w:line="360" w:lineRule="auto"/>
              <w:rPr>
                <w:rFonts w:ascii="宋体" w:hAnsi="宋体" w:cs="宋体"/>
                <w:b/>
                <w:bCs/>
                <w:kern w:val="0"/>
                <w:sz w:val="24"/>
              </w:rPr>
            </w:pPr>
            <w:r>
              <w:rPr>
                <w:rFonts w:hint="eastAsia" w:ascii="宋体" w:hAnsi="宋体" w:cs="宋体"/>
                <w:b/>
                <w:bCs/>
                <w:kern w:val="0"/>
                <w:sz w:val="24"/>
              </w:rPr>
              <w:t>1、方案比选</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本项目调整过光伏片区用地范围，对天然乔木林和耕地进行了避让，由于可选地很少，设计未提出方案比选内容。</w:t>
            </w:r>
          </w:p>
          <w:p>
            <w:pPr>
              <w:adjustRightInd w:val="0"/>
              <w:spacing w:line="360" w:lineRule="auto"/>
              <w:rPr>
                <w:b/>
                <w:bCs/>
                <w:kern w:val="0"/>
                <w:sz w:val="24"/>
              </w:rPr>
            </w:pPr>
            <w:r>
              <w:rPr>
                <w:b/>
                <w:bCs/>
                <w:kern w:val="0"/>
                <w:sz w:val="24"/>
              </w:rPr>
              <w:t>2、拆迁安置</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本工程主要布置在平缓的山脊，避让了密集村落，本工程建设不涉及拆迁及专项设施改建。</w:t>
            </w: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p>
            <w:pPr>
              <w:adjustRightInd w:val="0"/>
              <w:ind w:firstLine="420" w:firstLineChars="200"/>
              <w:rPr>
                <w:rFonts w:ascii="宋体" w:hAnsi="宋体" w:cs="宋体"/>
                <w:kern w:val="0"/>
                <w:szCs w:val="21"/>
              </w:rPr>
            </w:pPr>
          </w:p>
        </w:tc>
      </w:tr>
    </w:tbl>
    <w:p>
      <w:pPr>
        <w:pStyle w:val="38"/>
        <w:adjustRightInd w:val="0"/>
        <w:spacing w:before="0" w:beforeAutospacing="0" w:after="0" w:afterAutospacing="0"/>
        <w:jc w:val="center"/>
        <w:outlineLvl w:val="0"/>
        <w:rPr>
          <w:rFonts w:ascii="黑体" w:hAnsi="黑体" w:eastAsia="黑体"/>
          <w:snapToGrid w:val="0"/>
          <w:sz w:val="18"/>
          <w:szCs w:val="18"/>
        </w:rPr>
        <w:sectPr>
          <w:pgSz w:w="11906" w:h="16838"/>
          <w:pgMar w:top="1531" w:right="1531" w:bottom="1531" w:left="1531" w:header="851" w:footer="1077" w:gutter="0"/>
          <w:cols w:space="720" w:num="1"/>
          <w:docGrid w:linePitch="335" w:charSpace="0"/>
        </w:sectPr>
      </w:pPr>
      <w:bookmarkStart w:id="18" w:name="_Toc129854115"/>
      <w:bookmarkStart w:id="19" w:name="_Toc129880759"/>
    </w:p>
    <w:p>
      <w:pPr>
        <w:pStyle w:val="38"/>
        <w:adjustRightInd w:val="0"/>
        <w:spacing w:before="0" w:beforeAutospacing="0" w:after="240" w:afterLines="100" w:afterAutospacing="0"/>
        <w:jc w:val="center"/>
        <w:outlineLvl w:val="0"/>
        <w:rPr>
          <w:rFonts w:ascii="黑体" w:hAnsi="黑体" w:eastAsia="黑体"/>
          <w:snapToGrid w:val="0"/>
          <w:sz w:val="30"/>
          <w:szCs w:val="30"/>
        </w:rPr>
      </w:pPr>
      <w:bookmarkStart w:id="20" w:name="_Toc140704262"/>
      <w:r>
        <w:rPr>
          <w:rFonts w:hint="eastAsia" w:ascii="黑体" w:hAnsi="黑体" w:eastAsia="黑体"/>
          <w:snapToGrid w:val="0"/>
          <w:sz w:val="30"/>
          <w:szCs w:val="30"/>
        </w:rPr>
        <w:t>三、生态环境现状、保护目标及评价标准</w:t>
      </w:r>
      <w:bookmarkEnd w:id="18"/>
      <w:bookmarkEnd w:id="19"/>
      <w:bookmarkEnd w:id="20"/>
    </w:p>
    <w:tbl>
      <w:tblPr>
        <w:tblStyle w:val="4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生态环境现状</w:t>
            </w:r>
          </w:p>
        </w:tc>
        <w:tc>
          <w:tcPr>
            <w:tcW w:w="8391" w:type="dxa"/>
            <w:vAlign w:val="center"/>
          </w:tcPr>
          <w:p>
            <w:pPr>
              <w:adjustRightInd w:val="0"/>
              <w:spacing w:line="360" w:lineRule="auto"/>
              <w:rPr>
                <w:b/>
                <w:kern w:val="0"/>
                <w:sz w:val="24"/>
              </w:rPr>
            </w:pPr>
            <w:r>
              <w:rPr>
                <w:rFonts w:hint="eastAsia"/>
                <w:b/>
                <w:kern w:val="0"/>
                <w:sz w:val="24"/>
              </w:rPr>
              <w:t>1、生态环境现状</w:t>
            </w:r>
          </w:p>
          <w:p>
            <w:pPr>
              <w:adjustRightInd w:val="0"/>
              <w:spacing w:line="360" w:lineRule="auto"/>
              <w:ind w:firstLine="480" w:firstLineChars="200"/>
              <w:rPr>
                <w:sz w:val="24"/>
              </w:rPr>
            </w:pPr>
            <w:r>
              <w:rPr>
                <w:rFonts w:hint="eastAsia"/>
                <w:sz w:val="24"/>
              </w:rPr>
              <w:t>202</w:t>
            </w:r>
            <w:r>
              <w:rPr>
                <w:sz w:val="24"/>
              </w:rPr>
              <w:t>3</w:t>
            </w:r>
            <w:r>
              <w:rPr>
                <w:rFonts w:hint="eastAsia"/>
                <w:sz w:val="24"/>
              </w:rPr>
              <w:t>年</w:t>
            </w:r>
            <w:r>
              <w:rPr>
                <w:sz w:val="24"/>
              </w:rPr>
              <w:t>10</w:t>
            </w:r>
            <w:r>
              <w:rPr>
                <w:rFonts w:hint="eastAsia"/>
                <w:sz w:val="24"/>
              </w:rPr>
              <w:t>月</w:t>
            </w:r>
            <w:r>
              <w:rPr>
                <w:sz w:val="24"/>
              </w:rPr>
              <w:t>26</w:t>
            </w:r>
            <w:r>
              <w:rPr>
                <w:rFonts w:hint="eastAsia"/>
                <w:sz w:val="24"/>
              </w:rPr>
              <w:t>日、202</w:t>
            </w:r>
            <w:r>
              <w:rPr>
                <w:sz w:val="24"/>
              </w:rPr>
              <w:t>3</w:t>
            </w:r>
            <w:r>
              <w:rPr>
                <w:rFonts w:hint="eastAsia"/>
                <w:sz w:val="24"/>
              </w:rPr>
              <w:t>年</w:t>
            </w:r>
            <w:r>
              <w:rPr>
                <w:sz w:val="24"/>
              </w:rPr>
              <w:t>10</w:t>
            </w:r>
            <w:r>
              <w:rPr>
                <w:rFonts w:hint="eastAsia"/>
                <w:sz w:val="24"/>
              </w:rPr>
              <w:t>月</w:t>
            </w:r>
            <w:r>
              <w:rPr>
                <w:sz w:val="24"/>
              </w:rPr>
              <w:t>27</w:t>
            </w:r>
            <w:r>
              <w:rPr>
                <w:rFonts w:hint="eastAsia"/>
                <w:sz w:val="24"/>
              </w:rPr>
              <w:t>日，评价单位对项目评价区生态环境质量现状进行了野外调查，调查结果如下。</w:t>
            </w:r>
          </w:p>
          <w:p>
            <w:pPr>
              <w:adjustRightInd w:val="0"/>
              <w:spacing w:line="360" w:lineRule="auto"/>
              <w:ind w:firstLine="482" w:firstLineChars="200"/>
              <w:rPr>
                <w:sz w:val="24"/>
              </w:rPr>
            </w:pPr>
            <w:r>
              <w:rPr>
                <w:rFonts w:hint="eastAsia"/>
                <w:b/>
                <w:bCs/>
                <w:sz w:val="24"/>
              </w:rPr>
              <w:t>调查方法：</w:t>
            </w:r>
            <w:r>
              <w:rPr>
                <w:rFonts w:hint="eastAsia"/>
                <w:sz w:val="24"/>
              </w:rPr>
              <w:t>植物—调查采用了资料收集与卫星遥感相结合并辅以现场校核的方法。首先通过区域现有资料收集和高精卫星地图初步确认植物群落，再结合初步调查结果到现场实地调查校核，进行现场观察与记录。植物种类的调查仅调查维管束植物，即蕨类植物和种子植物（包括裸子植物和被子植物），详细记录评价区内分布的植物种类。对现场能确认物种的，记录种名，对现场不能准确确定的物种，采集标本，根据《中国植物志》《云南植物志》等专著对其鉴定。对区内可能出现的珍稀濒危植物和名木古树，根据《国家重点保护野生植物名录》和国家对名木古树的相关规定，调查记录各种保护植物和名木古树，记录内容包括保护植物的名称、GPS位置、海拔等。</w:t>
            </w:r>
          </w:p>
          <w:p>
            <w:pPr>
              <w:adjustRightInd w:val="0"/>
              <w:spacing w:line="360" w:lineRule="auto"/>
              <w:ind w:firstLine="480" w:firstLineChars="200"/>
              <w:rPr>
                <w:sz w:val="24"/>
              </w:rPr>
            </w:pPr>
            <w:r>
              <w:rPr>
                <w:rFonts w:hint="eastAsia"/>
                <w:sz w:val="24"/>
              </w:rPr>
              <w:t>动物—调查主要采用资料收集结合现场校核的方法。收集现有的可以反映动物现状或背景的现状资料和历史资料，包括相关文字、图件和影像等评价区动物种类，并进行必要的现场校核。调查中，针对鸟类、大型兽类、小型兽类、两栖类、爬行类不同野生动物的特点分别采用不同的数量统计法，调查野生动物（哺乳类、鸟类、两栖类、爬行类）种类和数量、生态习性、分布范围等指标，以及栖息地环境条件。重点调查珍稀濒危保护和狭域性分布动物种类、数量、分布范围、生态习性、历史变化情况及其原因等。</w:t>
            </w:r>
          </w:p>
          <w:p>
            <w:pPr>
              <w:adjustRightInd w:val="0"/>
              <w:spacing w:line="360" w:lineRule="auto"/>
              <w:ind w:firstLine="482" w:firstLineChars="200"/>
              <w:rPr>
                <w:b/>
                <w:kern w:val="0"/>
                <w:sz w:val="24"/>
              </w:rPr>
            </w:pPr>
            <w:r>
              <w:rPr>
                <w:rFonts w:hint="eastAsia"/>
                <w:b/>
                <w:bCs/>
                <w:sz w:val="24"/>
              </w:rPr>
              <w:t>调查范围：</w:t>
            </w:r>
            <w:r>
              <w:rPr>
                <w:rFonts w:hint="eastAsia"/>
                <w:sz w:val="24"/>
              </w:rPr>
              <w:t>生态调查范围为项目用地红线外延3</w:t>
            </w:r>
            <w:r>
              <w:rPr>
                <w:sz w:val="24"/>
              </w:rPr>
              <w:t>00</w:t>
            </w:r>
            <w:r>
              <w:rPr>
                <w:rFonts w:hint="eastAsia"/>
                <w:sz w:val="24"/>
              </w:rPr>
              <w:t>m的范围内。</w:t>
            </w:r>
          </w:p>
          <w:p>
            <w:pPr>
              <w:adjustRightInd w:val="0"/>
              <w:spacing w:line="360" w:lineRule="auto"/>
              <w:ind w:firstLine="482" w:firstLineChars="200"/>
              <w:rPr>
                <w:b/>
                <w:kern w:val="0"/>
                <w:sz w:val="24"/>
              </w:rPr>
            </w:pPr>
            <w:r>
              <w:rPr>
                <w:rFonts w:hint="eastAsia"/>
                <w:b/>
                <w:kern w:val="0"/>
                <w:sz w:val="24"/>
              </w:rPr>
              <w:t>（1）</w:t>
            </w:r>
            <w:r>
              <w:rPr>
                <w:b/>
                <w:kern w:val="0"/>
                <w:sz w:val="24"/>
              </w:rPr>
              <w:t>《云南省主体功能区规划》</w:t>
            </w:r>
          </w:p>
          <w:p>
            <w:pPr>
              <w:adjustRightInd w:val="0"/>
              <w:spacing w:line="360" w:lineRule="auto"/>
              <w:ind w:firstLine="480" w:firstLineChars="200"/>
              <w:rPr>
                <w:kern w:val="0"/>
                <w:sz w:val="24"/>
              </w:rPr>
            </w:pPr>
            <w:r>
              <w:rPr>
                <w:kern w:val="0"/>
                <w:sz w:val="24"/>
              </w:rPr>
              <w:t>云南省人民政府于2014年1月6日印发了《云南省主体功能区规划》（云政发</w:t>
            </w:r>
            <w:r>
              <w:rPr>
                <w:rFonts w:hint="eastAsia" w:ascii="宋体" w:hAnsi="宋体"/>
                <w:kern w:val="0"/>
                <w:sz w:val="24"/>
              </w:rPr>
              <w:t>〔</w:t>
            </w:r>
            <w:r>
              <w:rPr>
                <w:kern w:val="0"/>
                <w:sz w:val="24"/>
              </w:rPr>
              <w:t>2014</w:t>
            </w:r>
            <w:r>
              <w:rPr>
                <w:rFonts w:hint="eastAsia" w:ascii="宋体" w:hAnsi="宋体"/>
                <w:kern w:val="0"/>
                <w:sz w:val="24"/>
              </w:rPr>
              <w:t>〕</w:t>
            </w:r>
            <w:r>
              <w:rPr>
                <w:kern w:val="0"/>
                <w:sz w:val="24"/>
              </w:rPr>
              <w:t>1号文），</w:t>
            </w:r>
            <w:r>
              <w:rPr>
                <w:rFonts w:hint="eastAsia"/>
                <w:kern w:val="0"/>
                <w:sz w:val="24"/>
              </w:rPr>
              <w:t>根据规划，将云南省国土空间分为重点开发区域、限制开发区域和禁止开发区域三种区域。</w:t>
            </w:r>
          </w:p>
          <w:p>
            <w:pPr>
              <w:adjustRightInd w:val="0"/>
              <w:spacing w:line="360" w:lineRule="auto"/>
              <w:ind w:firstLine="480" w:firstLineChars="200"/>
              <w:rPr>
                <w:kern w:val="0"/>
                <w:sz w:val="24"/>
              </w:rPr>
            </w:pPr>
            <w:r>
              <w:rPr>
                <w:rFonts w:hint="eastAsia"/>
                <w:kern w:val="0"/>
                <w:sz w:val="24"/>
              </w:rPr>
              <w:t>根据《云南省主体功能区规划》，寻甸县大部分被划定为国家重点开发区域，少部分被划定为国家禁止开发区</w:t>
            </w:r>
            <w:r>
              <w:rPr>
                <w:rFonts w:hint="eastAsia"/>
                <w:sz w:val="24"/>
              </w:rPr>
              <w:t>。国家</w:t>
            </w:r>
            <w:r>
              <w:rPr>
                <w:rFonts w:hint="eastAsia"/>
                <w:kern w:val="0"/>
                <w:sz w:val="24"/>
              </w:rPr>
              <w:t>重点开发区域</w:t>
            </w:r>
            <w:r>
              <w:rPr>
                <w:rFonts w:hint="eastAsia"/>
                <w:sz w:val="24"/>
              </w:rPr>
              <w:t>功能定位是</w:t>
            </w:r>
            <w:r>
              <w:rPr>
                <w:rFonts w:hint="eastAsia"/>
                <w:color w:val="000000" w:themeColor="text1"/>
                <w:kern w:val="0"/>
                <w:sz w:val="24"/>
                <w14:textFill>
                  <w14:solidFill>
                    <w14:schemeClr w14:val="tx1"/>
                  </w14:solidFill>
                </w14:textFill>
              </w:rPr>
              <w:t>支撑全省乃至全国经济增长的重要增长级，工业化和城镇化的密集区域，落实国家新一轮西部大开发战略、我国面向西南开放重要桥头堡战略，促进区域协调，实现科学发展、和谐发展、跨越发展的重要支撑点。</w:t>
            </w:r>
          </w:p>
          <w:p>
            <w:pPr>
              <w:adjustRightInd w:val="0"/>
              <w:spacing w:line="360" w:lineRule="auto"/>
              <w:ind w:firstLine="480" w:firstLineChars="200"/>
            </w:pPr>
            <w:r>
              <w:rPr>
                <w:rFonts w:hint="eastAsia"/>
                <w:sz w:val="24"/>
              </w:rPr>
              <w:t>拟建项目位于昆明市寻甸县中部</w:t>
            </w:r>
            <w:r>
              <w:rPr>
                <w:rFonts w:hint="eastAsia"/>
                <w:kern w:val="0"/>
                <w:sz w:val="24"/>
              </w:rPr>
              <w:t>，所在区域为</w:t>
            </w:r>
            <w:r>
              <w:rPr>
                <w:rFonts w:hint="eastAsia"/>
                <w:sz w:val="24"/>
              </w:rPr>
              <w:t>国家</w:t>
            </w:r>
            <w:r>
              <w:rPr>
                <w:rFonts w:hint="eastAsia"/>
                <w:color w:val="000000" w:themeColor="text1"/>
                <w:kern w:val="0"/>
                <w:sz w:val="24"/>
                <w14:textFill>
                  <w14:solidFill>
                    <w14:schemeClr w14:val="tx1"/>
                  </w14:solidFill>
                </w14:textFill>
              </w:rPr>
              <w:t>重点开发区域，不涉及</w:t>
            </w:r>
            <w:r>
              <w:rPr>
                <w:rFonts w:hint="eastAsia"/>
                <w:kern w:val="0"/>
                <w:sz w:val="24"/>
              </w:rPr>
              <w:t>国家禁止开发区</w:t>
            </w:r>
            <w:r>
              <w:rPr>
                <w:rFonts w:hint="eastAsia"/>
                <w:sz w:val="24"/>
              </w:rPr>
              <w:t>。</w:t>
            </w:r>
            <w:r>
              <w:rPr>
                <w:rFonts w:hint="eastAsia"/>
                <w:kern w:val="0"/>
                <w:sz w:val="24"/>
              </w:rPr>
              <w:t>项目与云南省主体功能区划的位置关系见附图</w:t>
            </w:r>
            <w:r>
              <w:rPr>
                <w:kern w:val="0"/>
                <w:sz w:val="24"/>
              </w:rPr>
              <w:t>9</w:t>
            </w:r>
            <w:r>
              <w:rPr>
                <w:rFonts w:hint="eastAsia"/>
                <w:kern w:val="0"/>
                <w:sz w:val="24"/>
              </w:rPr>
              <w:t>。</w:t>
            </w:r>
          </w:p>
          <w:p>
            <w:pPr>
              <w:adjustRightInd w:val="0"/>
              <w:spacing w:line="360" w:lineRule="auto"/>
              <w:ind w:firstLine="482" w:firstLineChars="200"/>
              <w:rPr>
                <w:b/>
                <w:kern w:val="0"/>
                <w:sz w:val="24"/>
              </w:rPr>
            </w:pPr>
            <w:r>
              <w:rPr>
                <w:rFonts w:hint="eastAsia"/>
                <w:b/>
                <w:kern w:val="0"/>
                <w:sz w:val="24"/>
              </w:rPr>
              <w:t>（2）</w:t>
            </w:r>
            <w:r>
              <w:rPr>
                <w:b/>
                <w:kern w:val="0"/>
                <w:sz w:val="24"/>
              </w:rPr>
              <w:t>《云南省生态功能区划》</w:t>
            </w:r>
          </w:p>
          <w:p>
            <w:pPr>
              <w:pStyle w:val="38"/>
              <w:widowControl w:val="0"/>
              <w:adjustRightInd w:val="0"/>
              <w:spacing w:before="0" w:beforeAutospacing="0" w:after="0" w:afterAutospacing="0" w:line="360" w:lineRule="auto"/>
              <w:ind w:firstLine="480" w:firstLineChars="200"/>
              <w:jc w:val="both"/>
              <w:textAlignment w:val="baseline"/>
              <w:rPr>
                <w:rFonts w:ascii="Times New Roman" w:hAnsi="Times New Roman"/>
              </w:rPr>
            </w:pPr>
            <w:r>
              <w:rPr>
                <w:rFonts w:ascii="Times New Roman" w:hAnsi="Times New Roman"/>
                <w:lang w:bidi="ar"/>
              </w:rPr>
              <w:t>根据云南省的生态环境敏感性、生态系统服务功能分异规律及存在的主要生态问题，2009年9月云南省人民政府批复的《云南省生态功能区划》，将云南生态功能分为5个一级区（生态区）、19个二级区（生态亚区）和65个三级区（生态功能区）。经查询，</w:t>
            </w:r>
            <w:r>
              <w:rPr>
                <w:rFonts w:hint="eastAsia" w:ascii="Times New Roman" w:hAnsi="Times New Roman"/>
                <w:lang w:bidi="ar"/>
              </w:rPr>
              <w:t>项目区位于Ⅲ2-3白草岭中山山原林业与水源涵养生态功能区。项目在云南省生态功能区划情况见表3-1</w:t>
            </w:r>
            <w:r>
              <w:rPr>
                <w:rFonts w:ascii="Times New Roman" w:hAnsi="Times New Roman"/>
                <w:lang w:bidi="ar"/>
              </w:rPr>
              <w:t>。</w:t>
            </w:r>
          </w:p>
          <w:p>
            <w:pPr>
              <w:pStyle w:val="38"/>
              <w:widowControl w:val="0"/>
              <w:adjustRightInd w:val="0"/>
              <w:spacing w:before="0" w:beforeAutospacing="0" w:after="0" w:afterAutospacing="0"/>
              <w:jc w:val="center"/>
              <w:rPr>
                <w:rFonts w:ascii="Times New Roman" w:hAnsi="Times New Roman"/>
                <w:b/>
                <w:sz w:val="21"/>
                <w:szCs w:val="20"/>
              </w:rPr>
            </w:pPr>
            <w:r>
              <w:rPr>
                <w:rFonts w:hint="eastAsia" w:ascii="Times New Roman" w:hAnsi="Times New Roman"/>
                <w:b/>
                <w:sz w:val="21"/>
                <w:szCs w:val="20"/>
                <w:lang w:bidi="ar"/>
              </w:rPr>
              <w:t>表3-1  本项目所在地的生态功能区划</w:t>
            </w:r>
          </w:p>
          <w:tbl>
            <w:tblPr>
              <w:tblStyle w:val="44"/>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Layout w:type="fixed"/>
              <w:tblCellMar>
                <w:top w:w="0" w:type="dxa"/>
                <w:left w:w="108" w:type="dxa"/>
                <w:bottom w:w="0" w:type="dxa"/>
                <w:right w:w="108" w:type="dxa"/>
              </w:tblCellMar>
            </w:tblPr>
            <w:tblGrid>
              <w:gridCol w:w="676"/>
              <w:gridCol w:w="817"/>
              <w:gridCol w:w="851"/>
              <w:gridCol w:w="1794"/>
              <w:gridCol w:w="851"/>
              <w:gridCol w:w="850"/>
              <w:gridCol w:w="113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20" w:hRule="atLeast"/>
                <w:jc w:val="center"/>
              </w:trPr>
              <w:tc>
                <w:tcPr>
                  <w:tcW w:w="2344" w:type="dxa"/>
                  <w:gridSpan w:val="3"/>
                  <w:vAlign w:val="center"/>
                </w:tcPr>
                <w:p>
                  <w:pPr>
                    <w:adjustRightInd w:val="0"/>
                    <w:jc w:val="center"/>
                    <w:rPr>
                      <w:b/>
                      <w:bCs/>
                      <w:szCs w:val="21"/>
                    </w:rPr>
                  </w:pPr>
                  <w:r>
                    <w:rPr>
                      <w:b/>
                      <w:bCs/>
                      <w:szCs w:val="21"/>
                    </w:rPr>
                    <w:t>生态功能分区单元</w:t>
                  </w:r>
                </w:p>
              </w:tc>
              <w:tc>
                <w:tcPr>
                  <w:tcW w:w="1794" w:type="dxa"/>
                  <w:vMerge w:val="restart"/>
                  <w:vAlign w:val="center"/>
                </w:tcPr>
                <w:p>
                  <w:pPr>
                    <w:adjustRightInd w:val="0"/>
                    <w:jc w:val="center"/>
                    <w:rPr>
                      <w:b/>
                      <w:bCs/>
                      <w:szCs w:val="21"/>
                    </w:rPr>
                  </w:pPr>
                  <w:r>
                    <w:rPr>
                      <w:b/>
                      <w:bCs/>
                      <w:szCs w:val="21"/>
                    </w:rPr>
                    <w:t>主要生态特征</w:t>
                  </w:r>
                </w:p>
              </w:tc>
              <w:tc>
                <w:tcPr>
                  <w:tcW w:w="851" w:type="dxa"/>
                  <w:vMerge w:val="restart"/>
                  <w:vAlign w:val="center"/>
                </w:tcPr>
                <w:p>
                  <w:pPr>
                    <w:adjustRightInd w:val="0"/>
                    <w:jc w:val="center"/>
                    <w:rPr>
                      <w:b/>
                      <w:bCs/>
                      <w:szCs w:val="21"/>
                    </w:rPr>
                  </w:pPr>
                  <w:r>
                    <w:rPr>
                      <w:b/>
                      <w:bCs/>
                      <w:szCs w:val="21"/>
                    </w:rPr>
                    <w:t>主要生态环境问题</w:t>
                  </w:r>
                </w:p>
              </w:tc>
              <w:tc>
                <w:tcPr>
                  <w:tcW w:w="850" w:type="dxa"/>
                  <w:vMerge w:val="restart"/>
                  <w:vAlign w:val="center"/>
                </w:tcPr>
                <w:p>
                  <w:pPr>
                    <w:adjustRightInd w:val="0"/>
                    <w:jc w:val="center"/>
                    <w:rPr>
                      <w:b/>
                      <w:bCs/>
                      <w:szCs w:val="21"/>
                    </w:rPr>
                  </w:pPr>
                  <w:r>
                    <w:rPr>
                      <w:b/>
                      <w:bCs/>
                      <w:szCs w:val="21"/>
                    </w:rPr>
                    <w:t>生态环境敏感性</w:t>
                  </w:r>
                </w:p>
              </w:tc>
              <w:tc>
                <w:tcPr>
                  <w:tcW w:w="1134" w:type="dxa"/>
                  <w:vMerge w:val="restart"/>
                  <w:vAlign w:val="center"/>
                </w:tcPr>
                <w:p>
                  <w:pPr>
                    <w:adjustRightInd w:val="0"/>
                    <w:jc w:val="center"/>
                    <w:rPr>
                      <w:b/>
                      <w:bCs/>
                      <w:szCs w:val="21"/>
                    </w:rPr>
                  </w:pPr>
                  <w:r>
                    <w:rPr>
                      <w:b/>
                      <w:bCs/>
                      <w:szCs w:val="21"/>
                    </w:rPr>
                    <w:t>主要生态系统服务功能</w:t>
                  </w:r>
                </w:p>
              </w:tc>
              <w:tc>
                <w:tcPr>
                  <w:tcW w:w="1241" w:type="dxa"/>
                  <w:vMerge w:val="restart"/>
                  <w:vAlign w:val="center"/>
                </w:tcPr>
                <w:p>
                  <w:pPr>
                    <w:adjustRightInd w:val="0"/>
                    <w:jc w:val="center"/>
                    <w:rPr>
                      <w:b/>
                      <w:bCs/>
                      <w:szCs w:val="21"/>
                    </w:rPr>
                  </w:pPr>
                  <w:r>
                    <w:rPr>
                      <w:b/>
                      <w:bCs/>
                      <w:szCs w:val="21"/>
                    </w:rPr>
                    <w:t>保护措施与发展方向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20" w:hRule="atLeast"/>
                <w:jc w:val="center"/>
              </w:trPr>
              <w:tc>
                <w:tcPr>
                  <w:tcW w:w="676" w:type="dxa"/>
                  <w:vAlign w:val="center"/>
                </w:tcPr>
                <w:p>
                  <w:pPr>
                    <w:adjustRightInd w:val="0"/>
                    <w:jc w:val="center"/>
                    <w:rPr>
                      <w:b/>
                      <w:bCs/>
                      <w:szCs w:val="21"/>
                    </w:rPr>
                  </w:pPr>
                  <w:r>
                    <w:rPr>
                      <w:b/>
                      <w:bCs/>
                      <w:szCs w:val="21"/>
                    </w:rPr>
                    <w:t>生态区</w:t>
                  </w:r>
                </w:p>
              </w:tc>
              <w:tc>
                <w:tcPr>
                  <w:tcW w:w="817" w:type="dxa"/>
                  <w:vAlign w:val="center"/>
                </w:tcPr>
                <w:p>
                  <w:pPr>
                    <w:adjustRightInd w:val="0"/>
                    <w:jc w:val="center"/>
                    <w:rPr>
                      <w:b/>
                      <w:bCs/>
                      <w:szCs w:val="21"/>
                    </w:rPr>
                  </w:pPr>
                  <w:r>
                    <w:rPr>
                      <w:b/>
                      <w:bCs/>
                      <w:szCs w:val="21"/>
                    </w:rPr>
                    <w:t>生态亚区</w:t>
                  </w:r>
                </w:p>
              </w:tc>
              <w:tc>
                <w:tcPr>
                  <w:tcW w:w="851" w:type="dxa"/>
                  <w:vAlign w:val="center"/>
                </w:tcPr>
                <w:p>
                  <w:pPr>
                    <w:adjustRightInd w:val="0"/>
                    <w:jc w:val="center"/>
                    <w:rPr>
                      <w:b/>
                      <w:bCs/>
                      <w:szCs w:val="21"/>
                    </w:rPr>
                  </w:pPr>
                  <w:r>
                    <w:rPr>
                      <w:b/>
                      <w:bCs/>
                      <w:szCs w:val="21"/>
                    </w:rPr>
                    <w:t>生态功能区</w:t>
                  </w:r>
                </w:p>
              </w:tc>
              <w:tc>
                <w:tcPr>
                  <w:tcW w:w="1794" w:type="dxa"/>
                  <w:vMerge w:val="continue"/>
                  <w:vAlign w:val="center"/>
                </w:tcPr>
                <w:p>
                  <w:pPr>
                    <w:adjustRightInd w:val="0"/>
                    <w:jc w:val="center"/>
                    <w:rPr>
                      <w:b/>
                      <w:bCs/>
                      <w:szCs w:val="21"/>
                    </w:rPr>
                  </w:pPr>
                </w:p>
              </w:tc>
              <w:tc>
                <w:tcPr>
                  <w:tcW w:w="851" w:type="dxa"/>
                  <w:vMerge w:val="continue"/>
                  <w:vAlign w:val="center"/>
                </w:tcPr>
                <w:p>
                  <w:pPr>
                    <w:adjustRightInd w:val="0"/>
                    <w:jc w:val="center"/>
                    <w:rPr>
                      <w:b/>
                      <w:bCs/>
                      <w:szCs w:val="21"/>
                    </w:rPr>
                  </w:pPr>
                </w:p>
              </w:tc>
              <w:tc>
                <w:tcPr>
                  <w:tcW w:w="850" w:type="dxa"/>
                  <w:vMerge w:val="continue"/>
                  <w:vAlign w:val="center"/>
                </w:tcPr>
                <w:p>
                  <w:pPr>
                    <w:adjustRightInd w:val="0"/>
                    <w:jc w:val="center"/>
                    <w:rPr>
                      <w:b/>
                      <w:bCs/>
                      <w:szCs w:val="21"/>
                    </w:rPr>
                  </w:pPr>
                </w:p>
              </w:tc>
              <w:tc>
                <w:tcPr>
                  <w:tcW w:w="1134" w:type="dxa"/>
                  <w:vMerge w:val="continue"/>
                  <w:vAlign w:val="center"/>
                </w:tcPr>
                <w:p>
                  <w:pPr>
                    <w:adjustRightInd w:val="0"/>
                    <w:jc w:val="center"/>
                    <w:rPr>
                      <w:b/>
                      <w:bCs/>
                      <w:szCs w:val="21"/>
                    </w:rPr>
                  </w:pPr>
                </w:p>
              </w:tc>
              <w:tc>
                <w:tcPr>
                  <w:tcW w:w="1241" w:type="dxa"/>
                  <w:vMerge w:val="continue"/>
                  <w:vAlign w:val="center"/>
                </w:tcPr>
                <w:p>
                  <w:pPr>
                    <w:adjustRightInd w:val="0"/>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PrEx>
              <w:trPr>
                <w:trHeight w:val="20" w:hRule="atLeast"/>
                <w:jc w:val="center"/>
              </w:trPr>
              <w:tc>
                <w:tcPr>
                  <w:tcW w:w="676" w:type="dxa"/>
                  <w:vAlign w:val="center"/>
                </w:tcPr>
                <w:p>
                  <w:pPr>
                    <w:topLinePunct/>
                    <w:adjustRightInd w:val="0"/>
                    <w:spacing w:after="100" w:afterAutospacing="1"/>
                    <w:jc w:val="center"/>
                    <w:rPr>
                      <w:szCs w:val="21"/>
                    </w:rPr>
                  </w:pPr>
                  <w:r>
                    <w:rPr>
                      <w:rFonts w:hint="eastAsia" w:cs="宋体"/>
                      <w:szCs w:val="21"/>
                    </w:rPr>
                    <w:t>Ⅲ高原亚热带北部常绿阔叶林生态区</w:t>
                  </w:r>
                </w:p>
              </w:tc>
              <w:tc>
                <w:tcPr>
                  <w:tcW w:w="817" w:type="dxa"/>
                  <w:vAlign w:val="center"/>
                </w:tcPr>
                <w:p>
                  <w:pPr>
                    <w:adjustRightInd w:val="0"/>
                    <w:jc w:val="center"/>
                    <w:rPr>
                      <w:szCs w:val="21"/>
                    </w:rPr>
                  </w:pPr>
                  <w:r>
                    <w:rPr>
                      <w:rFonts w:hint="eastAsia" w:cs="宋体"/>
                      <w:szCs w:val="21"/>
                    </w:rPr>
                    <w:t>Ⅲ1滇中高原谷盆半湿润常绿阔叶林、暖性针叶林生态亚区</w:t>
                  </w:r>
                </w:p>
              </w:tc>
              <w:tc>
                <w:tcPr>
                  <w:tcW w:w="851" w:type="dxa"/>
                  <w:vAlign w:val="center"/>
                </w:tcPr>
                <w:p>
                  <w:pPr>
                    <w:adjustRightInd w:val="0"/>
                    <w:jc w:val="center"/>
                    <w:rPr>
                      <w:szCs w:val="21"/>
                    </w:rPr>
                  </w:pPr>
                  <w:r>
                    <w:rPr>
                      <w:rFonts w:hint="eastAsia" w:cs="宋体"/>
                      <w:szCs w:val="21"/>
                    </w:rPr>
                    <w:t>Ⅲ1-9普渡河干流、小江上游水土保持生态功能区</w:t>
                  </w:r>
                </w:p>
              </w:tc>
              <w:tc>
                <w:tcPr>
                  <w:tcW w:w="1794" w:type="dxa"/>
                  <w:vAlign w:val="center"/>
                </w:tcPr>
                <w:p>
                  <w:pPr>
                    <w:adjustRightInd w:val="0"/>
                    <w:jc w:val="center"/>
                    <w:rPr>
                      <w:szCs w:val="21"/>
                    </w:rPr>
                  </w:pPr>
                  <w:r>
                    <w:rPr>
                      <w:rFonts w:hint="eastAsia"/>
                      <w:szCs w:val="21"/>
                    </w:rPr>
                    <w:t>以中山峡谷地貌为主。年降雨量在普渡河河谷为800毫米，高原面上为1200-1500毫米，植被垂直地带性分布明显，现存植被以云南松林为主，土壤以红壤和紫色土为主</w:t>
                  </w:r>
                </w:p>
              </w:tc>
              <w:tc>
                <w:tcPr>
                  <w:tcW w:w="851" w:type="dxa"/>
                  <w:vAlign w:val="center"/>
                </w:tcPr>
                <w:p>
                  <w:pPr>
                    <w:topLinePunct/>
                    <w:adjustRightInd w:val="0"/>
                    <w:spacing w:after="100" w:afterAutospacing="1"/>
                    <w:jc w:val="center"/>
                    <w:rPr>
                      <w:szCs w:val="21"/>
                    </w:rPr>
                  </w:pPr>
                  <w:r>
                    <w:rPr>
                      <w:rFonts w:hint="eastAsia"/>
                      <w:szCs w:val="21"/>
                    </w:rPr>
                    <w:t>森林质量较差，水土流失严重</w:t>
                  </w:r>
                </w:p>
              </w:tc>
              <w:tc>
                <w:tcPr>
                  <w:tcW w:w="850" w:type="dxa"/>
                  <w:vAlign w:val="center"/>
                </w:tcPr>
                <w:p>
                  <w:pPr>
                    <w:topLinePunct/>
                    <w:adjustRightInd w:val="0"/>
                    <w:spacing w:after="100" w:afterAutospacing="1"/>
                    <w:jc w:val="center"/>
                    <w:rPr>
                      <w:szCs w:val="21"/>
                    </w:rPr>
                  </w:pPr>
                  <w:r>
                    <w:rPr>
                      <w:rFonts w:hint="eastAsia"/>
                      <w:szCs w:val="21"/>
                    </w:rPr>
                    <w:t>土壤侵蚀高度敏感</w:t>
                  </w:r>
                </w:p>
              </w:tc>
              <w:tc>
                <w:tcPr>
                  <w:tcW w:w="1134" w:type="dxa"/>
                  <w:vAlign w:val="center"/>
                </w:tcPr>
                <w:p>
                  <w:pPr>
                    <w:topLinePunct/>
                    <w:adjustRightInd w:val="0"/>
                    <w:spacing w:after="100" w:afterAutospacing="1"/>
                    <w:jc w:val="center"/>
                    <w:rPr>
                      <w:szCs w:val="21"/>
                    </w:rPr>
                  </w:pPr>
                  <w:r>
                    <w:rPr>
                      <w:rFonts w:hint="eastAsia"/>
                      <w:szCs w:val="21"/>
                    </w:rPr>
                    <w:t>普渡河和小江上游的水土保持</w:t>
                  </w:r>
                </w:p>
              </w:tc>
              <w:tc>
                <w:tcPr>
                  <w:tcW w:w="1241" w:type="dxa"/>
                  <w:vAlign w:val="center"/>
                </w:tcPr>
                <w:p>
                  <w:pPr>
                    <w:topLinePunct/>
                    <w:adjustRightInd w:val="0"/>
                    <w:jc w:val="center"/>
                    <w:rPr>
                      <w:szCs w:val="21"/>
                    </w:rPr>
                  </w:pPr>
                  <w:r>
                    <w:rPr>
                      <w:rFonts w:hint="eastAsia"/>
                      <w:szCs w:val="21"/>
                    </w:rPr>
                    <w:t>保护现有植被，加大封山育林的强度，营造水土保护林，严格退耕还林，提高区域的森林数量及质量</w:t>
                  </w:r>
                </w:p>
              </w:tc>
            </w:tr>
          </w:tbl>
          <w:p>
            <w:pPr>
              <w:adjustRightInd w:val="0"/>
              <w:spacing w:line="360" w:lineRule="auto"/>
              <w:ind w:firstLine="480" w:firstLineChars="200"/>
              <w:rPr>
                <w:bCs/>
                <w:color w:val="FF0000"/>
                <w:sz w:val="24"/>
                <w:szCs w:val="28"/>
              </w:rPr>
            </w:pPr>
            <w:r>
              <w:rPr>
                <w:rFonts w:hint="eastAsia"/>
                <w:bCs/>
                <w:sz w:val="24"/>
                <w:szCs w:val="28"/>
              </w:rPr>
              <w:t>项目与云南省生态功能区划的位置关系见附图1</w:t>
            </w:r>
            <w:r>
              <w:rPr>
                <w:bCs/>
                <w:sz w:val="24"/>
                <w:szCs w:val="28"/>
              </w:rPr>
              <w:t>0</w:t>
            </w:r>
            <w:r>
              <w:rPr>
                <w:rFonts w:hint="eastAsia"/>
                <w:bCs/>
                <w:sz w:val="24"/>
                <w:szCs w:val="28"/>
              </w:rPr>
              <w:t>。</w:t>
            </w:r>
          </w:p>
          <w:p>
            <w:pPr>
              <w:adjustRightInd w:val="0"/>
              <w:spacing w:line="360" w:lineRule="auto"/>
              <w:ind w:firstLine="482" w:firstLineChars="200"/>
              <w:rPr>
                <w:b/>
                <w:bCs/>
                <w:sz w:val="24"/>
                <w:szCs w:val="28"/>
              </w:rPr>
            </w:pPr>
            <w:r>
              <w:rPr>
                <w:rFonts w:hint="eastAsia"/>
                <w:b/>
                <w:bCs/>
                <w:sz w:val="24"/>
                <w:szCs w:val="28"/>
              </w:rPr>
              <w:t>（</w:t>
            </w:r>
            <w:r>
              <w:rPr>
                <w:b/>
                <w:bCs/>
                <w:sz w:val="24"/>
                <w:szCs w:val="28"/>
              </w:rPr>
              <w:t>3</w:t>
            </w:r>
            <w:r>
              <w:rPr>
                <w:rFonts w:hint="eastAsia"/>
                <w:b/>
                <w:bCs/>
                <w:sz w:val="24"/>
                <w:szCs w:val="28"/>
              </w:rPr>
              <w:t>）植被现状</w:t>
            </w:r>
          </w:p>
          <w:p>
            <w:pPr>
              <w:adjustRightInd w:val="0"/>
              <w:spacing w:line="360" w:lineRule="auto"/>
              <w:ind w:firstLine="480" w:firstLineChars="200"/>
              <w:rPr>
                <w:sz w:val="24"/>
                <w:szCs w:val="28"/>
              </w:rPr>
            </w:pPr>
            <w:r>
              <w:rPr>
                <w:rFonts w:hint="eastAsia"/>
                <w:sz w:val="24"/>
                <w:szCs w:val="28"/>
              </w:rPr>
              <w:t>1）植被类型</w:t>
            </w:r>
          </w:p>
          <w:p>
            <w:pPr>
              <w:spacing w:line="360" w:lineRule="auto"/>
              <w:ind w:firstLine="480" w:firstLineChars="200"/>
              <w:rPr>
                <w:kern w:val="0"/>
                <w:sz w:val="24"/>
              </w:rPr>
            </w:pPr>
            <w:r>
              <w:rPr>
                <w:rFonts w:hint="eastAsia"/>
                <w:kern w:val="0"/>
                <w:sz w:val="24"/>
              </w:rPr>
              <w:t>根据《云南植被》的植被区划系统，项目地处寻甸县中部，这里是亚热带常绿阔叶林区域（Ⅱ）—高原亚热带北部常绿阔叶林地带（ⅡAii）—滇中、滇东高原半湿润常绿阔叶林、云南松林区（ⅡAii</w:t>
            </w:r>
            <w:r>
              <w:rPr>
                <w:kern w:val="0"/>
                <w:sz w:val="24"/>
              </w:rPr>
              <w:t>-1</w:t>
            </w:r>
            <w:r>
              <w:rPr>
                <w:rFonts w:hint="eastAsia"/>
                <w:kern w:val="0"/>
                <w:sz w:val="24"/>
              </w:rPr>
              <w:t>）—滇中高原盆谷滇青冈林、元江栲林、云南松林亚区（ⅡAii</w:t>
            </w:r>
            <w:r>
              <w:rPr>
                <w:kern w:val="0"/>
                <w:sz w:val="24"/>
              </w:rPr>
              <w:t>-1</w:t>
            </w:r>
            <w:r>
              <w:rPr>
                <w:rFonts w:hint="eastAsia"/>
                <w:kern w:val="0"/>
                <w:sz w:val="24"/>
              </w:rPr>
              <w:t>a），区域受人为生产活动影响严重，区域内以起伏较大的中山高原地貌为主，群落总体以小乔木、灌木和草本为主。</w:t>
            </w:r>
          </w:p>
          <w:p>
            <w:pPr>
              <w:spacing w:line="360" w:lineRule="auto"/>
              <w:ind w:firstLine="480" w:firstLineChars="200"/>
              <w:rPr>
                <w:b/>
                <w:szCs w:val="21"/>
              </w:rPr>
            </w:pPr>
            <w:r>
              <w:rPr>
                <w:rFonts w:hint="eastAsia"/>
                <w:kern w:val="0"/>
                <w:sz w:val="24"/>
              </w:rPr>
              <w:t>根据现场调查，参照《云南植被》（1987）的分类原则和体系，项目区自然植被分为</w:t>
            </w:r>
            <w:r>
              <w:rPr>
                <w:kern w:val="0"/>
                <w:sz w:val="24"/>
              </w:rPr>
              <w:t>3</w:t>
            </w:r>
            <w:r>
              <w:rPr>
                <w:rFonts w:hint="eastAsia"/>
                <w:kern w:val="0"/>
                <w:sz w:val="24"/>
              </w:rPr>
              <w:t>个植被型，</w:t>
            </w:r>
            <w:r>
              <w:rPr>
                <w:kern w:val="0"/>
                <w:sz w:val="24"/>
              </w:rPr>
              <w:t>3</w:t>
            </w:r>
            <w:r>
              <w:rPr>
                <w:rFonts w:hint="eastAsia"/>
                <w:kern w:val="0"/>
                <w:sz w:val="24"/>
              </w:rPr>
              <w:t>个植被亚型，</w:t>
            </w:r>
            <w:r>
              <w:rPr>
                <w:kern w:val="0"/>
                <w:sz w:val="24"/>
              </w:rPr>
              <w:t>3</w:t>
            </w:r>
            <w:r>
              <w:rPr>
                <w:rFonts w:hint="eastAsia"/>
                <w:kern w:val="0"/>
                <w:sz w:val="24"/>
              </w:rPr>
              <w:t>个群丛：</w:t>
            </w:r>
          </w:p>
          <w:p>
            <w:pPr>
              <w:adjustRightInd w:val="0"/>
              <w:jc w:val="center"/>
              <w:rPr>
                <w:b/>
                <w:szCs w:val="21"/>
              </w:rPr>
            </w:pPr>
            <w:r>
              <w:rPr>
                <w:b/>
                <w:szCs w:val="21"/>
              </w:rPr>
              <w:t>表3-2  评价区</w:t>
            </w:r>
            <w:r>
              <w:rPr>
                <w:rFonts w:hint="eastAsia"/>
                <w:b/>
                <w:szCs w:val="21"/>
              </w:rPr>
              <w:t>域</w:t>
            </w:r>
            <w:r>
              <w:rPr>
                <w:b/>
                <w:szCs w:val="21"/>
              </w:rPr>
              <w:t>植被</w:t>
            </w:r>
            <w:r>
              <w:rPr>
                <w:rFonts w:hint="eastAsia"/>
                <w:b/>
                <w:szCs w:val="21"/>
              </w:rPr>
              <w:t>类型</w:t>
            </w:r>
          </w:p>
          <w:tbl>
            <w:tblPr>
              <w:tblStyle w:val="44"/>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restart"/>
                  <w:tcBorders>
                    <w:tl2br w:val="nil"/>
                    <w:tr2bl w:val="nil"/>
                  </w:tcBorders>
                  <w:vAlign w:val="center"/>
                </w:tcPr>
                <w:p>
                  <w:pPr>
                    <w:widowControl/>
                    <w:jc w:val="center"/>
                    <w:rPr>
                      <w:kern w:val="0"/>
                      <w:szCs w:val="21"/>
                    </w:rPr>
                  </w:pPr>
                  <w:r>
                    <w:rPr>
                      <w:rFonts w:hint="eastAsia"/>
                      <w:kern w:val="0"/>
                      <w:szCs w:val="21"/>
                    </w:rPr>
                    <w:t>自然植被</w:t>
                  </w:r>
                </w:p>
              </w:tc>
              <w:tc>
                <w:tcPr>
                  <w:tcW w:w="6286" w:type="dxa"/>
                  <w:tcBorders>
                    <w:tl2br w:val="nil"/>
                    <w:tr2bl w:val="nil"/>
                  </w:tcBorders>
                  <w:vAlign w:val="center"/>
                </w:tcPr>
                <w:p>
                  <w:pPr>
                    <w:widowControl/>
                    <w:jc w:val="left"/>
                    <w:rPr>
                      <w:kern w:val="0"/>
                      <w:szCs w:val="21"/>
                    </w:rPr>
                  </w:pPr>
                  <w:r>
                    <w:rPr>
                      <w:rFonts w:hint="eastAsia"/>
                      <w:kern w:val="0"/>
                      <w:szCs w:val="21"/>
                    </w:rPr>
                    <w:t>一、暖性针叶林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ind w:firstLine="420" w:firstLineChars="200"/>
                    <w:jc w:val="left"/>
                    <w:rPr>
                      <w:kern w:val="0"/>
                      <w:szCs w:val="21"/>
                    </w:rPr>
                  </w:pPr>
                  <w:r>
                    <w:rPr>
                      <w:rFonts w:hint="eastAsia"/>
                      <w:kern w:val="0"/>
                      <w:szCs w:val="21"/>
                    </w:rPr>
                    <w:t>（1）暖温性针叶林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ind w:firstLine="840" w:firstLineChars="400"/>
                    <w:jc w:val="left"/>
                    <w:rPr>
                      <w:kern w:val="0"/>
                      <w:szCs w:val="21"/>
                    </w:rPr>
                  </w:pPr>
                  <w:r>
                    <w:rPr>
                      <w:rFonts w:hint="eastAsia"/>
                      <w:kern w:val="0"/>
                      <w:szCs w:val="21"/>
                    </w:rPr>
                    <w:t>①云南松群丛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jc w:val="left"/>
                    <w:rPr>
                      <w:kern w:val="0"/>
                      <w:szCs w:val="21"/>
                    </w:rPr>
                  </w:pPr>
                  <w:r>
                    <w:rPr>
                      <w:rFonts w:hint="eastAsia"/>
                      <w:kern w:val="0"/>
                      <w:szCs w:val="21"/>
                    </w:rPr>
                    <w:t>二、灌丛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ind w:firstLine="420" w:firstLineChars="200"/>
                    <w:jc w:val="left"/>
                    <w:rPr>
                      <w:kern w:val="0"/>
                      <w:szCs w:val="21"/>
                    </w:rPr>
                  </w:pPr>
                  <w:r>
                    <w:rPr>
                      <w:rFonts w:hint="eastAsia"/>
                      <w:kern w:val="0"/>
                      <w:szCs w:val="21"/>
                    </w:rPr>
                    <w:t>（2）暖性石灰岩灌丛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ind w:firstLine="840" w:firstLineChars="400"/>
                    <w:jc w:val="left"/>
                    <w:rPr>
                      <w:kern w:val="0"/>
                      <w:szCs w:val="21"/>
                    </w:rPr>
                  </w:pPr>
                  <w:r>
                    <w:rPr>
                      <w:rFonts w:hint="eastAsia"/>
                      <w:kern w:val="0"/>
                      <w:szCs w:val="21"/>
                    </w:rPr>
                    <w:t>②小铁仔+火棘-旱茅群丛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jc w:val="left"/>
                    <w:rPr>
                      <w:kern w:val="0"/>
                      <w:szCs w:val="21"/>
                      <w:highlight w:val="yellow"/>
                    </w:rPr>
                  </w:pPr>
                  <w:r>
                    <w:rPr>
                      <w:rFonts w:hint="eastAsia"/>
                      <w:kern w:val="0"/>
                      <w:szCs w:val="21"/>
                    </w:rPr>
                    <w:t>三、稀树灌木草丛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ind w:firstLine="420" w:firstLineChars="200"/>
                    <w:jc w:val="left"/>
                    <w:rPr>
                      <w:kern w:val="0"/>
                      <w:szCs w:val="21"/>
                    </w:rPr>
                  </w:pPr>
                  <w:r>
                    <w:rPr>
                      <w:rFonts w:hint="eastAsia"/>
                      <w:kern w:val="0"/>
                      <w:szCs w:val="21"/>
                    </w:rPr>
                    <w:t>（</w:t>
                  </w:r>
                  <w:r>
                    <w:rPr>
                      <w:kern w:val="0"/>
                      <w:szCs w:val="21"/>
                    </w:rPr>
                    <w:t>3</w:t>
                  </w:r>
                  <w:r>
                    <w:rPr>
                      <w:rFonts w:hint="eastAsia"/>
                      <w:kern w:val="0"/>
                      <w:szCs w:val="21"/>
                    </w:rPr>
                    <w:t>）暖温性稀树灌木草丛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vMerge w:val="continue"/>
                  <w:tcBorders>
                    <w:tl2br w:val="nil"/>
                    <w:tr2bl w:val="nil"/>
                  </w:tcBorders>
                  <w:vAlign w:val="center"/>
                </w:tcPr>
                <w:p>
                  <w:pPr>
                    <w:widowControl/>
                    <w:jc w:val="center"/>
                    <w:rPr>
                      <w:kern w:val="0"/>
                      <w:szCs w:val="21"/>
                    </w:rPr>
                  </w:pPr>
                </w:p>
              </w:tc>
              <w:tc>
                <w:tcPr>
                  <w:tcW w:w="6286" w:type="dxa"/>
                  <w:tcBorders>
                    <w:tl2br w:val="nil"/>
                    <w:tr2bl w:val="nil"/>
                  </w:tcBorders>
                  <w:vAlign w:val="center"/>
                </w:tcPr>
                <w:p>
                  <w:pPr>
                    <w:widowControl/>
                    <w:ind w:firstLine="840" w:firstLineChars="400"/>
                    <w:jc w:val="left"/>
                    <w:rPr>
                      <w:kern w:val="0"/>
                      <w:szCs w:val="21"/>
                    </w:rPr>
                  </w:pPr>
                  <w:r>
                    <w:rPr>
                      <w:rFonts w:hint="eastAsia"/>
                      <w:kern w:val="0"/>
                      <w:szCs w:val="21"/>
                    </w:rPr>
                    <w:t>③小铁仔-毛蕨群丛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4" w:type="dxa"/>
                  <w:tcBorders>
                    <w:tl2br w:val="nil"/>
                    <w:tr2bl w:val="nil"/>
                  </w:tcBorders>
                  <w:vAlign w:val="center"/>
                </w:tcPr>
                <w:p>
                  <w:pPr>
                    <w:widowControl/>
                    <w:jc w:val="center"/>
                    <w:rPr>
                      <w:kern w:val="0"/>
                      <w:szCs w:val="21"/>
                    </w:rPr>
                  </w:pPr>
                  <w:r>
                    <w:rPr>
                      <w:rFonts w:hint="eastAsia"/>
                      <w:kern w:val="0"/>
                      <w:szCs w:val="21"/>
                    </w:rPr>
                    <w:t>人工植被</w:t>
                  </w:r>
                </w:p>
              </w:tc>
              <w:tc>
                <w:tcPr>
                  <w:tcW w:w="6286" w:type="dxa"/>
                  <w:tcBorders>
                    <w:tl2br w:val="nil"/>
                    <w:tr2bl w:val="nil"/>
                  </w:tcBorders>
                  <w:vAlign w:val="center"/>
                </w:tcPr>
                <w:p>
                  <w:pPr>
                    <w:widowControl/>
                    <w:jc w:val="left"/>
                    <w:rPr>
                      <w:kern w:val="0"/>
                      <w:szCs w:val="21"/>
                    </w:rPr>
                  </w:pPr>
                  <w:r>
                    <w:rPr>
                      <w:rFonts w:hint="eastAsia"/>
                      <w:kern w:val="0"/>
                      <w:szCs w:val="21"/>
                    </w:rPr>
                    <w:t>耕地</w:t>
                  </w:r>
                  <w:r>
                    <w:rPr>
                      <w:kern w:val="0"/>
                      <w:szCs w:val="21"/>
                    </w:rPr>
                    <w:t>作物</w:t>
                  </w:r>
                </w:p>
              </w:tc>
            </w:tr>
          </w:tbl>
          <w:p>
            <w:pPr>
              <w:adjustRightInd w:val="0"/>
              <w:spacing w:line="360" w:lineRule="auto"/>
              <w:ind w:firstLine="480" w:firstLineChars="200"/>
              <w:rPr>
                <w:sz w:val="24"/>
                <w:szCs w:val="28"/>
              </w:rPr>
            </w:pPr>
            <w:r>
              <w:rPr>
                <w:rFonts w:hint="eastAsia"/>
                <w:sz w:val="24"/>
                <w:szCs w:val="28"/>
              </w:rPr>
              <w:t>2）主要群丛特征</w:t>
            </w:r>
          </w:p>
          <w:p>
            <w:pPr>
              <w:adjustRightInd w:val="0"/>
              <w:spacing w:line="360" w:lineRule="auto"/>
              <w:ind w:firstLine="480" w:firstLineChars="200"/>
              <w:rPr>
                <w:bCs/>
                <w:sz w:val="24"/>
              </w:rPr>
            </w:pPr>
            <w:r>
              <w:rPr>
                <w:rFonts w:hint="eastAsia" w:ascii="宋体" w:hAnsi="宋体" w:cs="宋体"/>
                <w:bCs/>
                <w:sz w:val="24"/>
              </w:rPr>
              <w:t>①</w:t>
            </w:r>
            <w:r>
              <w:rPr>
                <w:rFonts w:hint="eastAsia"/>
                <w:bCs/>
                <w:sz w:val="24"/>
              </w:rPr>
              <w:t>云南松群丛</w:t>
            </w:r>
          </w:p>
          <w:p>
            <w:pPr>
              <w:adjustRightInd w:val="0"/>
              <w:spacing w:line="360" w:lineRule="auto"/>
              <w:ind w:firstLine="480" w:firstLineChars="200"/>
              <w:rPr>
                <w:sz w:val="24"/>
              </w:rPr>
            </w:pPr>
            <w:r>
              <w:rPr>
                <w:rFonts w:hint="eastAsia"/>
                <w:sz w:val="24"/>
              </w:rPr>
              <w:t>主要分布于光伏区东侧，本群丛在评价区分布的海拔约</w:t>
            </w:r>
            <w:r>
              <w:rPr>
                <w:sz w:val="24"/>
              </w:rPr>
              <w:t>21</w:t>
            </w:r>
            <w:r>
              <w:rPr>
                <w:rFonts w:hint="eastAsia"/>
                <w:sz w:val="24"/>
              </w:rPr>
              <w:t>00~</w:t>
            </w:r>
            <w:r>
              <w:rPr>
                <w:sz w:val="24"/>
              </w:rPr>
              <w:t>25</w:t>
            </w:r>
            <w:r>
              <w:rPr>
                <w:rFonts w:hint="eastAsia"/>
                <w:sz w:val="24"/>
              </w:rPr>
              <w:t>00m，分布广。该群丛以云南松为单一优势种，乔木层高度在20m以下，受人为影响较大。</w:t>
            </w:r>
          </w:p>
          <w:p>
            <w:pPr>
              <w:adjustRightInd w:val="0"/>
              <w:spacing w:line="360" w:lineRule="auto"/>
              <w:ind w:firstLine="480" w:firstLineChars="200"/>
              <w:rPr>
                <w:sz w:val="24"/>
              </w:rPr>
            </w:pPr>
            <w:r>
              <w:rPr>
                <w:rFonts w:hint="eastAsia"/>
                <w:sz w:val="24"/>
              </w:rPr>
              <w:t>群丛中乔木种类较少，以云南松</w:t>
            </w:r>
            <w:r>
              <w:rPr>
                <w:rFonts w:hint="eastAsia"/>
                <w:i/>
                <w:iCs/>
                <w:sz w:val="24"/>
              </w:rPr>
              <w:t>Pinus yunnanensis</w:t>
            </w:r>
            <w:r>
              <w:rPr>
                <w:rFonts w:hint="eastAsia"/>
                <w:sz w:val="24"/>
              </w:rPr>
              <w:t>为单优势种，伴生种还有</w:t>
            </w:r>
            <w:r>
              <w:rPr>
                <w:sz w:val="24"/>
              </w:rPr>
              <w:t>栓皮栎</w:t>
            </w:r>
            <w:r>
              <w:rPr>
                <w:i/>
                <w:iCs/>
                <w:sz w:val="24"/>
              </w:rPr>
              <w:t>Quercus variabilis</w:t>
            </w:r>
            <w:r>
              <w:rPr>
                <w:rFonts w:hint="eastAsia"/>
                <w:sz w:val="24"/>
              </w:rPr>
              <w:t>、黄毛青冈</w:t>
            </w:r>
            <w:r>
              <w:rPr>
                <w:rFonts w:hint="eastAsia"/>
                <w:i/>
                <w:iCs/>
                <w:sz w:val="24"/>
              </w:rPr>
              <w:t>Quercus delavayi Franch.</w:t>
            </w:r>
            <w:r>
              <w:rPr>
                <w:rFonts w:hint="eastAsia"/>
                <w:sz w:val="24"/>
              </w:rPr>
              <w:t>。</w:t>
            </w:r>
          </w:p>
          <w:p>
            <w:pPr>
              <w:adjustRightInd w:val="0"/>
              <w:spacing w:line="360" w:lineRule="auto"/>
              <w:ind w:firstLine="480" w:firstLineChars="200"/>
              <w:rPr>
                <w:sz w:val="24"/>
              </w:rPr>
            </w:pPr>
            <w:r>
              <w:rPr>
                <w:rFonts w:hint="eastAsia"/>
                <w:sz w:val="24"/>
              </w:rPr>
              <w:t>灌木层主要种类有</w:t>
            </w:r>
            <w:r>
              <w:rPr>
                <w:sz w:val="24"/>
              </w:rPr>
              <w:t>小铁仔</w:t>
            </w:r>
            <w:r>
              <w:rPr>
                <w:i/>
                <w:iCs/>
                <w:sz w:val="24"/>
              </w:rPr>
              <w:t>Myrsine africana</w:t>
            </w:r>
            <w:r>
              <w:rPr>
                <w:rFonts w:hint="eastAsia"/>
                <w:sz w:val="24"/>
              </w:rPr>
              <w:t>、火棘</w:t>
            </w:r>
            <w:r>
              <w:rPr>
                <w:rFonts w:hint="eastAsia"/>
                <w:i/>
                <w:iCs/>
                <w:sz w:val="24"/>
              </w:rPr>
              <w:t>Pyracantha fortuneana</w:t>
            </w:r>
            <w:r>
              <w:rPr>
                <w:rFonts w:hint="eastAsia"/>
                <w:sz w:val="24"/>
              </w:rPr>
              <w:t>、野把子</w:t>
            </w:r>
            <w:r>
              <w:rPr>
                <w:rFonts w:hint="eastAsia"/>
                <w:i/>
                <w:iCs/>
                <w:sz w:val="24"/>
              </w:rPr>
              <w:t>Elsholtzia rugulosa</w:t>
            </w:r>
            <w:r>
              <w:rPr>
                <w:rFonts w:hint="eastAsia"/>
                <w:sz w:val="24"/>
              </w:rPr>
              <w:t>、大白杜鹃</w:t>
            </w:r>
            <w:r>
              <w:rPr>
                <w:rFonts w:hint="eastAsia"/>
                <w:i/>
                <w:iCs/>
                <w:sz w:val="24"/>
              </w:rPr>
              <w:t>Rhododendron decorum</w:t>
            </w:r>
            <w:r>
              <w:rPr>
                <w:rFonts w:hint="eastAsia"/>
                <w:sz w:val="24"/>
              </w:rPr>
              <w:t>、碎米花杜鹃</w:t>
            </w:r>
            <w:r>
              <w:rPr>
                <w:rFonts w:hint="eastAsia"/>
                <w:i/>
                <w:iCs/>
                <w:sz w:val="24"/>
              </w:rPr>
              <w:t>Rhododendron spinuliferum</w:t>
            </w:r>
            <w:r>
              <w:rPr>
                <w:rFonts w:hint="eastAsia"/>
                <w:sz w:val="24"/>
              </w:rPr>
              <w:t>、清香木</w:t>
            </w:r>
            <w:r>
              <w:rPr>
                <w:rFonts w:hint="eastAsia"/>
                <w:i/>
                <w:iCs/>
                <w:sz w:val="24"/>
              </w:rPr>
              <w:t>Pistacia weinmannifolia</w:t>
            </w:r>
            <w:r>
              <w:rPr>
                <w:rFonts w:hint="eastAsia"/>
                <w:sz w:val="24"/>
              </w:rPr>
              <w:t>、滇山杨</w:t>
            </w:r>
            <w:r>
              <w:rPr>
                <w:rFonts w:hint="eastAsia"/>
                <w:i/>
                <w:iCs/>
                <w:sz w:val="24"/>
              </w:rPr>
              <w:t>Populus bonatii</w:t>
            </w:r>
            <w:r>
              <w:rPr>
                <w:rFonts w:hint="eastAsia"/>
                <w:sz w:val="24"/>
              </w:rPr>
              <w:t>、水红木</w:t>
            </w:r>
            <w:r>
              <w:rPr>
                <w:rFonts w:hint="eastAsia"/>
                <w:i/>
                <w:iCs/>
                <w:sz w:val="24"/>
              </w:rPr>
              <w:t>Viburnum cylindricum</w:t>
            </w:r>
            <w:r>
              <w:rPr>
                <w:rFonts w:hint="eastAsia"/>
                <w:sz w:val="24"/>
              </w:rPr>
              <w:t>、米饭花</w:t>
            </w:r>
            <w:r>
              <w:rPr>
                <w:rFonts w:hint="eastAsia"/>
                <w:i/>
                <w:iCs/>
                <w:sz w:val="24"/>
              </w:rPr>
              <w:t>Vaccinium</w:t>
            </w:r>
            <w:r>
              <w:rPr>
                <w:i/>
                <w:iCs/>
                <w:sz w:val="24"/>
              </w:rPr>
              <w:t xml:space="preserve"> </w:t>
            </w:r>
            <w:r>
              <w:rPr>
                <w:rFonts w:hint="eastAsia"/>
                <w:i/>
                <w:iCs/>
                <w:sz w:val="24"/>
              </w:rPr>
              <w:t>sprengelii</w:t>
            </w:r>
            <w:r>
              <w:rPr>
                <w:rFonts w:hint="eastAsia"/>
                <w:sz w:val="24"/>
              </w:rPr>
              <w:t>、马缨花</w:t>
            </w:r>
            <w:r>
              <w:rPr>
                <w:rFonts w:hint="eastAsia"/>
                <w:i/>
                <w:iCs/>
                <w:sz w:val="24"/>
              </w:rPr>
              <w:t>Rhododendron delavayi</w:t>
            </w:r>
            <w:r>
              <w:rPr>
                <w:rFonts w:hint="eastAsia"/>
                <w:sz w:val="24"/>
              </w:rPr>
              <w:t>等。</w:t>
            </w:r>
          </w:p>
          <w:p>
            <w:pPr>
              <w:adjustRightInd w:val="0"/>
              <w:spacing w:line="360" w:lineRule="auto"/>
              <w:ind w:firstLine="480" w:firstLineChars="200"/>
              <w:rPr>
                <w:sz w:val="24"/>
              </w:rPr>
            </w:pPr>
            <w:r>
              <w:rPr>
                <w:rFonts w:hint="eastAsia"/>
                <w:sz w:val="24"/>
              </w:rPr>
              <w:t>草本层主要为禾本科、菊科，主要成层物种有</w:t>
            </w:r>
            <w:r>
              <w:rPr>
                <w:sz w:val="24"/>
              </w:rPr>
              <w:t>毛蕨</w:t>
            </w:r>
            <w:r>
              <w:rPr>
                <w:i/>
                <w:sz w:val="24"/>
              </w:rPr>
              <w:t>Cyclosorus interruptus</w:t>
            </w:r>
            <w:r>
              <w:rPr>
                <w:rFonts w:hint="eastAsia"/>
                <w:iCs/>
                <w:sz w:val="24"/>
              </w:rPr>
              <w:t>、</w:t>
            </w:r>
            <w:r>
              <w:rPr>
                <w:rFonts w:hint="eastAsia"/>
                <w:sz w:val="24"/>
              </w:rPr>
              <w:t>大丁草</w:t>
            </w:r>
            <w:r>
              <w:rPr>
                <w:rFonts w:hint="eastAsia"/>
                <w:i/>
                <w:iCs/>
                <w:sz w:val="24"/>
              </w:rPr>
              <w:t>Gerbera anandria</w:t>
            </w:r>
            <w:r>
              <w:rPr>
                <w:rFonts w:hint="eastAsia"/>
                <w:sz w:val="24"/>
              </w:rPr>
              <w:t>、刺芒野古草</w:t>
            </w:r>
            <w:r>
              <w:rPr>
                <w:rFonts w:hint="eastAsia"/>
                <w:i/>
                <w:iCs/>
                <w:sz w:val="24"/>
              </w:rPr>
              <w:t>Arundinella</w:t>
            </w:r>
            <w:r>
              <w:rPr>
                <w:i/>
                <w:iCs/>
                <w:sz w:val="24"/>
              </w:rPr>
              <w:t xml:space="preserve"> </w:t>
            </w:r>
            <w:r>
              <w:rPr>
                <w:rFonts w:hint="eastAsia"/>
                <w:i/>
                <w:iCs/>
                <w:sz w:val="24"/>
              </w:rPr>
              <w:t>setosa</w:t>
            </w:r>
            <w:r>
              <w:rPr>
                <w:rFonts w:hint="eastAsia"/>
                <w:sz w:val="24"/>
              </w:rPr>
              <w:t>、荩草</w:t>
            </w:r>
            <w:r>
              <w:rPr>
                <w:rFonts w:hint="eastAsia"/>
                <w:i/>
                <w:iCs/>
                <w:sz w:val="24"/>
              </w:rPr>
              <w:t>Arthraxon hispidus</w:t>
            </w:r>
            <w:r>
              <w:rPr>
                <w:rFonts w:hint="eastAsia"/>
                <w:sz w:val="24"/>
              </w:rPr>
              <w:t>、旱茅</w:t>
            </w:r>
            <w:r>
              <w:rPr>
                <w:rFonts w:hint="eastAsia"/>
                <w:i/>
                <w:iCs/>
                <w:sz w:val="24"/>
              </w:rPr>
              <w:t>Eremopogon delavayi</w:t>
            </w:r>
            <w:r>
              <w:rPr>
                <w:rFonts w:hint="eastAsia"/>
                <w:sz w:val="24"/>
              </w:rPr>
              <w:t>、牡蒿</w:t>
            </w:r>
            <w:r>
              <w:rPr>
                <w:rFonts w:hint="eastAsia"/>
                <w:i/>
                <w:iCs/>
                <w:sz w:val="24"/>
              </w:rPr>
              <w:t>Artemisia</w:t>
            </w:r>
            <w:r>
              <w:rPr>
                <w:i/>
                <w:iCs/>
                <w:sz w:val="24"/>
              </w:rPr>
              <w:t xml:space="preserve"> </w:t>
            </w:r>
            <w:r>
              <w:rPr>
                <w:rFonts w:hint="eastAsia"/>
                <w:i/>
                <w:iCs/>
                <w:sz w:val="24"/>
              </w:rPr>
              <w:t>roxburghiana</w:t>
            </w:r>
            <w:r>
              <w:rPr>
                <w:rFonts w:hint="eastAsia"/>
                <w:sz w:val="24"/>
              </w:rPr>
              <w:t>、华火绒草</w:t>
            </w:r>
            <w:r>
              <w:rPr>
                <w:rFonts w:hint="eastAsia"/>
                <w:i/>
                <w:iCs/>
                <w:sz w:val="24"/>
              </w:rPr>
              <w:t>Leontopodium sinense</w:t>
            </w:r>
            <w:r>
              <w:rPr>
                <w:rFonts w:hint="eastAsia"/>
                <w:sz w:val="24"/>
              </w:rPr>
              <w:t>、细柄草</w:t>
            </w:r>
            <w:r>
              <w:rPr>
                <w:rFonts w:hint="eastAsia"/>
                <w:i/>
                <w:iCs/>
                <w:sz w:val="24"/>
              </w:rPr>
              <w:t>Capillipedium parviflorum</w:t>
            </w:r>
            <w:r>
              <w:rPr>
                <w:rFonts w:hint="eastAsia"/>
                <w:sz w:val="24"/>
              </w:rPr>
              <w:t>、疏叶蹄盖蕨</w:t>
            </w:r>
            <w:r>
              <w:rPr>
                <w:rFonts w:hint="eastAsia"/>
                <w:i/>
                <w:iCs/>
                <w:sz w:val="24"/>
              </w:rPr>
              <w:t>Athyrium dissitifolium</w:t>
            </w:r>
            <w:r>
              <w:rPr>
                <w:rFonts w:hint="eastAsia"/>
                <w:sz w:val="24"/>
              </w:rPr>
              <w:t>、紫茎泽兰</w:t>
            </w:r>
            <w:r>
              <w:rPr>
                <w:rFonts w:hint="eastAsia"/>
                <w:i/>
                <w:iCs/>
                <w:sz w:val="24"/>
              </w:rPr>
              <w:t>Ageratina adenophora</w:t>
            </w:r>
            <w:r>
              <w:rPr>
                <w:rFonts w:hint="eastAsia"/>
                <w:sz w:val="24"/>
              </w:rPr>
              <w:t>、叶下花</w:t>
            </w:r>
            <w:r>
              <w:rPr>
                <w:rFonts w:hint="eastAsia"/>
                <w:i/>
                <w:iCs/>
                <w:sz w:val="24"/>
              </w:rPr>
              <w:t>Ainsliaea pertyoides</w:t>
            </w:r>
            <w:r>
              <w:rPr>
                <w:rFonts w:hint="eastAsia"/>
                <w:sz w:val="24"/>
              </w:rPr>
              <w:t>、云南山蚂蝗</w:t>
            </w:r>
            <w:r>
              <w:rPr>
                <w:rFonts w:hint="eastAsia"/>
                <w:i/>
                <w:iCs/>
                <w:sz w:val="24"/>
              </w:rPr>
              <w:t>Desmodium</w:t>
            </w:r>
            <w:r>
              <w:rPr>
                <w:i/>
                <w:iCs/>
                <w:sz w:val="24"/>
              </w:rPr>
              <w:t xml:space="preserve"> </w:t>
            </w:r>
            <w:r>
              <w:rPr>
                <w:rFonts w:hint="eastAsia"/>
                <w:i/>
                <w:iCs/>
                <w:sz w:val="24"/>
              </w:rPr>
              <w:t>yunnanense Franch</w:t>
            </w:r>
            <w:r>
              <w:rPr>
                <w:rFonts w:hint="eastAsia"/>
                <w:sz w:val="24"/>
              </w:rPr>
              <w:t>、糙野青茅</w:t>
            </w:r>
            <w:r>
              <w:rPr>
                <w:rFonts w:hint="eastAsia"/>
                <w:i/>
                <w:iCs/>
                <w:sz w:val="24"/>
              </w:rPr>
              <w:t>Deyeuxia scabrescens</w:t>
            </w:r>
            <w:r>
              <w:rPr>
                <w:rFonts w:hint="eastAsia"/>
                <w:sz w:val="24"/>
              </w:rPr>
              <w:t>等。</w:t>
            </w:r>
          </w:p>
          <w:p>
            <w:pPr>
              <w:adjustRightInd w:val="0"/>
              <w:spacing w:line="360" w:lineRule="auto"/>
              <w:ind w:firstLine="480" w:firstLineChars="200"/>
              <w:rPr>
                <w:sz w:val="24"/>
              </w:rPr>
            </w:pPr>
            <w:r>
              <w:rPr>
                <w:rFonts w:hint="eastAsia"/>
                <w:sz w:val="24"/>
              </w:rPr>
              <w:t>②</w:t>
            </w:r>
            <w:r>
              <w:rPr>
                <w:sz w:val="24"/>
              </w:rPr>
              <w:t>小铁仔</w:t>
            </w:r>
            <w:r>
              <w:rPr>
                <w:rFonts w:hint="eastAsia"/>
                <w:sz w:val="24"/>
              </w:rPr>
              <w:t>+火棘-旱茅群丛</w:t>
            </w:r>
          </w:p>
          <w:p>
            <w:pPr>
              <w:adjustRightInd w:val="0"/>
              <w:spacing w:line="360" w:lineRule="auto"/>
              <w:ind w:firstLine="480" w:firstLineChars="200"/>
              <w:rPr>
                <w:sz w:val="24"/>
              </w:rPr>
            </w:pPr>
            <w:r>
              <w:rPr>
                <w:rFonts w:hint="eastAsia"/>
                <w:sz w:val="24"/>
                <w:szCs w:val="28"/>
              </w:rPr>
              <w:t>主要分布于光伏区周边与乔木林的过渡区域。群丛中主要分为灌木层、草本层，分布于</w:t>
            </w:r>
            <w:r>
              <w:rPr>
                <w:sz w:val="24"/>
                <w:szCs w:val="28"/>
              </w:rPr>
              <w:t>21</w:t>
            </w:r>
            <w:r>
              <w:rPr>
                <w:rFonts w:hint="eastAsia"/>
                <w:sz w:val="24"/>
                <w:szCs w:val="28"/>
              </w:rPr>
              <w:t>00~</w:t>
            </w:r>
            <w:r>
              <w:rPr>
                <w:sz w:val="24"/>
                <w:szCs w:val="28"/>
              </w:rPr>
              <w:t>24</w:t>
            </w:r>
            <w:r>
              <w:rPr>
                <w:rFonts w:hint="eastAsia"/>
                <w:sz w:val="24"/>
                <w:szCs w:val="28"/>
              </w:rPr>
              <w:t>00m海拔范围内，群丛整体盖度约为</w:t>
            </w:r>
            <w:r>
              <w:rPr>
                <w:sz w:val="24"/>
                <w:szCs w:val="28"/>
              </w:rPr>
              <w:t>4</w:t>
            </w:r>
            <w:r>
              <w:rPr>
                <w:rFonts w:hint="eastAsia"/>
                <w:sz w:val="24"/>
                <w:szCs w:val="28"/>
              </w:rPr>
              <w:t>0%左右，地表干燥，受人为干扰较大。</w:t>
            </w:r>
          </w:p>
          <w:p>
            <w:pPr>
              <w:adjustRightInd w:val="0"/>
              <w:spacing w:line="360" w:lineRule="auto"/>
              <w:ind w:firstLine="480" w:firstLineChars="200"/>
              <w:rPr>
                <w:sz w:val="24"/>
                <w:szCs w:val="28"/>
              </w:rPr>
            </w:pPr>
            <w:r>
              <w:rPr>
                <w:rFonts w:hint="eastAsia"/>
                <w:sz w:val="24"/>
                <w:szCs w:val="28"/>
              </w:rPr>
              <w:t>灌木层主要有</w:t>
            </w:r>
            <w:r>
              <w:rPr>
                <w:sz w:val="24"/>
              </w:rPr>
              <w:t>小铁仔</w:t>
            </w:r>
            <w:r>
              <w:rPr>
                <w:i/>
                <w:iCs/>
                <w:sz w:val="24"/>
              </w:rPr>
              <w:t>Myrsine africana</w:t>
            </w:r>
            <w:r>
              <w:rPr>
                <w:rFonts w:hint="eastAsia"/>
                <w:sz w:val="24"/>
                <w:szCs w:val="28"/>
              </w:rPr>
              <w:t>、</w:t>
            </w:r>
            <w:r>
              <w:rPr>
                <w:rFonts w:hint="eastAsia"/>
                <w:sz w:val="24"/>
              </w:rPr>
              <w:t>火棘</w:t>
            </w:r>
            <w:r>
              <w:rPr>
                <w:rFonts w:hint="eastAsia"/>
                <w:i/>
                <w:iCs/>
                <w:sz w:val="24"/>
              </w:rPr>
              <w:t>Pyracantha fortuneana</w:t>
            </w:r>
            <w:r>
              <w:rPr>
                <w:rFonts w:hint="eastAsia"/>
                <w:sz w:val="24"/>
                <w:szCs w:val="28"/>
              </w:rPr>
              <w:t>、</w:t>
            </w:r>
            <w:r>
              <w:rPr>
                <w:rFonts w:hint="eastAsia"/>
                <w:sz w:val="24"/>
              </w:rPr>
              <w:t>野把子</w:t>
            </w:r>
            <w:r>
              <w:rPr>
                <w:rFonts w:hint="eastAsia"/>
                <w:i/>
                <w:iCs/>
                <w:sz w:val="24"/>
              </w:rPr>
              <w:t>Elsholtzia rugulosa</w:t>
            </w:r>
            <w:r>
              <w:rPr>
                <w:rFonts w:hint="eastAsia"/>
                <w:sz w:val="24"/>
              </w:rPr>
              <w:t>、大白杜鹃</w:t>
            </w:r>
            <w:r>
              <w:rPr>
                <w:rFonts w:hint="eastAsia"/>
                <w:i/>
                <w:iCs/>
                <w:sz w:val="24"/>
              </w:rPr>
              <w:t>Rhododendron decorum</w:t>
            </w:r>
            <w:r>
              <w:rPr>
                <w:rFonts w:hint="eastAsia"/>
                <w:sz w:val="24"/>
              </w:rPr>
              <w:t>、碎米花杜鹃</w:t>
            </w:r>
            <w:r>
              <w:rPr>
                <w:rFonts w:hint="eastAsia"/>
                <w:i/>
                <w:iCs/>
                <w:sz w:val="24"/>
              </w:rPr>
              <w:t>Rhododendron spinuliferum</w:t>
            </w:r>
            <w:r>
              <w:rPr>
                <w:rFonts w:hint="eastAsia"/>
                <w:sz w:val="24"/>
              </w:rPr>
              <w:t>、</w:t>
            </w:r>
            <w:r>
              <w:rPr>
                <w:rFonts w:hint="eastAsia"/>
                <w:sz w:val="24"/>
                <w:szCs w:val="28"/>
              </w:rPr>
              <w:t>华西小石积</w:t>
            </w:r>
            <w:r>
              <w:rPr>
                <w:rFonts w:hint="eastAsia"/>
                <w:i/>
                <w:iCs/>
                <w:sz w:val="24"/>
                <w:szCs w:val="28"/>
              </w:rPr>
              <w:t>Osteomeles schwerinae</w:t>
            </w:r>
            <w:r>
              <w:rPr>
                <w:rFonts w:hint="eastAsia"/>
                <w:sz w:val="24"/>
                <w:szCs w:val="28"/>
              </w:rPr>
              <w:t>、羊耳菊</w:t>
            </w:r>
            <w:r>
              <w:rPr>
                <w:rFonts w:hint="eastAsia"/>
                <w:i/>
                <w:iCs/>
                <w:sz w:val="24"/>
                <w:szCs w:val="28"/>
              </w:rPr>
              <w:t>Inula cappa</w:t>
            </w:r>
            <w:r>
              <w:rPr>
                <w:rFonts w:hint="eastAsia"/>
                <w:sz w:val="24"/>
                <w:szCs w:val="28"/>
              </w:rPr>
              <w:t>、圆锥山蚂蝗</w:t>
            </w:r>
            <w:r>
              <w:rPr>
                <w:rFonts w:hint="eastAsia"/>
                <w:i/>
                <w:iCs/>
                <w:sz w:val="24"/>
                <w:szCs w:val="28"/>
              </w:rPr>
              <w:t>Desmodium elegans</w:t>
            </w:r>
            <w:r>
              <w:rPr>
                <w:rFonts w:hint="eastAsia"/>
                <w:sz w:val="24"/>
                <w:szCs w:val="28"/>
              </w:rPr>
              <w:t>等，</w:t>
            </w:r>
            <w:r>
              <w:rPr>
                <w:sz w:val="24"/>
                <w:szCs w:val="28"/>
              </w:rPr>
              <w:t>群</w:t>
            </w:r>
            <w:r>
              <w:rPr>
                <w:rFonts w:hint="eastAsia"/>
                <w:sz w:val="24"/>
                <w:szCs w:val="28"/>
              </w:rPr>
              <w:t>丛</w:t>
            </w:r>
            <w:r>
              <w:rPr>
                <w:sz w:val="24"/>
                <w:szCs w:val="28"/>
              </w:rPr>
              <w:t>中还有云南松</w:t>
            </w:r>
            <w:r>
              <w:rPr>
                <w:i/>
                <w:iCs/>
                <w:sz w:val="24"/>
                <w:szCs w:val="28"/>
              </w:rPr>
              <w:t>Pinus yunnanensis</w:t>
            </w:r>
            <w:r>
              <w:rPr>
                <w:sz w:val="24"/>
                <w:szCs w:val="28"/>
              </w:rPr>
              <w:t>的幼树</w:t>
            </w:r>
            <w:r>
              <w:rPr>
                <w:rFonts w:hint="eastAsia"/>
                <w:sz w:val="24"/>
                <w:szCs w:val="28"/>
              </w:rPr>
              <w:t>。</w:t>
            </w:r>
          </w:p>
          <w:p>
            <w:pPr>
              <w:adjustRightInd w:val="0"/>
              <w:spacing w:line="360" w:lineRule="auto"/>
              <w:ind w:firstLine="480" w:firstLineChars="200"/>
              <w:rPr>
                <w:sz w:val="24"/>
              </w:rPr>
            </w:pPr>
            <w:r>
              <w:rPr>
                <w:rFonts w:hint="eastAsia"/>
                <w:sz w:val="24"/>
                <w:szCs w:val="28"/>
              </w:rPr>
              <w:t>草本层常见</w:t>
            </w:r>
            <w:r>
              <w:rPr>
                <w:sz w:val="24"/>
              </w:rPr>
              <w:t>毛蕨</w:t>
            </w:r>
            <w:r>
              <w:rPr>
                <w:i/>
                <w:sz w:val="24"/>
              </w:rPr>
              <w:t>Cyclosorus interruptus</w:t>
            </w:r>
            <w:r>
              <w:rPr>
                <w:rFonts w:hint="eastAsia"/>
                <w:iCs/>
                <w:sz w:val="24"/>
              </w:rPr>
              <w:t>、</w:t>
            </w:r>
            <w:r>
              <w:rPr>
                <w:rFonts w:hint="eastAsia"/>
                <w:sz w:val="24"/>
              </w:rPr>
              <w:t>大丁草</w:t>
            </w:r>
            <w:r>
              <w:rPr>
                <w:rFonts w:hint="eastAsia"/>
                <w:i/>
                <w:iCs/>
                <w:sz w:val="24"/>
              </w:rPr>
              <w:t>Gerbera anandria</w:t>
            </w:r>
            <w:r>
              <w:rPr>
                <w:rFonts w:hint="eastAsia"/>
                <w:sz w:val="24"/>
              </w:rPr>
              <w:t>、刺芒野古草</w:t>
            </w:r>
            <w:r>
              <w:rPr>
                <w:rFonts w:hint="eastAsia"/>
                <w:i/>
                <w:iCs/>
                <w:sz w:val="24"/>
              </w:rPr>
              <w:t>Arundinella</w:t>
            </w:r>
            <w:r>
              <w:rPr>
                <w:i/>
                <w:iCs/>
                <w:sz w:val="24"/>
              </w:rPr>
              <w:t xml:space="preserve"> </w:t>
            </w:r>
            <w:r>
              <w:rPr>
                <w:rFonts w:hint="eastAsia"/>
                <w:i/>
                <w:iCs/>
                <w:sz w:val="24"/>
              </w:rPr>
              <w:t>setosa</w:t>
            </w:r>
            <w:r>
              <w:rPr>
                <w:rFonts w:hint="eastAsia"/>
                <w:sz w:val="24"/>
              </w:rPr>
              <w:t>、荩草</w:t>
            </w:r>
            <w:r>
              <w:rPr>
                <w:rFonts w:hint="eastAsia"/>
                <w:i/>
                <w:iCs/>
                <w:sz w:val="24"/>
              </w:rPr>
              <w:t>Arthraxon hispidus</w:t>
            </w:r>
            <w:r>
              <w:rPr>
                <w:rFonts w:hint="eastAsia"/>
                <w:sz w:val="24"/>
              </w:rPr>
              <w:t>、旱茅</w:t>
            </w:r>
            <w:r>
              <w:rPr>
                <w:rFonts w:hint="eastAsia"/>
                <w:i/>
                <w:iCs/>
                <w:sz w:val="24"/>
              </w:rPr>
              <w:t>Eremopogon delavayi</w:t>
            </w:r>
            <w:r>
              <w:rPr>
                <w:rFonts w:hint="eastAsia"/>
                <w:sz w:val="24"/>
              </w:rPr>
              <w:t>、</w:t>
            </w:r>
            <w:r>
              <w:rPr>
                <w:rFonts w:hint="eastAsia"/>
                <w:sz w:val="24"/>
                <w:szCs w:val="28"/>
              </w:rPr>
              <w:t>龙须草</w:t>
            </w:r>
            <w:r>
              <w:rPr>
                <w:rFonts w:hint="eastAsia"/>
                <w:i/>
                <w:iCs/>
                <w:sz w:val="24"/>
                <w:szCs w:val="28"/>
              </w:rPr>
              <w:t>Eulaliopsis binata</w:t>
            </w:r>
            <w:r>
              <w:rPr>
                <w:rFonts w:hint="eastAsia"/>
                <w:sz w:val="24"/>
                <w:szCs w:val="28"/>
              </w:rPr>
              <w:t>、硬秆子草</w:t>
            </w:r>
            <w:r>
              <w:rPr>
                <w:rFonts w:hint="eastAsia"/>
                <w:i/>
                <w:iCs/>
                <w:sz w:val="24"/>
                <w:szCs w:val="28"/>
              </w:rPr>
              <w:t>Capillipedium glaucopsis</w:t>
            </w:r>
            <w:r>
              <w:rPr>
                <w:rFonts w:hint="eastAsia"/>
                <w:sz w:val="24"/>
                <w:szCs w:val="28"/>
              </w:rPr>
              <w:t>、</w:t>
            </w:r>
            <w:r>
              <w:rPr>
                <w:sz w:val="24"/>
                <w:szCs w:val="28"/>
              </w:rPr>
              <w:t>飞机草</w:t>
            </w:r>
            <w:r>
              <w:rPr>
                <w:i/>
                <w:iCs/>
                <w:sz w:val="24"/>
                <w:szCs w:val="28"/>
              </w:rPr>
              <w:t>Chromolaena odoratal</w:t>
            </w:r>
            <w:r>
              <w:rPr>
                <w:rFonts w:hint="eastAsia"/>
                <w:sz w:val="24"/>
                <w:szCs w:val="28"/>
              </w:rPr>
              <w:t>、</w:t>
            </w:r>
            <w:r>
              <w:rPr>
                <w:sz w:val="24"/>
                <w:szCs w:val="28"/>
              </w:rPr>
              <w:t>鬼针草</w:t>
            </w:r>
            <w:r>
              <w:rPr>
                <w:i/>
                <w:iCs/>
                <w:sz w:val="24"/>
                <w:szCs w:val="28"/>
              </w:rPr>
              <w:t>Bidens pilosa var. pilosa</w:t>
            </w:r>
            <w:r>
              <w:rPr>
                <w:rFonts w:hint="eastAsia"/>
                <w:sz w:val="24"/>
                <w:szCs w:val="28"/>
              </w:rPr>
              <w:t>、小叶红叶藤</w:t>
            </w:r>
            <w:r>
              <w:rPr>
                <w:rFonts w:hint="eastAsia"/>
                <w:i/>
                <w:iCs/>
                <w:sz w:val="24"/>
                <w:szCs w:val="28"/>
              </w:rPr>
              <w:t>Rourea</w:t>
            </w:r>
            <w:r>
              <w:rPr>
                <w:i/>
                <w:iCs/>
                <w:sz w:val="24"/>
                <w:szCs w:val="28"/>
              </w:rPr>
              <w:t xml:space="preserve"> </w:t>
            </w:r>
            <w:r>
              <w:rPr>
                <w:rFonts w:hint="eastAsia"/>
                <w:i/>
                <w:iCs/>
                <w:sz w:val="24"/>
                <w:szCs w:val="28"/>
              </w:rPr>
              <w:t>microphylla</w:t>
            </w:r>
            <w:r>
              <w:rPr>
                <w:rFonts w:hint="eastAsia"/>
                <w:sz w:val="24"/>
                <w:szCs w:val="28"/>
              </w:rPr>
              <w:t>、红毛悬钩子</w:t>
            </w:r>
            <w:r>
              <w:rPr>
                <w:rFonts w:hint="eastAsia"/>
                <w:i/>
                <w:iCs/>
                <w:sz w:val="24"/>
                <w:szCs w:val="28"/>
              </w:rPr>
              <w:t>Rubus pinfaensis</w:t>
            </w:r>
            <w:r>
              <w:rPr>
                <w:rFonts w:hint="eastAsia"/>
                <w:sz w:val="24"/>
                <w:szCs w:val="28"/>
              </w:rPr>
              <w:t>、车前草</w:t>
            </w:r>
            <w:r>
              <w:rPr>
                <w:rFonts w:hint="eastAsia"/>
                <w:i/>
                <w:iCs/>
                <w:sz w:val="24"/>
                <w:szCs w:val="28"/>
              </w:rPr>
              <w:t>Plantago asiatica</w:t>
            </w:r>
            <w:r>
              <w:rPr>
                <w:rFonts w:hint="eastAsia"/>
                <w:sz w:val="24"/>
                <w:szCs w:val="28"/>
              </w:rPr>
              <w:t>、糙野青茅</w:t>
            </w:r>
            <w:r>
              <w:rPr>
                <w:rFonts w:hint="eastAsia"/>
                <w:i/>
                <w:iCs/>
                <w:sz w:val="24"/>
                <w:szCs w:val="28"/>
              </w:rPr>
              <w:t>Deyeuxia scabrescens</w:t>
            </w:r>
            <w:r>
              <w:rPr>
                <w:rFonts w:hint="eastAsia"/>
                <w:sz w:val="24"/>
                <w:szCs w:val="28"/>
              </w:rPr>
              <w:t>、西南牡蒿</w:t>
            </w:r>
            <w:r>
              <w:rPr>
                <w:rFonts w:hint="eastAsia"/>
                <w:i/>
                <w:iCs/>
                <w:sz w:val="24"/>
                <w:szCs w:val="28"/>
              </w:rPr>
              <w:t>Artemisia</w:t>
            </w:r>
            <w:r>
              <w:rPr>
                <w:i/>
                <w:iCs/>
                <w:sz w:val="24"/>
                <w:szCs w:val="28"/>
              </w:rPr>
              <w:t xml:space="preserve"> </w:t>
            </w:r>
            <w:r>
              <w:rPr>
                <w:rFonts w:hint="eastAsia"/>
                <w:i/>
                <w:iCs/>
                <w:sz w:val="24"/>
                <w:szCs w:val="28"/>
              </w:rPr>
              <w:t>parviflora</w:t>
            </w:r>
            <w:r>
              <w:rPr>
                <w:rFonts w:hint="eastAsia"/>
                <w:sz w:val="24"/>
                <w:szCs w:val="28"/>
              </w:rPr>
              <w:t>、</w:t>
            </w:r>
            <w:r>
              <w:rPr>
                <w:sz w:val="24"/>
                <w:szCs w:val="28"/>
              </w:rPr>
              <w:t>沿阶草</w:t>
            </w:r>
            <w:r>
              <w:rPr>
                <w:i/>
                <w:iCs/>
                <w:sz w:val="24"/>
                <w:szCs w:val="28"/>
              </w:rPr>
              <w:t>Ophiopogon bodinieri</w:t>
            </w:r>
            <w:r>
              <w:rPr>
                <w:rFonts w:hint="eastAsia"/>
                <w:sz w:val="24"/>
                <w:szCs w:val="28"/>
              </w:rPr>
              <w:t>等。</w:t>
            </w:r>
          </w:p>
          <w:p>
            <w:pPr>
              <w:adjustRightInd w:val="0"/>
              <w:spacing w:line="360" w:lineRule="auto"/>
              <w:ind w:firstLine="480" w:firstLineChars="200"/>
              <w:rPr>
                <w:sz w:val="24"/>
                <w:szCs w:val="28"/>
              </w:rPr>
            </w:pPr>
            <w:r>
              <w:rPr>
                <w:rFonts w:hint="eastAsia" w:ascii="宋体" w:hAnsi="宋体" w:cs="宋体"/>
                <w:sz w:val="24"/>
                <w:szCs w:val="28"/>
              </w:rPr>
              <w:t>③小铁仔-毛蕨群丛</w:t>
            </w:r>
          </w:p>
          <w:p>
            <w:pPr>
              <w:adjustRightInd w:val="0"/>
              <w:spacing w:line="360" w:lineRule="auto"/>
              <w:ind w:firstLine="480" w:firstLineChars="200"/>
              <w:rPr>
                <w:sz w:val="24"/>
                <w:szCs w:val="28"/>
              </w:rPr>
            </w:pPr>
            <w:r>
              <w:rPr>
                <w:rFonts w:hint="eastAsia"/>
                <w:sz w:val="24"/>
                <w:szCs w:val="28"/>
              </w:rPr>
              <w:t>主要分布于光伏区域内及周边沟谷开阔区。群丛中主要分为灌木层、草本层，分布于</w:t>
            </w:r>
            <w:r>
              <w:rPr>
                <w:sz w:val="24"/>
                <w:szCs w:val="28"/>
              </w:rPr>
              <w:t>21</w:t>
            </w:r>
            <w:r>
              <w:rPr>
                <w:rFonts w:hint="eastAsia"/>
                <w:sz w:val="24"/>
                <w:szCs w:val="28"/>
              </w:rPr>
              <w:t>00~</w:t>
            </w:r>
            <w:r>
              <w:rPr>
                <w:sz w:val="24"/>
                <w:szCs w:val="28"/>
              </w:rPr>
              <w:t>24</w:t>
            </w:r>
            <w:r>
              <w:rPr>
                <w:rFonts w:hint="eastAsia"/>
                <w:sz w:val="24"/>
                <w:szCs w:val="28"/>
              </w:rPr>
              <w:t>00m海拔范围内，群丛整体盖度约为</w:t>
            </w:r>
            <w:r>
              <w:rPr>
                <w:sz w:val="24"/>
                <w:szCs w:val="28"/>
              </w:rPr>
              <w:t>6</w:t>
            </w:r>
            <w:r>
              <w:rPr>
                <w:rFonts w:hint="eastAsia"/>
                <w:sz w:val="24"/>
                <w:szCs w:val="28"/>
              </w:rPr>
              <w:t>0%左右，地表干燥，受人为干扰较大。</w:t>
            </w:r>
          </w:p>
          <w:p>
            <w:pPr>
              <w:adjustRightInd w:val="0"/>
              <w:spacing w:line="360" w:lineRule="auto"/>
              <w:ind w:firstLine="480" w:firstLineChars="200"/>
              <w:rPr>
                <w:sz w:val="24"/>
                <w:szCs w:val="28"/>
              </w:rPr>
            </w:pPr>
            <w:r>
              <w:rPr>
                <w:rFonts w:hint="eastAsia"/>
                <w:sz w:val="24"/>
                <w:szCs w:val="28"/>
              </w:rPr>
              <w:t>灌木层以</w:t>
            </w:r>
            <w:r>
              <w:rPr>
                <w:sz w:val="24"/>
              </w:rPr>
              <w:t>小铁仔</w:t>
            </w:r>
            <w:r>
              <w:rPr>
                <w:i/>
                <w:iCs/>
                <w:sz w:val="24"/>
              </w:rPr>
              <w:t>Myrsine africana</w:t>
            </w:r>
            <w:r>
              <w:rPr>
                <w:rFonts w:hint="eastAsia"/>
                <w:sz w:val="24"/>
                <w:szCs w:val="28"/>
              </w:rPr>
              <w:t>为优势种，其他常见</w:t>
            </w:r>
            <w:r>
              <w:rPr>
                <w:rFonts w:hint="eastAsia"/>
                <w:sz w:val="24"/>
              </w:rPr>
              <w:t>火棘</w:t>
            </w:r>
            <w:r>
              <w:rPr>
                <w:rFonts w:hint="eastAsia"/>
                <w:i/>
                <w:iCs/>
                <w:sz w:val="24"/>
              </w:rPr>
              <w:t>Pyracantha fortuneana</w:t>
            </w:r>
            <w:r>
              <w:rPr>
                <w:rFonts w:hint="eastAsia"/>
                <w:sz w:val="24"/>
                <w:szCs w:val="28"/>
              </w:rPr>
              <w:t>、</w:t>
            </w:r>
            <w:r>
              <w:rPr>
                <w:rFonts w:hint="eastAsia"/>
                <w:sz w:val="24"/>
              </w:rPr>
              <w:t>野把子</w:t>
            </w:r>
            <w:r>
              <w:rPr>
                <w:rFonts w:hint="eastAsia"/>
                <w:i/>
                <w:iCs/>
                <w:sz w:val="24"/>
              </w:rPr>
              <w:t>Elsholtzia rugulosa</w:t>
            </w:r>
            <w:r>
              <w:rPr>
                <w:rFonts w:hint="eastAsia"/>
                <w:sz w:val="24"/>
              </w:rPr>
              <w:t>、碎米花杜鹃</w:t>
            </w:r>
            <w:r>
              <w:rPr>
                <w:rFonts w:hint="eastAsia"/>
                <w:i/>
                <w:iCs/>
                <w:sz w:val="24"/>
              </w:rPr>
              <w:t>Rhododendron spinuliferum</w:t>
            </w:r>
            <w:r>
              <w:rPr>
                <w:rFonts w:hint="eastAsia"/>
                <w:sz w:val="24"/>
                <w:szCs w:val="28"/>
              </w:rPr>
              <w:t>等。</w:t>
            </w:r>
          </w:p>
          <w:p>
            <w:pPr>
              <w:adjustRightInd w:val="0"/>
              <w:spacing w:line="360" w:lineRule="auto"/>
              <w:ind w:firstLine="480" w:firstLineChars="200"/>
              <w:rPr>
                <w:sz w:val="24"/>
                <w:szCs w:val="28"/>
              </w:rPr>
            </w:pPr>
            <w:r>
              <w:rPr>
                <w:rFonts w:hint="eastAsia"/>
                <w:sz w:val="24"/>
                <w:szCs w:val="28"/>
              </w:rPr>
              <w:t>草本层常见</w:t>
            </w:r>
            <w:r>
              <w:rPr>
                <w:sz w:val="24"/>
              </w:rPr>
              <w:t>毛蕨</w:t>
            </w:r>
            <w:r>
              <w:rPr>
                <w:i/>
                <w:sz w:val="24"/>
              </w:rPr>
              <w:t>Cyclosorus interruptus</w:t>
            </w:r>
            <w:r>
              <w:rPr>
                <w:rFonts w:hint="eastAsia"/>
                <w:iCs/>
                <w:sz w:val="24"/>
              </w:rPr>
              <w:t>、</w:t>
            </w:r>
            <w:r>
              <w:rPr>
                <w:rFonts w:hint="eastAsia"/>
                <w:sz w:val="24"/>
              </w:rPr>
              <w:t>大丁草</w:t>
            </w:r>
            <w:r>
              <w:rPr>
                <w:rFonts w:hint="eastAsia"/>
                <w:i/>
                <w:iCs/>
                <w:sz w:val="24"/>
              </w:rPr>
              <w:t>Gerbera anandria</w:t>
            </w:r>
            <w:r>
              <w:rPr>
                <w:rFonts w:hint="eastAsia"/>
                <w:sz w:val="24"/>
              </w:rPr>
              <w:t>、刺芒野古草</w:t>
            </w:r>
            <w:r>
              <w:rPr>
                <w:rFonts w:hint="eastAsia"/>
                <w:i/>
                <w:iCs/>
                <w:sz w:val="24"/>
              </w:rPr>
              <w:t>Arundinella</w:t>
            </w:r>
            <w:r>
              <w:rPr>
                <w:i/>
                <w:iCs/>
                <w:sz w:val="24"/>
              </w:rPr>
              <w:t xml:space="preserve"> </w:t>
            </w:r>
            <w:r>
              <w:rPr>
                <w:rFonts w:hint="eastAsia"/>
                <w:i/>
                <w:iCs/>
                <w:sz w:val="24"/>
              </w:rPr>
              <w:t>setosa</w:t>
            </w:r>
            <w:r>
              <w:rPr>
                <w:rFonts w:hint="eastAsia"/>
                <w:sz w:val="24"/>
              </w:rPr>
              <w:t>、荩草</w:t>
            </w:r>
            <w:r>
              <w:rPr>
                <w:rFonts w:hint="eastAsia"/>
                <w:i/>
                <w:iCs/>
                <w:sz w:val="24"/>
              </w:rPr>
              <w:t>Arthraxon hispidus</w:t>
            </w:r>
            <w:r>
              <w:rPr>
                <w:rFonts w:hint="eastAsia"/>
                <w:sz w:val="24"/>
              </w:rPr>
              <w:t>、旱茅</w:t>
            </w:r>
            <w:r>
              <w:rPr>
                <w:rFonts w:hint="eastAsia"/>
                <w:i/>
                <w:iCs/>
                <w:sz w:val="24"/>
              </w:rPr>
              <w:t>Eremopogon delavayi</w:t>
            </w:r>
            <w:r>
              <w:rPr>
                <w:rFonts w:hint="eastAsia"/>
                <w:sz w:val="24"/>
              </w:rPr>
              <w:t>、</w:t>
            </w:r>
            <w:r>
              <w:rPr>
                <w:rFonts w:hint="eastAsia"/>
                <w:sz w:val="24"/>
                <w:szCs w:val="28"/>
              </w:rPr>
              <w:t>龙须草</w:t>
            </w:r>
            <w:r>
              <w:rPr>
                <w:rFonts w:hint="eastAsia"/>
                <w:i/>
                <w:iCs/>
                <w:sz w:val="24"/>
                <w:szCs w:val="28"/>
              </w:rPr>
              <w:t>Eulaliopsis binata</w:t>
            </w:r>
            <w:r>
              <w:rPr>
                <w:rFonts w:hint="eastAsia"/>
                <w:sz w:val="24"/>
                <w:szCs w:val="28"/>
              </w:rPr>
              <w:t>、硬秆子草</w:t>
            </w:r>
            <w:r>
              <w:rPr>
                <w:rFonts w:hint="eastAsia"/>
                <w:i/>
                <w:iCs/>
                <w:sz w:val="24"/>
                <w:szCs w:val="28"/>
              </w:rPr>
              <w:t>Capillipedium glaucopsis</w:t>
            </w:r>
            <w:r>
              <w:rPr>
                <w:rFonts w:hint="eastAsia"/>
                <w:sz w:val="24"/>
                <w:szCs w:val="28"/>
              </w:rPr>
              <w:t>、</w:t>
            </w:r>
            <w:r>
              <w:rPr>
                <w:sz w:val="24"/>
                <w:szCs w:val="28"/>
              </w:rPr>
              <w:t>飞机草</w:t>
            </w:r>
            <w:r>
              <w:rPr>
                <w:i/>
                <w:iCs/>
                <w:sz w:val="24"/>
                <w:szCs w:val="28"/>
              </w:rPr>
              <w:t>Chromolaena odoratal</w:t>
            </w:r>
            <w:r>
              <w:rPr>
                <w:rFonts w:hint="eastAsia"/>
                <w:sz w:val="24"/>
                <w:szCs w:val="28"/>
              </w:rPr>
              <w:t>、小叶红叶藤</w:t>
            </w:r>
            <w:r>
              <w:rPr>
                <w:rFonts w:hint="eastAsia"/>
                <w:i/>
                <w:iCs/>
                <w:sz w:val="24"/>
                <w:szCs w:val="28"/>
              </w:rPr>
              <w:t>Rourea</w:t>
            </w:r>
            <w:r>
              <w:rPr>
                <w:i/>
                <w:iCs/>
                <w:sz w:val="24"/>
                <w:szCs w:val="28"/>
              </w:rPr>
              <w:t xml:space="preserve"> </w:t>
            </w:r>
            <w:r>
              <w:rPr>
                <w:rFonts w:hint="eastAsia"/>
                <w:i/>
                <w:iCs/>
                <w:sz w:val="24"/>
                <w:szCs w:val="28"/>
              </w:rPr>
              <w:t>microphylla</w:t>
            </w:r>
            <w:r>
              <w:rPr>
                <w:rFonts w:hint="eastAsia"/>
                <w:sz w:val="24"/>
                <w:szCs w:val="28"/>
              </w:rPr>
              <w:t>、红毛悬钩子</w:t>
            </w:r>
            <w:r>
              <w:rPr>
                <w:rFonts w:hint="eastAsia"/>
                <w:i/>
                <w:iCs/>
                <w:sz w:val="24"/>
                <w:szCs w:val="28"/>
              </w:rPr>
              <w:t>Rubus pinfaensis</w:t>
            </w:r>
            <w:r>
              <w:rPr>
                <w:rFonts w:hint="eastAsia"/>
                <w:sz w:val="24"/>
                <w:szCs w:val="28"/>
              </w:rPr>
              <w:t>、车前草</w:t>
            </w:r>
            <w:r>
              <w:rPr>
                <w:rFonts w:hint="eastAsia"/>
                <w:i/>
                <w:iCs/>
                <w:sz w:val="24"/>
                <w:szCs w:val="28"/>
              </w:rPr>
              <w:t>Plantago asiatica</w:t>
            </w:r>
            <w:r>
              <w:rPr>
                <w:rFonts w:hint="eastAsia"/>
                <w:sz w:val="24"/>
                <w:szCs w:val="28"/>
              </w:rPr>
              <w:t>、糙野青茅</w:t>
            </w:r>
            <w:r>
              <w:rPr>
                <w:rFonts w:hint="eastAsia"/>
                <w:i/>
                <w:iCs/>
                <w:sz w:val="24"/>
                <w:szCs w:val="28"/>
              </w:rPr>
              <w:t>Deyeuxia scabrescens</w:t>
            </w:r>
            <w:r>
              <w:rPr>
                <w:rFonts w:hint="eastAsia"/>
                <w:sz w:val="24"/>
                <w:szCs w:val="28"/>
              </w:rPr>
              <w:t>、西南牡蒿</w:t>
            </w:r>
            <w:r>
              <w:rPr>
                <w:rFonts w:hint="eastAsia"/>
                <w:i/>
                <w:iCs/>
                <w:sz w:val="24"/>
                <w:szCs w:val="28"/>
              </w:rPr>
              <w:t>Artemisia</w:t>
            </w:r>
            <w:r>
              <w:rPr>
                <w:i/>
                <w:iCs/>
                <w:sz w:val="24"/>
                <w:szCs w:val="28"/>
              </w:rPr>
              <w:t xml:space="preserve"> </w:t>
            </w:r>
            <w:r>
              <w:rPr>
                <w:rFonts w:hint="eastAsia"/>
                <w:i/>
                <w:iCs/>
                <w:sz w:val="24"/>
                <w:szCs w:val="28"/>
              </w:rPr>
              <w:t>parviflora</w:t>
            </w:r>
            <w:r>
              <w:rPr>
                <w:rFonts w:hint="eastAsia"/>
                <w:sz w:val="24"/>
                <w:szCs w:val="28"/>
              </w:rPr>
              <w:t>、革叶茴芹</w:t>
            </w:r>
            <w:r>
              <w:rPr>
                <w:rFonts w:hint="eastAsia"/>
                <w:i/>
                <w:iCs/>
                <w:sz w:val="24"/>
                <w:szCs w:val="28"/>
              </w:rPr>
              <w:t>Pimpinella coriacea</w:t>
            </w:r>
            <w:r>
              <w:rPr>
                <w:rFonts w:hint="eastAsia"/>
                <w:sz w:val="24"/>
                <w:szCs w:val="28"/>
              </w:rPr>
              <w:t>等。</w:t>
            </w:r>
          </w:p>
          <w:p>
            <w:pPr>
              <w:adjustRightInd w:val="0"/>
              <w:spacing w:line="360" w:lineRule="auto"/>
              <w:ind w:firstLine="480" w:firstLineChars="200"/>
              <w:rPr>
                <w:sz w:val="24"/>
                <w:szCs w:val="28"/>
              </w:rPr>
            </w:pPr>
            <w:r>
              <w:rPr>
                <w:rFonts w:hint="eastAsia" w:ascii="宋体" w:hAnsi="宋体"/>
                <w:sz w:val="24"/>
                <w:szCs w:val="28"/>
              </w:rPr>
              <w:t>④</w:t>
            </w:r>
            <w:r>
              <w:rPr>
                <w:rFonts w:hint="eastAsia"/>
                <w:sz w:val="24"/>
                <w:szCs w:val="28"/>
              </w:rPr>
              <w:t>耕地作物</w:t>
            </w:r>
          </w:p>
          <w:p>
            <w:pPr>
              <w:adjustRightInd w:val="0"/>
              <w:spacing w:line="360" w:lineRule="auto"/>
              <w:ind w:firstLine="480" w:firstLineChars="200"/>
              <w:rPr>
                <w:sz w:val="24"/>
                <w:szCs w:val="28"/>
              </w:rPr>
            </w:pPr>
            <w:r>
              <w:rPr>
                <w:rFonts w:hint="eastAsia"/>
                <w:sz w:val="24"/>
                <w:szCs w:val="28"/>
              </w:rPr>
              <w:t>评价区及周边区域村寨多，因而耕地分布广，面积大。由于气候干燥，缺少灌溉用水，评价区的耕地多为旱地，主要种植玉米、小麦、土豆等，部分耕地已经弃耕为荒地（荒草地）。</w:t>
            </w:r>
          </w:p>
          <w:p>
            <w:pPr>
              <w:adjustRightInd w:val="0"/>
              <w:spacing w:line="360" w:lineRule="auto"/>
              <w:ind w:firstLine="480" w:firstLineChars="200"/>
              <w:rPr>
                <w:sz w:val="24"/>
                <w:szCs w:val="28"/>
              </w:rPr>
            </w:pPr>
            <w:r>
              <w:rPr>
                <w:rFonts w:hint="eastAsia"/>
                <w:sz w:val="24"/>
                <w:szCs w:val="28"/>
              </w:rPr>
              <w:t>⑤保护植物</w:t>
            </w:r>
          </w:p>
          <w:p>
            <w:pPr>
              <w:adjustRightInd w:val="0"/>
              <w:spacing w:line="360" w:lineRule="auto"/>
              <w:ind w:firstLine="480" w:firstLineChars="200"/>
              <w:rPr>
                <w:b/>
                <w:szCs w:val="21"/>
              </w:rPr>
            </w:pPr>
            <w:r>
              <w:rPr>
                <w:rFonts w:hint="eastAsia"/>
                <w:sz w:val="24"/>
                <w:szCs w:val="28"/>
              </w:rPr>
              <w:t>实地</w:t>
            </w:r>
            <w:r>
              <w:rPr>
                <w:bCs/>
                <w:sz w:val="24"/>
              </w:rPr>
              <w:t>踏勘</w:t>
            </w:r>
            <w:r>
              <w:rPr>
                <w:rFonts w:hint="eastAsia"/>
                <w:sz w:val="24"/>
                <w:szCs w:val="28"/>
              </w:rPr>
              <w:t>未发现评价区域内分布有《国家重点保护野生植物名录》（国家林业和草原局 农业农村部公告，2021年第15号）和《云南省第一批省级保护野生植物名录》（1989）记载的珍稀保护野生植物。根据云南省林业厅文件云林保护字（1996）第65号《关于印发云南省古树名木名录的通知》和实地走访，在评价区范围内未发现有名木古树分布。</w:t>
            </w:r>
          </w:p>
          <w:p>
            <w:pPr>
              <w:jc w:val="center"/>
              <w:rPr>
                <w:b/>
                <w:szCs w:val="21"/>
              </w:rPr>
            </w:pPr>
            <w:r>
              <w:rPr>
                <w:b/>
                <w:szCs w:val="21"/>
              </w:rPr>
              <w:t xml:space="preserve">表3-3  </w:t>
            </w:r>
            <w:r>
              <w:rPr>
                <w:rFonts w:hint="eastAsia"/>
                <w:b/>
                <w:szCs w:val="21"/>
              </w:rPr>
              <w:t>占地范围内植被</w:t>
            </w:r>
            <w:r>
              <w:rPr>
                <w:b/>
                <w:szCs w:val="21"/>
              </w:rPr>
              <w:t>类型统计表</w:t>
            </w:r>
          </w:p>
          <w:tbl>
            <w:tblPr>
              <w:tblStyle w:val="44"/>
              <w:tblW w:w="8169" w:type="dxa"/>
              <w:jc w:val="center"/>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614"/>
              <w:gridCol w:w="2977"/>
              <w:gridCol w:w="1274"/>
              <w:gridCol w:w="1037"/>
            </w:tblGrid>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67" w:type="dxa"/>
                  <w:vAlign w:val="center"/>
                </w:tcPr>
                <w:p>
                  <w:pPr>
                    <w:jc w:val="center"/>
                    <w:rPr>
                      <w:b/>
                      <w:szCs w:val="21"/>
                    </w:rPr>
                  </w:pPr>
                  <w:r>
                    <w:rPr>
                      <w:rFonts w:hint="eastAsia"/>
                      <w:b/>
                      <w:szCs w:val="21"/>
                    </w:rPr>
                    <w:t>地块</w:t>
                  </w:r>
                </w:p>
              </w:tc>
              <w:tc>
                <w:tcPr>
                  <w:tcW w:w="1614" w:type="dxa"/>
                  <w:vAlign w:val="center"/>
                </w:tcPr>
                <w:p>
                  <w:pPr>
                    <w:jc w:val="center"/>
                    <w:rPr>
                      <w:b/>
                      <w:szCs w:val="21"/>
                    </w:rPr>
                  </w:pPr>
                  <w:r>
                    <w:rPr>
                      <w:rFonts w:hint="eastAsia"/>
                      <w:b/>
                      <w:szCs w:val="21"/>
                    </w:rPr>
                    <w:t>植被类型</w:t>
                  </w:r>
                </w:p>
              </w:tc>
              <w:tc>
                <w:tcPr>
                  <w:tcW w:w="2977" w:type="dxa"/>
                  <w:vAlign w:val="center"/>
                </w:tcPr>
                <w:p>
                  <w:pPr>
                    <w:jc w:val="center"/>
                    <w:rPr>
                      <w:b/>
                      <w:szCs w:val="21"/>
                    </w:rPr>
                  </w:pPr>
                  <w:r>
                    <w:rPr>
                      <w:rFonts w:hint="eastAsia"/>
                      <w:b/>
                      <w:szCs w:val="21"/>
                    </w:rPr>
                    <w:t>主要植被</w:t>
                  </w:r>
                </w:p>
              </w:tc>
              <w:tc>
                <w:tcPr>
                  <w:tcW w:w="1274" w:type="dxa"/>
                  <w:vAlign w:val="center"/>
                </w:tcPr>
                <w:p>
                  <w:pPr>
                    <w:jc w:val="center"/>
                    <w:rPr>
                      <w:b/>
                      <w:szCs w:val="21"/>
                    </w:rPr>
                  </w:pPr>
                  <w:r>
                    <w:rPr>
                      <w:b/>
                      <w:szCs w:val="21"/>
                    </w:rPr>
                    <w:t>面积（m</w:t>
                  </w:r>
                  <w:r>
                    <w:rPr>
                      <w:b/>
                      <w:szCs w:val="21"/>
                      <w:vertAlign w:val="superscript"/>
                    </w:rPr>
                    <w:t>2</w:t>
                  </w:r>
                  <w:r>
                    <w:rPr>
                      <w:b/>
                      <w:szCs w:val="21"/>
                    </w:rPr>
                    <w:t>）</w:t>
                  </w:r>
                </w:p>
              </w:tc>
              <w:tc>
                <w:tcPr>
                  <w:tcW w:w="1037" w:type="dxa"/>
                  <w:vAlign w:val="center"/>
                </w:tcPr>
                <w:p>
                  <w:pPr>
                    <w:jc w:val="center"/>
                    <w:rPr>
                      <w:b/>
                      <w:szCs w:val="21"/>
                    </w:rPr>
                  </w:pPr>
                  <w:r>
                    <w:rPr>
                      <w:b/>
                      <w:szCs w:val="21"/>
                    </w:rPr>
                    <w:t>百分比</w:t>
                  </w:r>
                  <w:r>
                    <w:rPr>
                      <w:rFonts w:hint="eastAsia"/>
                      <w:b/>
                      <w:szCs w:val="21"/>
                    </w:rPr>
                    <w:t>（</w:t>
                  </w:r>
                  <w:r>
                    <w:rPr>
                      <w:b/>
                      <w:szCs w:val="21"/>
                    </w:rPr>
                    <w:t>%</w:t>
                  </w:r>
                  <w:r>
                    <w:rPr>
                      <w:rFonts w:hint="eastAsia"/>
                      <w:b/>
                      <w:szCs w:val="21"/>
                    </w:rPr>
                    <w:t>）</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67" w:type="dxa"/>
                  <w:vMerge w:val="restart"/>
                  <w:vAlign w:val="center"/>
                </w:tcPr>
                <w:p>
                  <w:pPr>
                    <w:jc w:val="center"/>
                    <w:rPr>
                      <w:szCs w:val="21"/>
                    </w:rPr>
                  </w:pPr>
                  <w:r>
                    <w:rPr>
                      <w:rFonts w:hint="eastAsia"/>
                      <w:szCs w:val="21"/>
                    </w:rPr>
                    <w:t>光伏区</w:t>
                  </w:r>
                </w:p>
              </w:tc>
              <w:tc>
                <w:tcPr>
                  <w:tcW w:w="1614" w:type="dxa"/>
                  <w:vAlign w:val="center"/>
                </w:tcPr>
                <w:p>
                  <w:pPr>
                    <w:jc w:val="center"/>
                    <w:rPr>
                      <w:szCs w:val="21"/>
                    </w:rPr>
                  </w:pPr>
                  <w:r>
                    <w:rPr>
                      <w:rFonts w:hint="eastAsia"/>
                      <w:szCs w:val="21"/>
                    </w:rPr>
                    <w:t>稀树灌木草丛</w:t>
                  </w:r>
                </w:p>
              </w:tc>
              <w:tc>
                <w:tcPr>
                  <w:tcW w:w="2977" w:type="dxa"/>
                  <w:vAlign w:val="center"/>
                </w:tcPr>
                <w:p>
                  <w:pPr>
                    <w:jc w:val="center"/>
                    <w:rPr>
                      <w:szCs w:val="21"/>
                    </w:rPr>
                  </w:pPr>
                  <w:r>
                    <w:rPr>
                      <w:rFonts w:hint="eastAsia"/>
                      <w:szCs w:val="21"/>
                    </w:rPr>
                    <w:t>小铁仔、火棘、野把子、大白杜鹃、毛蕨、旱茅、荩草</w:t>
                  </w:r>
                </w:p>
              </w:tc>
              <w:tc>
                <w:tcPr>
                  <w:tcW w:w="1274" w:type="dxa"/>
                  <w:vAlign w:val="center"/>
                </w:tcPr>
                <w:p>
                  <w:pPr>
                    <w:widowControl/>
                    <w:jc w:val="center"/>
                    <w:rPr>
                      <w:rFonts w:eastAsia="等线"/>
                      <w:kern w:val="0"/>
                      <w:szCs w:val="21"/>
                    </w:rPr>
                  </w:pPr>
                  <w:r>
                    <w:rPr>
                      <w:rFonts w:hint="eastAsia" w:eastAsia="等线"/>
                      <w:kern w:val="0"/>
                      <w:szCs w:val="21"/>
                    </w:rPr>
                    <w:t>3</w:t>
                  </w:r>
                  <w:r>
                    <w:rPr>
                      <w:rFonts w:eastAsia="等线"/>
                      <w:kern w:val="0"/>
                      <w:szCs w:val="21"/>
                    </w:rPr>
                    <w:t>54546.3</w:t>
                  </w:r>
                </w:p>
              </w:tc>
              <w:tc>
                <w:tcPr>
                  <w:tcW w:w="1037" w:type="dxa"/>
                  <w:vAlign w:val="center"/>
                </w:tcPr>
                <w:p>
                  <w:pPr>
                    <w:widowControl/>
                    <w:jc w:val="center"/>
                    <w:rPr>
                      <w:rFonts w:eastAsia="等线"/>
                      <w:kern w:val="0"/>
                      <w:szCs w:val="21"/>
                    </w:rPr>
                  </w:pPr>
                  <w:r>
                    <w:rPr>
                      <w:rFonts w:hint="eastAsia" w:eastAsia="等线"/>
                      <w:kern w:val="0"/>
                      <w:szCs w:val="21"/>
                    </w:rPr>
                    <w:t>9</w:t>
                  </w:r>
                  <w:r>
                    <w:rPr>
                      <w:rFonts w:eastAsia="等线"/>
                      <w:kern w:val="0"/>
                      <w:szCs w:val="21"/>
                    </w:rPr>
                    <w:t>1.4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67" w:type="dxa"/>
                  <w:vMerge w:val="continue"/>
                  <w:vAlign w:val="center"/>
                </w:tcPr>
                <w:p>
                  <w:pPr>
                    <w:jc w:val="center"/>
                    <w:rPr>
                      <w:szCs w:val="21"/>
                    </w:rPr>
                  </w:pPr>
                </w:p>
              </w:tc>
              <w:tc>
                <w:tcPr>
                  <w:tcW w:w="1614" w:type="dxa"/>
                  <w:vAlign w:val="center"/>
                </w:tcPr>
                <w:p>
                  <w:pPr>
                    <w:jc w:val="center"/>
                    <w:rPr>
                      <w:szCs w:val="21"/>
                    </w:rPr>
                  </w:pPr>
                  <w:r>
                    <w:rPr>
                      <w:rFonts w:hint="eastAsia"/>
                      <w:szCs w:val="21"/>
                    </w:rPr>
                    <w:t>无植被</w:t>
                  </w:r>
                </w:p>
              </w:tc>
              <w:tc>
                <w:tcPr>
                  <w:tcW w:w="2977" w:type="dxa"/>
                  <w:vAlign w:val="center"/>
                </w:tcPr>
                <w:p>
                  <w:pPr>
                    <w:jc w:val="center"/>
                    <w:rPr>
                      <w:szCs w:val="21"/>
                    </w:rPr>
                  </w:pPr>
                  <w:r>
                    <w:rPr>
                      <w:rFonts w:hint="eastAsia"/>
                      <w:szCs w:val="21"/>
                    </w:rPr>
                    <w:t>/</w:t>
                  </w:r>
                </w:p>
              </w:tc>
              <w:tc>
                <w:tcPr>
                  <w:tcW w:w="1274" w:type="dxa"/>
                  <w:vAlign w:val="center"/>
                </w:tcPr>
                <w:p>
                  <w:pPr>
                    <w:widowControl/>
                    <w:jc w:val="center"/>
                    <w:rPr>
                      <w:rFonts w:eastAsia="等线"/>
                      <w:kern w:val="0"/>
                      <w:szCs w:val="21"/>
                    </w:rPr>
                  </w:pPr>
                  <w:r>
                    <w:rPr>
                      <w:rFonts w:hint="eastAsia" w:eastAsia="等线"/>
                      <w:kern w:val="0"/>
                      <w:szCs w:val="21"/>
                    </w:rPr>
                    <w:t>3</w:t>
                  </w:r>
                  <w:r>
                    <w:rPr>
                      <w:rFonts w:eastAsia="等线"/>
                      <w:kern w:val="0"/>
                      <w:szCs w:val="21"/>
                    </w:rPr>
                    <w:t>3363.7</w:t>
                  </w:r>
                </w:p>
              </w:tc>
              <w:tc>
                <w:tcPr>
                  <w:tcW w:w="1037" w:type="dxa"/>
                  <w:vAlign w:val="center"/>
                </w:tcPr>
                <w:p>
                  <w:pPr>
                    <w:widowControl/>
                    <w:jc w:val="center"/>
                    <w:rPr>
                      <w:rFonts w:eastAsia="等线"/>
                      <w:szCs w:val="21"/>
                    </w:rPr>
                  </w:pPr>
                  <w:r>
                    <w:rPr>
                      <w:rFonts w:hint="eastAsia" w:eastAsia="等线"/>
                      <w:szCs w:val="21"/>
                    </w:rPr>
                    <w:t>8</w:t>
                  </w:r>
                  <w:r>
                    <w:rPr>
                      <w:rFonts w:eastAsia="等线"/>
                      <w:szCs w:val="21"/>
                    </w:rPr>
                    <w:t>.6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gridSpan w:val="2"/>
                  <w:vAlign w:val="center"/>
                </w:tcPr>
                <w:p>
                  <w:pPr>
                    <w:jc w:val="center"/>
                    <w:rPr>
                      <w:szCs w:val="21"/>
                    </w:rPr>
                  </w:pPr>
                  <w:r>
                    <w:rPr>
                      <w:rFonts w:hint="eastAsia"/>
                      <w:szCs w:val="21"/>
                    </w:rPr>
                    <w:t>小计</w:t>
                  </w:r>
                </w:p>
              </w:tc>
              <w:tc>
                <w:tcPr>
                  <w:tcW w:w="1274" w:type="dxa"/>
                  <w:vAlign w:val="center"/>
                </w:tcPr>
                <w:p>
                  <w:pPr>
                    <w:jc w:val="center"/>
                    <w:rPr>
                      <w:szCs w:val="21"/>
                    </w:rPr>
                  </w:pPr>
                  <w:r>
                    <w:rPr>
                      <w:rFonts w:hint="eastAsia" w:eastAsia="等线"/>
                      <w:kern w:val="0"/>
                      <w:szCs w:val="21"/>
                    </w:rPr>
                    <w:t>3</w:t>
                  </w:r>
                  <w:r>
                    <w:rPr>
                      <w:rFonts w:eastAsia="等线"/>
                      <w:kern w:val="0"/>
                      <w:szCs w:val="21"/>
                    </w:rPr>
                    <w:t>87910</w:t>
                  </w:r>
                </w:p>
              </w:tc>
              <w:tc>
                <w:tcPr>
                  <w:tcW w:w="1037" w:type="dxa"/>
                  <w:vAlign w:val="center"/>
                </w:tcPr>
                <w:p>
                  <w:pPr>
                    <w:jc w:val="center"/>
                    <w:rPr>
                      <w:rFonts w:eastAsia="等线"/>
                      <w:szCs w:val="21"/>
                    </w:rPr>
                  </w:pPr>
                  <w:r>
                    <w:rPr>
                      <w:rFonts w:hint="eastAsia" w:eastAsia="等线"/>
                      <w:szCs w:val="21"/>
                    </w:rPr>
                    <w:t>1</w:t>
                  </w:r>
                  <w:r>
                    <w:rPr>
                      <w:rFonts w:eastAsia="等线"/>
                      <w:szCs w:val="21"/>
                    </w:rPr>
                    <w:t>00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restart"/>
                  <w:vAlign w:val="center"/>
                </w:tcPr>
                <w:p>
                  <w:pPr>
                    <w:jc w:val="center"/>
                    <w:rPr>
                      <w:szCs w:val="21"/>
                    </w:rPr>
                  </w:pPr>
                  <w:r>
                    <w:rPr>
                      <w:rFonts w:hint="eastAsia"/>
                      <w:szCs w:val="21"/>
                    </w:rPr>
                    <w:t>开关站</w:t>
                  </w:r>
                </w:p>
              </w:tc>
              <w:tc>
                <w:tcPr>
                  <w:tcW w:w="1614" w:type="dxa"/>
                  <w:vAlign w:val="center"/>
                </w:tcPr>
                <w:p>
                  <w:pPr>
                    <w:jc w:val="center"/>
                    <w:rPr>
                      <w:szCs w:val="21"/>
                    </w:rPr>
                  </w:pPr>
                  <w:r>
                    <w:rPr>
                      <w:rFonts w:hint="eastAsia"/>
                      <w:szCs w:val="21"/>
                    </w:rPr>
                    <w:t>稀树灌木草丛</w:t>
                  </w:r>
                </w:p>
              </w:tc>
              <w:tc>
                <w:tcPr>
                  <w:tcW w:w="2977" w:type="dxa"/>
                  <w:vAlign w:val="center"/>
                </w:tcPr>
                <w:p>
                  <w:pPr>
                    <w:jc w:val="center"/>
                    <w:rPr>
                      <w:szCs w:val="21"/>
                    </w:rPr>
                  </w:pPr>
                  <w:r>
                    <w:rPr>
                      <w:rFonts w:hint="eastAsia"/>
                      <w:szCs w:val="21"/>
                    </w:rPr>
                    <w:t>小铁仔、火棘、野把子、毛蕨、旱茅、鬼针草</w:t>
                  </w:r>
                </w:p>
              </w:tc>
              <w:tc>
                <w:tcPr>
                  <w:tcW w:w="1274" w:type="dxa"/>
                  <w:vAlign w:val="center"/>
                </w:tcPr>
                <w:p>
                  <w:pPr>
                    <w:jc w:val="center"/>
                    <w:rPr>
                      <w:szCs w:val="21"/>
                    </w:rPr>
                  </w:pPr>
                  <w:r>
                    <w:rPr>
                      <w:rFonts w:hint="eastAsia"/>
                      <w:szCs w:val="21"/>
                    </w:rPr>
                    <w:t>2</w:t>
                  </w:r>
                  <w:r>
                    <w:rPr>
                      <w:szCs w:val="21"/>
                    </w:rPr>
                    <w:t>163</w:t>
                  </w:r>
                </w:p>
              </w:tc>
              <w:tc>
                <w:tcPr>
                  <w:tcW w:w="1037" w:type="dxa"/>
                  <w:vAlign w:val="center"/>
                </w:tcPr>
                <w:p>
                  <w:pPr>
                    <w:jc w:val="center"/>
                    <w:rPr>
                      <w:rFonts w:eastAsia="等线"/>
                      <w:szCs w:val="21"/>
                    </w:rPr>
                  </w:pPr>
                  <w:r>
                    <w:rPr>
                      <w:rFonts w:hint="eastAsia" w:eastAsia="等线"/>
                      <w:szCs w:val="21"/>
                    </w:rPr>
                    <w:t>7</w:t>
                  </w:r>
                  <w:r>
                    <w:rPr>
                      <w:rFonts w:eastAsia="等线"/>
                      <w:szCs w:val="21"/>
                    </w:rPr>
                    <w:t>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1614" w:type="dxa"/>
                  <w:vAlign w:val="center"/>
                </w:tcPr>
                <w:p>
                  <w:pPr>
                    <w:jc w:val="center"/>
                    <w:rPr>
                      <w:szCs w:val="21"/>
                    </w:rPr>
                  </w:pPr>
                  <w:r>
                    <w:rPr>
                      <w:rFonts w:hint="eastAsia"/>
                      <w:szCs w:val="21"/>
                    </w:rPr>
                    <w:t>无植被</w:t>
                  </w:r>
                </w:p>
              </w:tc>
              <w:tc>
                <w:tcPr>
                  <w:tcW w:w="2977" w:type="dxa"/>
                  <w:vAlign w:val="center"/>
                </w:tcPr>
                <w:p>
                  <w:pPr>
                    <w:jc w:val="center"/>
                    <w:rPr>
                      <w:szCs w:val="21"/>
                    </w:rPr>
                  </w:pPr>
                  <w:r>
                    <w:rPr>
                      <w:rFonts w:hint="eastAsia"/>
                      <w:szCs w:val="21"/>
                    </w:rPr>
                    <w:t>/</w:t>
                  </w:r>
                </w:p>
              </w:tc>
              <w:tc>
                <w:tcPr>
                  <w:tcW w:w="1274" w:type="dxa"/>
                  <w:vAlign w:val="center"/>
                </w:tcPr>
                <w:p>
                  <w:pPr>
                    <w:jc w:val="center"/>
                    <w:rPr>
                      <w:szCs w:val="21"/>
                    </w:rPr>
                  </w:pPr>
                  <w:r>
                    <w:rPr>
                      <w:rFonts w:hint="eastAsia"/>
                      <w:szCs w:val="21"/>
                    </w:rPr>
                    <w:t>9</w:t>
                  </w:r>
                  <w:r>
                    <w:rPr>
                      <w:szCs w:val="21"/>
                    </w:rPr>
                    <w:t>27</w:t>
                  </w:r>
                </w:p>
              </w:tc>
              <w:tc>
                <w:tcPr>
                  <w:tcW w:w="1037" w:type="dxa"/>
                  <w:vAlign w:val="center"/>
                </w:tcPr>
                <w:p>
                  <w:pPr>
                    <w:jc w:val="center"/>
                    <w:rPr>
                      <w:rFonts w:eastAsia="等线"/>
                      <w:szCs w:val="21"/>
                    </w:rPr>
                  </w:pPr>
                  <w:r>
                    <w:rPr>
                      <w:rFonts w:hint="eastAsia" w:eastAsia="等线"/>
                      <w:szCs w:val="21"/>
                    </w:rPr>
                    <w:t>3</w:t>
                  </w:r>
                  <w:r>
                    <w:rPr>
                      <w:rFonts w:eastAsia="等线"/>
                      <w:szCs w:val="21"/>
                    </w:rPr>
                    <w:t>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gridSpan w:val="2"/>
                  <w:vAlign w:val="center"/>
                </w:tcPr>
                <w:p>
                  <w:pPr>
                    <w:jc w:val="center"/>
                    <w:rPr>
                      <w:szCs w:val="21"/>
                    </w:rPr>
                  </w:pPr>
                  <w:r>
                    <w:rPr>
                      <w:rFonts w:hint="eastAsia"/>
                      <w:szCs w:val="21"/>
                    </w:rPr>
                    <w:t>小计</w:t>
                  </w:r>
                </w:p>
              </w:tc>
              <w:tc>
                <w:tcPr>
                  <w:tcW w:w="1274" w:type="dxa"/>
                  <w:vAlign w:val="center"/>
                </w:tcPr>
                <w:p>
                  <w:pPr>
                    <w:jc w:val="center"/>
                    <w:rPr>
                      <w:szCs w:val="21"/>
                    </w:rPr>
                  </w:pPr>
                  <w:r>
                    <w:rPr>
                      <w:rFonts w:hint="eastAsia"/>
                      <w:szCs w:val="21"/>
                    </w:rPr>
                    <w:t>3</w:t>
                  </w:r>
                  <w:r>
                    <w:rPr>
                      <w:szCs w:val="21"/>
                    </w:rPr>
                    <w:t>090</w:t>
                  </w:r>
                </w:p>
              </w:tc>
              <w:tc>
                <w:tcPr>
                  <w:tcW w:w="1037" w:type="dxa"/>
                  <w:vAlign w:val="center"/>
                </w:tcPr>
                <w:p>
                  <w:pPr>
                    <w:jc w:val="center"/>
                    <w:rPr>
                      <w:rFonts w:eastAsia="等线"/>
                      <w:szCs w:val="21"/>
                    </w:rPr>
                  </w:pPr>
                  <w:r>
                    <w:rPr>
                      <w:rFonts w:hint="eastAsia" w:eastAsia="等线"/>
                      <w:szCs w:val="21"/>
                    </w:rPr>
                    <w:t>1</w:t>
                  </w:r>
                  <w:r>
                    <w:rPr>
                      <w:rFonts w:eastAsia="等线"/>
                      <w:szCs w:val="21"/>
                    </w:rPr>
                    <w:t>00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restart"/>
                  <w:vAlign w:val="center"/>
                </w:tcPr>
                <w:p>
                  <w:pPr>
                    <w:jc w:val="center"/>
                    <w:rPr>
                      <w:szCs w:val="21"/>
                    </w:rPr>
                  </w:pPr>
                  <w:r>
                    <w:rPr>
                      <w:rFonts w:hint="eastAsia"/>
                      <w:szCs w:val="21"/>
                    </w:rPr>
                    <w:t>总用地</w:t>
                  </w:r>
                </w:p>
              </w:tc>
              <w:tc>
                <w:tcPr>
                  <w:tcW w:w="1614" w:type="dxa"/>
                  <w:vAlign w:val="center"/>
                </w:tcPr>
                <w:p>
                  <w:pPr>
                    <w:jc w:val="center"/>
                    <w:rPr>
                      <w:szCs w:val="21"/>
                    </w:rPr>
                  </w:pPr>
                  <w:r>
                    <w:rPr>
                      <w:rFonts w:hint="eastAsia"/>
                      <w:szCs w:val="21"/>
                    </w:rPr>
                    <w:t>稀树灌木草丛</w:t>
                  </w:r>
                </w:p>
              </w:tc>
              <w:tc>
                <w:tcPr>
                  <w:tcW w:w="2977" w:type="dxa"/>
                  <w:vAlign w:val="center"/>
                </w:tcPr>
                <w:p>
                  <w:pPr>
                    <w:jc w:val="center"/>
                    <w:rPr>
                      <w:szCs w:val="21"/>
                    </w:rPr>
                  </w:pPr>
                  <w:r>
                    <w:rPr>
                      <w:rFonts w:hint="eastAsia"/>
                      <w:szCs w:val="21"/>
                    </w:rPr>
                    <w:t>小铁仔、火棘、野把子、大白杜鹃、毛蕨、旱茅、荩草</w:t>
                  </w:r>
                </w:p>
              </w:tc>
              <w:tc>
                <w:tcPr>
                  <w:tcW w:w="1274" w:type="dxa"/>
                  <w:vAlign w:val="center"/>
                </w:tcPr>
                <w:p>
                  <w:pPr>
                    <w:widowControl/>
                    <w:jc w:val="center"/>
                    <w:rPr>
                      <w:rFonts w:eastAsia="等线"/>
                      <w:kern w:val="0"/>
                      <w:szCs w:val="21"/>
                    </w:rPr>
                  </w:pPr>
                  <w:r>
                    <w:rPr>
                      <w:rFonts w:hint="eastAsia" w:eastAsia="等线"/>
                      <w:kern w:val="0"/>
                      <w:szCs w:val="21"/>
                    </w:rPr>
                    <w:t>3</w:t>
                  </w:r>
                  <w:r>
                    <w:rPr>
                      <w:rFonts w:eastAsia="等线"/>
                      <w:kern w:val="0"/>
                      <w:szCs w:val="21"/>
                    </w:rPr>
                    <w:t>56709.3</w:t>
                  </w:r>
                </w:p>
              </w:tc>
              <w:tc>
                <w:tcPr>
                  <w:tcW w:w="1037" w:type="dxa"/>
                  <w:vAlign w:val="center"/>
                </w:tcPr>
                <w:p>
                  <w:pPr>
                    <w:jc w:val="center"/>
                    <w:rPr>
                      <w:rFonts w:eastAsia="等线"/>
                      <w:szCs w:val="21"/>
                    </w:rPr>
                  </w:pPr>
                  <w:r>
                    <w:rPr>
                      <w:rFonts w:hint="eastAsia" w:eastAsia="等线"/>
                      <w:szCs w:val="21"/>
                    </w:rPr>
                    <w:t>9</w:t>
                  </w:r>
                  <w:r>
                    <w:rPr>
                      <w:rFonts w:eastAsia="等线"/>
                      <w:szCs w:val="21"/>
                    </w:rPr>
                    <w:t>1.23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1614" w:type="dxa"/>
                  <w:vAlign w:val="center"/>
                </w:tcPr>
                <w:p>
                  <w:pPr>
                    <w:jc w:val="center"/>
                    <w:rPr>
                      <w:szCs w:val="21"/>
                    </w:rPr>
                  </w:pPr>
                  <w:r>
                    <w:rPr>
                      <w:rFonts w:hint="eastAsia"/>
                      <w:szCs w:val="21"/>
                    </w:rPr>
                    <w:t>无植被</w:t>
                  </w:r>
                </w:p>
              </w:tc>
              <w:tc>
                <w:tcPr>
                  <w:tcW w:w="2977" w:type="dxa"/>
                  <w:vAlign w:val="center"/>
                </w:tcPr>
                <w:p>
                  <w:pPr>
                    <w:jc w:val="center"/>
                    <w:rPr>
                      <w:szCs w:val="21"/>
                    </w:rPr>
                  </w:pPr>
                  <w:r>
                    <w:rPr>
                      <w:rFonts w:hint="eastAsia"/>
                      <w:szCs w:val="21"/>
                    </w:rPr>
                    <w:t>/</w:t>
                  </w:r>
                </w:p>
              </w:tc>
              <w:tc>
                <w:tcPr>
                  <w:tcW w:w="1274" w:type="dxa"/>
                  <w:vAlign w:val="center"/>
                </w:tcPr>
                <w:p>
                  <w:pPr>
                    <w:jc w:val="center"/>
                    <w:rPr>
                      <w:rFonts w:eastAsia="等线"/>
                      <w:szCs w:val="21"/>
                    </w:rPr>
                  </w:pPr>
                  <w:r>
                    <w:rPr>
                      <w:rFonts w:hint="eastAsia" w:eastAsia="等线"/>
                      <w:szCs w:val="21"/>
                    </w:rPr>
                    <w:t>3</w:t>
                  </w:r>
                  <w:r>
                    <w:rPr>
                      <w:rFonts w:eastAsia="等线"/>
                      <w:szCs w:val="21"/>
                    </w:rPr>
                    <w:t>4290.7</w:t>
                  </w:r>
                </w:p>
              </w:tc>
              <w:tc>
                <w:tcPr>
                  <w:tcW w:w="1037" w:type="dxa"/>
                  <w:vAlign w:val="center"/>
                </w:tcPr>
                <w:p>
                  <w:pPr>
                    <w:jc w:val="center"/>
                    <w:rPr>
                      <w:rFonts w:eastAsia="等线"/>
                      <w:szCs w:val="21"/>
                    </w:rPr>
                  </w:pPr>
                  <w:r>
                    <w:rPr>
                      <w:rFonts w:hint="eastAsia" w:eastAsia="等线"/>
                      <w:szCs w:val="21"/>
                    </w:rPr>
                    <w:t>8</w:t>
                  </w:r>
                  <w:r>
                    <w:rPr>
                      <w:rFonts w:eastAsia="等线"/>
                      <w:szCs w:val="21"/>
                    </w:rPr>
                    <w:t>.77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gridSpan w:val="2"/>
                  <w:vAlign w:val="center"/>
                </w:tcPr>
                <w:p>
                  <w:pPr>
                    <w:jc w:val="center"/>
                    <w:rPr>
                      <w:szCs w:val="21"/>
                    </w:rPr>
                  </w:pPr>
                  <w:r>
                    <w:rPr>
                      <w:rFonts w:hint="eastAsia"/>
                      <w:szCs w:val="21"/>
                    </w:rPr>
                    <w:t>合计</w:t>
                  </w:r>
                </w:p>
              </w:tc>
              <w:tc>
                <w:tcPr>
                  <w:tcW w:w="1274" w:type="dxa"/>
                  <w:vAlign w:val="center"/>
                </w:tcPr>
                <w:p>
                  <w:pPr>
                    <w:jc w:val="center"/>
                    <w:rPr>
                      <w:szCs w:val="21"/>
                    </w:rPr>
                  </w:pPr>
                  <w:r>
                    <w:rPr>
                      <w:rFonts w:hint="eastAsia"/>
                      <w:szCs w:val="21"/>
                    </w:rPr>
                    <w:t>3</w:t>
                  </w:r>
                  <w:r>
                    <w:rPr>
                      <w:szCs w:val="21"/>
                    </w:rPr>
                    <w:t>91000</w:t>
                  </w:r>
                </w:p>
              </w:tc>
              <w:tc>
                <w:tcPr>
                  <w:tcW w:w="1037" w:type="dxa"/>
                  <w:vAlign w:val="center"/>
                </w:tcPr>
                <w:p>
                  <w:pPr>
                    <w:jc w:val="center"/>
                    <w:rPr>
                      <w:szCs w:val="21"/>
                    </w:rPr>
                  </w:pPr>
                  <w:r>
                    <w:rPr>
                      <w:rFonts w:hint="eastAsia"/>
                      <w:szCs w:val="21"/>
                    </w:rPr>
                    <w:t>1</w:t>
                  </w:r>
                  <w:r>
                    <w:rPr>
                      <w:szCs w:val="21"/>
                    </w:rPr>
                    <w:t>00</w:t>
                  </w:r>
                </w:p>
              </w:tc>
            </w:tr>
          </w:tbl>
          <w:p>
            <w:pPr>
              <w:adjustRightInd w:val="0"/>
              <w:spacing w:line="360" w:lineRule="auto"/>
              <w:ind w:firstLine="480" w:firstLineChars="200"/>
              <w:rPr>
                <w:color w:val="FF0000"/>
                <w:sz w:val="24"/>
                <w:szCs w:val="28"/>
              </w:rPr>
            </w:pPr>
            <w:r>
              <w:rPr>
                <w:rFonts w:hint="eastAsia"/>
                <w:sz w:val="24"/>
              </w:rPr>
              <w:t>项目共用地面积3</w:t>
            </w:r>
            <w:r>
              <w:rPr>
                <w:sz w:val="24"/>
              </w:rPr>
              <w:t>91000</w:t>
            </w:r>
            <w:r>
              <w:rPr>
                <w:rFonts w:hint="eastAsia"/>
                <w:sz w:val="24"/>
              </w:rPr>
              <w:t>m</w:t>
            </w:r>
            <w:r>
              <w:rPr>
                <w:rFonts w:hint="eastAsia"/>
                <w:sz w:val="24"/>
                <w:vertAlign w:val="superscript"/>
              </w:rPr>
              <w:t>2</w:t>
            </w:r>
            <w:r>
              <w:rPr>
                <w:sz w:val="24"/>
              </w:rPr>
              <w:t>，其中，</w:t>
            </w:r>
            <w:r>
              <w:rPr>
                <w:rFonts w:hint="eastAsia"/>
                <w:sz w:val="24"/>
              </w:rPr>
              <w:t>稀树灌木草丛</w:t>
            </w:r>
            <w:r>
              <w:rPr>
                <w:sz w:val="24"/>
              </w:rPr>
              <w:t>面积为356709.3</w:t>
            </w:r>
            <w:r>
              <w:rPr>
                <w:rFonts w:hint="eastAsia"/>
                <w:sz w:val="24"/>
              </w:rPr>
              <w:t>m</w:t>
            </w:r>
            <w:r>
              <w:rPr>
                <w:rFonts w:hint="eastAsia"/>
                <w:sz w:val="24"/>
                <w:vertAlign w:val="superscript"/>
              </w:rPr>
              <w:t>2</w:t>
            </w:r>
            <w:r>
              <w:rPr>
                <w:sz w:val="24"/>
              </w:rPr>
              <w:t>，占总面积的91.23</w:t>
            </w:r>
            <w:r>
              <w:rPr>
                <w:rFonts w:hint="eastAsia"/>
                <w:sz w:val="24"/>
              </w:rPr>
              <w:t>%；无植被区域</w:t>
            </w:r>
            <w:r>
              <w:rPr>
                <w:sz w:val="24"/>
              </w:rPr>
              <w:t>面积为34290.7</w:t>
            </w:r>
            <w:r>
              <w:rPr>
                <w:rFonts w:hint="eastAsia"/>
                <w:sz w:val="24"/>
              </w:rPr>
              <w:t>m</w:t>
            </w:r>
            <w:r>
              <w:rPr>
                <w:rFonts w:hint="eastAsia"/>
                <w:sz w:val="24"/>
                <w:vertAlign w:val="superscript"/>
              </w:rPr>
              <w:t>2</w:t>
            </w:r>
            <w:r>
              <w:rPr>
                <w:sz w:val="24"/>
              </w:rPr>
              <w:t>，占总面积的8.77</w:t>
            </w:r>
            <w:r>
              <w:rPr>
                <w:rFonts w:hint="eastAsia"/>
                <w:sz w:val="24"/>
              </w:rPr>
              <w:t>%。</w:t>
            </w:r>
          </w:p>
          <w:p>
            <w:pPr>
              <w:adjustRightInd w:val="0"/>
              <w:spacing w:line="360" w:lineRule="auto"/>
              <w:ind w:firstLine="482" w:firstLineChars="200"/>
              <w:rPr>
                <w:b/>
                <w:bCs/>
                <w:sz w:val="24"/>
                <w:szCs w:val="28"/>
              </w:rPr>
            </w:pPr>
            <w:r>
              <w:rPr>
                <w:rFonts w:hint="eastAsia"/>
                <w:b/>
                <w:bCs/>
                <w:sz w:val="24"/>
                <w:szCs w:val="28"/>
              </w:rPr>
              <w:t>（</w:t>
            </w:r>
            <w:r>
              <w:rPr>
                <w:b/>
                <w:bCs/>
                <w:sz w:val="24"/>
                <w:szCs w:val="28"/>
              </w:rPr>
              <w:t>4</w:t>
            </w:r>
            <w:r>
              <w:rPr>
                <w:rFonts w:hint="eastAsia"/>
                <w:b/>
                <w:bCs/>
                <w:sz w:val="24"/>
                <w:szCs w:val="28"/>
              </w:rPr>
              <w:t>）动物调查</w:t>
            </w:r>
          </w:p>
          <w:p>
            <w:pPr>
              <w:adjustRightInd w:val="0"/>
              <w:spacing w:line="360" w:lineRule="auto"/>
              <w:ind w:firstLine="480" w:firstLineChars="200"/>
              <w:rPr>
                <w:bCs/>
                <w:sz w:val="24"/>
              </w:rPr>
            </w:pPr>
            <w:r>
              <w:rPr>
                <w:bCs/>
                <w:sz w:val="24"/>
              </w:rPr>
              <w:t>根据现场踏勘及调查，</w:t>
            </w:r>
            <w:r>
              <w:rPr>
                <w:rFonts w:hint="eastAsia"/>
                <w:bCs/>
                <w:sz w:val="24"/>
              </w:rPr>
              <w:t>项目占地</w:t>
            </w:r>
            <w:r>
              <w:rPr>
                <w:bCs/>
                <w:sz w:val="24"/>
              </w:rPr>
              <w:t>区域人类活动较为频繁，植被主要为</w:t>
            </w:r>
            <w:r>
              <w:rPr>
                <w:rFonts w:hint="eastAsia"/>
                <w:bCs/>
                <w:sz w:val="24"/>
              </w:rPr>
              <w:t>小乔木</w:t>
            </w:r>
            <w:r>
              <w:rPr>
                <w:bCs/>
                <w:sz w:val="24"/>
              </w:rPr>
              <w:t>和低矮灌木，大部分地段为荒坡地，</w:t>
            </w:r>
            <w:r>
              <w:rPr>
                <w:rFonts w:hint="eastAsia"/>
                <w:bCs/>
                <w:sz w:val="24"/>
              </w:rPr>
              <w:t>未</w:t>
            </w:r>
            <w:r>
              <w:rPr>
                <w:bCs/>
                <w:sz w:val="24"/>
              </w:rPr>
              <w:t>见大型野生动物分布，</w:t>
            </w:r>
            <w:r>
              <w:rPr>
                <w:rFonts w:hint="eastAsia"/>
                <w:bCs/>
                <w:sz w:val="24"/>
              </w:rPr>
              <w:t>评价区内动物主要为常见野生动物，分别有云南兔、小家鼠、赤腹松鼠、隐纹花松鼠、褐家鼠、麻雀、家燕、壁虎、菜花原矛头蝮、黑眶蟾蜍等常见动物，其迁移能力较强，且多为抗干扰能力较强的伴人居种类。</w:t>
            </w:r>
            <w:r>
              <w:rPr>
                <w:bCs/>
                <w:sz w:val="24"/>
              </w:rPr>
              <w:t>在评价区内未发现国家级和省级重点保护野生动物分布。</w:t>
            </w:r>
          </w:p>
          <w:p>
            <w:pPr>
              <w:adjustRightInd w:val="0"/>
              <w:spacing w:line="360" w:lineRule="auto"/>
              <w:ind w:firstLine="482" w:firstLineChars="200"/>
              <w:rPr>
                <w:b/>
                <w:bCs/>
                <w:sz w:val="24"/>
                <w:szCs w:val="28"/>
              </w:rPr>
            </w:pPr>
            <w:r>
              <w:rPr>
                <w:rFonts w:hint="eastAsia"/>
                <w:b/>
                <w:bCs/>
                <w:sz w:val="24"/>
                <w:szCs w:val="28"/>
              </w:rPr>
              <w:t>（</w:t>
            </w:r>
            <w:r>
              <w:rPr>
                <w:b/>
                <w:bCs/>
                <w:sz w:val="24"/>
                <w:szCs w:val="28"/>
              </w:rPr>
              <w:t>5</w:t>
            </w:r>
            <w:r>
              <w:rPr>
                <w:rFonts w:hint="eastAsia"/>
                <w:b/>
                <w:bCs/>
                <w:sz w:val="24"/>
                <w:szCs w:val="28"/>
              </w:rPr>
              <w:t>）土地利用现状</w:t>
            </w:r>
          </w:p>
          <w:p>
            <w:pPr>
              <w:spacing w:line="360" w:lineRule="auto"/>
              <w:ind w:firstLine="480" w:firstLineChars="200"/>
              <w:jc w:val="left"/>
              <w:rPr>
                <w:b/>
                <w:szCs w:val="21"/>
              </w:rPr>
            </w:pPr>
            <w:r>
              <w:rPr>
                <w:rFonts w:hint="eastAsia"/>
                <w:sz w:val="24"/>
              </w:rPr>
              <w:t>项目占地范围内土地利用类型，见下表。</w:t>
            </w:r>
          </w:p>
          <w:p>
            <w:pPr>
              <w:jc w:val="center"/>
              <w:rPr>
                <w:b/>
                <w:szCs w:val="21"/>
              </w:rPr>
            </w:pPr>
            <w:r>
              <w:rPr>
                <w:b/>
                <w:szCs w:val="21"/>
              </w:rPr>
              <w:t xml:space="preserve">表3-4  </w:t>
            </w:r>
            <w:r>
              <w:rPr>
                <w:rFonts w:hint="eastAsia"/>
                <w:b/>
                <w:szCs w:val="21"/>
              </w:rPr>
              <w:t>项目占地范围内土地利用类型</w:t>
            </w:r>
            <w:r>
              <w:rPr>
                <w:b/>
                <w:szCs w:val="21"/>
              </w:rPr>
              <w:t>统计表</w:t>
            </w:r>
          </w:p>
          <w:tbl>
            <w:tblPr>
              <w:tblStyle w:val="44"/>
              <w:tblW w:w="8169" w:type="dxa"/>
              <w:jc w:val="center"/>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4591"/>
              <w:gridCol w:w="1274"/>
              <w:gridCol w:w="1037"/>
            </w:tblGrid>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Align w:val="center"/>
                </w:tcPr>
                <w:p>
                  <w:pPr>
                    <w:jc w:val="center"/>
                    <w:rPr>
                      <w:b/>
                      <w:szCs w:val="21"/>
                    </w:rPr>
                  </w:pPr>
                  <w:r>
                    <w:rPr>
                      <w:rFonts w:hint="eastAsia"/>
                      <w:b/>
                      <w:szCs w:val="21"/>
                    </w:rPr>
                    <w:t>地块</w:t>
                  </w:r>
                </w:p>
              </w:tc>
              <w:tc>
                <w:tcPr>
                  <w:tcW w:w="4591" w:type="dxa"/>
                  <w:vAlign w:val="center"/>
                </w:tcPr>
                <w:p>
                  <w:pPr>
                    <w:jc w:val="center"/>
                    <w:rPr>
                      <w:b/>
                      <w:szCs w:val="21"/>
                    </w:rPr>
                  </w:pPr>
                  <w:r>
                    <w:rPr>
                      <w:rFonts w:hint="eastAsia"/>
                      <w:b/>
                      <w:szCs w:val="21"/>
                    </w:rPr>
                    <w:t>用地类型</w:t>
                  </w:r>
                </w:p>
              </w:tc>
              <w:tc>
                <w:tcPr>
                  <w:tcW w:w="1274" w:type="dxa"/>
                  <w:vAlign w:val="center"/>
                </w:tcPr>
                <w:p>
                  <w:pPr>
                    <w:jc w:val="center"/>
                    <w:rPr>
                      <w:b/>
                      <w:szCs w:val="21"/>
                    </w:rPr>
                  </w:pPr>
                  <w:r>
                    <w:rPr>
                      <w:b/>
                      <w:szCs w:val="21"/>
                    </w:rPr>
                    <w:t>面积（m</w:t>
                  </w:r>
                  <w:r>
                    <w:rPr>
                      <w:b/>
                      <w:szCs w:val="21"/>
                      <w:vertAlign w:val="superscript"/>
                    </w:rPr>
                    <w:t>2</w:t>
                  </w:r>
                  <w:r>
                    <w:rPr>
                      <w:b/>
                      <w:szCs w:val="21"/>
                    </w:rPr>
                    <w:t>）</w:t>
                  </w:r>
                </w:p>
              </w:tc>
              <w:tc>
                <w:tcPr>
                  <w:tcW w:w="1037" w:type="dxa"/>
                  <w:vAlign w:val="center"/>
                </w:tcPr>
                <w:p>
                  <w:pPr>
                    <w:jc w:val="center"/>
                    <w:rPr>
                      <w:b/>
                      <w:szCs w:val="21"/>
                    </w:rPr>
                  </w:pPr>
                  <w:r>
                    <w:rPr>
                      <w:b/>
                      <w:szCs w:val="21"/>
                    </w:rPr>
                    <w:t>百分比</w:t>
                  </w:r>
                  <w:r>
                    <w:rPr>
                      <w:rFonts w:hint="eastAsia"/>
                      <w:b/>
                      <w:szCs w:val="21"/>
                    </w:rPr>
                    <w:t>（</w:t>
                  </w:r>
                  <w:r>
                    <w:rPr>
                      <w:b/>
                      <w:szCs w:val="21"/>
                    </w:rPr>
                    <w:t>%</w:t>
                  </w:r>
                  <w:r>
                    <w:rPr>
                      <w:rFonts w:hint="eastAsia"/>
                      <w:b/>
                      <w:szCs w:val="21"/>
                    </w:rPr>
                    <w:t>）</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67" w:type="dxa"/>
                  <w:vMerge w:val="restart"/>
                  <w:vAlign w:val="center"/>
                </w:tcPr>
                <w:p>
                  <w:pPr>
                    <w:jc w:val="center"/>
                    <w:rPr>
                      <w:szCs w:val="21"/>
                    </w:rPr>
                  </w:pPr>
                  <w:r>
                    <w:rPr>
                      <w:rFonts w:hint="eastAsia"/>
                      <w:szCs w:val="21"/>
                    </w:rPr>
                    <w:t>光伏区</w:t>
                  </w:r>
                </w:p>
              </w:tc>
              <w:tc>
                <w:tcPr>
                  <w:tcW w:w="4591" w:type="dxa"/>
                  <w:vAlign w:val="center"/>
                </w:tcPr>
                <w:p>
                  <w:pPr>
                    <w:jc w:val="center"/>
                    <w:rPr>
                      <w:szCs w:val="21"/>
                    </w:rPr>
                  </w:pPr>
                  <w:r>
                    <w:rPr>
                      <w:rFonts w:hint="eastAsia"/>
                      <w:szCs w:val="21"/>
                    </w:rPr>
                    <w:t>其他林地</w:t>
                  </w:r>
                  <w:r>
                    <w:rPr>
                      <w:rFonts w:hint="eastAsia"/>
                      <w:kern w:val="0"/>
                      <w:szCs w:val="21"/>
                      <w:lang w:bidi="ar"/>
                    </w:rPr>
                    <w:t>（灌木覆盖度＜40%的林地）</w:t>
                  </w:r>
                </w:p>
              </w:tc>
              <w:tc>
                <w:tcPr>
                  <w:tcW w:w="1274" w:type="dxa"/>
                  <w:vAlign w:val="center"/>
                </w:tcPr>
                <w:p>
                  <w:pPr>
                    <w:widowControl/>
                    <w:jc w:val="center"/>
                    <w:rPr>
                      <w:rFonts w:eastAsia="等线"/>
                      <w:kern w:val="0"/>
                      <w:szCs w:val="21"/>
                    </w:rPr>
                  </w:pPr>
                  <w:r>
                    <w:rPr>
                      <w:rFonts w:hint="eastAsia" w:eastAsia="等线"/>
                      <w:kern w:val="0"/>
                      <w:szCs w:val="21"/>
                    </w:rPr>
                    <w:t>3</w:t>
                  </w:r>
                  <w:r>
                    <w:rPr>
                      <w:rFonts w:eastAsia="等线"/>
                      <w:kern w:val="0"/>
                      <w:szCs w:val="21"/>
                    </w:rPr>
                    <w:t>54546.3</w:t>
                  </w:r>
                </w:p>
              </w:tc>
              <w:tc>
                <w:tcPr>
                  <w:tcW w:w="1037" w:type="dxa"/>
                  <w:vAlign w:val="center"/>
                </w:tcPr>
                <w:p>
                  <w:pPr>
                    <w:widowControl/>
                    <w:jc w:val="center"/>
                    <w:rPr>
                      <w:rFonts w:eastAsia="等线"/>
                      <w:kern w:val="0"/>
                      <w:szCs w:val="21"/>
                    </w:rPr>
                  </w:pPr>
                  <w:r>
                    <w:rPr>
                      <w:rFonts w:hint="eastAsia" w:eastAsia="等线"/>
                      <w:kern w:val="0"/>
                      <w:szCs w:val="21"/>
                    </w:rPr>
                    <w:t>9</w:t>
                  </w:r>
                  <w:r>
                    <w:rPr>
                      <w:rFonts w:eastAsia="等线"/>
                      <w:kern w:val="0"/>
                      <w:szCs w:val="21"/>
                    </w:rPr>
                    <w:t>1.4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67" w:type="dxa"/>
                  <w:vMerge w:val="continue"/>
                  <w:vAlign w:val="center"/>
                </w:tcPr>
                <w:p>
                  <w:pPr>
                    <w:jc w:val="center"/>
                    <w:rPr>
                      <w:szCs w:val="21"/>
                    </w:rPr>
                  </w:pPr>
                </w:p>
              </w:tc>
              <w:tc>
                <w:tcPr>
                  <w:tcW w:w="4591" w:type="dxa"/>
                  <w:vAlign w:val="center"/>
                </w:tcPr>
                <w:p>
                  <w:pPr>
                    <w:jc w:val="center"/>
                    <w:rPr>
                      <w:szCs w:val="21"/>
                    </w:rPr>
                  </w:pPr>
                  <w:r>
                    <w:rPr>
                      <w:rFonts w:hint="eastAsia"/>
                      <w:szCs w:val="21"/>
                    </w:rPr>
                    <w:t>裸土地</w:t>
                  </w:r>
                </w:p>
              </w:tc>
              <w:tc>
                <w:tcPr>
                  <w:tcW w:w="1274" w:type="dxa"/>
                  <w:vAlign w:val="center"/>
                </w:tcPr>
                <w:p>
                  <w:pPr>
                    <w:widowControl/>
                    <w:jc w:val="center"/>
                    <w:rPr>
                      <w:rFonts w:eastAsia="等线"/>
                      <w:kern w:val="0"/>
                      <w:szCs w:val="21"/>
                    </w:rPr>
                  </w:pPr>
                  <w:r>
                    <w:rPr>
                      <w:rFonts w:hint="eastAsia" w:eastAsia="等线"/>
                      <w:kern w:val="0"/>
                      <w:szCs w:val="21"/>
                    </w:rPr>
                    <w:t>3</w:t>
                  </w:r>
                  <w:r>
                    <w:rPr>
                      <w:rFonts w:eastAsia="等线"/>
                      <w:kern w:val="0"/>
                      <w:szCs w:val="21"/>
                    </w:rPr>
                    <w:t>3363.7</w:t>
                  </w:r>
                </w:p>
              </w:tc>
              <w:tc>
                <w:tcPr>
                  <w:tcW w:w="1037" w:type="dxa"/>
                  <w:vAlign w:val="center"/>
                </w:tcPr>
                <w:p>
                  <w:pPr>
                    <w:widowControl/>
                    <w:jc w:val="center"/>
                    <w:rPr>
                      <w:rFonts w:eastAsia="等线"/>
                      <w:szCs w:val="21"/>
                    </w:rPr>
                  </w:pPr>
                  <w:r>
                    <w:rPr>
                      <w:rFonts w:hint="eastAsia" w:eastAsia="等线"/>
                      <w:szCs w:val="21"/>
                    </w:rPr>
                    <w:t>8</w:t>
                  </w:r>
                  <w:r>
                    <w:rPr>
                      <w:rFonts w:eastAsia="等线"/>
                      <w:szCs w:val="21"/>
                    </w:rPr>
                    <w:t>.6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vAlign w:val="center"/>
                </w:tcPr>
                <w:p>
                  <w:pPr>
                    <w:jc w:val="center"/>
                    <w:rPr>
                      <w:szCs w:val="21"/>
                    </w:rPr>
                  </w:pPr>
                  <w:r>
                    <w:rPr>
                      <w:rFonts w:hint="eastAsia"/>
                      <w:szCs w:val="21"/>
                    </w:rPr>
                    <w:t>小计</w:t>
                  </w:r>
                </w:p>
              </w:tc>
              <w:tc>
                <w:tcPr>
                  <w:tcW w:w="1274" w:type="dxa"/>
                  <w:vAlign w:val="center"/>
                </w:tcPr>
                <w:p>
                  <w:pPr>
                    <w:jc w:val="center"/>
                    <w:rPr>
                      <w:szCs w:val="21"/>
                    </w:rPr>
                  </w:pPr>
                  <w:r>
                    <w:rPr>
                      <w:rFonts w:hint="eastAsia" w:eastAsia="等线"/>
                      <w:kern w:val="0"/>
                      <w:szCs w:val="21"/>
                    </w:rPr>
                    <w:t>3</w:t>
                  </w:r>
                  <w:r>
                    <w:rPr>
                      <w:rFonts w:eastAsia="等线"/>
                      <w:kern w:val="0"/>
                      <w:szCs w:val="21"/>
                    </w:rPr>
                    <w:t>87910</w:t>
                  </w:r>
                </w:p>
              </w:tc>
              <w:tc>
                <w:tcPr>
                  <w:tcW w:w="1037" w:type="dxa"/>
                  <w:vAlign w:val="center"/>
                </w:tcPr>
                <w:p>
                  <w:pPr>
                    <w:jc w:val="center"/>
                    <w:rPr>
                      <w:rFonts w:eastAsia="等线"/>
                      <w:szCs w:val="21"/>
                    </w:rPr>
                  </w:pPr>
                  <w:r>
                    <w:rPr>
                      <w:rFonts w:hint="eastAsia" w:eastAsia="等线"/>
                      <w:szCs w:val="21"/>
                    </w:rPr>
                    <w:t>1</w:t>
                  </w:r>
                  <w:r>
                    <w:rPr>
                      <w:rFonts w:eastAsia="等线"/>
                      <w:szCs w:val="21"/>
                    </w:rPr>
                    <w:t>00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restart"/>
                  <w:vAlign w:val="center"/>
                </w:tcPr>
                <w:p>
                  <w:pPr>
                    <w:jc w:val="center"/>
                    <w:rPr>
                      <w:szCs w:val="21"/>
                    </w:rPr>
                  </w:pPr>
                  <w:r>
                    <w:rPr>
                      <w:rFonts w:hint="eastAsia"/>
                      <w:szCs w:val="21"/>
                    </w:rPr>
                    <w:t>开关站</w:t>
                  </w:r>
                </w:p>
              </w:tc>
              <w:tc>
                <w:tcPr>
                  <w:tcW w:w="4591" w:type="dxa"/>
                  <w:vAlign w:val="center"/>
                </w:tcPr>
                <w:p>
                  <w:pPr>
                    <w:jc w:val="center"/>
                    <w:rPr>
                      <w:szCs w:val="21"/>
                    </w:rPr>
                  </w:pPr>
                  <w:r>
                    <w:rPr>
                      <w:rFonts w:hint="eastAsia"/>
                      <w:szCs w:val="21"/>
                    </w:rPr>
                    <w:t>其他林地</w:t>
                  </w:r>
                  <w:r>
                    <w:rPr>
                      <w:rFonts w:hint="eastAsia"/>
                      <w:kern w:val="0"/>
                      <w:szCs w:val="21"/>
                      <w:lang w:bidi="ar"/>
                    </w:rPr>
                    <w:t>（灌木覆盖度＜40%的林地）</w:t>
                  </w:r>
                </w:p>
              </w:tc>
              <w:tc>
                <w:tcPr>
                  <w:tcW w:w="1274" w:type="dxa"/>
                  <w:vAlign w:val="center"/>
                </w:tcPr>
                <w:p>
                  <w:pPr>
                    <w:jc w:val="center"/>
                    <w:rPr>
                      <w:szCs w:val="21"/>
                    </w:rPr>
                  </w:pPr>
                  <w:r>
                    <w:rPr>
                      <w:rFonts w:hint="eastAsia"/>
                      <w:szCs w:val="21"/>
                    </w:rPr>
                    <w:t>2</w:t>
                  </w:r>
                  <w:r>
                    <w:rPr>
                      <w:szCs w:val="21"/>
                    </w:rPr>
                    <w:t>163</w:t>
                  </w:r>
                </w:p>
              </w:tc>
              <w:tc>
                <w:tcPr>
                  <w:tcW w:w="1037" w:type="dxa"/>
                  <w:vAlign w:val="center"/>
                </w:tcPr>
                <w:p>
                  <w:pPr>
                    <w:jc w:val="center"/>
                    <w:rPr>
                      <w:rFonts w:eastAsia="等线"/>
                      <w:szCs w:val="21"/>
                    </w:rPr>
                  </w:pPr>
                  <w:r>
                    <w:rPr>
                      <w:rFonts w:hint="eastAsia" w:eastAsia="等线"/>
                      <w:szCs w:val="21"/>
                    </w:rPr>
                    <w:t>7</w:t>
                  </w:r>
                  <w:r>
                    <w:rPr>
                      <w:rFonts w:eastAsia="等线"/>
                      <w:szCs w:val="21"/>
                    </w:rPr>
                    <w:t>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vAlign w:val="center"/>
                </w:tcPr>
                <w:p>
                  <w:pPr>
                    <w:jc w:val="center"/>
                    <w:rPr>
                      <w:szCs w:val="21"/>
                    </w:rPr>
                  </w:pPr>
                  <w:r>
                    <w:rPr>
                      <w:rFonts w:hint="eastAsia"/>
                      <w:szCs w:val="21"/>
                    </w:rPr>
                    <w:t>裸土地</w:t>
                  </w:r>
                </w:p>
              </w:tc>
              <w:tc>
                <w:tcPr>
                  <w:tcW w:w="1274" w:type="dxa"/>
                  <w:vAlign w:val="center"/>
                </w:tcPr>
                <w:p>
                  <w:pPr>
                    <w:jc w:val="center"/>
                    <w:rPr>
                      <w:szCs w:val="21"/>
                    </w:rPr>
                  </w:pPr>
                  <w:r>
                    <w:rPr>
                      <w:rFonts w:hint="eastAsia"/>
                      <w:szCs w:val="21"/>
                    </w:rPr>
                    <w:t>9</w:t>
                  </w:r>
                  <w:r>
                    <w:rPr>
                      <w:szCs w:val="21"/>
                    </w:rPr>
                    <w:t>27</w:t>
                  </w:r>
                </w:p>
              </w:tc>
              <w:tc>
                <w:tcPr>
                  <w:tcW w:w="1037" w:type="dxa"/>
                  <w:vAlign w:val="center"/>
                </w:tcPr>
                <w:p>
                  <w:pPr>
                    <w:jc w:val="center"/>
                    <w:rPr>
                      <w:rFonts w:eastAsia="等线"/>
                      <w:szCs w:val="21"/>
                    </w:rPr>
                  </w:pPr>
                  <w:r>
                    <w:rPr>
                      <w:rFonts w:hint="eastAsia" w:eastAsia="等线"/>
                      <w:szCs w:val="21"/>
                    </w:rPr>
                    <w:t>3</w:t>
                  </w:r>
                  <w:r>
                    <w:rPr>
                      <w:rFonts w:eastAsia="等线"/>
                      <w:szCs w:val="21"/>
                    </w:rPr>
                    <w:t>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vAlign w:val="center"/>
                </w:tcPr>
                <w:p>
                  <w:pPr>
                    <w:jc w:val="center"/>
                    <w:rPr>
                      <w:szCs w:val="21"/>
                    </w:rPr>
                  </w:pPr>
                  <w:r>
                    <w:rPr>
                      <w:rFonts w:hint="eastAsia"/>
                      <w:szCs w:val="21"/>
                    </w:rPr>
                    <w:t>小计</w:t>
                  </w:r>
                </w:p>
              </w:tc>
              <w:tc>
                <w:tcPr>
                  <w:tcW w:w="1274" w:type="dxa"/>
                  <w:vAlign w:val="center"/>
                </w:tcPr>
                <w:p>
                  <w:pPr>
                    <w:jc w:val="center"/>
                    <w:rPr>
                      <w:szCs w:val="21"/>
                    </w:rPr>
                  </w:pPr>
                  <w:r>
                    <w:rPr>
                      <w:rFonts w:hint="eastAsia"/>
                      <w:szCs w:val="21"/>
                    </w:rPr>
                    <w:t>3</w:t>
                  </w:r>
                  <w:r>
                    <w:rPr>
                      <w:szCs w:val="21"/>
                    </w:rPr>
                    <w:t>090</w:t>
                  </w:r>
                </w:p>
              </w:tc>
              <w:tc>
                <w:tcPr>
                  <w:tcW w:w="1037" w:type="dxa"/>
                  <w:vAlign w:val="center"/>
                </w:tcPr>
                <w:p>
                  <w:pPr>
                    <w:jc w:val="center"/>
                    <w:rPr>
                      <w:rFonts w:eastAsia="等线"/>
                      <w:szCs w:val="21"/>
                    </w:rPr>
                  </w:pPr>
                  <w:r>
                    <w:rPr>
                      <w:rFonts w:hint="eastAsia" w:eastAsia="等线"/>
                      <w:szCs w:val="21"/>
                    </w:rPr>
                    <w:t>1</w:t>
                  </w:r>
                  <w:r>
                    <w:rPr>
                      <w:rFonts w:eastAsia="等线"/>
                      <w:szCs w:val="21"/>
                    </w:rPr>
                    <w:t>00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restart"/>
                  <w:vAlign w:val="center"/>
                </w:tcPr>
                <w:p>
                  <w:pPr>
                    <w:jc w:val="center"/>
                    <w:rPr>
                      <w:szCs w:val="21"/>
                    </w:rPr>
                  </w:pPr>
                  <w:r>
                    <w:rPr>
                      <w:rFonts w:hint="eastAsia"/>
                      <w:szCs w:val="21"/>
                    </w:rPr>
                    <w:t>总用地</w:t>
                  </w:r>
                </w:p>
              </w:tc>
              <w:tc>
                <w:tcPr>
                  <w:tcW w:w="4591" w:type="dxa"/>
                  <w:vAlign w:val="center"/>
                </w:tcPr>
                <w:p>
                  <w:pPr>
                    <w:jc w:val="center"/>
                    <w:rPr>
                      <w:szCs w:val="21"/>
                    </w:rPr>
                  </w:pPr>
                  <w:r>
                    <w:rPr>
                      <w:rFonts w:hint="eastAsia"/>
                      <w:szCs w:val="21"/>
                    </w:rPr>
                    <w:t>其他林地（灌木覆盖度＜40%的林地）</w:t>
                  </w:r>
                </w:p>
              </w:tc>
              <w:tc>
                <w:tcPr>
                  <w:tcW w:w="1274" w:type="dxa"/>
                  <w:vAlign w:val="center"/>
                </w:tcPr>
                <w:p>
                  <w:pPr>
                    <w:widowControl/>
                    <w:jc w:val="center"/>
                    <w:rPr>
                      <w:rFonts w:eastAsia="等线"/>
                      <w:kern w:val="0"/>
                      <w:szCs w:val="21"/>
                    </w:rPr>
                  </w:pPr>
                  <w:r>
                    <w:rPr>
                      <w:rFonts w:hint="eastAsia" w:eastAsia="等线"/>
                      <w:kern w:val="0"/>
                      <w:szCs w:val="21"/>
                    </w:rPr>
                    <w:t>3</w:t>
                  </w:r>
                  <w:r>
                    <w:rPr>
                      <w:rFonts w:eastAsia="等线"/>
                      <w:kern w:val="0"/>
                      <w:szCs w:val="21"/>
                    </w:rPr>
                    <w:t>56709.3</w:t>
                  </w:r>
                </w:p>
              </w:tc>
              <w:tc>
                <w:tcPr>
                  <w:tcW w:w="1037" w:type="dxa"/>
                  <w:vAlign w:val="center"/>
                </w:tcPr>
                <w:p>
                  <w:pPr>
                    <w:jc w:val="center"/>
                    <w:rPr>
                      <w:rFonts w:eastAsia="等线"/>
                      <w:szCs w:val="21"/>
                    </w:rPr>
                  </w:pPr>
                  <w:r>
                    <w:rPr>
                      <w:rFonts w:hint="eastAsia" w:eastAsia="等线"/>
                      <w:szCs w:val="21"/>
                    </w:rPr>
                    <w:t>9</w:t>
                  </w:r>
                  <w:r>
                    <w:rPr>
                      <w:rFonts w:eastAsia="等线"/>
                      <w:szCs w:val="21"/>
                    </w:rPr>
                    <w:t>1.23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vAlign w:val="center"/>
                </w:tcPr>
                <w:p>
                  <w:pPr>
                    <w:jc w:val="center"/>
                    <w:rPr>
                      <w:szCs w:val="21"/>
                    </w:rPr>
                  </w:pPr>
                  <w:r>
                    <w:rPr>
                      <w:rFonts w:hint="eastAsia"/>
                      <w:szCs w:val="21"/>
                    </w:rPr>
                    <w:t>裸土地</w:t>
                  </w:r>
                </w:p>
              </w:tc>
              <w:tc>
                <w:tcPr>
                  <w:tcW w:w="1274" w:type="dxa"/>
                  <w:vAlign w:val="center"/>
                </w:tcPr>
                <w:p>
                  <w:pPr>
                    <w:jc w:val="center"/>
                    <w:rPr>
                      <w:rFonts w:eastAsia="等线"/>
                      <w:szCs w:val="21"/>
                    </w:rPr>
                  </w:pPr>
                  <w:r>
                    <w:rPr>
                      <w:rFonts w:hint="eastAsia" w:eastAsia="等线"/>
                      <w:szCs w:val="21"/>
                    </w:rPr>
                    <w:t>3</w:t>
                  </w:r>
                  <w:r>
                    <w:rPr>
                      <w:rFonts w:eastAsia="等线"/>
                      <w:szCs w:val="21"/>
                    </w:rPr>
                    <w:t>4290.7</w:t>
                  </w:r>
                </w:p>
              </w:tc>
              <w:tc>
                <w:tcPr>
                  <w:tcW w:w="1037" w:type="dxa"/>
                  <w:vAlign w:val="center"/>
                </w:tcPr>
                <w:p>
                  <w:pPr>
                    <w:jc w:val="center"/>
                    <w:rPr>
                      <w:rFonts w:eastAsia="等线"/>
                      <w:szCs w:val="21"/>
                    </w:rPr>
                  </w:pPr>
                  <w:r>
                    <w:rPr>
                      <w:rFonts w:hint="eastAsia" w:eastAsia="等线"/>
                      <w:szCs w:val="21"/>
                    </w:rPr>
                    <w:t>8</w:t>
                  </w:r>
                  <w:r>
                    <w:rPr>
                      <w:rFonts w:eastAsia="等线"/>
                      <w:szCs w:val="21"/>
                    </w:rPr>
                    <w:t>.77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67" w:type="dxa"/>
                  <w:vMerge w:val="continue"/>
                  <w:vAlign w:val="center"/>
                </w:tcPr>
                <w:p>
                  <w:pPr>
                    <w:jc w:val="center"/>
                    <w:rPr>
                      <w:szCs w:val="21"/>
                    </w:rPr>
                  </w:pPr>
                </w:p>
              </w:tc>
              <w:tc>
                <w:tcPr>
                  <w:tcW w:w="4591" w:type="dxa"/>
                  <w:vAlign w:val="center"/>
                </w:tcPr>
                <w:p>
                  <w:pPr>
                    <w:jc w:val="center"/>
                    <w:rPr>
                      <w:szCs w:val="21"/>
                    </w:rPr>
                  </w:pPr>
                  <w:r>
                    <w:rPr>
                      <w:rFonts w:hint="eastAsia"/>
                      <w:szCs w:val="21"/>
                    </w:rPr>
                    <w:t>合计</w:t>
                  </w:r>
                </w:p>
              </w:tc>
              <w:tc>
                <w:tcPr>
                  <w:tcW w:w="1274" w:type="dxa"/>
                  <w:vAlign w:val="center"/>
                </w:tcPr>
                <w:p>
                  <w:pPr>
                    <w:jc w:val="center"/>
                    <w:rPr>
                      <w:szCs w:val="21"/>
                    </w:rPr>
                  </w:pPr>
                  <w:r>
                    <w:rPr>
                      <w:rFonts w:hint="eastAsia"/>
                      <w:szCs w:val="21"/>
                    </w:rPr>
                    <w:t>3</w:t>
                  </w:r>
                  <w:r>
                    <w:rPr>
                      <w:szCs w:val="21"/>
                    </w:rPr>
                    <w:t>91000</w:t>
                  </w:r>
                </w:p>
              </w:tc>
              <w:tc>
                <w:tcPr>
                  <w:tcW w:w="1037" w:type="dxa"/>
                  <w:vAlign w:val="center"/>
                </w:tcPr>
                <w:p>
                  <w:pPr>
                    <w:jc w:val="center"/>
                    <w:rPr>
                      <w:szCs w:val="21"/>
                    </w:rPr>
                  </w:pPr>
                  <w:r>
                    <w:rPr>
                      <w:rFonts w:hint="eastAsia"/>
                      <w:szCs w:val="21"/>
                    </w:rPr>
                    <w:t>1</w:t>
                  </w:r>
                  <w:r>
                    <w:rPr>
                      <w:szCs w:val="21"/>
                    </w:rPr>
                    <w:t>00</w:t>
                  </w:r>
                </w:p>
              </w:tc>
            </w:tr>
          </w:tbl>
          <w:p>
            <w:pPr>
              <w:adjustRightInd w:val="0"/>
              <w:spacing w:line="360" w:lineRule="auto"/>
              <w:ind w:firstLine="480" w:firstLineChars="200"/>
              <w:rPr>
                <w:bCs/>
                <w:color w:val="FF0000"/>
                <w:kern w:val="0"/>
                <w:sz w:val="24"/>
              </w:rPr>
            </w:pPr>
            <w:r>
              <w:rPr>
                <w:rFonts w:hint="eastAsia"/>
                <w:sz w:val="24"/>
              </w:rPr>
              <w:t>项</w:t>
            </w:r>
            <w:r>
              <w:rPr>
                <w:sz w:val="24"/>
              </w:rPr>
              <w:t>目</w:t>
            </w:r>
            <w:r>
              <w:rPr>
                <w:rFonts w:hint="eastAsia"/>
                <w:sz w:val="24"/>
              </w:rPr>
              <w:t>虽然</w:t>
            </w:r>
            <w:r>
              <w:rPr>
                <w:sz w:val="24"/>
              </w:rPr>
              <w:t>占地面积较大，</w:t>
            </w:r>
            <w:r>
              <w:rPr>
                <w:rFonts w:hint="eastAsia"/>
                <w:sz w:val="24"/>
              </w:rPr>
              <w:t>但</w:t>
            </w:r>
            <w:r>
              <w:rPr>
                <w:sz w:val="24"/>
              </w:rPr>
              <w:t>光伏区占地为临时占地，</w:t>
            </w:r>
            <w:r>
              <w:rPr>
                <w:rFonts w:hint="eastAsia"/>
                <w:sz w:val="24"/>
              </w:rPr>
              <w:t>不</w:t>
            </w:r>
            <w:r>
              <w:rPr>
                <w:sz w:val="24"/>
              </w:rPr>
              <w:t>计入永久占地</w:t>
            </w:r>
            <w:r>
              <w:rPr>
                <w:rFonts w:hint="eastAsia"/>
                <w:sz w:val="24"/>
              </w:rPr>
              <w:t>。</w:t>
            </w:r>
            <w:r>
              <w:rPr>
                <w:sz w:val="24"/>
              </w:rPr>
              <w:t>永久占地仅涉及</w:t>
            </w:r>
            <w:r>
              <w:rPr>
                <w:rFonts w:hint="eastAsia"/>
                <w:sz w:val="24"/>
              </w:rPr>
              <w:t>开关站、箱变基础</w:t>
            </w:r>
            <w:r>
              <w:rPr>
                <w:sz w:val="24"/>
              </w:rPr>
              <w:t>，</w:t>
            </w:r>
            <w:r>
              <w:rPr>
                <w:rFonts w:hint="eastAsia"/>
                <w:sz w:val="24"/>
              </w:rPr>
              <w:t>永</w:t>
            </w:r>
            <w:r>
              <w:rPr>
                <w:sz w:val="24"/>
              </w:rPr>
              <w:t>久占地仅3790</w:t>
            </w:r>
            <w:r>
              <w:rPr>
                <w:rFonts w:hint="eastAsia"/>
                <w:sz w:val="24"/>
              </w:rPr>
              <w:t>m</w:t>
            </w:r>
            <w:r>
              <w:rPr>
                <w:rFonts w:hint="eastAsia"/>
                <w:sz w:val="24"/>
                <w:vertAlign w:val="superscript"/>
              </w:rPr>
              <w:t>2</w:t>
            </w:r>
            <w:r>
              <w:rPr>
                <w:rFonts w:hint="eastAsia"/>
                <w:sz w:val="24"/>
              </w:rPr>
              <w:t>，</w:t>
            </w:r>
            <w:r>
              <w:rPr>
                <w:sz w:val="24"/>
              </w:rPr>
              <w:t>占地类型为</w:t>
            </w:r>
            <w:r>
              <w:rPr>
                <w:rFonts w:hint="eastAsia"/>
                <w:sz w:val="24"/>
              </w:rPr>
              <w:t>其他林地、裸土地。</w:t>
            </w:r>
          </w:p>
          <w:p>
            <w:pPr>
              <w:adjustRightInd w:val="0"/>
              <w:spacing w:line="360" w:lineRule="auto"/>
              <w:rPr>
                <w:rFonts w:eastAsiaTheme="minorEastAsia"/>
                <w:b/>
                <w:sz w:val="24"/>
                <w:szCs w:val="28"/>
              </w:rPr>
            </w:pPr>
            <w:r>
              <w:rPr>
                <w:rFonts w:eastAsiaTheme="minorEastAsia"/>
                <w:b/>
                <w:sz w:val="24"/>
                <w:szCs w:val="28"/>
              </w:rPr>
              <w:t>2</w:t>
            </w:r>
            <w:r>
              <w:rPr>
                <w:rFonts w:hint="eastAsia" w:eastAsiaTheme="minorEastAsia"/>
                <w:b/>
                <w:sz w:val="24"/>
                <w:szCs w:val="28"/>
              </w:rPr>
              <w:t>、</w:t>
            </w:r>
            <w:r>
              <w:rPr>
                <w:rFonts w:ascii="宋体" w:hAnsi="宋体"/>
                <w:b/>
                <w:sz w:val="24"/>
                <w:szCs w:val="28"/>
              </w:rPr>
              <w:t>环境空气质量现状</w:t>
            </w:r>
          </w:p>
          <w:p>
            <w:pPr>
              <w:adjustRightInd w:val="0"/>
              <w:spacing w:line="360" w:lineRule="auto"/>
              <w:ind w:firstLine="512" w:firstLineChars="200"/>
              <w:rPr>
                <w:sz w:val="24"/>
              </w:rPr>
            </w:pPr>
            <w:r>
              <w:rPr>
                <w:spacing w:val="8"/>
                <w:sz w:val="24"/>
              </w:rPr>
              <w:t>根据《环境空气质量标准》（GB3095-2012）中</w:t>
            </w:r>
            <w:r>
              <w:rPr>
                <w:rFonts w:hint="eastAsia"/>
                <w:spacing w:val="8"/>
                <w:sz w:val="24"/>
              </w:rPr>
              <w:t>“</w:t>
            </w:r>
            <w:r>
              <w:rPr>
                <w:spacing w:val="8"/>
                <w:sz w:val="24"/>
              </w:rPr>
              <w:t>环境空气功能区分类</w:t>
            </w:r>
            <w:r>
              <w:rPr>
                <w:rFonts w:hint="eastAsia"/>
                <w:spacing w:val="8"/>
                <w:sz w:val="24"/>
              </w:rPr>
              <w:t>”</w:t>
            </w:r>
            <w:r>
              <w:rPr>
                <w:spacing w:val="8"/>
                <w:sz w:val="24"/>
              </w:rPr>
              <w:t>，项目所在地属于农村地区，划为</w:t>
            </w:r>
            <w:r>
              <w:rPr>
                <w:sz w:val="24"/>
              </w:rPr>
              <w:t>二类环境功能区</w:t>
            </w:r>
            <w:r>
              <w:rPr>
                <w:spacing w:val="8"/>
                <w:sz w:val="24"/>
              </w:rPr>
              <w:t>，应执行《环境空气质量标准》（GB3095-2012）二级标准。</w:t>
            </w:r>
            <w:r>
              <w:rPr>
                <w:rFonts w:hint="eastAsia"/>
                <w:bCs/>
                <w:sz w:val="24"/>
              </w:rPr>
              <w:t>根据《2022年度昆明市生态环境状况公报》，各县（市）区环境空气质量总体保持良好。</w:t>
            </w:r>
          </w:p>
          <w:p>
            <w:pPr>
              <w:pStyle w:val="22"/>
              <w:adjustRightInd w:val="0"/>
              <w:spacing w:after="0" w:line="360" w:lineRule="auto"/>
              <w:ind w:left="0" w:leftChars="0" w:firstLine="480" w:firstLineChars="200"/>
              <w:rPr>
                <w:sz w:val="24"/>
              </w:rPr>
            </w:pPr>
            <w:r>
              <w:rPr>
                <w:rFonts w:hint="eastAsia"/>
                <w:sz w:val="24"/>
              </w:rPr>
              <w:t>本项目位于农村地区，所在区域无大型工业污染源，环境空气质量优于公报中寻甸县城监测点的空气质量，因此，</w:t>
            </w:r>
            <w:r>
              <w:rPr>
                <w:sz w:val="24"/>
              </w:rPr>
              <w:t>判定本区域为</w:t>
            </w:r>
            <w:r>
              <w:rPr>
                <w:rFonts w:hint="eastAsia"/>
                <w:sz w:val="24"/>
              </w:rPr>
              <w:t>环境空气质量</w:t>
            </w:r>
            <w:r>
              <w:rPr>
                <w:sz w:val="24"/>
              </w:rPr>
              <w:t>达标区域</w:t>
            </w:r>
            <w:r>
              <w:rPr>
                <w:rFonts w:hint="eastAsia"/>
                <w:sz w:val="24"/>
              </w:rPr>
              <w:t>。</w:t>
            </w:r>
          </w:p>
          <w:p>
            <w:pPr>
              <w:adjustRightInd w:val="0"/>
              <w:spacing w:line="360" w:lineRule="auto"/>
              <w:rPr>
                <w:b/>
                <w:sz w:val="24"/>
                <w:szCs w:val="28"/>
              </w:rPr>
            </w:pPr>
            <w:r>
              <w:rPr>
                <w:b/>
                <w:sz w:val="24"/>
                <w:szCs w:val="28"/>
              </w:rPr>
              <w:t>3</w:t>
            </w:r>
            <w:r>
              <w:rPr>
                <w:rFonts w:hint="eastAsia"/>
                <w:b/>
                <w:sz w:val="24"/>
                <w:szCs w:val="28"/>
              </w:rPr>
              <w:t>、地表水环境现状</w:t>
            </w:r>
          </w:p>
          <w:p>
            <w:pPr>
              <w:adjustRightInd w:val="0"/>
              <w:spacing w:line="360" w:lineRule="auto"/>
              <w:ind w:firstLine="480" w:firstLineChars="200"/>
              <w:rPr>
                <w:sz w:val="24"/>
                <w:szCs w:val="28"/>
              </w:rPr>
            </w:pPr>
            <w:r>
              <w:rPr>
                <w:rFonts w:hint="eastAsia"/>
                <w:sz w:val="24"/>
                <w:szCs w:val="28"/>
              </w:rPr>
              <w:t>项目位于小江流域，场址区域海拔较高，场地内水分稀缺，项目区内仅有少量山间季节性溪沟，最近的地表水体为大白河，为小江上游。</w:t>
            </w:r>
            <w:r>
              <w:rPr>
                <w:sz w:val="24"/>
              </w:rPr>
              <w:t>根据《云南省水功能区划》（云南省水利厅，2014年修订），</w:t>
            </w:r>
            <w:r>
              <w:rPr>
                <w:rFonts w:hint="eastAsia"/>
                <w:sz w:val="24"/>
                <w:szCs w:val="28"/>
              </w:rPr>
              <w:t>小江寻甸-东川保留区：由寻甸县清水海出口至东川区入金沙江口，全长141.0km，规划水平年水质目标为Ⅲ类，执行《地表水环境质量标准》（GB3838-2002）Ⅲ类标准。</w:t>
            </w:r>
          </w:p>
          <w:p>
            <w:pPr>
              <w:adjustRightInd w:val="0"/>
              <w:spacing w:line="360" w:lineRule="auto"/>
              <w:ind w:firstLine="480" w:firstLineChars="200"/>
              <w:rPr>
                <w:sz w:val="24"/>
                <w:szCs w:val="28"/>
              </w:rPr>
            </w:pPr>
            <w:r>
              <w:rPr>
                <w:bCs/>
                <w:kern w:val="0"/>
                <w:sz w:val="24"/>
              </w:rPr>
              <w:t>根据</w:t>
            </w:r>
            <w:r>
              <w:rPr>
                <w:rFonts w:hint="eastAsia"/>
                <w:bCs/>
                <w:sz w:val="24"/>
              </w:rPr>
              <w:t>《2022年度昆明市生态环境状况公报》</w:t>
            </w:r>
            <w:r>
              <w:rPr>
                <w:rFonts w:hint="eastAsia"/>
                <w:sz w:val="24"/>
                <w:szCs w:val="28"/>
              </w:rPr>
              <w:t>，2</w:t>
            </w:r>
            <w:r>
              <w:rPr>
                <w:sz w:val="24"/>
                <w:szCs w:val="28"/>
              </w:rPr>
              <w:t>022</w:t>
            </w:r>
            <w:r>
              <w:rPr>
                <w:rFonts w:hint="eastAsia"/>
                <w:sz w:val="24"/>
                <w:szCs w:val="28"/>
              </w:rPr>
              <w:t>年小江所有监测断面水质类别符合《地表水环境质量标准》（GB3838-2002）Ⅱ类标准，地表水环境质量区域达标。</w:t>
            </w:r>
          </w:p>
          <w:p>
            <w:pPr>
              <w:adjustRightInd w:val="0"/>
              <w:spacing w:line="360" w:lineRule="auto"/>
              <w:rPr>
                <w:b/>
                <w:sz w:val="24"/>
                <w:szCs w:val="28"/>
              </w:rPr>
            </w:pPr>
            <w:r>
              <w:rPr>
                <w:b/>
                <w:sz w:val="24"/>
                <w:szCs w:val="28"/>
              </w:rPr>
              <w:t>4</w:t>
            </w:r>
            <w:r>
              <w:rPr>
                <w:rFonts w:hint="eastAsia"/>
                <w:b/>
                <w:sz w:val="24"/>
                <w:szCs w:val="28"/>
              </w:rPr>
              <w:t>、声环境现状</w:t>
            </w:r>
          </w:p>
          <w:p>
            <w:pPr>
              <w:adjustRightInd w:val="0"/>
              <w:spacing w:line="360" w:lineRule="auto"/>
              <w:ind w:firstLine="480" w:firstLineChars="200"/>
              <w:jc w:val="left"/>
              <w:rPr>
                <w:bCs/>
                <w:kern w:val="0"/>
                <w:sz w:val="24"/>
              </w:rPr>
            </w:pPr>
            <w:r>
              <w:rPr>
                <w:rFonts w:hint="eastAsia"/>
                <w:sz w:val="24"/>
                <w:szCs w:val="28"/>
              </w:rPr>
              <w:t>项目位于农村地区，经现场踏勘，项目区较为安静，</w:t>
            </w:r>
            <w:r>
              <w:rPr>
                <w:sz w:val="24"/>
              </w:rPr>
              <w:t>项目场址区域内无建筑和其他设施，场址周围无大型工业污染项目，周围无噪声源，以自然声源为主，</w:t>
            </w:r>
            <w:r>
              <w:rPr>
                <w:rFonts w:hint="eastAsia"/>
                <w:sz w:val="24"/>
              </w:rPr>
              <w:t>执行</w:t>
            </w:r>
            <w:r>
              <w:rPr>
                <w:rFonts w:hint="eastAsia"/>
                <w:sz w:val="24"/>
                <w:szCs w:val="28"/>
              </w:rPr>
              <w:t>《声环境质量标准》（GB3096-2008）</w:t>
            </w:r>
            <w:r>
              <w:rPr>
                <w:sz w:val="24"/>
                <w:szCs w:val="28"/>
              </w:rPr>
              <w:t>1</w:t>
            </w:r>
            <w:r>
              <w:rPr>
                <w:rFonts w:hint="eastAsia"/>
                <w:sz w:val="24"/>
                <w:szCs w:val="28"/>
              </w:rPr>
              <w:t>类区标准，</w:t>
            </w:r>
            <w:r>
              <w:rPr>
                <w:bCs/>
                <w:kern w:val="0"/>
                <w:sz w:val="24"/>
              </w:rPr>
              <w:t>为进一步了解区域声环境质量，</w:t>
            </w:r>
            <w:r>
              <w:rPr>
                <w:rFonts w:hint="eastAsia"/>
                <w:bCs/>
                <w:kern w:val="0"/>
                <w:sz w:val="24"/>
              </w:rPr>
              <w:t>特</w:t>
            </w:r>
            <w:r>
              <w:rPr>
                <w:bCs/>
                <w:kern w:val="0"/>
                <w:sz w:val="24"/>
              </w:rPr>
              <w:t>委托</w:t>
            </w:r>
            <w:r>
              <w:rPr>
                <w:rFonts w:hint="eastAsia"/>
                <w:bCs/>
                <w:kern w:val="0"/>
                <w:sz w:val="24"/>
              </w:rPr>
              <w:t>中航检测（云南）</w:t>
            </w:r>
            <w:r>
              <w:rPr>
                <w:bCs/>
                <w:kern w:val="0"/>
                <w:sz w:val="24"/>
              </w:rPr>
              <w:t>有限公司对项目区域进行了噪声监测，噪声监测结果见下表</w:t>
            </w:r>
            <w:r>
              <w:rPr>
                <w:rFonts w:hint="eastAsia"/>
                <w:bCs/>
                <w:kern w:val="0"/>
                <w:sz w:val="24"/>
              </w:rPr>
              <w:t>。</w:t>
            </w:r>
          </w:p>
          <w:p>
            <w:pPr>
              <w:adjustRightInd w:val="0"/>
              <w:jc w:val="center"/>
              <w:rPr>
                <w:b/>
                <w:kern w:val="0"/>
                <w:szCs w:val="21"/>
              </w:rPr>
            </w:pPr>
          </w:p>
          <w:p>
            <w:pPr>
              <w:adjustRightInd w:val="0"/>
              <w:jc w:val="center"/>
              <w:rPr>
                <w:b/>
                <w:kern w:val="0"/>
                <w:szCs w:val="21"/>
              </w:rPr>
            </w:pPr>
          </w:p>
          <w:p>
            <w:pPr>
              <w:adjustRightInd w:val="0"/>
              <w:jc w:val="center"/>
              <w:rPr>
                <w:b/>
                <w:kern w:val="0"/>
                <w:szCs w:val="21"/>
              </w:rPr>
            </w:pPr>
            <w:r>
              <w:rPr>
                <w:rFonts w:hint="eastAsia"/>
                <w:b/>
                <w:kern w:val="0"/>
                <w:szCs w:val="21"/>
              </w:rPr>
              <w:t>表3</w:t>
            </w:r>
            <w:r>
              <w:rPr>
                <w:b/>
                <w:kern w:val="0"/>
                <w:szCs w:val="21"/>
              </w:rPr>
              <w:t>-5  声环境监测结果一览表</w:t>
            </w:r>
          </w:p>
          <w:tbl>
            <w:tblPr>
              <w:tblStyle w:val="44"/>
              <w:tblW w:w="81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2"/>
              <w:gridCol w:w="1468"/>
              <w:gridCol w:w="1134"/>
              <w:gridCol w:w="1276"/>
              <w:gridCol w:w="1748"/>
              <w:gridCol w:w="1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3" w:hRule="atLeast"/>
                <w:jc w:val="center"/>
              </w:trPr>
              <w:tc>
                <w:tcPr>
                  <w:tcW w:w="1412" w:type="dxa"/>
                  <w:vAlign w:val="center"/>
                </w:tcPr>
                <w:p>
                  <w:pPr>
                    <w:jc w:val="center"/>
                    <w:rPr>
                      <w:b/>
                      <w:bCs/>
                    </w:rPr>
                  </w:pPr>
                  <w:r>
                    <w:rPr>
                      <w:rFonts w:hint="eastAsia"/>
                      <w:b/>
                      <w:bCs/>
                    </w:rPr>
                    <w:t>监测点</w:t>
                  </w:r>
                  <w:r>
                    <w:rPr>
                      <w:b/>
                      <w:bCs/>
                    </w:rPr>
                    <w:t>位</w:t>
                  </w:r>
                </w:p>
              </w:tc>
              <w:tc>
                <w:tcPr>
                  <w:tcW w:w="1468" w:type="dxa"/>
                  <w:vAlign w:val="center"/>
                </w:tcPr>
                <w:p>
                  <w:pPr>
                    <w:jc w:val="center"/>
                    <w:rPr>
                      <w:b/>
                      <w:bCs/>
                    </w:rPr>
                  </w:pPr>
                  <w:r>
                    <w:rPr>
                      <w:b/>
                      <w:bCs/>
                    </w:rPr>
                    <w:t>检测日期</w:t>
                  </w:r>
                </w:p>
              </w:tc>
              <w:tc>
                <w:tcPr>
                  <w:tcW w:w="1134" w:type="dxa"/>
                  <w:vAlign w:val="center"/>
                </w:tcPr>
                <w:p>
                  <w:pPr>
                    <w:jc w:val="center"/>
                    <w:rPr>
                      <w:b/>
                      <w:bCs/>
                    </w:rPr>
                  </w:pPr>
                  <w:r>
                    <w:rPr>
                      <w:b/>
                      <w:bCs/>
                    </w:rPr>
                    <w:t>采样时段</w:t>
                  </w:r>
                </w:p>
              </w:tc>
              <w:tc>
                <w:tcPr>
                  <w:tcW w:w="1276" w:type="dxa"/>
                  <w:vAlign w:val="center"/>
                </w:tcPr>
                <w:p>
                  <w:pPr>
                    <w:jc w:val="center"/>
                    <w:rPr>
                      <w:b/>
                      <w:bCs/>
                    </w:rPr>
                  </w:pPr>
                  <w:r>
                    <w:rPr>
                      <w:b/>
                      <w:bCs/>
                    </w:rPr>
                    <w:t>噪声值Leq</w:t>
                  </w:r>
                </w:p>
              </w:tc>
              <w:tc>
                <w:tcPr>
                  <w:tcW w:w="1748" w:type="dxa"/>
                  <w:vAlign w:val="center"/>
                </w:tcPr>
                <w:p>
                  <w:pPr>
                    <w:jc w:val="center"/>
                    <w:rPr>
                      <w:b/>
                      <w:bCs/>
                    </w:rPr>
                  </w:pPr>
                  <w:r>
                    <w:rPr>
                      <w:b/>
                      <w:bCs/>
                    </w:rPr>
                    <w:t>标准值</w:t>
                  </w:r>
                </w:p>
              </w:tc>
              <w:tc>
                <w:tcPr>
                  <w:tcW w:w="1131" w:type="dxa"/>
                  <w:vAlign w:val="center"/>
                </w:tcPr>
                <w:p>
                  <w:pPr>
                    <w:jc w:val="center"/>
                    <w:rPr>
                      <w:b/>
                      <w:bCs/>
                    </w:rPr>
                  </w:pPr>
                  <w:r>
                    <w:rPr>
                      <w:b/>
                      <w:bCs/>
                    </w:rPr>
                    <w:t>是否达标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1412" w:type="dxa"/>
                  <w:vMerge w:val="restart"/>
                  <w:vAlign w:val="center"/>
                </w:tcPr>
                <w:p>
                  <w:pPr>
                    <w:jc w:val="center"/>
                  </w:pPr>
                  <w:r>
                    <w:rPr>
                      <w:rFonts w:hint="eastAsia"/>
                    </w:rPr>
                    <w:t>拟建光伏场址</w:t>
                  </w:r>
                </w:p>
              </w:tc>
              <w:tc>
                <w:tcPr>
                  <w:tcW w:w="1468" w:type="dxa"/>
                  <w:vMerge w:val="restart"/>
                  <w:vAlign w:val="center"/>
                </w:tcPr>
                <w:p>
                  <w:pPr>
                    <w:jc w:val="center"/>
                  </w:pPr>
                  <w:r>
                    <w:t>2023.10.19</w:t>
                  </w:r>
                </w:p>
              </w:tc>
              <w:tc>
                <w:tcPr>
                  <w:tcW w:w="1134" w:type="dxa"/>
                  <w:vAlign w:val="center"/>
                </w:tcPr>
                <w:p>
                  <w:pPr>
                    <w:jc w:val="center"/>
                  </w:pPr>
                  <w:r>
                    <w:t>昼间</w:t>
                  </w:r>
                </w:p>
              </w:tc>
              <w:tc>
                <w:tcPr>
                  <w:tcW w:w="1276" w:type="dxa"/>
                  <w:vAlign w:val="center"/>
                </w:tcPr>
                <w:p>
                  <w:pPr>
                    <w:jc w:val="center"/>
                  </w:pPr>
                  <w:r>
                    <w:t>40</w:t>
                  </w:r>
                </w:p>
              </w:tc>
              <w:tc>
                <w:tcPr>
                  <w:tcW w:w="1748" w:type="dxa"/>
                  <w:vMerge w:val="restart"/>
                  <w:vAlign w:val="center"/>
                </w:tcPr>
                <w:p>
                  <w:r>
                    <w:t>昼间</w:t>
                  </w:r>
                  <w:r>
                    <w:rPr>
                      <w:rFonts w:ascii="宋体" w:hAnsi="宋体"/>
                    </w:rPr>
                    <w:t>≤</w:t>
                  </w:r>
                  <w:r>
                    <w:t>55dB（A）</w:t>
                  </w:r>
                </w:p>
                <w:p>
                  <w:r>
                    <w:t>夜间</w:t>
                  </w:r>
                  <w:r>
                    <w:rPr>
                      <w:rFonts w:ascii="宋体" w:hAnsi="宋体"/>
                    </w:rPr>
                    <w:t>≤</w:t>
                  </w:r>
                  <w:r>
                    <w:t>45dB（A）</w:t>
                  </w:r>
                </w:p>
              </w:tc>
              <w:tc>
                <w:tcPr>
                  <w:tcW w:w="1131" w:type="dxa"/>
                  <w:vAlign w:val="center"/>
                </w:tcPr>
                <w:p>
                  <w:pPr>
                    <w:jc w:val="center"/>
                  </w:pPr>
                  <w: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1412" w:type="dxa"/>
                  <w:vMerge w:val="continue"/>
                  <w:vAlign w:val="center"/>
                </w:tcPr>
                <w:p>
                  <w:pPr>
                    <w:jc w:val="center"/>
                  </w:pPr>
                </w:p>
              </w:tc>
              <w:tc>
                <w:tcPr>
                  <w:tcW w:w="1468" w:type="dxa"/>
                  <w:vMerge w:val="continue"/>
                  <w:vAlign w:val="center"/>
                </w:tcPr>
                <w:p>
                  <w:pPr>
                    <w:jc w:val="center"/>
                  </w:pPr>
                </w:p>
              </w:tc>
              <w:tc>
                <w:tcPr>
                  <w:tcW w:w="1134" w:type="dxa"/>
                  <w:vAlign w:val="center"/>
                </w:tcPr>
                <w:p>
                  <w:pPr>
                    <w:jc w:val="center"/>
                  </w:pPr>
                  <w:r>
                    <w:t>夜间</w:t>
                  </w:r>
                </w:p>
              </w:tc>
              <w:tc>
                <w:tcPr>
                  <w:tcW w:w="1276" w:type="dxa"/>
                  <w:vAlign w:val="center"/>
                </w:tcPr>
                <w:p>
                  <w:pPr>
                    <w:jc w:val="center"/>
                  </w:pPr>
                  <w:r>
                    <w:t>35</w:t>
                  </w:r>
                </w:p>
              </w:tc>
              <w:tc>
                <w:tcPr>
                  <w:tcW w:w="1748" w:type="dxa"/>
                  <w:vMerge w:val="continue"/>
                  <w:vAlign w:val="center"/>
                </w:tcPr>
                <w:p>
                  <w:pPr>
                    <w:jc w:val="center"/>
                  </w:pPr>
                </w:p>
              </w:tc>
              <w:tc>
                <w:tcPr>
                  <w:tcW w:w="1131" w:type="dxa"/>
                  <w:vAlign w:val="center"/>
                </w:tcPr>
                <w:p>
                  <w:pPr>
                    <w:jc w:val="center"/>
                  </w:pPr>
                  <w:r>
                    <w:t>达标</w:t>
                  </w:r>
                </w:p>
              </w:tc>
            </w:tr>
          </w:tbl>
          <w:p>
            <w:pPr>
              <w:adjustRightInd w:val="0"/>
              <w:spacing w:line="360" w:lineRule="auto"/>
              <w:ind w:firstLine="480" w:firstLineChars="200"/>
              <w:rPr>
                <w:kern w:val="0"/>
                <w:sz w:val="24"/>
                <w:lang w:val="zh-CN"/>
              </w:rPr>
            </w:pPr>
            <w:r>
              <w:rPr>
                <w:bCs/>
                <w:kern w:val="0"/>
                <w:sz w:val="24"/>
              </w:rPr>
              <w:t>根据环境监测结果显示</w:t>
            </w:r>
            <w:r>
              <w:rPr>
                <w:rFonts w:hint="eastAsia"/>
                <w:bCs/>
                <w:kern w:val="0"/>
                <w:sz w:val="24"/>
              </w:rPr>
              <w:t>，</w:t>
            </w:r>
            <w:r>
              <w:rPr>
                <w:rFonts w:hint="eastAsia"/>
                <w:sz w:val="24"/>
                <w:szCs w:val="28"/>
              </w:rPr>
              <w:t>区域声环境现状可以达到《声环境质量标准》（GB3096-2008）</w:t>
            </w:r>
            <w:r>
              <w:rPr>
                <w:sz w:val="24"/>
                <w:szCs w:val="28"/>
              </w:rPr>
              <w:t>1</w:t>
            </w:r>
            <w:r>
              <w:rPr>
                <w:rFonts w:hint="eastAsia"/>
                <w:sz w:val="24"/>
                <w:szCs w:val="28"/>
              </w:rPr>
              <w:t>类区标准</w:t>
            </w:r>
            <w:r>
              <w:rPr>
                <w:bCs/>
                <w:kern w:val="0"/>
                <w:sz w:val="24"/>
              </w:rPr>
              <w:t>。</w:t>
            </w:r>
            <w:r>
              <w:rPr>
                <w:rFonts w:hint="eastAsia"/>
                <w:bCs/>
                <w:kern w:val="0"/>
                <w:sz w:val="24"/>
              </w:rPr>
              <w:t>项目周围其它地方无人为噪声，为环境背景噪声，项目区声环境质量良好</w:t>
            </w:r>
            <w:r>
              <w:rPr>
                <w:rFonts w:hint="eastAsia"/>
                <w:sz w:val="24"/>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80" w:type="dxa"/>
            <w:vAlign w:val="center"/>
          </w:tcPr>
          <w:p>
            <w:pPr>
              <w:adjustRightInd w:val="0"/>
              <w:jc w:val="center"/>
              <w:rPr>
                <w:rFonts w:ascii="宋体" w:hAnsi="宋体" w:cs="宋体"/>
                <w:kern w:val="0"/>
                <w:szCs w:val="21"/>
              </w:rPr>
            </w:pPr>
            <w:r>
              <w:rPr>
                <w:rFonts w:hint="eastAsia" w:ascii="宋体" w:hAnsi="宋体"/>
                <w:bCs/>
                <w:szCs w:val="21"/>
              </w:rPr>
              <w:t>与项目有关的原有环境污染和生态破坏问题</w:t>
            </w:r>
          </w:p>
        </w:tc>
        <w:tc>
          <w:tcPr>
            <w:tcW w:w="8391" w:type="dxa"/>
            <w:vAlign w:val="center"/>
          </w:tcPr>
          <w:p>
            <w:pPr>
              <w:adjustRightInd w:val="0"/>
              <w:spacing w:line="360" w:lineRule="auto"/>
              <w:ind w:firstLine="480" w:firstLineChars="200"/>
              <w:rPr>
                <w:rFonts w:ascii="宋体" w:hAnsi="宋体" w:cs="宋体"/>
                <w:kern w:val="0"/>
                <w:szCs w:val="21"/>
              </w:rPr>
            </w:pPr>
            <w:r>
              <w:rPr>
                <w:sz w:val="24"/>
              </w:rPr>
              <w:t>本项目为</w:t>
            </w:r>
            <w:r>
              <w:rPr>
                <w:rFonts w:hint="eastAsia"/>
                <w:sz w:val="24"/>
              </w:rPr>
              <w:t>新</w:t>
            </w:r>
            <w:r>
              <w:rPr>
                <w:sz w:val="24"/>
              </w:rPr>
              <w:t>建项目，通过现场调查，</w:t>
            </w:r>
            <w:r>
              <w:rPr>
                <w:rFonts w:hint="eastAsia"/>
                <w:bCs/>
                <w:sz w:val="24"/>
              </w:rPr>
              <w:t>不存在与项目有关的原有环境污染和生态破坏问题</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生态环境保护目标</w:t>
            </w:r>
          </w:p>
        </w:tc>
        <w:tc>
          <w:tcPr>
            <w:tcW w:w="8391" w:type="dxa"/>
            <w:vAlign w:val="center"/>
          </w:tcPr>
          <w:p>
            <w:pPr>
              <w:adjustRightInd w:val="0"/>
              <w:spacing w:line="360" w:lineRule="auto"/>
              <w:ind w:firstLine="480" w:firstLineChars="200"/>
              <w:rPr>
                <w:kern w:val="0"/>
                <w:sz w:val="24"/>
              </w:rPr>
            </w:pPr>
            <w:r>
              <w:rPr>
                <w:rFonts w:hint="eastAsia"/>
                <w:kern w:val="0"/>
                <w:sz w:val="24"/>
              </w:rPr>
              <w:t>根据《建设项目环境影响报告表编制技术指南（生态影响类）（试行）》“按照环境影响评价相关技术导则要求确定评价范围并识别环境保护目标”。</w:t>
            </w:r>
          </w:p>
          <w:p>
            <w:pPr>
              <w:adjustRightInd w:val="0"/>
              <w:spacing w:line="360" w:lineRule="auto"/>
              <w:ind w:firstLine="482" w:firstLineChars="200"/>
              <w:rPr>
                <w:b/>
                <w:bCs/>
                <w:kern w:val="0"/>
                <w:sz w:val="24"/>
              </w:rPr>
            </w:pPr>
            <w:r>
              <w:rPr>
                <w:rFonts w:hint="eastAsia"/>
                <w:b/>
                <w:bCs/>
                <w:kern w:val="0"/>
                <w:sz w:val="24"/>
              </w:rPr>
              <w:t>1、评价范围</w:t>
            </w:r>
          </w:p>
          <w:p>
            <w:pPr>
              <w:adjustRightInd w:val="0"/>
              <w:spacing w:line="360" w:lineRule="auto"/>
              <w:ind w:firstLine="480" w:firstLineChars="200"/>
              <w:rPr>
                <w:kern w:val="0"/>
                <w:sz w:val="24"/>
              </w:rPr>
            </w:pPr>
            <w:r>
              <w:rPr>
                <w:rFonts w:hint="eastAsia"/>
                <w:kern w:val="0"/>
                <w:sz w:val="24"/>
              </w:rPr>
              <w:t>（1）生态环境</w:t>
            </w:r>
          </w:p>
          <w:p>
            <w:pPr>
              <w:adjustRightInd w:val="0"/>
              <w:spacing w:line="360" w:lineRule="auto"/>
              <w:ind w:firstLine="480" w:firstLineChars="200"/>
              <w:rPr>
                <w:kern w:val="0"/>
                <w:sz w:val="24"/>
              </w:rPr>
            </w:pPr>
            <w:r>
              <w:rPr>
                <w:rFonts w:hint="eastAsia"/>
                <w:kern w:val="0"/>
                <w:sz w:val="24"/>
              </w:rPr>
              <w:t>根据《环境影响评价技术导则 生态影响》（HJ19-2022），评价工作范围应依据评价项目对生态因子的影响方式、影响程度和生态因子之间的相互影响和相互依存关系确定，</w:t>
            </w:r>
            <w:r>
              <w:rPr>
                <w:rFonts w:hint="eastAsia"/>
                <w:sz w:val="24"/>
              </w:rPr>
              <w:t>项目不涉及生态环境敏感区，</w:t>
            </w:r>
            <w:r>
              <w:rPr>
                <w:rFonts w:hint="eastAsia"/>
                <w:kern w:val="0"/>
                <w:sz w:val="24"/>
              </w:rPr>
              <w:t>因此项目评价范围取用地红线外延</w:t>
            </w:r>
            <w:r>
              <w:rPr>
                <w:kern w:val="0"/>
                <w:sz w:val="24"/>
              </w:rPr>
              <w:t>300</w:t>
            </w:r>
            <w:r>
              <w:rPr>
                <w:rFonts w:hint="eastAsia"/>
                <w:kern w:val="0"/>
                <w:sz w:val="24"/>
              </w:rPr>
              <w:t>m范围的区域。</w:t>
            </w:r>
          </w:p>
          <w:p>
            <w:pPr>
              <w:adjustRightInd w:val="0"/>
              <w:spacing w:line="360" w:lineRule="auto"/>
              <w:ind w:firstLine="480" w:firstLineChars="200"/>
              <w:rPr>
                <w:kern w:val="0"/>
                <w:sz w:val="24"/>
              </w:rPr>
            </w:pPr>
            <w:r>
              <w:rPr>
                <w:rFonts w:hint="eastAsia"/>
                <w:kern w:val="0"/>
                <w:sz w:val="24"/>
              </w:rPr>
              <w:t>（2）地表水环境</w:t>
            </w:r>
          </w:p>
          <w:p>
            <w:pPr>
              <w:adjustRightInd w:val="0"/>
              <w:spacing w:line="360" w:lineRule="auto"/>
              <w:ind w:firstLine="480" w:firstLineChars="200"/>
              <w:rPr>
                <w:kern w:val="0"/>
                <w:sz w:val="24"/>
              </w:rPr>
            </w:pPr>
            <w:r>
              <w:rPr>
                <w:rFonts w:hint="eastAsia"/>
                <w:kern w:val="0"/>
                <w:sz w:val="24"/>
              </w:rPr>
              <w:t>根据《环境影响评价技术导则 地表水环境》（HJ</w:t>
            </w:r>
            <w:r>
              <w:rPr>
                <w:kern w:val="0"/>
                <w:sz w:val="24"/>
              </w:rPr>
              <w:t>2.3</w:t>
            </w:r>
            <w:r>
              <w:rPr>
                <w:rFonts w:hint="eastAsia"/>
                <w:kern w:val="0"/>
                <w:sz w:val="24"/>
              </w:rPr>
              <w:t>-201</w:t>
            </w:r>
            <w:r>
              <w:rPr>
                <w:kern w:val="0"/>
                <w:sz w:val="24"/>
              </w:rPr>
              <w:t>8</w:t>
            </w:r>
            <w:r>
              <w:rPr>
                <w:rFonts w:hint="eastAsia"/>
                <w:kern w:val="0"/>
                <w:sz w:val="24"/>
              </w:rPr>
              <w:t>），</w:t>
            </w:r>
            <w:r>
              <w:rPr>
                <w:rFonts w:hint="eastAsia"/>
                <w:sz w:val="24"/>
              </w:rPr>
              <w:t>本工程少量施工期废水全部在施工场地内回用，不外排，运营期无废水产生，无评价范围</w:t>
            </w:r>
            <w:r>
              <w:rPr>
                <w:rFonts w:hint="eastAsia"/>
                <w:kern w:val="0"/>
                <w:sz w:val="24"/>
              </w:rPr>
              <w:t>。</w:t>
            </w:r>
          </w:p>
          <w:p>
            <w:pPr>
              <w:adjustRightInd w:val="0"/>
              <w:spacing w:line="360" w:lineRule="auto"/>
              <w:ind w:firstLine="480" w:firstLineChars="200"/>
              <w:rPr>
                <w:kern w:val="0"/>
                <w:sz w:val="24"/>
              </w:rPr>
            </w:pPr>
            <w:r>
              <w:rPr>
                <w:rFonts w:hint="eastAsia"/>
                <w:kern w:val="0"/>
                <w:sz w:val="24"/>
              </w:rPr>
              <w:t>（</w:t>
            </w:r>
            <w:r>
              <w:rPr>
                <w:kern w:val="0"/>
                <w:sz w:val="24"/>
              </w:rPr>
              <w:t>3</w:t>
            </w:r>
            <w:r>
              <w:rPr>
                <w:rFonts w:hint="eastAsia"/>
                <w:kern w:val="0"/>
                <w:sz w:val="24"/>
              </w:rPr>
              <w:t>）大气环境</w:t>
            </w:r>
          </w:p>
          <w:p>
            <w:pPr>
              <w:adjustRightInd w:val="0"/>
              <w:spacing w:line="360" w:lineRule="auto"/>
              <w:ind w:firstLine="480" w:firstLineChars="200"/>
              <w:rPr>
                <w:kern w:val="0"/>
                <w:sz w:val="24"/>
              </w:rPr>
            </w:pPr>
            <w:r>
              <w:rPr>
                <w:rFonts w:hint="eastAsia"/>
                <w:sz w:val="24"/>
              </w:rPr>
              <w:t>本工程施工期产生少量扬尘，但产生时间短，随施工期的结束而消失，运营期不产生废气，无评价范围</w:t>
            </w:r>
            <w:r>
              <w:rPr>
                <w:rFonts w:hint="eastAsia"/>
                <w:kern w:val="0"/>
                <w:sz w:val="24"/>
              </w:rPr>
              <w:t>。</w:t>
            </w:r>
          </w:p>
          <w:p>
            <w:pPr>
              <w:adjustRightInd w:val="0"/>
              <w:spacing w:line="360" w:lineRule="auto"/>
              <w:ind w:firstLine="480" w:firstLineChars="200"/>
              <w:rPr>
                <w:kern w:val="0"/>
                <w:sz w:val="24"/>
              </w:rPr>
            </w:pPr>
            <w:r>
              <w:rPr>
                <w:rFonts w:hint="eastAsia"/>
                <w:kern w:val="0"/>
                <w:sz w:val="24"/>
              </w:rPr>
              <w:t>（</w:t>
            </w:r>
            <w:r>
              <w:rPr>
                <w:kern w:val="0"/>
                <w:sz w:val="24"/>
              </w:rPr>
              <w:t>4</w:t>
            </w:r>
            <w:r>
              <w:rPr>
                <w:rFonts w:hint="eastAsia"/>
                <w:kern w:val="0"/>
                <w:sz w:val="24"/>
              </w:rPr>
              <w:t>）声环境</w:t>
            </w:r>
          </w:p>
          <w:p>
            <w:pPr>
              <w:adjustRightInd w:val="0"/>
              <w:spacing w:line="360" w:lineRule="auto"/>
              <w:ind w:firstLine="480" w:firstLineChars="200"/>
              <w:rPr>
                <w:kern w:val="0"/>
                <w:sz w:val="24"/>
              </w:rPr>
            </w:pPr>
            <w:r>
              <w:rPr>
                <w:rFonts w:hint="eastAsia"/>
                <w:kern w:val="0"/>
                <w:sz w:val="24"/>
              </w:rPr>
              <w:t>根据《环境影响评价技术导则 声环境》（HJ2</w:t>
            </w:r>
            <w:r>
              <w:rPr>
                <w:kern w:val="0"/>
                <w:sz w:val="24"/>
              </w:rPr>
              <w:t>.</w:t>
            </w:r>
            <w:r>
              <w:rPr>
                <w:rFonts w:hint="eastAsia"/>
                <w:kern w:val="0"/>
                <w:sz w:val="24"/>
              </w:rPr>
              <w:t>4-20</w:t>
            </w:r>
            <w:r>
              <w:rPr>
                <w:kern w:val="0"/>
                <w:sz w:val="24"/>
              </w:rPr>
              <w:t>21</w:t>
            </w:r>
            <w:r>
              <w:rPr>
                <w:rFonts w:hint="eastAsia"/>
                <w:kern w:val="0"/>
                <w:sz w:val="24"/>
              </w:rPr>
              <w:t>），声环境影响一级评价范围一般为厂界外200m，二、三级评价范围可根据项目区域及相邻区域的声环境功能类别及声环境保护目标等实际情况适当缩小；参考《建设项目环境影响报告表编制技术指南（污染影响类）（试行）》中“明确厂界外50米范围内声环境保护目标”；且依据本环评的声环境影响预测，本工程主要噪声源为箱式变压器；因此，本工程的声环境评价以光伏区厂界外50m作为评价范围。</w:t>
            </w:r>
          </w:p>
          <w:p>
            <w:pPr>
              <w:adjustRightInd w:val="0"/>
              <w:spacing w:line="360" w:lineRule="auto"/>
              <w:ind w:firstLine="482" w:firstLineChars="200"/>
              <w:rPr>
                <w:b/>
                <w:bCs/>
                <w:sz w:val="24"/>
              </w:rPr>
            </w:pPr>
            <w:r>
              <w:rPr>
                <w:rFonts w:hint="eastAsia"/>
                <w:b/>
                <w:bCs/>
                <w:sz w:val="24"/>
              </w:rPr>
              <w:t>2、环境保护目标</w:t>
            </w:r>
          </w:p>
          <w:p>
            <w:pPr>
              <w:adjustRightInd w:val="0"/>
              <w:spacing w:line="360" w:lineRule="auto"/>
              <w:ind w:firstLine="480" w:firstLineChars="200"/>
              <w:rPr>
                <w:sz w:val="24"/>
              </w:rPr>
            </w:pPr>
            <w:r>
              <w:rPr>
                <w:rFonts w:hint="eastAsia"/>
                <w:sz w:val="24"/>
              </w:rPr>
              <w:t>经现场调查，本项目评价范围内不涉及国家公园、自然保护区、风景名胜区、世界文化和自然遗产地、自然公园（森林公园、地质公园、海洋公园等）、重要湿地、重点保护野生动物栖息地等需要特殊保护的区域。</w:t>
            </w:r>
          </w:p>
          <w:p>
            <w:pPr>
              <w:adjustRightInd w:val="0"/>
              <w:spacing w:line="360" w:lineRule="auto"/>
              <w:ind w:firstLine="480" w:firstLineChars="200"/>
              <w:rPr>
                <w:sz w:val="24"/>
              </w:rPr>
            </w:pPr>
            <w:r>
              <w:rPr>
                <w:rFonts w:hint="eastAsia"/>
                <w:sz w:val="24"/>
              </w:rPr>
              <w:t>本项目</w:t>
            </w:r>
            <w:r>
              <w:rPr>
                <w:rFonts w:hint="eastAsia"/>
                <w:sz w:val="24"/>
                <w:lang w:eastAsia="zh-CN"/>
              </w:rPr>
              <w:t>涉及的</w:t>
            </w:r>
            <w:r>
              <w:rPr>
                <w:rFonts w:hint="eastAsia"/>
                <w:sz w:val="24"/>
              </w:rPr>
              <w:t>环境保护目标主要有以下几类：</w:t>
            </w:r>
          </w:p>
          <w:p>
            <w:pPr>
              <w:adjustRightInd w:val="0"/>
              <w:spacing w:line="360" w:lineRule="auto"/>
              <w:ind w:firstLine="480" w:firstLineChars="200"/>
              <w:rPr>
                <w:sz w:val="24"/>
              </w:rPr>
            </w:pPr>
            <w:r>
              <w:rPr>
                <w:rFonts w:hint="eastAsia"/>
                <w:sz w:val="24"/>
              </w:rPr>
              <w:t>（1）生态环境保护目标</w:t>
            </w:r>
          </w:p>
          <w:p>
            <w:pPr>
              <w:adjustRightInd w:val="0"/>
              <w:spacing w:line="360" w:lineRule="auto"/>
              <w:ind w:firstLine="480" w:firstLineChars="200"/>
              <w:rPr>
                <w:sz w:val="24"/>
              </w:rPr>
            </w:pPr>
            <w:r>
              <w:rPr>
                <w:rFonts w:hint="eastAsia"/>
                <w:sz w:val="24"/>
              </w:rPr>
              <w:t>项目用地红线外300m内的区域内的植物、动物、景观等。</w:t>
            </w:r>
          </w:p>
          <w:p>
            <w:pPr>
              <w:adjustRightInd w:val="0"/>
              <w:spacing w:line="360" w:lineRule="auto"/>
              <w:ind w:firstLine="480" w:firstLineChars="200"/>
              <w:rPr>
                <w:sz w:val="24"/>
              </w:rPr>
            </w:pPr>
            <w:r>
              <w:rPr>
                <w:rFonts w:hint="eastAsia"/>
                <w:sz w:val="24"/>
              </w:rPr>
              <w:t>（2）水环境保护目标</w:t>
            </w:r>
          </w:p>
          <w:p>
            <w:pPr>
              <w:adjustRightInd w:val="0"/>
              <w:spacing w:line="360" w:lineRule="auto"/>
              <w:ind w:firstLine="480" w:firstLineChars="200"/>
              <w:rPr>
                <w:sz w:val="24"/>
              </w:rPr>
            </w:pPr>
            <w:r>
              <w:rPr>
                <w:rFonts w:hint="eastAsia"/>
                <w:sz w:val="24"/>
              </w:rPr>
              <w:t>根据《环境影响评价技术导则地表水》（H2.3</w:t>
            </w:r>
            <w:r>
              <w:rPr>
                <w:sz w:val="24"/>
              </w:rPr>
              <w:t>-</w:t>
            </w:r>
            <w:r>
              <w:rPr>
                <w:rFonts w:hint="eastAsia"/>
                <w:sz w:val="24"/>
              </w:rPr>
              <w:t>2018），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p>
          <w:p>
            <w:pPr>
              <w:adjustRightInd w:val="0"/>
              <w:spacing w:line="360" w:lineRule="auto"/>
              <w:ind w:firstLine="480" w:firstLineChars="200"/>
              <w:rPr>
                <w:sz w:val="24"/>
              </w:rPr>
            </w:pPr>
            <w:r>
              <w:rPr>
                <w:rFonts w:hint="eastAsia"/>
                <w:sz w:val="24"/>
              </w:rPr>
              <w:t>本项目用地均不涉及水域，亦无废水外排，无水环境保护目标。施工期应严格执行本报告提出的废水处置措施，防止对项目周边水体造成影响。</w:t>
            </w:r>
          </w:p>
          <w:p>
            <w:pPr>
              <w:adjustRightInd w:val="0"/>
              <w:spacing w:line="360" w:lineRule="auto"/>
              <w:ind w:firstLine="480" w:firstLineChars="200"/>
              <w:rPr>
                <w:sz w:val="24"/>
              </w:rPr>
            </w:pPr>
            <w:r>
              <w:rPr>
                <w:rFonts w:hint="eastAsia"/>
                <w:sz w:val="24"/>
              </w:rPr>
              <w:t>（3）大气环境保护目标</w:t>
            </w:r>
          </w:p>
          <w:p>
            <w:pPr>
              <w:adjustRightInd w:val="0"/>
              <w:spacing w:line="360" w:lineRule="auto"/>
              <w:ind w:firstLine="480" w:firstLineChars="200"/>
              <w:rPr>
                <w:sz w:val="24"/>
              </w:rPr>
            </w:pPr>
            <w:r>
              <w:rPr>
                <w:rFonts w:hint="eastAsia"/>
                <w:sz w:val="24"/>
              </w:rPr>
              <w:t>项目建成投运后无生产废气排放，无大气环境保护目标。施工期应严格执行本报告提出的扬尘防治措施，防止施工扬尘对项目周边大气造成影响。</w:t>
            </w:r>
          </w:p>
          <w:p>
            <w:pPr>
              <w:adjustRightInd w:val="0"/>
              <w:spacing w:line="360" w:lineRule="auto"/>
              <w:ind w:firstLine="480" w:firstLineChars="200"/>
              <w:rPr>
                <w:sz w:val="24"/>
              </w:rPr>
            </w:pPr>
            <w:r>
              <w:rPr>
                <w:rFonts w:hint="eastAsia"/>
                <w:sz w:val="24"/>
              </w:rPr>
              <w:t>（</w:t>
            </w:r>
            <w:r>
              <w:rPr>
                <w:sz w:val="24"/>
              </w:rPr>
              <w:t>4</w:t>
            </w:r>
            <w:r>
              <w:rPr>
                <w:rFonts w:hint="eastAsia"/>
                <w:sz w:val="24"/>
              </w:rPr>
              <w:t>）声环境保护目标</w:t>
            </w:r>
          </w:p>
          <w:p>
            <w:pPr>
              <w:adjustRightInd w:val="0"/>
              <w:spacing w:line="360" w:lineRule="auto"/>
              <w:ind w:firstLine="480" w:firstLineChars="200"/>
              <w:rPr>
                <w:sz w:val="24"/>
              </w:rPr>
            </w:pPr>
            <w:r>
              <w:rPr>
                <w:rFonts w:hint="eastAsia"/>
                <w:sz w:val="24"/>
              </w:rPr>
              <w:t>根据《环境影响评价技术导则 声环境》（HJ2.4-2021），本项目声环境保护目标主要是光伏区附近的需要保持安静的建筑物和建筑物集中区。</w:t>
            </w:r>
          </w:p>
          <w:p>
            <w:pPr>
              <w:adjustRightInd w:val="0"/>
              <w:spacing w:line="360" w:lineRule="auto"/>
              <w:ind w:firstLine="480" w:firstLineChars="200"/>
            </w:pPr>
            <w:r>
              <w:rPr>
                <w:rFonts w:hint="eastAsia"/>
                <w:sz w:val="24"/>
              </w:rPr>
              <w:t>根据现场踏勘，本项目环境保护目标见下表</w:t>
            </w:r>
            <w:r>
              <w:rPr>
                <w:kern w:val="0"/>
                <w:sz w:val="24"/>
              </w:rPr>
              <w:t>。</w:t>
            </w:r>
          </w:p>
          <w:p>
            <w:pPr>
              <w:pStyle w:val="59"/>
              <w:adjustRightInd w:val="0"/>
              <w:rPr>
                <w:rFonts w:ascii="Times New Roman" w:hAnsi="Times New Roman" w:eastAsia="宋体"/>
              </w:rPr>
            </w:pPr>
            <w:r>
              <w:rPr>
                <w:rFonts w:ascii="Times New Roman" w:hAnsi="Times New Roman" w:eastAsia="宋体"/>
              </w:rPr>
              <w:t xml:space="preserve">表3-6  </w:t>
            </w:r>
            <w:r>
              <w:rPr>
                <w:rFonts w:hint="eastAsia" w:ascii="Times New Roman" w:hAnsi="Times New Roman" w:eastAsia="宋体"/>
              </w:rPr>
              <w:t>环境</w:t>
            </w:r>
            <w:r>
              <w:rPr>
                <w:rFonts w:ascii="Times New Roman" w:hAnsi="Times New Roman" w:eastAsia="宋体"/>
              </w:rPr>
              <w:t>保护目标一览表</w:t>
            </w:r>
          </w:p>
          <w:tbl>
            <w:tblPr>
              <w:tblStyle w:val="45"/>
              <w:tblW w:w="8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276"/>
              <w:gridCol w:w="1211"/>
              <w:gridCol w:w="1276"/>
              <w:gridCol w:w="1483"/>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3" w:type="dxa"/>
                  <w:vAlign w:val="center"/>
                </w:tcPr>
                <w:p>
                  <w:pPr>
                    <w:pStyle w:val="65"/>
                    <w:rPr>
                      <w:rFonts w:ascii="Times New Roman" w:hAnsi="Times New Roman" w:eastAsia="宋体"/>
                      <w:b/>
                      <w:color w:val="auto"/>
                    </w:rPr>
                  </w:pPr>
                  <w:r>
                    <w:rPr>
                      <w:rFonts w:ascii="Times New Roman" w:hAnsi="Times New Roman" w:eastAsia="宋体"/>
                      <w:b/>
                      <w:color w:val="auto"/>
                    </w:rPr>
                    <w:t>环境要素</w:t>
                  </w:r>
                </w:p>
              </w:tc>
              <w:tc>
                <w:tcPr>
                  <w:tcW w:w="1276" w:type="dxa"/>
                  <w:tcBorders>
                    <w:right w:val="single" w:color="auto" w:sz="4" w:space="0"/>
                  </w:tcBorders>
                  <w:vAlign w:val="center"/>
                </w:tcPr>
                <w:p>
                  <w:pPr>
                    <w:pStyle w:val="65"/>
                    <w:snapToGrid/>
                    <w:rPr>
                      <w:rFonts w:ascii="Times New Roman" w:hAnsi="Times New Roman" w:eastAsia="宋体"/>
                      <w:b/>
                      <w:color w:val="auto"/>
                    </w:rPr>
                  </w:pPr>
                  <w:r>
                    <w:rPr>
                      <w:rFonts w:ascii="Times New Roman" w:hAnsi="Times New Roman" w:eastAsia="宋体"/>
                      <w:b/>
                      <w:color w:val="auto"/>
                    </w:rPr>
                    <w:t>保护目标</w:t>
                  </w:r>
                </w:p>
              </w:tc>
              <w:tc>
                <w:tcPr>
                  <w:tcW w:w="1211" w:type="dxa"/>
                  <w:tcBorders>
                    <w:left w:val="single" w:color="auto" w:sz="4" w:space="0"/>
                  </w:tcBorders>
                  <w:vAlign w:val="center"/>
                </w:tcPr>
                <w:p>
                  <w:pPr>
                    <w:pStyle w:val="65"/>
                    <w:snapToGrid/>
                    <w:rPr>
                      <w:rFonts w:ascii="Times New Roman" w:hAnsi="Times New Roman" w:eastAsia="宋体"/>
                      <w:b/>
                      <w:color w:val="auto"/>
                    </w:rPr>
                  </w:pPr>
                  <w:r>
                    <w:rPr>
                      <w:rFonts w:hint="eastAsia" w:ascii="Times New Roman" w:hAnsi="Times New Roman" w:eastAsia="宋体"/>
                      <w:b/>
                      <w:color w:val="auto"/>
                    </w:rPr>
                    <w:t>坐标</w:t>
                  </w:r>
                </w:p>
              </w:tc>
              <w:tc>
                <w:tcPr>
                  <w:tcW w:w="1276" w:type="dxa"/>
                  <w:vAlign w:val="center"/>
                </w:tcPr>
                <w:p>
                  <w:pPr>
                    <w:pStyle w:val="65"/>
                    <w:snapToGrid/>
                    <w:rPr>
                      <w:rFonts w:ascii="Times New Roman" w:hAnsi="Times New Roman" w:eastAsia="宋体"/>
                      <w:b/>
                      <w:color w:val="auto"/>
                    </w:rPr>
                  </w:pPr>
                  <w:r>
                    <w:rPr>
                      <w:rFonts w:hint="eastAsia" w:ascii="Times New Roman" w:hAnsi="Times New Roman" w:eastAsia="宋体"/>
                      <w:b/>
                      <w:color w:val="auto"/>
                    </w:rPr>
                    <w:t>保护对象</w:t>
                  </w:r>
                </w:p>
              </w:tc>
              <w:tc>
                <w:tcPr>
                  <w:tcW w:w="1483" w:type="dxa"/>
                  <w:vAlign w:val="center"/>
                </w:tcPr>
                <w:p>
                  <w:pPr>
                    <w:pStyle w:val="65"/>
                    <w:snapToGrid/>
                    <w:rPr>
                      <w:rFonts w:ascii="Times New Roman" w:hAnsi="Times New Roman" w:eastAsia="宋体"/>
                      <w:b/>
                      <w:color w:val="auto"/>
                    </w:rPr>
                  </w:pPr>
                  <w:r>
                    <w:rPr>
                      <w:rFonts w:hint="eastAsia" w:ascii="Times New Roman" w:hAnsi="Times New Roman" w:eastAsia="宋体"/>
                      <w:b/>
                      <w:color w:val="auto"/>
                    </w:rPr>
                    <w:t>相对位置</w:t>
                  </w:r>
                </w:p>
              </w:tc>
              <w:tc>
                <w:tcPr>
                  <w:tcW w:w="2101" w:type="dxa"/>
                  <w:vAlign w:val="center"/>
                </w:tcPr>
                <w:p>
                  <w:pPr>
                    <w:pStyle w:val="65"/>
                    <w:snapToGrid/>
                    <w:rPr>
                      <w:rFonts w:ascii="Times New Roman" w:hAnsi="Times New Roman" w:eastAsia="宋体"/>
                      <w:b/>
                      <w:color w:val="auto"/>
                    </w:rPr>
                  </w:pPr>
                  <w:r>
                    <w:rPr>
                      <w:rFonts w:ascii="Times New Roman" w:hAnsi="Times New Roman" w:eastAsia="宋体"/>
                      <w:b/>
                      <w:color w:val="auto"/>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3" w:type="dxa"/>
                  <w:vAlign w:val="center"/>
                </w:tcPr>
                <w:p>
                  <w:pPr>
                    <w:pStyle w:val="65"/>
                    <w:rPr>
                      <w:rFonts w:ascii="Times New Roman" w:hAnsi="Times New Roman" w:eastAsia="宋体"/>
                      <w:color w:val="auto"/>
                    </w:rPr>
                  </w:pPr>
                  <w:r>
                    <w:rPr>
                      <w:rFonts w:hint="eastAsia" w:ascii="Times New Roman" w:hAnsi="Times New Roman" w:eastAsia="宋体"/>
                      <w:color w:val="auto"/>
                    </w:rPr>
                    <w:t>声环境</w:t>
                  </w:r>
                </w:p>
              </w:tc>
              <w:tc>
                <w:tcPr>
                  <w:tcW w:w="1276" w:type="dxa"/>
                  <w:tcBorders>
                    <w:right w:val="single" w:color="auto" w:sz="4" w:space="0"/>
                  </w:tcBorders>
                  <w:vAlign w:val="center"/>
                </w:tcPr>
                <w:p>
                  <w:pPr>
                    <w:pStyle w:val="65"/>
                    <w:snapToGrid/>
                    <w:rPr>
                      <w:rFonts w:ascii="Times New Roman" w:hAnsi="Times New Roman" w:eastAsia="宋体"/>
                      <w:color w:val="auto"/>
                    </w:rPr>
                  </w:pPr>
                  <w:r>
                    <w:rPr>
                      <w:rFonts w:hint="eastAsia" w:ascii="Times New Roman" w:hAnsi="Times New Roman" w:eastAsia="宋体"/>
                      <w:color w:val="auto"/>
                    </w:rPr>
                    <w:t>无</w:t>
                  </w:r>
                </w:p>
              </w:tc>
              <w:tc>
                <w:tcPr>
                  <w:tcW w:w="1211" w:type="dxa"/>
                  <w:tcBorders>
                    <w:left w:val="single" w:color="auto" w:sz="4" w:space="0"/>
                  </w:tcBorders>
                  <w:vAlign w:val="center"/>
                </w:tcPr>
                <w:p>
                  <w:pPr>
                    <w:pStyle w:val="65"/>
                    <w:snapToGrid/>
                    <w:rPr>
                      <w:rFonts w:ascii="Times New Roman" w:hAnsi="Times New Roman" w:eastAsia="宋体"/>
                      <w:color w:val="auto"/>
                    </w:rPr>
                  </w:pPr>
                  <w:r>
                    <w:rPr>
                      <w:rFonts w:hint="eastAsia" w:ascii="Times New Roman" w:hAnsi="Times New Roman" w:eastAsia="宋体"/>
                      <w:color w:val="auto"/>
                    </w:rPr>
                    <w:t>/</w:t>
                  </w:r>
                </w:p>
              </w:tc>
              <w:tc>
                <w:tcPr>
                  <w:tcW w:w="1276"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w:t>
                  </w:r>
                </w:p>
              </w:tc>
              <w:tc>
                <w:tcPr>
                  <w:tcW w:w="1483"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w:t>
                  </w:r>
                </w:p>
              </w:tc>
              <w:tc>
                <w:tcPr>
                  <w:tcW w:w="210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《声环境质量标准》（GB3096-2008）</w:t>
                  </w:r>
                  <w:r>
                    <w:rPr>
                      <w:rFonts w:ascii="Times New Roman" w:hAnsi="Times New Roman" w:eastAsia="宋体"/>
                      <w:color w:val="auto"/>
                    </w:rPr>
                    <w:t>1</w:t>
                  </w:r>
                  <w:r>
                    <w:rPr>
                      <w:rFonts w:hint="eastAsia" w:ascii="Times New Roman" w:hAnsi="Times New Roman" w:eastAsia="宋体"/>
                      <w:color w:val="auto"/>
                    </w:rPr>
                    <w:t>类区标准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3" w:type="dxa"/>
                  <w:vAlign w:val="center"/>
                </w:tcPr>
                <w:p>
                  <w:pPr>
                    <w:pStyle w:val="65"/>
                    <w:rPr>
                      <w:rFonts w:ascii="Times New Roman" w:hAnsi="Times New Roman" w:eastAsia="宋体"/>
                      <w:color w:val="auto"/>
                      <w:szCs w:val="22"/>
                    </w:rPr>
                  </w:pPr>
                  <w:r>
                    <w:rPr>
                      <w:rFonts w:hint="eastAsia" w:ascii="Times New Roman" w:hAnsi="Times New Roman" w:eastAsia="宋体"/>
                      <w:color w:val="auto"/>
                      <w:szCs w:val="22"/>
                    </w:rPr>
                    <w:t>生态环境</w:t>
                  </w:r>
                </w:p>
              </w:tc>
              <w:tc>
                <w:tcPr>
                  <w:tcW w:w="5246" w:type="dxa"/>
                  <w:gridSpan w:val="4"/>
                  <w:vAlign w:val="center"/>
                </w:tcPr>
                <w:p>
                  <w:pPr>
                    <w:pStyle w:val="65"/>
                    <w:snapToGrid/>
                    <w:rPr>
                      <w:rFonts w:ascii="Times New Roman" w:hAnsi="Times New Roman" w:eastAsia="宋体"/>
                      <w:color w:val="auto"/>
                      <w:szCs w:val="22"/>
                    </w:rPr>
                  </w:pPr>
                  <w:r>
                    <w:rPr>
                      <w:rFonts w:hint="eastAsia" w:ascii="Times New Roman" w:hAnsi="Times New Roman" w:eastAsia="宋体"/>
                      <w:color w:val="auto"/>
                      <w:szCs w:val="22"/>
                    </w:rPr>
                    <w:t>评价区内的植物、动物（用地范围内除设备基础、道路等必须清理植被的区域，应尽量保留原生植被；严禁砍伐用地范围外的植被）</w:t>
                  </w:r>
                </w:p>
              </w:tc>
              <w:tc>
                <w:tcPr>
                  <w:tcW w:w="2101" w:type="dxa"/>
                  <w:vAlign w:val="center"/>
                </w:tcPr>
                <w:p>
                  <w:pPr>
                    <w:pStyle w:val="65"/>
                    <w:snapToGrid/>
                    <w:rPr>
                      <w:rFonts w:ascii="Times New Roman" w:hAnsi="Times New Roman" w:eastAsia="宋体"/>
                      <w:color w:val="auto"/>
                      <w:szCs w:val="22"/>
                    </w:rPr>
                  </w:pPr>
                  <w:r>
                    <w:rPr>
                      <w:rFonts w:hint="eastAsia" w:ascii="Times New Roman" w:hAnsi="Times New Roman" w:eastAsia="宋体"/>
                      <w:color w:val="auto"/>
                      <w:szCs w:val="22"/>
                    </w:rPr>
                    <w:t>确保项目建设不破坏当地的生态环境现状</w:t>
                  </w:r>
                </w:p>
              </w:tc>
            </w:tr>
          </w:tbl>
          <w:p>
            <w:pPr>
              <w:adjustRightInd w:val="0"/>
              <w:spacing w:line="360" w:lineRule="auto"/>
              <w:ind w:firstLine="480" w:firstLineChars="200"/>
              <w:rPr>
                <w:kern w:val="0"/>
                <w:sz w:val="24"/>
              </w:rPr>
            </w:pPr>
            <w:r>
              <w:rPr>
                <w:kern w:val="0"/>
                <w:sz w:val="24"/>
              </w:rPr>
              <w:t>（5）施工期保护目标</w:t>
            </w:r>
          </w:p>
          <w:p>
            <w:pPr>
              <w:adjustRightInd w:val="0"/>
              <w:spacing w:line="360" w:lineRule="auto"/>
              <w:ind w:firstLine="480" w:firstLineChars="200"/>
              <w:rPr>
                <w:kern w:val="0"/>
                <w:sz w:val="24"/>
              </w:rPr>
            </w:pPr>
            <w:r>
              <w:rPr>
                <w:rFonts w:hint="eastAsia"/>
                <w:kern w:val="0"/>
                <w:sz w:val="24"/>
              </w:rPr>
              <w:t>本项目为光伏发电项目，运营期无生产废气、生产废水排放，噪声源强较小，考虑项目环境影响主要集中在施工期，故将受施工期废气、施工期废水、施工期噪声影响的目标单独列出，主要为光伏施工区域场界外延2</w:t>
            </w:r>
            <w:r>
              <w:rPr>
                <w:kern w:val="0"/>
                <w:sz w:val="24"/>
              </w:rPr>
              <w:t>00</w:t>
            </w:r>
            <w:r>
              <w:rPr>
                <w:rFonts w:hint="eastAsia"/>
                <w:kern w:val="0"/>
                <w:sz w:val="24"/>
              </w:rPr>
              <w:t>m范围内的大气、声环境保护目标，场界下游1km范围内的地表水体，详见下表。</w:t>
            </w:r>
          </w:p>
          <w:p>
            <w:pPr>
              <w:pStyle w:val="59"/>
              <w:adjustRightInd w:val="0"/>
              <w:ind w:firstLine="480"/>
              <w:rPr>
                <w:rFonts w:ascii="Times New Roman" w:hAnsi="Times New Roman" w:eastAsia="宋体"/>
              </w:rPr>
            </w:pPr>
            <w:r>
              <w:rPr>
                <w:rFonts w:ascii="Times New Roman" w:hAnsi="Times New Roman" w:eastAsia="宋体"/>
              </w:rPr>
              <w:t xml:space="preserve">表3-7  </w:t>
            </w:r>
            <w:r>
              <w:rPr>
                <w:rFonts w:hint="eastAsia" w:ascii="Times New Roman" w:hAnsi="Times New Roman" w:eastAsia="宋体"/>
              </w:rPr>
              <w:t>施工期环境</w:t>
            </w:r>
            <w:r>
              <w:rPr>
                <w:rFonts w:ascii="Times New Roman" w:hAnsi="Times New Roman" w:eastAsia="宋体"/>
              </w:rPr>
              <w:t>保护目标一览表</w:t>
            </w:r>
          </w:p>
          <w:tbl>
            <w:tblPr>
              <w:tblStyle w:val="45"/>
              <w:tblW w:w="8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276"/>
              <w:gridCol w:w="1060"/>
              <w:gridCol w:w="1843"/>
              <w:gridCol w:w="1067"/>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3" w:type="dxa"/>
                  <w:vAlign w:val="center"/>
                </w:tcPr>
                <w:p>
                  <w:pPr>
                    <w:pStyle w:val="65"/>
                    <w:rPr>
                      <w:rFonts w:ascii="Times New Roman" w:hAnsi="Times New Roman" w:eastAsia="宋体"/>
                      <w:b/>
                      <w:color w:val="auto"/>
                    </w:rPr>
                  </w:pPr>
                  <w:r>
                    <w:rPr>
                      <w:rFonts w:ascii="Times New Roman" w:hAnsi="Times New Roman" w:eastAsia="宋体"/>
                      <w:b/>
                      <w:color w:val="auto"/>
                    </w:rPr>
                    <w:t>环境要素</w:t>
                  </w:r>
                </w:p>
              </w:tc>
              <w:tc>
                <w:tcPr>
                  <w:tcW w:w="1276" w:type="dxa"/>
                  <w:tcBorders>
                    <w:right w:val="single" w:color="auto" w:sz="4" w:space="0"/>
                  </w:tcBorders>
                  <w:vAlign w:val="center"/>
                </w:tcPr>
                <w:p>
                  <w:pPr>
                    <w:pStyle w:val="65"/>
                    <w:rPr>
                      <w:rFonts w:ascii="Times New Roman" w:hAnsi="Times New Roman" w:eastAsia="宋体"/>
                      <w:b/>
                      <w:color w:val="auto"/>
                    </w:rPr>
                  </w:pPr>
                  <w:r>
                    <w:rPr>
                      <w:rFonts w:ascii="Times New Roman" w:hAnsi="Times New Roman" w:eastAsia="宋体"/>
                      <w:b/>
                      <w:color w:val="auto"/>
                    </w:rPr>
                    <w:t>保护目标</w:t>
                  </w:r>
                </w:p>
              </w:tc>
              <w:tc>
                <w:tcPr>
                  <w:tcW w:w="1060" w:type="dxa"/>
                  <w:tcBorders>
                    <w:left w:val="single" w:color="auto" w:sz="4" w:space="0"/>
                  </w:tcBorders>
                  <w:vAlign w:val="center"/>
                </w:tcPr>
                <w:p>
                  <w:pPr>
                    <w:pStyle w:val="65"/>
                    <w:rPr>
                      <w:rFonts w:ascii="Times New Roman" w:hAnsi="Times New Roman" w:eastAsia="宋体"/>
                      <w:b/>
                      <w:color w:val="auto"/>
                    </w:rPr>
                  </w:pPr>
                  <w:r>
                    <w:rPr>
                      <w:rFonts w:hint="eastAsia" w:ascii="Times New Roman" w:hAnsi="Times New Roman" w:eastAsia="宋体"/>
                      <w:b/>
                      <w:color w:val="auto"/>
                    </w:rPr>
                    <w:t>坐标</w:t>
                  </w:r>
                </w:p>
              </w:tc>
              <w:tc>
                <w:tcPr>
                  <w:tcW w:w="1843" w:type="dxa"/>
                  <w:vAlign w:val="center"/>
                </w:tcPr>
                <w:p>
                  <w:pPr>
                    <w:pStyle w:val="65"/>
                    <w:rPr>
                      <w:rFonts w:ascii="Times New Roman" w:hAnsi="Times New Roman" w:eastAsia="宋体"/>
                      <w:b/>
                      <w:color w:val="auto"/>
                    </w:rPr>
                  </w:pPr>
                  <w:r>
                    <w:rPr>
                      <w:rFonts w:hint="eastAsia" w:ascii="Times New Roman" w:hAnsi="Times New Roman" w:eastAsia="宋体"/>
                      <w:b/>
                      <w:color w:val="auto"/>
                    </w:rPr>
                    <w:t>保护对象</w:t>
                  </w:r>
                </w:p>
              </w:tc>
              <w:tc>
                <w:tcPr>
                  <w:tcW w:w="1067" w:type="dxa"/>
                  <w:vAlign w:val="center"/>
                </w:tcPr>
                <w:p>
                  <w:pPr>
                    <w:pStyle w:val="65"/>
                    <w:rPr>
                      <w:rFonts w:ascii="Times New Roman" w:hAnsi="Times New Roman" w:eastAsia="宋体"/>
                      <w:b/>
                      <w:color w:val="auto"/>
                    </w:rPr>
                  </w:pPr>
                  <w:r>
                    <w:rPr>
                      <w:rFonts w:hint="eastAsia" w:ascii="Times New Roman" w:hAnsi="Times New Roman" w:eastAsia="宋体"/>
                      <w:b/>
                      <w:color w:val="auto"/>
                    </w:rPr>
                    <w:t>相对位置</w:t>
                  </w:r>
                </w:p>
              </w:tc>
              <w:tc>
                <w:tcPr>
                  <w:tcW w:w="2101" w:type="dxa"/>
                  <w:vAlign w:val="center"/>
                </w:tcPr>
                <w:p>
                  <w:pPr>
                    <w:pStyle w:val="65"/>
                    <w:rPr>
                      <w:rFonts w:ascii="Times New Roman" w:hAnsi="Times New Roman" w:eastAsia="宋体"/>
                      <w:b/>
                      <w:color w:val="auto"/>
                    </w:rPr>
                  </w:pPr>
                  <w:r>
                    <w:rPr>
                      <w:rFonts w:ascii="Times New Roman" w:hAnsi="Times New Roman" w:eastAsia="宋体"/>
                      <w:b/>
                      <w:color w:val="auto"/>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33" w:type="dxa"/>
                  <w:vAlign w:val="center"/>
                </w:tcPr>
                <w:p>
                  <w:pPr>
                    <w:pStyle w:val="65"/>
                    <w:rPr>
                      <w:rFonts w:ascii="Times New Roman" w:hAnsi="Times New Roman" w:eastAsia="宋体"/>
                      <w:color w:val="auto"/>
                    </w:rPr>
                  </w:pPr>
                  <w:r>
                    <w:rPr>
                      <w:rFonts w:hint="eastAsia" w:ascii="Times New Roman" w:hAnsi="Times New Roman" w:eastAsia="宋体"/>
                      <w:color w:val="auto"/>
                    </w:rPr>
                    <w:t>大气环境、声环境</w:t>
                  </w:r>
                </w:p>
              </w:tc>
              <w:tc>
                <w:tcPr>
                  <w:tcW w:w="1276" w:type="dxa"/>
                  <w:tcBorders>
                    <w:right w:val="single" w:color="auto" w:sz="4" w:space="0"/>
                  </w:tcBorders>
                  <w:vAlign w:val="center"/>
                </w:tcPr>
                <w:p>
                  <w:pPr>
                    <w:pStyle w:val="65"/>
                    <w:rPr>
                      <w:rFonts w:ascii="Times New Roman" w:hAnsi="Times New Roman" w:eastAsia="宋体"/>
                      <w:color w:val="auto"/>
                    </w:rPr>
                  </w:pPr>
                  <w:r>
                    <w:rPr>
                      <w:rFonts w:hint="eastAsia" w:ascii="Times New Roman" w:hAnsi="Times New Roman" w:eastAsia="宋体"/>
                      <w:color w:val="auto"/>
                    </w:rPr>
                    <w:t>无</w:t>
                  </w:r>
                </w:p>
              </w:tc>
              <w:tc>
                <w:tcPr>
                  <w:tcW w:w="1060" w:type="dxa"/>
                  <w:tcBorders>
                    <w:left w:val="single" w:color="auto" w:sz="4" w:space="0"/>
                  </w:tcBorders>
                  <w:vAlign w:val="center"/>
                </w:tcPr>
                <w:p>
                  <w:pPr>
                    <w:pStyle w:val="65"/>
                    <w:rPr>
                      <w:rFonts w:ascii="Times New Roman" w:hAnsi="Times New Roman" w:eastAsia="宋体"/>
                      <w:color w:val="auto"/>
                    </w:rPr>
                  </w:pPr>
                  <w:r>
                    <w:rPr>
                      <w:rFonts w:hint="eastAsia" w:ascii="Times New Roman" w:hAnsi="Times New Roman" w:eastAsia="宋体"/>
                      <w:color w:val="auto"/>
                    </w:rPr>
                    <w:t>/</w:t>
                  </w:r>
                </w:p>
              </w:tc>
              <w:tc>
                <w:tcPr>
                  <w:tcW w:w="1843" w:type="dxa"/>
                  <w:vAlign w:val="center"/>
                </w:tcPr>
                <w:p>
                  <w:pPr>
                    <w:pStyle w:val="65"/>
                    <w:rPr>
                      <w:rFonts w:ascii="Times New Roman" w:hAnsi="Times New Roman" w:eastAsia="宋体"/>
                      <w:color w:val="auto"/>
                    </w:rPr>
                  </w:pPr>
                  <w:r>
                    <w:rPr>
                      <w:rFonts w:hint="eastAsia" w:ascii="Times New Roman" w:hAnsi="Times New Roman" w:eastAsia="宋体"/>
                      <w:color w:val="auto"/>
                    </w:rPr>
                    <w:t>施工区域（光伏区、新建道路、改扩建道路、集电线路）</w:t>
                  </w:r>
                  <w:r>
                    <w:rPr>
                      <w:rFonts w:ascii="Times New Roman" w:hAnsi="Times New Roman" w:eastAsia="宋体"/>
                      <w:color w:val="auto"/>
                    </w:rPr>
                    <w:t>200</w:t>
                  </w:r>
                  <w:r>
                    <w:rPr>
                      <w:rFonts w:hint="eastAsia" w:ascii="Times New Roman" w:hAnsi="Times New Roman" w:eastAsia="宋体"/>
                      <w:color w:val="auto"/>
                    </w:rPr>
                    <w:t>m范围内无保护目标</w:t>
                  </w:r>
                </w:p>
              </w:tc>
              <w:tc>
                <w:tcPr>
                  <w:tcW w:w="1067" w:type="dxa"/>
                  <w:vAlign w:val="center"/>
                </w:tcPr>
                <w:p>
                  <w:pPr>
                    <w:pStyle w:val="65"/>
                    <w:rPr>
                      <w:rFonts w:ascii="Times New Roman" w:hAnsi="Times New Roman" w:eastAsia="宋体"/>
                      <w:color w:val="auto"/>
                    </w:rPr>
                  </w:pPr>
                  <w:r>
                    <w:rPr>
                      <w:rFonts w:hint="eastAsia" w:ascii="Times New Roman" w:hAnsi="Times New Roman" w:eastAsia="宋体"/>
                      <w:color w:val="auto"/>
                    </w:rPr>
                    <w:t>/</w:t>
                  </w:r>
                </w:p>
              </w:tc>
              <w:tc>
                <w:tcPr>
                  <w:tcW w:w="2101" w:type="dxa"/>
                  <w:vAlign w:val="center"/>
                </w:tcPr>
                <w:p>
                  <w:pPr>
                    <w:pStyle w:val="65"/>
                    <w:rPr>
                      <w:rFonts w:ascii="Times New Roman" w:hAnsi="Times New Roman" w:eastAsia="宋体"/>
                      <w:color w:val="auto"/>
                    </w:rPr>
                  </w:pPr>
                  <w:r>
                    <w:rPr>
                      <w:rFonts w:hint="eastAsia" w:ascii="Times New Roman" w:hAnsi="Times New Roman" w:eastAsia="宋体"/>
                      <w:color w:val="auto"/>
                    </w:rPr>
                    <w:t>《环境空气质量标准》（GB3095-2012）二级标准；《声环境质量标准》（GB3096-2008）</w:t>
                  </w:r>
                  <w:r>
                    <w:rPr>
                      <w:rFonts w:ascii="Times New Roman" w:hAnsi="Times New Roman" w:eastAsia="宋体"/>
                      <w:color w:val="auto"/>
                    </w:rPr>
                    <w:t>1</w:t>
                  </w:r>
                  <w:r>
                    <w:rPr>
                      <w:rFonts w:hint="eastAsia" w:ascii="Times New Roman" w:hAnsi="Times New Roman" w:eastAsia="宋体"/>
                      <w:color w:val="auto"/>
                    </w:rPr>
                    <w:t>类区标准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833" w:type="dxa"/>
                  <w:vAlign w:val="center"/>
                </w:tcPr>
                <w:p>
                  <w:pPr>
                    <w:pStyle w:val="65"/>
                    <w:rPr>
                      <w:rFonts w:ascii="Times New Roman" w:hAnsi="Times New Roman" w:eastAsia="宋体"/>
                      <w:color w:val="auto"/>
                    </w:rPr>
                  </w:pPr>
                  <w:r>
                    <w:rPr>
                      <w:rFonts w:hint="eastAsia" w:ascii="Times New Roman" w:hAnsi="Times New Roman" w:eastAsia="宋体"/>
                      <w:color w:val="auto"/>
                    </w:rPr>
                    <w:t>水环境</w:t>
                  </w:r>
                </w:p>
              </w:tc>
              <w:tc>
                <w:tcPr>
                  <w:tcW w:w="1276" w:type="dxa"/>
                  <w:tcBorders>
                    <w:right w:val="single" w:color="auto" w:sz="4" w:space="0"/>
                  </w:tcBorders>
                  <w:vAlign w:val="center"/>
                </w:tcPr>
                <w:p>
                  <w:pPr>
                    <w:pStyle w:val="65"/>
                    <w:rPr>
                      <w:rFonts w:ascii="Times New Roman" w:hAnsi="Times New Roman" w:eastAsia="宋体"/>
                      <w:color w:val="auto"/>
                    </w:rPr>
                  </w:pPr>
                  <w:r>
                    <w:rPr>
                      <w:rFonts w:hint="eastAsia" w:ascii="Times New Roman" w:hAnsi="Times New Roman" w:eastAsia="宋体"/>
                      <w:color w:val="auto"/>
                    </w:rPr>
                    <w:t>大白河</w:t>
                  </w:r>
                </w:p>
              </w:tc>
              <w:tc>
                <w:tcPr>
                  <w:tcW w:w="3970" w:type="dxa"/>
                  <w:gridSpan w:val="3"/>
                  <w:tcBorders>
                    <w:left w:val="single" w:color="auto" w:sz="4" w:space="0"/>
                  </w:tcBorders>
                  <w:vAlign w:val="center"/>
                </w:tcPr>
                <w:p>
                  <w:pPr>
                    <w:pStyle w:val="65"/>
                    <w:rPr>
                      <w:rFonts w:ascii="Times New Roman" w:hAnsi="Times New Roman" w:eastAsia="宋体"/>
                      <w:color w:val="auto"/>
                    </w:rPr>
                  </w:pPr>
                  <w:r>
                    <w:rPr>
                      <w:rFonts w:hint="eastAsia" w:ascii="Times New Roman" w:hAnsi="Times New Roman" w:eastAsia="宋体"/>
                      <w:color w:val="auto"/>
                    </w:rPr>
                    <w:t>大白河从改扩建道路南侧经过，最近处距施工区</w:t>
                  </w:r>
                  <w:r>
                    <w:rPr>
                      <w:rFonts w:ascii="Times New Roman" w:hAnsi="Times New Roman" w:eastAsia="宋体"/>
                      <w:color w:val="auto"/>
                    </w:rPr>
                    <w:t>500</w:t>
                  </w:r>
                  <w:r>
                    <w:rPr>
                      <w:rFonts w:hint="eastAsia" w:ascii="Times New Roman" w:hAnsi="Times New Roman" w:eastAsia="宋体"/>
                      <w:color w:val="auto"/>
                    </w:rPr>
                    <w:t>m</w:t>
                  </w:r>
                </w:p>
              </w:tc>
              <w:tc>
                <w:tcPr>
                  <w:tcW w:w="2101" w:type="dxa"/>
                  <w:vAlign w:val="center"/>
                </w:tcPr>
                <w:p>
                  <w:pPr>
                    <w:pStyle w:val="65"/>
                    <w:rPr>
                      <w:rFonts w:ascii="Times New Roman" w:hAnsi="Times New Roman" w:eastAsia="宋体"/>
                      <w:color w:val="auto"/>
                    </w:rPr>
                  </w:pPr>
                  <w:r>
                    <w:rPr>
                      <w:rFonts w:hint="eastAsia" w:ascii="Times New Roman" w:hAnsi="Times New Roman" w:eastAsia="宋体"/>
                      <w:color w:val="auto"/>
                    </w:rPr>
                    <w:t>《地表水环境质量标准》（GB3838-2002）Ⅲ类标准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833" w:type="dxa"/>
                  <w:vAlign w:val="center"/>
                </w:tcPr>
                <w:p>
                  <w:pPr>
                    <w:pStyle w:val="65"/>
                    <w:rPr>
                      <w:rFonts w:ascii="Times New Roman" w:hAnsi="Times New Roman" w:eastAsia="宋体"/>
                      <w:color w:val="auto"/>
                    </w:rPr>
                  </w:pPr>
                  <w:r>
                    <w:rPr>
                      <w:rFonts w:hint="eastAsia" w:ascii="Times New Roman" w:hAnsi="Times New Roman" w:eastAsia="宋体"/>
                      <w:color w:val="auto"/>
                    </w:rPr>
                    <w:t>生态环境</w:t>
                  </w:r>
                </w:p>
              </w:tc>
              <w:tc>
                <w:tcPr>
                  <w:tcW w:w="5246" w:type="dxa"/>
                  <w:gridSpan w:val="4"/>
                  <w:vAlign w:val="center"/>
                </w:tcPr>
                <w:p>
                  <w:pPr>
                    <w:pStyle w:val="65"/>
                    <w:rPr>
                      <w:rFonts w:ascii="Times New Roman" w:hAnsi="Times New Roman" w:eastAsia="宋体"/>
                      <w:color w:val="auto"/>
                    </w:rPr>
                  </w:pPr>
                  <w:r>
                    <w:rPr>
                      <w:rFonts w:hint="eastAsia" w:ascii="Times New Roman" w:hAnsi="Times New Roman" w:eastAsia="宋体"/>
                      <w:color w:val="auto"/>
                    </w:rPr>
                    <w:t>评价区内的植物、动物（用地范围内除设备基础、道路等必须清理植被的区域，应尽量保留原生植被；严禁砍伐用地范围外的植被）</w:t>
                  </w:r>
                </w:p>
              </w:tc>
              <w:tc>
                <w:tcPr>
                  <w:tcW w:w="2101" w:type="dxa"/>
                  <w:vAlign w:val="center"/>
                </w:tcPr>
                <w:p>
                  <w:pPr>
                    <w:pStyle w:val="65"/>
                    <w:rPr>
                      <w:rFonts w:ascii="Times New Roman" w:hAnsi="Times New Roman" w:eastAsia="宋体"/>
                      <w:color w:val="auto"/>
                    </w:rPr>
                  </w:pPr>
                  <w:r>
                    <w:rPr>
                      <w:rFonts w:hint="eastAsia" w:ascii="Times New Roman" w:hAnsi="Times New Roman" w:eastAsia="宋体"/>
                      <w:color w:val="auto"/>
                    </w:rPr>
                    <w:t>确保项目建设不破坏当地的生态环境现状</w:t>
                  </w:r>
                </w:p>
              </w:tc>
            </w:tr>
          </w:tbl>
          <w:p>
            <w:pPr>
              <w:adjustRightInd w:val="0"/>
              <w:spacing w:line="360" w:lineRule="auto"/>
              <w:ind w:firstLine="480" w:firstLineChars="200"/>
              <w:rPr>
                <w:rFonts w:ascii="宋体" w:hAnsi="宋体" w:cs="宋体"/>
                <w:kern w:val="0"/>
                <w:szCs w:val="21"/>
              </w:rPr>
            </w:pPr>
            <w:r>
              <w:rPr>
                <w:rFonts w:hint="eastAsia" w:ascii="宋体" w:hAnsi="宋体" w:cs="宋体"/>
                <w:kern w:val="0"/>
                <w:sz w:val="24"/>
              </w:rPr>
              <w:t>施工期应严格执行本报告提出的废气、废水、噪声防治措施，防止对项目周边环境造成影响。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评价</w:t>
            </w:r>
          </w:p>
          <w:p>
            <w:pPr>
              <w:adjustRightInd w:val="0"/>
              <w:jc w:val="center"/>
              <w:rPr>
                <w:rFonts w:ascii="宋体" w:hAnsi="宋体" w:cs="宋体"/>
                <w:kern w:val="0"/>
                <w:szCs w:val="21"/>
              </w:rPr>
            </w:pPr>
            <w:r>
              <w:rPr>
                <w:rFonts w:hint="eastAsia" w:ascii="宋体" w:hAnsi="宋体" w:cs="宋体"/>
                <w:kern w:val="0"/>
                <w:szCs w:val="21"/>
              </w:rPr>
              <w:t>标准</w:t>
            </w:r>
          </w:p>
        </w:tc>
        <w:tc>
          <w:tcPr>
            <w:tcW w:w="8391" w:type="dxa"/>
            <w:vAlign w:val="center"/>
          </w:tcPr>
          <w:p>
            <w:pPr>
              <w:adjustRightInd w:val="0"/>
              <w:spacing w:line="360" w:lineRule="auto"/>
              <w:rPr>
                <w:b/>
                <w:bCs/>
                <w:sz w:val="24"/>
              </w:rPr>
            </w:pPr>
            <w:r>
              <w:rPr>
                <w:rFonts w:hint="eastAsia"/>
                <w:b/>
                <w:bCs/>
                <w:sz w:val="24"/>
              </w:rPr>
              <w:t>1、环境质量标准</w:t>
            </w:r>
          </w:p>
          <w:p>
            <w:pPr>
              <w:adjustRightInd w:val="0"/>
              <w:spacing w:line="360" w:lineRule="auto"/>
              <w:ind w:firstLine="482" w:firstLineChars="200"/>
              <w:rPr>
                <w:rFonts w:cs="宋体"/>
                <w:b/>
                <w:bCs/>
                <w:sz w:val="24"/>
              </w:rPr>
            </w:pPr>
            <w:r>
              <w:rPr>
                <w:rFonts w:hint="eastAsia" w:cs="宋体"/>
                <w:b/>
                <w:bCs/>
                <w:sz w:val="24"/>
              </w:rPr>
              <w:t>（1）环境空气</w:t>
            </w:r>
          </w:p>
          <w:p>
            <w:pPr>
              <w:adjustRightInd w:val="0"/>
              <w:spacing w:line="360" w:lineRule="auto"/>
              <w:ind w:firstLine="480" w:firstLineChars="200"/>
              <w:rPr>
                <w:sz w:val="24"/>
              </w:rPr>
            </w:pPr>
            <w:r>
              <w:rPr>
                <w:rFonts w:hint="eastAsia"/>
                <w:kern w:val="0"/>
                <w:sz w:val="24"/>
              </w:rPr>
              <w:t>项目位于</w:t>
            </w:r>
            <w:r>
              <w:rPr>
                <w:sz w:val="24"/>
              </w:rPr>
              <w:t>二类</w:t>
            </w:r>
            <w:r>
              <w:rPr>
                <w:sz w:val="24"/>
                <w:szCs w:val="28"/>
              </w:rPr>
              <w:t>空气质量</w:t>
            </w:r>
            <w:r>
              <w:rPr>
                <w:rFonts w:hint="eastAsia"/>
                <w:sz w:val="24"/>
                <w:szCs w:val="28"/>
              </w:rPr>
              <w:t>功能区</w:t>
            </w:r>
            <w:r>
              <w:rPr>
                <w:sz w:val="24"/>
              </w:rPr>
              <w:t>，</w:t>
            </w:r>
            <w:r>
              <w:rPr>
                <w:sz w:val="24"/>
                <w:szCs w:val="28"/>
              </w:rPr>
              <w:t>执行</w:t>
            </w:r>
            <w:r>
              <w:rPr>
                <w:sz w:val="24"/>
              </w:rPr>
              <w:t>《环境空气质量标准》（GB3095-2012）</w:t>
            </w:r>
            <w:r>
              <w:rPr>
                <w:sz w:val="24"/>
                <w:szCs w:val="28"/>
              </w:rPr>
              <w:t>中的二级标准</w:t>
            </w:r>
            <w:r>
              <w:rPr>
                <w:rFonts w:hint="eastAsia"/>
                <w:sz w:val="24"/>
                <w:szCs w:val="28"/>
              </w:rPr>
              <w:t>，</w:t>
            </w:r>
            <w:r>
              <w:rPr>
                <w:sz w:val="24"/>
              </w:rPr>
              <w:t>标准值见</w:t>
            </w:r>
            <w:r>
              <w:rPr>
                <w:rFonts w:hint="eastAsia"/>
                <w:sz w:val="24"/>
              </w:rPr>
              <w:t>下表</w:t>
            </w:r>
            <w:r>
              <w:rPr>
                <w:sz w:val="24"/>
              </w:rPr>
              <w:t>。</w:t>
            </w:r>
          </w:p>
          <w:p>
            <w:pPr>
              <w:pStyle w:val="59"/>
              <w:adjustRightInd w:val="0"/>
              <w:rPr>
                <w:rFonts w:ascii="Times New Roman" w:hAnsi="Times New Roman" w:eastAsia="宋体"/>
              </w:rPr>
            </w:pPr>
            <w:r>
              <w:rPr>
                <w:rFonts w:ascii="Times New Roman" w:hAnsi="Times New Roman" w:eastAsia="宋体"/>
              </w:rPr>
              <w:t>表3-8  环境空气质量标准（GB3095-2012）（摘录）</w:t>
            </w:r>
          </w:p>
          <w:tbl>
            <w:tblPr>
              <w:tblStyle w:val="4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2"/>
              <w:gridCol w:w="309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Align w:val="center"/>
                </w:tcPr>
                <w:p>
                  <w:pPr>
                    <w:pStyle w:val="65"/>
                    <w:snapToGrid/>
                    <w:rPr>
                      <w:rFonts w:ascii="Times New Roman" w:hAnsi="Times New Roman" w:eastAsia="宋体"/>
                      <w:b/>
                      <w:color w:val="auto"/>
                    </w:rPr>
                  </w:pPr>
                  <w:r>
                    <w:rPr>
                      <w:rFonts w:ascii="Times New Roman" w:hAnsi="Times New Roman" w:eastAsia="宋体"/>
                      <w:b/>
                      <w:color w:val="auto"/>
                    </w:rPr>
                    <w:t>污染物名称</w:t>
                  </w:r>
                </w:p>
              </w:tc>
              <w:tc>
                <w:tcPr>
                  <w:tcW w:w="1812" w:type="dxa"/>
                  <w:vAlign w:val="center"/>
                </w:tcPr>
                <w:p>
                  <w:pPr>
                    <w:pStyle w:val="65"/>
                    <w:snapToGrid/>
                    <w:rPr>
                      <w:rFonts w:ascii="Times New Roman" w:hAnsi="Times New Roman" w:eastAsia="宋体"/>
                      <w:b/>
                      <w:color w:val="auto"/>
                    </w:rPr>
                  </w:pPr>
                  <w:r>
                    <w:rPr>
                      <w:rFonts w:ascii="Times New Roman" w:hAnsi="Times New Roman" w:eastAsia="宋体"/>
                      <w:b/>
                      <w:color w:val="auto"/>
                    </w:rPr>
                    <w:t>取值时间</w:t>
                  </w:r>
                </w:p>
              </w:tc>
              <w:tc>
                <w:tcPr>
                  <w:tcW w:w="3091" w:type="dxa"/>
                  <w:vAlign w:val="center"/>
                </w:tcPr>
                <w:p>
                  <w:pPr>
                    <w:pStyle w:val="65"/>
                    <w:snapToGrid/>
                    <w:rPr>
                      <w:rFonts w:ascii="Times New Roman" w:hAnsi="Times New Roman" w:eastAsia="宋体"/>
                      <w:b/>
                      <w:color w:val="auto"/>
                    </w:rPr>
                  </w:pPr>
                  <w:r>
                    <w:rPr>
                      <w:rFonts w:hint="eastAsia" w:ascii="Times New Roman" w:hAnsi="Times New Roman" w:eastAsia="宋体"/>
                      <w:b/>
                      <w:color w:val="auto"/>
                    </w:rPr>
                    <w:t>二</w:t>
                  </w:r>
                  <w:r>
                    <w:rPr>
                      <w:rFonts w:ascii="Times New Roman" w:hAnsi="Times New Roman" w:eastAsia="宋体"/>
                      <w:b/>
                      <w:color w:val="auto"/>
                    </w:rPr>
                    <w:t>级标准浓度限值</w:t>
                  </w:r>
                  <w:r>
                    <w:rPr>
                      <w:rFonts w:hint="eastAsia" w:ascii="Times New Roman" w:hAnsi="Times New Roman" w:eastAsia="宋体"/>
                      <w:b/>
                      <w:color w:val="auto"/>
                    </w:rPr>
                    <w:t>（ug/m</w:t>
                  </w:r>
                  <w:r>
                    <w:rPr>
                      <w:rFonts w:hint="eastAsia" w:ascii="Times New Roman" w:hAnsi="Times New Roman" w:eastAsia="宋体"/>
                      <w:b/>
                      <w:color w:val="auto"/>
                      <w:vertAlign w:val="superscript"/>
                    </w:rPr>
                    <w:t>3</w:t>
                  </w:r>
                  <w:r>
                    <w:rPr>
                      <w:rFonts w:hint="eastAsia" w:ascii="Times New Roman" w:hAnsi="Times New Roman" w:eastAsia="宋体"/>
                      <w:b/>
                      <w:color w:val="auto"/>
                    </w:rPr>
                    <w:t>）</w:t>
                  </w:r>
                </w:p>
              </w:tc>
              <w:tc>
                <w:tcPr>
                  <w:tcW w:w="1441" w:type="dxa"/>
                  <w:vAlign w:val="center"/>
                </w:tcPr>
                <w:p>
                  <w:pPr>
                    <w:pStyle w:val="65"/>
                    <w:snapToGrid/>
                    <w:rPr>
                      <w:rFonts w:ascii="Times New Roman" w:hAnsi="Times New Roman" w:eastAsia="宋体"/>
                      <w:b/>
                      <w:color w:val="auto"/>
                    </w:rPr>
                  </w:pPr>
                  <w:r>
                    <w:rPr>
                      <w:rFonts w:hint="eastAsia" w:ascii="Times New Roman" w:hAnsi="Times New Roman" w:eastAsia="宋体"/>
                      <w:b/>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restart"/>
                  <w:vAlign w:val="center"/>
                </w:tcPr>
                <w:p>
                  <w:pPr>
                    <w:pStyle w:val="65"/>
                    <w:snapToGrid/>
                    <w:rPr>
                      <w:rFonts w:ascii="Times New Roman" w:hAnsi="Times New Roman" w:eastAsia="宋体"/>
                      <w:color w:val="auto"/>
                    </w:rPr>
                  </w:pPr>
                  <w:r>
                    <w:rPr>
                      <w:rFonts w:ascii="Times New Roman" w:hAnsi="Times New Roman" w:eastAsia="宋体"/>
                      <w:color w:val="auto"/>
                    </w:rPr>
                    <w:t>TSP</w:t>
                  </w: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年平均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200</w:t>
                  </w:r>
                </w:p>
              </w:tc>
              <w:tc>
                <w:tcPr>
                  <w:tcW w:w="1441" w:type="dxa"/>
                  <w:vMerge w:val="restart"/>
                  <w:vAlign w:val="center"/>
                </w:tcPr>
                <w:p>
                  <w:pPr>
                    <w:pStyle w:val="65"/>
                    <w:snapToGrid/>
                    <w:rPr>
                      <w:rFonts w:ascii="Times New Roman" w:hAnsi="Times New Roman" w:eastAsia="宋体"/>
                      <w:bCs/>
                      <w:color w:val="auto"/>
                    </w:rPr>
                  </w:pPr>
                  <w:r>
                    <w:rPr>
                      <w:rFonts w:hint="eastAsia" w:ascii="Times New Roman" w:hAnsi="Times New Roman" w:eastAsia="宋体"/>
                      <w:bCs/>
                      <w:color w:val="auto"/>
                    </w:rPr>
                    <w:t>ug/m</w:t>
                  </w:r>
                  <w:r>
                    <w:rPr>
                      <w:rFonts w:hint="eastAsia" w:ascii="Times New Roman" w:hAnsi="Times New Roman" w:eastAsia="宋体"/>
                      <w:bCs/>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24小时平均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300</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restart"/>
                  <w:vAlign w:val="center"/>
                </w:tcPr>
                <w:p>
                  <w:pPr>
                    <w:pStyle w:val="65"/>
                    <w:snapToGrid/>
                    <w:rPr>
                      <w:rFonts w:ascii="Times New Roman" w:hAnsi="Times New Roman" w:eastAsia="宋体"/>
                      <w:color w:val="auto"/>
                      <w:vertAlign w:val="subscript"/>
                    </w:rPr>
                  </w:pPr>
                  <w:r>
                    <w:rPr>
                      <w:rFonts w:ascii="Times New Roman" w:hAnsi="Times New Roman" w:eastAsia="宋体"/>
                      <w:color w:val="auto"/>
                    </w:rPr>
                    <w:t>PM</w:t>
                  </w:r>
                  <w:r>
                    <w:rPr>
                      <w:rFonts w:ascii="Times New Roman" w:hAnsi="Times New Roman" w:eastAsia="宋体"/>
                      <w:color w:val="auto"/>
                      <w:vertAlign w:val="subscript"/>
                    </w:rPr>
                    <w:t>10</w:t>
                  </w: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年平均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70</w:t>
                  </w:r>
                </w:p>
              </w:tc>
              <w:tc>
                <w:tcPr>
                  <w:tcW w:w="1441" w:type="dxa"/>
                  <w:vMerge w:val="restart"/>
                  <w:vAlign w:val="center"/>
                </w:tcPr>
                <w:p>
                  <w:pPr>
                    <w:pStyle w:val="65"/>
                    <w:snapToGrid/>
                    <w:rPr>
                      <w:rFonts w:ascii="Times New Roman" w:hAnsi="Times New Roman" w:eastAsia="宋体"/>
                      <w:bCs/>
                      <w:color w:val="auto"/>
                    </w:rPr>
                  </w:pPr>
                  <w:r>
                    <w:rPr>
                      <w:rFonts w:hint="eastAsia" w:ascii="Times New Roman" w:hAnsi="Times New Roman" w:eastAsia="宋体"/>
                      <w:bCs/>
                      <w:color w:val="auto"/>
                    </w:rPr>
                    <w:t>ug/m</w:t>
                  </w:r>
                  <w:r>
                    <w:rPr>
                      <w:rFonts w:hint="eastAsia" w:ascii="Times New Roman" w:hAnsi="Times New Roman" w:eastAsia="宋体"/>
                      <w:bCs/>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24小时平均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150</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restart"/>
                  <w:vAlign w:val="center"/>
                </w:tcPr>
                <w:p>
                  <w:pPr>
                    <w:pStyle w:val="65"/>
                    <w:snapToGrid/>
                    <w:rPr>
                      <w:rFonts w:ascii="Times New Roman" w:hAnsi="Times New Roman" w:eastAsia="宋体"/>
                      <w:color w:val="auto"/>
                      <w:vertAlign w:val="subscript"/>
                    </w:rPr>
                  </w:pPr>
                  <w:r>
                    <w:rPr>
                      <w:rFonts w:ascii="Times New Roman" w:hAnsi="Times New Roman" w:eastAsia="宋体"/>
                      <w:color w:val="auto"/>
                    </w:rPr>
                    <w:t>PM</w:t>
                  </w:r>
                  <w:r>
                    <w:rPr>
                      <w:rFonts w:ascii="Times New Roman" w:hAnsi="Times New Roman" w:eastAsia="宋体"/>
                      <w:color w:val="auto"/>
                      <w:vertAlign w:val="subscript"/>
                    </w:rPr>
                    <w:t>2.5</w:t>
                  </w: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年平均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25</w:t>
                  </w:r>
                </w:p>
              </w:tc>
              <w:tc>
                <w:tcPr>
                  <w:tcW w:w="1441" w:type="dxa"/>
                  <w:vMerge w:val="restart"/>
                  <w:vAlign w:val="center"/>
                </w:tcPr>
                <w:p>
                  <w:pPr>
                    <w:pStyle w:val="65"/>
                    <w:snapToGrid/>
                    <w:rPr>
                      <w:rFonts w:ascii="Times New Roman" w:hAnsi="Times New Roman" w:eastAsia="宋体"/>
                      <w:bCs/>
                      <w:color w:val="auto"/>
                    </w:rPr>
                  </w:pPr>
                  <w:r>
                    <w:rPr>
                      <w:rFonts w:hint="eastAsia" w:ascii="Times New Roman" w:hAnsi="Times New Roman" w:eastAsia="宋体"/>
                      <w:bCs/>
                      <w:color w:val="auto"/>
                    </w:rPr>
                    <w:t>ug/m</w:t>
                  </w:r>
                  <w:r>
                    <w:rPr>
                      <w:rFonts w:hint="eastAsia" w:ascii="Times New Roman" w:hAnsi="Times New Roman" w:eastAsia="宋体"/>
                      <w:bCs/>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24小时平均</w:t>
                  </w:r>
                </w:p>
              </w:tc>
              <w:tc>
                <w:tcPr>
                  <w:tcW w:w="3091" w:type="dxa"/>
                  <w:vAlign w:val="center"/>
                </w:tcPr>
                <w:p>
                  <w:pPr>
                    <w:pStyle w:val="65"/>
                    <w:snapToGrid/>
                    <w:rPr>
                      <w:rFonts w:ascii="Times New Roman" w:hAnsi="Times New Roman" w:eastAsia="宋体"/>
                      <w:color w:val="auto"/>
                    </w:rPr>
                  </w:pPr>
                  <w:r>
                    <w:rPr>
                      <w:rFonts w:ascii="Times New Roman" w:hAnsi="Times New Roman" w:eastAsia="宋体"/>
                      <w:color w:val="auto"/>
                    </w:rPr>
                    <w:t>75</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restart"/>
                  <w:vAlign w:val="center"/>
                </w:tcPr>
                <w:p>
                  <w:pPr>
                    <w:pStyle w:val="65"/>
                    <w:snapToGrid/>
                    <w:rPr>
                      <w:rFonts w:ascii="Times New Roman" w:hAnsi="Times New Roman" w:eastAsia="宋体"/>
                      <w:color w:val="auto"/>
                    </w:rPr>
                  </w:pPr>
                  <w:r>
                    <w:rPr>
                      <w:rFonts w:ascii="Times New Roman" w:hAnsi="Times New Roman" w:eastAsia="宋体"/>
                      <w:color w:val="auto"/>
                    </w:rPr>
                    <w:t>SO</w:t>
                  </w:r>
                  <w:r>
                    <w:rPr>
                      <w:rFonts w:ascii="Times New Roman" w:hAnsi="Times New Roman" w:eastAsia="宋体"/>
                      <w:color w:val="auto"/>
                      <w:vertAlign w:val="subscript"/>
                    </w:rPr>
                    <w:t>2</w:t>
                  </w: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年平均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60</w:t>
                  </w:r>
                </w:p>
              </w:tc>
              <w:tc>
                <w:tcPr>
                  <w:tcW w:w="1441" w:type="dxa"/>
                  <w:vMerge w:val="restart"/>
                  <w:vAlign w:val="center"/>
                </w:tcPr>
                <w:p>
                  <w:pPr>
                    <w:pStyle w:val="65"/>
                    <w:snapToGrid/>
                    <w:rPr>
                      <w:rFonts w:ascii="Times New Roman" w:hAnsi="Times New Roman" w:eastAsia="宋体"/>
                      <w:bCs/>
                      <w:color w:val="auto"/>
                    </w:rPr>
                  </w:pPr>
                  <w:r>
                    <w:rPr>
                      <w:rFonts w:hint="eastAsia" w:ascii="Times New Roman" w:hAnsi="Times New Roman" w:eastAsia="宋体"/>
                      <w:bCs/>
                      <w:color w:val="auto"/>
                    </w:rPr>
                    <w:t>ug/m</w:t>
                  </w:r>
                  <w:r>
                    <w:rPr>
                      <w:rFonts w:hint="eastAsia" w:ascii="Times New Roman" w:hAnsi="Times New Roman" w:eastAsia="宋体"/>
                      <w:bCs/>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24小时平均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150</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1小时平均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500</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restart"/>
                  <w:vAlign w:val="center"/>
                </w:tcPr>
                <w:p>
                  <w:pPr>
                    <w:pStyle w:val="65"/>
                    <w:snapToGrid/>
                    <w:rPr>
                      <w:rFonts w:ascii="Times New Roman" w:hAnsi="Times New Roman" w:eastAsia="宋体"/>
                      <w:color w:val="auto"/>
                    </w:rPr>
                  </w:pPr>
                  <w:r>
                    <w:rPr>
                      <w:rFonts w:ascii="Times New Roman" w:hAnsi="Times New Roman" w:eastAsia="宋体"/>
                      <w:color w:val="auto"/>
                    </w:rPr>
                    <w:t>NO</w:t>
                  </w:r>
                  <w:r>
                    <w:rPr>
                      <w:rFonts w:ascii="Times New Roman" w:hAnsi="Times New Roman" w:eastAsia="宋体"/>
                      <w:color w:val="auto"/>
                      <w:vertAlign w:val="subscript"/>
                    </w:rPr>
                    <w:t>2</w:t>
                  </w: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年平均</w:t>
                  </w:r>
                </w:p>
              </w:tc>
              <w:tc>
                <w:tcPr>
                  <w:tcW w:w="3091" w:type="dxa"/>
                  <w:vAlign w:val="center"/>
                </w:tcPr>
                <w:p>
                  <w:pPr>
                    <w:pStyle w:val="65"/>
                    <w:snapToGrid/>
                    <w:rPr>
                      <w:rFonts w:ascii="Times New Roman" w:hAnsi="Times New Roman" w:eastAsia="宋体"/>
                      <w:color w:val="auto"/>
                    </w:rPr>
                  </w:pPr>
                  <w:r>
                    <w:rPr>
                      <w:rFonts w:ascii="Times New Roman" w:hAnsi="Times New Roman" w:eastAsia="宋体"/>
                      <w:color w:val="auto"/>
                    </w:rPr>
                    <w:t>40</w:t>
                  </w:r>
                </w:p>
              </w:tc>
              <w:tc>
                <w:tcPr>
                  <w:tcW w:w="1441" w:type="dxa"/>
                  <w:vMerge w:val="restart"/>
                  <w:vAlign w:val="center"/>
                </w:tcPr>
                <w:p>
                  <w:pPr>
                    <w:pStyle w:val="65"/>
                    <w:snapToGrid/>
                    <w:rPr>
                      <w:rFonts w:ascii="Times New Roman" w:hAnsi="Times New Roman" w:eastAsia="宋体"/>
                      <w:bCs/>
                      <w:color w:val="auto"/>
                    </w:rPr>
                  </w:pPr>
                  <w:r>
                    <w:rPr>
                      <w:rFonts w:hint="eastAsia" w:ascii="Times New Roman" w:hAnsi="Times New Roman" w:eastAsia="宋体"/>
                      <w:bCs/>
                      <w:color w:val="auto"/>
                    </w:rPr>
                    <w:t>ug/m</w:t>
                  </w:r>
                  <w:r>
                    <w:rPr>
                      <w:rFonts w:hint="eastAsia" w:ascii="Times New Roman" w:hAnsi="Times New Roman" w:eastAsia="宋体"/>
                      <w:bCs/>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24小时平均</w:t>
                  </w:r>
                </w:p>
              </w:tc>
              <w:tc>
                <w:tcPr>
                  <w:tcW w:w="3091" w:type="dxa"/>
                  <w:vAlign w:val="center"/>
                </w:tcPr>
                <w:p>
                  <w:pPr>
                    <w:pStyle w:val="65"/>
                    <w:snapToGrid/>
                    <w:rPr>
                      <w:rFonts w:ascii="Times New Roman" w:hAnsi="Times New Roman" w:eastAsia="宋体"/>
                      <w:color w:val="auto"/>
                    </w:rPr>
                  </w:pPr>
                  <w:r>
                    <w:rPr>
                      <w:rFonts w:ascii="Times New Roman" w:hAnsi="Times New Roman" w:eastAsia="宋体"/>
                      <w:color w:val="auto"/>
                    </w:rPr>
                    <w:t>80</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1小时平均</w:t>
                  </w:r>
                </w:p>
              </w:tc>
              <w:tc>
                <w:tcPr>
                  <w:tcW w:w="3091" w:type="dxa"/>
                  <w:vAlign w:val="center"/>
                </w:tcPr>
                <w:p>
                  <w:pPr>
                    <w:pStyle w:val="65"/>
                    <w:snapToGrid/>
                    <w:rPr>
                      <w:rFonts w:ascii="Times New Roman" w:hAnsi="Times New Roman" w:eastAsia="宋体"/>
                      <w:color w:val="auto"/>
                    </w:rPr>
                  </w:pPr>
                  <w:r>
                    <w:rPr>
                      <w:rFonts w:ascii="Times New Roman" w:hAnsi="Times New Roman" w:eastAsia="宋体"/>
                      <w:color w:val="auto"/>
                    </w:rPr>
                    <w:t>200</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restart"/>
                  <w:vAlign w:val="center"/>
                </w:tcPr>
                <w:p>
                  <w:pPr>
                    <w:pStyle w:val="65"/>
                    <w:snapToGrid/>
                    <w:rPr>
                      <w:rFonts w:ascii="Times New Roman" w:hAnsi="Times New Roman" w:eastAsia="宋体"/>
                      <w:color w:val="auto"/>
                    </w:rPr>
                  </w:pPr>
                  <w:r>
                    <w:rPr>
                      <w:rFonts w:hint="eastAsia" w:ascii="Times New Roman" w:hAnsi="Times New Roman" w:eastAsia="宋体"/>
                      <w:color w:val="auto"/>
                    </w:rPr>
                    <w:t>C</w:t>
                  </w:r>
                  <w:r>
                    <w:rPr>
                      <w:rFonts w:ascii="Times New Roman" w:hAnsi="Times New Roman" w:eastAsia="宋体"/>
                      <w:color w:val="auto"/>
                    </w:rPr>
                    <w:t>O</w:t>
                  </w: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24小时平均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4</w:t>
                  </w:r>
                </w:p>
              </w:tc>
              <w:tc>
                <w:tcPr>
                  <w:tcW w:w="1441" w:type="dxa"/>
                  <w:vMerge w:val="restart"/>
                  <w:vAlign w:val="center"/>
                </w:tcPr>
                <w:p>
                  <w:pPr>
                    <w:pStyle w:val="65"/>
                    <w:snapToGrid/>
                    <w:rPr>
                      <w:rFonts w:ascii="Times New Roman" w:hAnsi="Times New Roman" w:eastAsia="宋体"/>
                      <w:bCs/>
                      <w:color w:val="auto"/>
                    </w:rPr>
                  </w:pPr>
                  <w:r>
                    <w:rPr>
                      <w:rFonts w:hint="eastAsia" w:ascii="Times New Roman" w:hAnsi="Times New Roman" w:eastAsia="宋体"/>
                      <w:bCs/>
                      <w:color w:val="auto"/>
                    </w:rPr>
                    <w:t>mg/m</w:t>
                  </w:r>
                  <w:r>
                    <w:rPr>
                      <w:rFonts w:hint="eastAsia" w:ascii="Times New Roman" w:hAnsi="Times New Roman" w:eastAsia="宋体"/>
                      <w:bCs/>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1小时平均</w:t>
                  </w:r>
                </w:p>
              </w:tc>
              <w:tc>
                <w:tcPr>
                  <w:tcW w:w="3091"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1</w:t>
                  </w:r>
                  <w:r>
                    <w:rPr>
                      <w:rFonts w:ascii="Times New Roman" w:hAnsi="Times New Roman" w:eastAsia="宋体"/>
                      <w:color w:val="auto"/>
                    </w:rPr>
                    <w:t>0</w:t>
                  </w:r>
                </w:p>
              </w:tc>
              <w:tc>
                <w:tcPr>
                  <w:tcW w:w="1441" w:type="dxa"/>
                  <w:vMerge w:val="continue"/>
                  <w:vAlign w:val="center"/>
                </w:tcPr>
                <w:p>
                  <w:pPr>
                    <w:pStyle w:val="65"/>
                    <w:snapToGrid/>
                    <w:rPr>
                      <w:rFonts w:ascii="Times New Roman" w:hAnsi="Times New Roman" w:eastAsia="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restart"/>
                  <w:vAlign w:val="center"/>
                </w:tcPr>
                <w:p>
                  <w:pPr>
                    <w:pStyle w:val="65"/>
                    <w:snapToGrid/>
                    <w:rPr>
                      <w:rFonts w:ascii="Times New Roman" w:hAnsi="Times New Roman" w:eastAsia="宋体"/>
                      <w:color w:val="auto"/>
                    </w:rPr>
                  </w:pPr>
                  <w:r>
                    <w:rPr>
                      <w:rFonts w:ascii="Times New Roman" w:hAnsi="Times New Roman" w:eastAsia="宋体"/>
                      <w:color w:val="auto"/>
                    </w:rPr>
                    <w:t>O</w:t>
                  </w:r>
                  <w:r>
                    <w:rPr>
                      <w:rFonts w:ascii="Times New Roman" w:hAnsi="Times New Roman" w:eastAsia="宋体"/>
                      <w:color w:val="auto"/>
                      <w:vertAlign w:val="subscript"/>
                    </w:rPr>
                    <w:t>3</w:t>
                  </w: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24小时平均</w:t>
                  </w:r>
                </w:p>
              </w:tc>
              <w:tc>
                <w:tcPr>
                  <w:tcW w:w="3091" w:type="dxa"/>
                  <w:vAlign w:val="center"/>
                </w:tcPr>
                <w:p>
                  <w:pPr>
                    <w:pStyle w:val="65"/>
                    <w:snapToGrid/>
                    <w:rPr>
                      <w:rFonts w:ascii="Times New Roman" w:hAnsi="Times New Roman" w:eastAsia="宋体"/>
                      <w:color w:val="auto"/>
                    </w:rPr>
                  </w:pPr>
                  <w:r>
                    <w:rPr>
                      <w:rFonts w:ascii="Times New Roman" w:hAnsi="Times New Roman" w:eastAsia="宋体"/>
                      <w:color w:val="auto"/>
                    </w:rPr>
                    <w:t>160</w:t>
                  </w:r>
                  <w:r>
                    <w:rPr>
                      <w:rFonts w:hint="eastAsia" w:ascii="Times New Roman" w:hAnsi="Times New Roman" w:eastAsia="宋体"/>
                      <w:color w:val="auto"/>
                    </w:rPr>
                    <w:t>（</w:t>
                  </w:r>
                  <w:r>
                    <w:rPr>
                      <w:rFonts w:hint="eastAsia" w:eastAsia="宋体"/>
                      <w:color w:val="auto"/>
                    </w:rPr>
                    <w:t>日最大</w:t>
                  </w:r>
                  <w:r>
                    <w:rPr>
                      <w:rFonts w:ascii="Times New Roman" w:hAnsi="Times New Roman" w:eastAsia="宋体"/>
                      <w:color w:val="auto"/>
                    </w:rPr>
                    <w:t>8</w:t>
                  </w:r>
                  <w:r>
                    <w:rPr>
                      <w:rFonts w:hint="eastAsia" w:eastAsia="宋体"/>
                      <w:color w:val="auto"/>
                    </w:rPr>
                    <w:t>小时平均）</w:t>
                  </w:r>
                </w:p>
              </w:tc>
              <w:tc>
                <w:tcPr>
                  <w:tcW w:w="1441" w:type="dxa"/>
                  <w:vMerge w:val="restart"/>
                  <w:vAlign w:val="center"/>
                </w:tcPr>
                <w:p>
                  <w:pPr>
                    <w:pStyle w:val="65"/>
                    <w:snapToGrid/>
                    <w:rPr>
                      <w:rFonts w:ascii="Times New Roman" w:hAnsi="Times New Roman" w:eastAsia="宋体"/>
                      <w:bCs/>
                      <w:color w:val="auto"/>
                    </w:rPr>
                  </w:pPr>
                  <w:r>
                    <w:rPr>
                      <w:rFonts w:hint="eastAsia" w:ascii="Times New Roman" w:hAnsi="Times New Roman" w:eastAsia="宋体"/>
                      <w:bCs/>
                      <w:color w:val="auto"/>
                    </w:rPr>
                    <w:t>ug/m</w:t>
                  </w:r>
                  <w:r>
                    <w:rPr>
                      <w:rFonts w:hint="eastAsia" w:ascii="Times New Roman" w:hAnsi="Times New Roman" w:eastAsia="宋体"/>
                      <w:bCs/>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819" w:type="dxa"/>
                  <w:vMerge w:val="continue"/>
                  <w:vAlign w:val="center"/>
                </w:tcPr>
                <w:p>
                  <w:pPr>
                    <w:pStyle w:val="65"/>
                    <w:snapToGrid/>
                    <w:rPr>
                      <w:rFonts w:ascii="Times New Roman" w:hAnsi="Times New Roman" w:eastAsia="宋体"/>
                      <w:color w:val="auto"/>
                    </w:rPr>
                  </w:pPr>
                </w:p>
              </w:tc>
              <w:tc>
                <w:tcPr>
                  <w:tcW w:w="1812" w:type="dxa"/>
                  <w:vAlign w:val="center"/>
                </w:tcPr>
                <w:p>
                  <w:pPr>
                    <w:pStyle w:val="65"/>
                    <w:snapToGrid/>
                    <w:rPr>
                      <w:rFonts w:ascii="Times New Roman" w:hAnsi="Times New Roman" w:eastAsia="宋体"/>
                      <w:color w:val="auto"/>
                    </w:rPr>
                  </w:pPr>
                  <w:r>
                    <w:rPr>
                      <w:rFonts w:ascii="Times New Roman" w:hAnsi="Times New Roman" w:eastAsia="宋体"/>
                      <w:color w:val="auto"/>
                    </w:rPr>
                    <w:t>1小时平均</w:t>
                  </w:r>
                </w:p>
              </w:tc>
              <w:tc>
                <w:tcPr>
                  <w:tcW w:w="3091" w:type="dxa"/>
                  <w:vAlign w:val="center"/>
                </w:tcPr>
                <w:p>
                  <w:pPr>
                    <w:pStyle w:val="65"/>
                    <w:snapToGrid/>
                    <w:rPr>
                      <w:rFonts w:ascii="Times New Roman" w:hAnsi="Times New Roman" w:eastAsia="宋体"/>
                      <w:color w:val="auto"/>
                    </w:rPr>
                  </w:pPr>
                  <w:r>
                    <w:rPr>
                      <w:rFonts w:ascii="Times New Roman" w:hAnsi="Times New Roman" w:eastAsia="宋体"/>
                      <w:color w:val="auto"/>
                    </w:rPr>
                    <w:t>200</w:t>
                  </w:r>
                </w:p>
              </w:tc>
              <w:tc>
                <w:tcPr>
                  <w:tcW w:w="1441" w:type="dxa"/>
                  <w:vMerge w:val="continue"/>
                  <w:vAlign w:val="center"/>
                </w:tcPr>
                <w:p>
                  <w:pPr>
                    <w:pStyle w:val="65"/>
                    <w:snapToGrid/>
                    <w:rPr>
                      <w:rFonts w:ascii="宋体" w:hAnsi="宋体" w:eastAsia="宋体"/>
                      <w:color w:val="auto"/>
                    </w:rPr>
                  </w:pPr>
                </w:p>
              </w:tc>
            </w:tr>
          </w:tbl>
          <w:p>
            <w:pPr>
              <w:adjustRightInd w:val="0"/>
              <w:spacing w:line="360" w:lineRule="auto"/>
              <w:ind w:firstLine="482" w:firstLineChars="200"/>
              <w:rPr>
                <w:b/>
                <w:sz w:val="24"/>
              </w:rPr>
            </w:pPr>
            <w:r>
              <w:rPr>
                <w:rFonts w:hint="eastAsia"/>
                <w:b/>
                <w:sz w:val="24"/>
              </w:rPr>
              <w:t>（2）</w:t>
            </w:r>
            <w:r>
              <w:rPr>
                <w:rFonts w:hAnsi="宋体"/>
                <w:b/>
                <w:sz w:val="24"/>
              </w:rPr>
              <w:t>地表水</w:t>
            </w:r>
          </w:p>
          <w:p>
            <w:pPr>
              <w:adjustRightInd w:val="0"/>
              <w:spacing w:line="336" w:lineRule="auto"/>
              <w:ind w:firstLine="480" w:firstLineChars="200"/>
              <w:rPr>
                <w:kern w:val="0"/>
                <w:sz w:val="24"/>
              </w:rPr>
            </w:pPr>
            <w:r>
              <w:rPr>
                <w:rFonts w:hint="eastAsia"/>
                <w:sz w:val="24"/>
                <w:szCs w:val="28"/>
              </w:rPr>
              <w:t>项目位于小江流域，大白河</w:t>
            </w:r>
            <w:r>
              <w:rPr>
                <w:rFonts w:hint="eastAsia"/>
                <w:sz w:val="24"/>
              </w:rPr>
              <w:t>执行《地表水环境质量标准》（GB3838-2002）Ⅲ类水质标准</w:t>
            </w:r>
            <w:r>
              <w:rPr>
                <w:rFonts w:hint="eastAsia"/>
                <w:kern w:val="0"/>
                <w:sz w:val="24"/>
              </w:rPr>
              <w:t>，标准值见下表。</w:t>
            </w:r>
          </w:p>
          <w:p>
            <w:pPr>
              <w:pStyle w:val="66"/>
              <w:adjustRightInd w:val="0"/>
              <w:rPr>
                <w:rFonts w:ascii="Times New Roman" w:hAnsi="Times New Roman" w:eastAsia="宋体"/>
              </w:rPr>
            </w:pPr>
            <w:r>
              <w:rPr>
                <w:rFonts w:ascii="Times New Roman" w:hAnsi="Times New Roman" w:eastAsia="宋体"/>
              </w:rPr>
              <w:t>表3-9  地表水环境质量标准（GB3838-2002）（摘录）</w:t>
            </w:r>
            <w:r>
              <w:rPr>
                <w:rFonts w:hint="eastAsia" w:ascii="Times New Roman" w:hAnsi="Times New Roman" w:eastAsia="宋体"/>
              </w:rPr>
              <w:t xml:space="preserve"> </w:t>
            </w:r>
            <w:r>
              <w:rPr>
                <w:rFonts w:ascii="Times New Roman" w:hAnsi="Times New Roman" w:eastAsia="宋体"/>
              </w:rPr>
              <w:t xml:space="preserve"> 单位：mg/L</w:t>
            </w:r>
          </w:p>
          <w:tbl>
            <w:tblPr>
              <w:tblStyle w:val="44"/>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39"/>
              <w:gridCol w:w="810"/>
              <w:gridCol w:w="896"/>
              <w:gridCol w:w="995"/>
              <w:gridCol w:w="728"/>
              <w:gridCol w:w="7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38" w:type="dxa"/>
                  <w:vAlign w:val="center"/>
                </w:tcPr>
                <w:p>
                  <w:pPr>
                    <w:pStyle w:val="65"/>
                    <w:snapToGrid/>
                    <w:rPr>
                      <w:rFonts w:ascii="Times New Roman" w:hAnsi="Times New Roman" w:eastAsia="宋体"/>
                      <w:b/>
                      <w:color w:val="auto"/>
                    </w:rPr>
                  </w:pPr>
                  <w:bookmarkStart w:id="21" w:name="_Toc291143791"/>
                  <w:bookmarkStart w:id="22" w:name="_Toc309471438"/>
                  <w:bookmarkStart w:id="23" w:name="_Toc295376150"/>
                  <w:bookmarkStart w:id="24" w:name="_Toc290879824"/>
                  <w:r>
                    <w:rPr>
                      <w:rFonts w:ascii="Times New Roman" w:hAnsi="Times New Roman" w:eastAsia="宋体"/>
                      <w:b/>
                      <w:color w:val="auto"/>
                    </w:rPr>
                    <w:t>项目</w:t>
                  </w:r>
                  <w:bookmarkEnd w:id="21"/>
                  <w:bookmarkEnd w:id="22"/>
                  <w:bookmarkEnd w:id="23"/>
                  <w:bookmarkEnd w:id="24"/>
                </w:p>
              </w:tc>
              <w:tc>
                <w:tcPr>
                  <w:tcW w:w="839" w:type="dxa"/>
                  <w:vAlign w:val="center"/>
                </w:tcPr>
                <w:p>
                  <w:pPr>
                    <w:pStyle w:val="65"/>
                    <w:snapToGrid/>
                    <w:rPr>
                      <w:rFonts w:ascii="Times New Roman" w:hAnsi="Times New Roman" w:eastAsia="宋体"/>
                      <w:b/>
                      <w:color w:val="auto"/>
                    </w:rPr>
                  </w:pPr>
                  <w:bookmarkStart w:id="25" w:name="_Toc309471439"/>
                  <w:bookmarkStart w:id="26" w:name="_Toc295376151"/>
                  <w:bookmarkStart w:id="27" w:name="_Toc290879825"/>
                  <w:bookmarkStart w:id="28" w:name="_Toc291143792"/>
                  <w:r>
                    <w:rPr>
                      <w:rFonts w:ascii="Times New Roman" w:hAnsi="Times New Roman" w:eastAsia="宋体"/>
                      <w:b/>
                      <w:color w:val="auto"/>
                    </w:rPr>
                    <w:t>pH值</w:t>
                  </w:r>
                  <w:bookmarkEnd w:id="25"/>
                  <w:bookmarkEnd w:id="26"/>
                  <w:bookmarkEnd w:id="27"/>
                  <w:bookmarkEnd w:id="28"/>
                </w:p>
              </w:tc>
              <w:tc>
                <w:tcPr>
                  <w:tcW w:w="810" w:type="dxa"/>
                  <w:vAlign w:val="center"/>
                </w:tcPr>
                <w:p>
                  <w:pPr>
                    <w:pStyle w:val="65"/>
                    <w:snapToGrid/>
                    <w:rPr>
                      <w:rFonts w:ascii="Times New Roman" w:hAnsi="Times New Roman" w:eastAsia="宋体"/>
                      <w:b/>
                      <w:color w:val="auto"/>
                    </w:rPr>
                  </w:pPr>
                  <w:bookmarkStart w:id="29" w:name="_Toc295376152"/>
                  <w:bookmarkStart w:id="30" w:name="_Toc291143793"/>
                  <w:bookmarkStart w:id="31" w:name="_Toc309471440"/>
                  <w:bookmarkStart w:id="32" w:name="_Toc290879826"/>
                  <w:r>
                    <w:rPr>
                      <w:rFonts w:ascii="Times New Roman" w:hAnsi="Times New Roman" w:eastAsia="宋体"/>
                      <w:b/>
                      <w:color w:val="auto"/>
                    </w:rPr>
                    <w:t>COD</w:t>
                  </w:r>
                  <w:bookmarkEnd w:id="29"/>
                  <w:bookmarkEnd w:id="30"/>
                  <w:bookmarkEnd w:id="31"/>
                  <w:bookmarkEnd w:id="32"/>
                </w:p>
              </w:tc>
              <w:tc>
                <w:tcPr>
                  <w:tcW w:w="896" w:type="dxa"/>
                  <w:vAlign w:val="center"/>
                </w:tcPr>
                <w:p>
                  <w:pPr>
                    <w:pStyle w:val="65"/>
                    <w:snapToGrid/>
                    <w:rPr>
                      <w:rFonts w:ascii="Times New Roman" w:hAnsi="Times New Roman" w:eastAsia="宋体"/>
                      <w:b/>
                      <w:color w:val="auto"/>
                    </w:rPr>
                  </w:pPr>
                  <w:bookmarkStart w:id="33" w:name="_Toc290879827"/>
                  <w:bookmarkStart w:id="34" w:name="_Toc309471441"/>
                  <w:bookmarkStart w:id="35" w:name="_Toc291143794"/>
                  <w:bookmarkStart w:id="36" w:name="_Toc295376153"/>
                  <w:r>
                    <w:rPr>
                      <w:rFonts w:ascii="Times New Roman" w:hAnsi="Times New Roman" w:eastAsia="宋体"/>
                      <w:b/>
                      <w:color w:val="auto"/>
                    </w:rPr>
                    <w:t>BOD</w:t>
                  </w:r>
                  <w:r>
                    <w:rPr>
                      <w:rFonts w:ascii="Times New Roman" w:hAnsi="Times New Roman" w:eastAsia="宋体"/>
                      <w:b/>
                      <w:color w:val="auto"/>
                      <w:vertAlign w:val="subscript"/>
                    </w:rPr>
                    <w:t>5</w:t>
                  </w:r>
                  <w:bookmarkEnd w:id="33"/>
                  <w:bookmarkEnd w:id="34"/>
                  <w:bookmarkEnd w:id="35"/>
                  <w:bookmarkEnd w:id="36"/>
                </w:p>
              </w:tc>
              <w:tc>
                <w:tcPr>
                  <w:tcW w:w="995" w:type="dxa"/>
                  <w:vAlign w:val="center"/>
                </w:tcPr>
                <w:p>
                  <w:pPr>
                    <w:pStyle w:val="65"/>
                    <w:snapToGrid/>
                    <w:rPr>
                      <w:rFonts w:ascii="Times New Roman" w:hAnsi="Times New Roman" w:eastAsia="宋体"/>
                      <w:b/>
                      <w:color w:val="auto"/>
                    </w:rPr>
                  </w:pPr>
                  <w:bookmarkStart w:id="37" w:name="_Toc309471442"/>
                  <w:bookmarkStart w:id="38" w:name="_Toc290879828"/>
                  <w:bookmarkStart w:id="39" w:name="_Toc295376154"/>
                  <w:bookmarkStart w:id="40" w:name="_Toc291143795"/>
                  <w:r>
                    <w:rPr>
                      <w:rFonts w:ascii="Times New Roman" w:hAnsi="Times New Roman" w:eastAsia="宋体"/>
                      <w:b/>
                      <w:color w:val="auto"/>
                    </w:rPr>
                    <w:t>NH</w:t>
                  </w:r>
                  <w:r>
                    <w:rPr>
                      <w:rFonts w:ascii="Times New Roman" w:hAnsi="Times New Roman" w:eastAsia="宋体"/>
                      <w:b/>
                      <w:color w:val="auto"/>
                      <w:vertAlign w:val="subscript"/>
                    </w:rPr>
                    <w:t>3</w:t>
                  </w:r>
                  <w:r>
                    <w:rPr>
                      <w:rFonts w:ascii="Times New Roman" w:hAnsi="Times New Roman" w:eastAsia="宋体"/>
                      <w:b/>
                      <w:color w:val="auto"/>
                    </w:rPr>
                    <w:t>-N</w:t>
                  </w:r>
                  <w:bookmarkEnd w:id="37"/>
                  <w:bookmarkEnd w:id="38"/>
                  <w:bookmarkEnd w:id="39"/>
                  <w:bookmarkEnd w:id="40"/>
                </w:p>
              </w:tc>
              <w:tc>
                <w:tcPr>
                  <w:tcW w:w="728" w:type="dxa"/>
                  <w:vAlign w:val="center"/>
                </w:tcPr>
                <w:p>
                  <w:pPr>
                    <w:pStyle w:val="65"/>
                    <w:snapToGrid/>
                    <w:rPr>
                      <w:rFonts w:ascii="Times New Roman" w:hAnsi="Times New Roman" w:eastAsia="宋体"/>
                      <w:b/>
                      <w:color w:val="auto"/>
                    </w:rPr>
                  </w:pPr>
                  <w:bookmarkStart w:id="41" w:name="_Toc295376155"/>
                  <w:bookmarkStart w:id="42" w:name="_Toc309471443"/>
                  <w:bookmarkStart w:id="43" w:name="_Toc290879829"/>
                  <w:bookmarkStart w:id="44" w:name="_Toc291143796"/>
                  <w:r>
                    <w:rPr>
                      <w:rFonts w:ascii="Times New Roman" w:hAnsi="Times New Roman" w:eastAsia="宋体"/>
                      <w:b/>
                      <w:color w:val="auto"/>
                    </w:rPr>
                    <w:t>TP</w:t>
                  </w:r>
                  <w:bookmarkEnd w:id="41"/>
                  <w:bookmarkEnd w:id="42"/>
                  <w:bookmarkEnd w:id="43"/>
                  <w:bookmarkEnd w:id="44"/>
                </w:p>
              </w:tc>
              <w:tc>
                <w:tcPr>
                  <w:tcW w:w="728" w:type="dxa"/>
                  <w:vAlign w:val="center"/>
                </w:tcPr>
                <w:p>
                  <w:pPr>
                    <w:pStyle w:val="65"/>
                    <w:snapToGrid/>
                    <w:rPr>
                      <w:rFonts w:ascii="Times New Roman" w:hAnsi="Times New Roman" w:eastAsia="宋体"/>
                      <w:b/>
                      <w:color w:val="auto"/>
                    </w:rPr>
                  </w:pPr>
                  <w:r>
                    <w:rPr>
                      <w:rFonts w:hint="eastAsia" w:ascii="Times New Roman" w:hAnsi="Times New Roman" w:eastAsia="宋体"/>
                      <w:b/>
                      <w:color w:val="auto"/>
                    </w:rPr>
                    <w:t>TN</w:t>
                  </w:r>
                </w:p>
              </w:tc>
              <w:tc>
                <w:tcPr>
                  <w:tcW w:w="2079" w:type="dxa"/>
                  <w:vAlign w:val="center"/>
                </w:tcPr>
                <w:p>
                  <w:pPr>
                    <w:pStyle w:val="65"/>
                    <w:snapToGrid/>
                    <w:rPr>
                      <w:rFonts w:ascii="Times New Roman" w:hAnsi="Times New Roman" w:eastAsia="宋体"/>
                      <w:b/>
                      <w:color w:val="auto"/>
                    </w:rPr>
                  </w:pPr>
                  <w:r>
                    <w:rPr>
                      <w:rFonts w:hint="eastAsia" w:ascii="Times New Roman" w:hAnsi="Times New Roman" w:eastAsia="宋体"/>
                      <w:b/>
                      <w:color w:val="auto"/>
                    </w:rPr>
                    <w:t>高锰酸钾指数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38" w:type="dxa"/>
                  <w:vAlign w:val="center"/>
                </w:tcPr>
                <w:p>
                  <w:pPr>
                    <w:pStyle w:val="65"/>
                    <w:snapToGrid/>
                    <w:rPr>
                      <w:rFonts w:ascii="Times New Roman" w:hAnsi="Times New Roman" w:eastAsia="宋体"/>
                      <w:color w:val="auto"/>
                    </w:rPr>
                  </w:pPr>
                  <w:r>
                    <w:rPr>
                      <w:rFonts w:hint="eastAsia" w:ascii="Times New Roman" w:hAnsi="Times New Roman" w:eastAsia="宋体"/>
                      <w:color w:val="auto"/>
                    </w:rPr>
                    <w:t>Ⅲ类</w:t>
                  </w:r>
                </w:p>
              </w:tc>
              <w:tc>
                <w:tcPr>
                  <w:tcW w:w="839" w:type="dxa"/>
                  <w:vAlign w:val="center"/>
                </w:tcPr>
                <w:p>
                  <w:pPr>
                    <w:pStyle w:val="65"/>
                    <w:snapToGrid/>
                    <w:rPr>
                      <w:rFonts w:ascii="Times New Roman" w:hAnsi="Times New Roman" w:eastAsia="宋体"/>
                      <w:color w:val="auto"/>
                    </w:rPr>
                  </w:pPr>
                  <w:r>
                    <w:rPr>
                      <w:rFonts w:ascii="Times New Roman" w:hAnsi="Times New Roman" w:eastAsia="宋体"/>
                      <w:color w:val="auto"/>
                    </w:rPr>
                    <w:t>6～9</w:t>
                  </w:r>
                </w:p>
              </w:tc>
              <w:tc>
                <w:tcPr>
                  <w:tcW w:w="810" w:type="dxa"/>
                  <w:vAlign w:val="center"/>
                </w:tcPr>
                <w:p>
                  <w:pPr>
                    <w:pStyle w:val="65"/>
                    <w:snapToGrid/>
                    <w:rPr>
                      <w:rFonts w:ascii="Times New Roman" w:hAnsi="Times New Roman" w:eastAsia="宋体"/>
                      <w:color w:val="auto"/>
                    </w:rPr>
                  </w:pPr>
                  <w:r>
                    <w:rPr>
                      <w:rFonts w:ascii="宋体" w:hAnsi="宋体" w:eastAsia="宋体"/>
                      <w:color w:val="auto"/>
                    </w:rPr>
                    <w:t>≤</w:t>
                  </w:r>
                  <w:r>
                    <w:rPr>
                      <w:rFonts w:ascii="Times New Roman" w:hAnsi="Times New Roman" w:eastAsia="宋体"/>
                      <w:color w:val="auto"/>
                    </w:rPr>
                    <w:t>20</w:t>
                  </w:r>
                </w:p>
              </w:tc>
              <w:tc>
                <w:tcPr>
                  <w:tcW w:w="896" w:type="dxa"/>
                  <w:vAlign w:val="center"/>
                </w:tcPr>
                <w:p>
                  <w:pPr>
                    <w:pStyle w:val="65"/>
                    <w:snapToGrid/>
                    <w:rPr>
                      <w:rFonts w:ascii="Times New Roman" w:hAnsi="Times New Roman" w:eastAsia="宋体"/>
                      <w:color w:val="auto"/>
                    </w:rPr>
                  </w:pPr>
                  <w:r>
                    <w:rPr>
                      <w:rFonts w:ascii="宋体" w:hAnsi="宋体" w:eastAsia="宋体"/>
                      <w:color w:val="auto"/>
                    </w:rPr>
                    <w:t>≤</w:t>
                  </w:r>
                  <w:r>
                    <w:rPr>
                      <w:rFonts w:ascii="Times New Roman" w:hAnsi="Times New Roman" w:eastAsia="宋体"/>
                      <w:color w:val="auto"/>
                    </w:rPr>
                    <w:t>4</w:t>
                  </w:r>
                </w:p>
              </w:tc>
              <w:tc>
                <w:tcPr>
                  <w:tcW w:w="995" w:type="dxa"/>
                  <w:vAlign w:val="center"/>
                </w:tcPr>
                <w:p>
                  <w:pPr>
                    <w:pStyle w:val="65"/>
                    <w:snapToGrid/>
                    <w:rPr>
                      <w:rFonts w:ascii="Times New Roman" w:hAnsi="Times New Roman" w:eastAsia="宋体"/>
                      <w:color w:val="auto"/>
                    </w:rPr>
                  </w:pPr>
                  <w:r>
                    <w:rPr>
                      <w:rFonts w:ascii="宋体" w:hAnsi="宋体" w:eastAsia="宋体"/>
                      <w:color w:val="auto"/>
                    </w:rPr>
                    <w:t>≤</w:t>
                  </w:r>
                  <w:r>
                    <w:rPr>
                      <w:rFonts w:ascii="Times New Roman" w:hAnsi="Times New Roman" w:eastAsia="宋体"/>
                      <w:color w:val="auto"/>
                    </w:rPr>
                    <w:t>1.0</w:t>
                  </w:r>
                </w:p>
              </w:tc>
              <w:tc>
                <w:tcPr>
                  <w:tcW w:w="728" w:type="dxa"/>
                  <w:vAlign w:val="center"/>
                </w:tcPr>
                <w:p>
                  <w:pPr>
                    <w:pStyle w:val="65"/>
                    <w:snapToGrid/>
                    <w:rPr>
                      <w:rFonts w:ascii="Times New Roman" w:hAnsi="Times New Roman" w:eastAsia="宋体"/>
                      <w:color w:val="auto"/>
                    </w:rPr>
                  </w:pPr>
                  <w:r>
                    <w:rPr>
                      <w:rFonts w:ascii="宋体" w:hAnsi="宋体" w:eastAsia="宋体"/>
                      <w:color w:val="auto"/>
                    </w:rPr>
                    <w:t>≤</w:t>
                  </w:r>
                  <w:r>
                    <w:rPr>
                      <w:rFonts w:ascii="Times New Roman" w:hAnsi="Times New Roman" w:eastAsia="宋体"/>
                      <w:color w:val="auto"/>
                    </w:rPr>
                    <w:t>0.2</w:t>
                  </w:r>
                </w:p>
              </w:tc>
              <w:tc>
                <w:tcPr>
                  <w:tcW w:w="728" w:type="dxa"/>
                  <w:vAlign w:val="center"/>
                </w:tcPr>
                <w:p>
                  <w:pPr>
                    <w:pStyle w:val="65"/>
                    <w:snapToGrid/>
                    <w:rPr>
                      <w:rFonts w:ascii="Times New Roman" w:hAnsi="Times New Roman" w:eastAsia="宋体"/>
                      <w:color w:val="auto"/>
                    </w:rPr>
                  </w:pPr>
                  <w:r>
                    <w:rPr>
                      <w:rFonts w:ascii="宋体" w:hAnsi="宋体" w:eastAsia="宋体"/>
                      <w:color w:val="auto"/>
                    </w:rPr>
                    <w:t>≤</w:t>
                  </w:r>
                  <w:r>
                    <w:rPr>
                      <w:rFonts w:hint="eastAsia" w:ascii="Times New Roman" w:hAnsi="Times New Roman" w:eastAsia="宋体"/>
                      <w:color w:val="auto"/>
                    </w:rPr>
                    <w:t>1.0</w:t>
                  </w:r>
                </w:p>
              </w:tc>
              <w:tc>
                <w:tcPr>
                  <w:tcW w:w="2079" w:type="dxa"/>
                  <w:vAlign w:val="center"/>
                </w:tcPr>
                <w:p>
                  <w:pPr>
                    <w:pStyle w:val="65"/>
                    <w:snapToGrid/>
                    <w:rPr>
                      <w:rFonts w:ascii="Times New Roman" w:hAnsi="Times New Roman" w:eastAsia="宋体"/>
                      <w:color w:val="auto"/>
                    </w:rPr>
                  </w:pPr>
                  <w:r>
                    <w:rPr>
                      <w:rFonts w:ascii="宋体" w:hAnsi="宋体" w:eastAsia="宋体"/>
                      <w:color w:val="auto"/>
                    </w:rPr>
                    <w:t>≤</w:t>
                  </w:r>
                  <w:r>
                    <w:rPr>
                      <w:rFonts w:hint="eastAsia" w:ascii="Times New Roman" w:hAnsi="Times New Roman" w:eastAsia="宋体"/>
                      <w:color w:val="auto"/>
                    </w:rPr>
                    <w:t>6</w:t>
                  </w:r>
                </w:p>
              </w:tc>
            </w:tr>
          </w:tbl>
          <w:p>
            <w:pPr>
              <w:adjustRightInd w:val="0"/>
              <w:spacing w:line="360" w:lineRule="auto"/>
              <w:ind w:firstLine="482" w:firstLineChars="200"/>
              <w:rPr>
                <w:b/>
                <w:sz w:val="24"/>
              </w:rPr>
            </w:pPr>
            <w:r>
              <w:rPr>
                <w:rFonts w:hint="eastAsia"/>
                <w:b/>
                <w:sz w:val="24"/>
              </w:rPr>
              <w:t>（3）</w:t>
            </w:r>
            <w:r>
              <w:rPr>
                <w:b/>
                <w:sz w:val="24"/>
              </w:rPr>
              <w:t>声环境</w:t>
            </w:r>
          </w:p>
          <w:p>
            <w:pPr>
              <w:adjustRightInd w:val="0"/>
              <w:spacing w:line="360" w:lineRule="auto"/>
              <w:ind w:firstLine="480" w:firstLineChars="200"/>
              <w:rPr>
                <w:sz w:val="24"/>
                <w:szCs w:val="28"/>
              </w:rPr>
            </w:pPr>
            <w:r>
              <w:rPr>
                <w:kern w:val="0"/>
                <w:sz w:val="24"/>
              </w:rPr>
              <w:t>项目位于</w:t>
            </w:r>
            <w:r>
              <w:rPr>
                <w:rFonts w:hint="eastAsia"/>
                <w:sz w:val="24"/>
              </w:rPr>
              <w:t>农村地区，</w:t>
            </w:r>
            <w:r>
              <w:rPr>
                <w:sz w:val="24"/>
              </w:rPr>
              <w:t>属</w:t>
            </w:r>
            <w:r>
              <w:rPr>
                <w:rFonts w:hint="eastAsia"/>
                <w:sz w:val="24"/>
              </w:rPr>
              <w:t>声环境功能</w:t>
            </w:r>
            <w:r>
              <w:rPr>
                <w:sz w:val="24"/>
              </w:rPr>
              <w:t>1类区</w:t>
            </w:r>
            <w:r>
              <w:rPr>
                <w:rFonts w:hint="eastAsia"/>
                <w:sz w:val="24"/>
              </w:rPr>
              <w:t>，</w:t>
            </w:r>
            <w:r>
              <w:rPr>
                <w:sz w:val="24"/>
                <w:szCs w:val="28"/>
              </w:rPr>
              <w:t>执行《声环境质量标准》</w:t>
            </w:r>
            <w:bookmarkStart w:id="45" w:name="OLE_LINK4"/>
            <w:bookmarkStart w:id="46" w:name="OLE_LINK1"/>
            <w:r>
              <w:rPr>
                <w:sz w:val="24"/>
                <w:szCs w:val="28"/>
              </w:rPr>
              <w:t>（GB3096-2008）1类</w:t>
            </w:r>
            <w:r>
              <w:rPr>
                <w:rFonts w:hint="eastAsia"/>
                <w:sz w:val="24"/>
                <w:szCs w:val="28"/>
              </w:rPr>
              <w:t>区</w:t>
            </w:r>
            <w:r>
              <w:rPr>
                <w:sz w:val="24"/>
                <w:szCs w:val="28"/>
              </w:rPr>
              <w:t>标准</w:t>
            </w:r>
            <w:bookmarkEnd w:id="45"/>
            <w:bookmarkEnd w:id="46"/>
            <w:r>
              <w:rPr>
                <w:sz w:val="24"/>
                <w:szCs w:val="28"/>
              </w:rPr>
              <w:t>。标准值见</w:t>
            </w:r>
            <w:r>
              <w:rPr>
                <w:rFonts w:hint="eastAsia"/>
                <w:sz w:val="24"/>
                <w:szCs w:val="28"/>
              </w:rPr>
              <w:t>下表</w:t>
            </w:r>
            <w:r>
              <w:rPr>
                <w:sz w:val="24"/>
                <w:szCs w:val="28"/>
              </w:rPr>
              <w:t>。</w:t>
            </w:r>
          </w:p>
          <w:p>
            <w:pPr>
              <w:pStyle w:val="59"/>
              <w:adjustRightInd w:val="0"/>
              <w:rPr>
                <w:rFonts w:ascii="Times New Roman" w:hAnsi="Times New Roman" w:eastAsia="宋体"/>
              </w:rPr>
            </w:pPr>
            <w:r>
              <w:rPr>
                <w:rFonts w:ascii="Times New Roman" w:hAnsi="Times New Roman" w:eastAsia="宋体"/>
              </w:rPr>
              <w:t>表3-10</w:t>
            </w:r>
            <w:r>
              <w:rPr>
                <w:rFonts w:hint="eastAsia" w:ascii="Times New Roman" w:hAnsi="Times New Roman" w:eastAsia="宋体"/>
              </w:rPr>
              <w:t xml:space="preserve">  </w:t>
            </w:r>
            <w:r>
              <w:rPr>
                <w:rFonts w:ascii="Times New Roman" w:hAnsi="Times New Roman" w:eastAsia="宋体"/>
              </w:rPr>
              <w:t>声环境质量标准（GB3096-2008）（摘录）  单位：dB</w:t>
            </w:r>
            <w:r>
              <w:rPr>
                <w:rFonts w:hint="eastAsia" w:ascii="Times New Roman" w:hAnsi="Times New Roman" w:eastAsia="宋体"/>
              </w:rPr>
              <w:t>（</w:t>
            </w:r>
            <w:r>
              <w:rPr>
                <w:rFonts w:ascii="Times New Roman" w:hAnsi="Times New Roman" w:eastAsia="宋体"/>
              </w:rPr>
              <w:t>A</w:t>
            </w:r>
            <w:r>
              <w:rPr>
                <w:rFonts w:hint="eastAsia" w:ascii="Times New Roman" w:hAnsi="Times New Roman" w:eastAsia="宋体"/>
              </w:rPr>
              <w:t>）</w:t>
            </w:r>
          </w:p>
          <w:tbl>
            <w:tblPr>
              <w:tblStyle w:val="44"/>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3182"/>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947" w:type="dxa"/>
                  <w:vMerge w:val="restart"/>
                  <w:vAlign w:val="center"/>
                </w:tcPr>
                <w:p>
                  <w:pPr>
                    <w:pStyle w:val="67"/>
                    <w:snapToGrid/>
                    <w:rPr>
                      <w:rFonts w:ascii="Times New Roman" w:hAnsi="Times New Roman" w:eastAsia="宋体"/>
                      <w:b/>
                    </w:rPr>
                  </w:pPr>
                  <w:r>
                    <w:rPr>
                      <w:rFonts w:ascii="Times New Roman" w:hAnsi="Times New Roman" w:eastAsia="宋体"/>
                      <w:b/>
                    </w:rPr>
                    <w:t>类别</w:t>
                  </w:r>
                </w:p>
              </w:tc>
              <w:tc>
                <w:tcPr>
                  <w:tcW w:w="6166" w:type="dxa"/>
                  <w:gridSpan w:val="2"/>
                  <w:vAlign w:val="center"/>
                </w:tcPr>
                <w:p>
                  <w:pPr>
                    <w:pStyle w:val="67"/>
                    <w:snapToGrid/>
                    <w:rPr>
                      <w:rFonts w:ascii="Times New Roman" w:hAnsi="Times New Roman" w:eastAsia="宋体"/>
                      <w:b/>
                    </w:rPr>
                  </w:pPr>
                  <w:r>
                    <w:rPr>
                      <w:rFonts w:ascii="Times New Roman" w:hAnsi="Times New Roman" w:eastAsia="宋体"/>
                      <w:b/>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947" w:type="dxa"/>
                  <w:vMerge w:val="continue"/>
                  <w:vAlign w:val="center"/>
                </w:tcPr>
                <w:p>
                  <w:pPr>
                    <w:pStyle w:val="67"/>
                    <w:snapToGrid/>
                    <w:rPr>
                      <w:rFonts w:ascii="Times New Roman" w:hAnsi="Times New Roman" w:eastAsia="宋体"/>
                      <w:b/>
                    </w:rPr>
                  </w:pPr>
                </w:p>
              </w:tc>
              <w:tc>
                <w:tcPr>
                  <w:tcW w:w="3182" w:type="dxa"/>
                  <w:vAlign w:val="center"/>
                </w:tcPr>
                <w:p>
                  <w:pPr>
                    <w:pStyle w:val="67"/>
                    <w:snapToGrid/>
                    <w:rPr>
                      <w:rFonts w:ascii="Times New Roman" w:hAnsi="Times New Roman" w:eastAsia="宋体"/>
                      <w:b/>
                    </w:rPr>
                  </w:pPr>
                  <w:r>
                    <w:rPr>
                      <w:rFonts w:ascii="Times New Roman" w:hAnsi="Times New Roman" w:eastAsia="宋体"/>
                      <w:b/>
                    </w:rPr>
                    <w:t>昼间</w:t>
                  </w:r>
                </w:p>
              </w:tc>
              <w:tc>
                <w:tcPr>
                  <w:tcW w:w="2984" w:type="dxa"/>
                  <w:vAlign w:val="center"/>
                </w:tcPr>
                <w:p>
                  <w:pPr>
                    <w:pStyle w:val="67"/>
                    <w:snapToGrid/>
                    <w:rPr>
                      <w:rFonts w:ascii="Times New Roman" w:hAnsi="Times New Roman" w:eastAsia="宋体"/>
                      <w:b/>
                    </w:rPr>
                  </w:pPr>
                  <w:r>
                    <w:rPr>
                      <w:rFonts w:ascii="Times New Roman" w:hAnsi="Times New Roman" w:eastAsia="宋体"/>
                      <w:b/>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947" w:type="dxa"/>
                  <w:vAlign w:val="center"/>
                </w:tcPr>
                <w:p>
                  <w:pPr>
                    <w:pStyle w:val="67"/>
                    <w:snapToGrid/>
                    <w:rPr>
                      <w:rFonts w:ascii="Times New Roman" w:hAnsi="Times New Roman" w:eastAsia="宋体"/>
                    </w:rPr>
                  </w:pPr>
                  <w:r>
                    <w:rPr>
                      <w:rFonts w:ascii="Times New Roman" w:hAnsi="Times New Roman" w:eastAsia="宋体"/>
                    </w:rPr>
                    <w:t>1</w:t>
                  </w:r>
                </w:p>
              </w:tc>
              <w:tc>
                <w:tcPr>
                  <w:tcW w:w="3182" w:type="dxa"/>
                  <w:vAlign w:val="center"/>
                </w:tcPr>
                <w:p>
                  <w:pPr>
                    <w:pStyle w:val="67"/>
                    <w:snapToGrid/>
                    <w:rPr>
                      <w:rFonts w:ascii="Times New Roman" w:hAnsi="Times New Roman" w:eastAsia="宋体"/>
                    </w:rPr>
                  </w:pPr>
                  <w:r>
                    <w:rPr>
                      <w:rFonts w:ascii="Times New Roman" w:hAnsi="Times New Roman" w:eastAsia="宋体"/>
                    </w:rPr>
                    <w:t>55</w:t>
                  </w:r>
                </w:p>
              </w:tc>
              <w:tc>
                <w:tcPr>
                  <w:tcW w:w="2984" w:type="dxa"/>
                  <w:vAlign w:val="center"/>
                </w:tcPr>
                <w:p>
                  <w:pPr>
                    <w:pStyle w:val="67"/>
                    <w:snapToGrid/>
                    <w:rPr>
                      <w:rFonts w:ascii="Times New Roman" w:hAnsi="Times New Roman" w:eastAsia="宋体"/>
                    </w:rPr>
                  </w:pPr>
                  <w:r>
                    <w:rPr>
                      <w:rFonts w:ascii="Times New Roman" w:hAnsi="Times New Roman" w:eastAsia="宋体"/>
                    </w:rPr>
                    <w:t>45</w:t>
                  </w:r>
                </w:p>
              </w:tc>
            </w:tr>
          </w:tbl>
          <w:p>
            <w:pPr>
              <w:adjustRightInd w:val="0"/>
              <w:spacing w:line="360" w:lineRule="auto"/>
              <w:jc w:val="left"/>
              <w:rPr>
                <w:b/>
                <w:bCs/>
                <w:sz w:val="24"/>
              </w:rPr>
            </w:pPr>
            <w:r>
              <w:rPr>
                <w:rFonts w:hint="eastAsia"/>
                <w:b/>
                <w:bCs/>
                <w:sz w:val="24"/>
              </w:rPr>
              <w:t>2、排放标准</w:t>
            </w:r>
          </w:p>
          <w:p>
            <w:pPr>
              <w:adjustRightInd w:val="0"/>
              <w:spacing w:line="360" w:lineRule="auto"/>
              <w:ind w:firstLine="482" w:firstLineChars="200"/>
              <w:rPr>
                <w:b/>
                <w:sz w:val="24"/>
              </w:rPr>
            </w:pPr>
            <w:r>
              <w:rPr>
                <w:rFonts w:hint="eastAsia"/>
                <w:b/>
                <w:sz w:val="24"/>
              </w:rPr>
              <w:t>（1）</w:t>
            </w:r>
            <w:r>
              <w:rPr>
                <w:b/>
                <w:sz w:val="24"/>
              </w:rPr>
              <w:t>废气</w:t>
            </w:r>
          </w:p>
          <w:p>
            <w:pPr>
              <w:pStyle w:val="68"/>
              <w:rPr>
                <w:rFonts w:hAnsi="Times New Roman"/>
                <w:snapToGrid w:val="0"/>
                <w:szCs w:val="24"/>
              </w:rPr>
            </w:pPr>
            <w:r>
              <w:rPr>
                <w:rFonts w:hAnsi="Times New Roman"/>
                <w:snapToGrid w:val="0"/>
                <w:szCs w:val="24"/>
              </w:rPr>
              <w:t>施工期</w:t>
            </w:r>
            <w:r>
              <w:rPr>
                <w:rFonts w:hint="eastAsia" w:hAnsi="Times New Roman"/>
                <w:snapToGrid w:val="0"/>
                <w:szCs w:val="24"/>
              </w:rPr>
              <w:t>：施工期扬尘无组织排放浓度</w:t>
            </w:r>
            <w:r>
              <w:rPr>
                <w:rFonts w:hAnsi="Times New Roman"/>
                <w:snapToGrid w:val="0"/>
                <w:szCs w:val="24"/>
              </w:rPr>
              <w:t>执行《大气污染物综合排放标准》</w:t>
            </w:r>
            <w:r>
              <w:rPr>
                <w:rFonts w:hint="eastAsia" w:hAnsi="Times New Roman"/>
                <w:snapToGrid w:val="0"/>
                <w:szCs w:val="24"/>
              </w:rPr>
              <w:t>（</w:t>
            </w:r>
            <w:r>
              <w:rPr>
                <w:rFonts w:hAnsi="Times New Roman"/>
                <w:szCs w:val="24"/>
                <w:lang w:val="zh-CN"/>
              </w:rPr>
              <w:t>GB16279-1996</w:t>
            </w:r>
            <w:r>
              <w:rPr>
                <w:rFonts w:hint="eastAsia" w:hAnsi="Times New Roman"/>
                <w:snapToGrid w:val="0"/>
                <w:szCs w:val="24"/>
              </w:rPr>
              <w:t>）二级标准，详见下表。</w:t>
            </w:r>
          </w:p>
          <w:p>
            <w:pPr>
              <w:pStyle w:val="66"/>
              <w:adjustRightInd w:val="0"/>
              <w:rPr>
                <w:rFonts w:ascii="Times New Roman" w:hAnsi="Times New Roman" w:eastAsia="宋体"/>
              </w:rPr>
            </w:pPr>
            <w:r>
              <w:rPr>
                <w:rFonts w:ascii="Times New Roman" w:hAnsi="Times New Roman" w:eastAsia="宋体"/>
              </w:rPr>
              <w:t>表3-11</w:t>
            </w:r>
            <w:r>
              <w:rPr>
                <w:rFonts w:hint="eastAsia" w:ascii="Times New Roman" w:hAnsi="Times New Roman" w:eastAsia="宋体"/>
              </w:rPr>
              <w:t xml:space="preserve">  </w:t>
            </w:r>
            <w:r>
              <w:rPr>
                <w:rFonts w:ascii="Times New Roman" w:hAnsi="Times New Roman" w:eastAsia="宋体"/>
              </w:rPr>
              <w:t>大气污染物综合排放标准（GB16297-1996）（摘录）</w:t>
            </w:r>
            <w:r>
              <w:rPr>
                <w:rFonts w:hint="eastAsia" w:ascii="Times New Roman" w:hAnsi="Times New Roman" w:eastAsia="宋体"/>
              </w:rPr>
              <w:t xml:space="preserve">  单位：mg/m</w:t>
            </w:r>
            <w:r>
              <w:rPr>
                <w:rFonts w:hint="eastAsia" w:ascii="Times New Roman" w:hAnsi="Times New Roman" w:eastAsia="宋体"/>
                <w:vertAlign w:val="superscript"/>
              </w:rPr>
              <w:t>3</w:t>
            </w:r>
          </w:p>
          <w:tbl>
            <w:tblPr>
              <w:tblStyle w:val="44"/>
              <w:tblW w:w="8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1"/>
              <w:gridCol w:w="282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761" w:type="dxa"/>
                  <w:vAlign w:val="center"/>
                </w:tcPr>
                <w:p>
                  <w:pPr>
                    <w:pStyle w:val="67"/>
                    <w:snapToGrid/>
                    <w:rPr>
                      <w:rFonts w:ascii="Times New Roman" w:hAnsi="Times New Roman" w:eastAsia="宋体"/>
                      <w:b/>
                      <w:snapToGrid w:val="0"/>
                    </w:rPr>
                  </w:pPr>
                  <w:r>
                    <w:rPr>
                      <w:rFonts w:hint="eastAsia" w:ascii="Times New Roman" w:hAnsi="Times New Roman" w:eastAsia="宋体"/>
                      <w:b/>
                      <w:snapToGrid w:val="0"/>
                    </w:rPr>
                    <w:t>项目</w:t>
                  </w:r>
                </w:p>
              </w:tc>
              <w:tc>
                <w:tcPr>
                  <w:tcW w:w="2824" w:type="dxa"/>
                  <w:vAlign w:val="center"/>
                </w:tcPr>
                <w:p>
                  <w:pPr>
                    <w:pStyle w:val="67"/>
                    <w:snapToGrid/>
                    <w:rPr>
                      <w:rFonts w:ascii="Times New Roman" w:hAnsi="Times New Roman" w:eastAsia="宋体"/>
                      <w:b/>
                      <w:snapToGrid w:val="0"/>
                    </w:rPr>
                  </w:pPr>
                  <w:r>
                    <w:rPr>
                      <w:rFonts w:ascii="Times New Roman" w:hAnsi="Times New Roman" w:eastAsia="宋体"/>
                      <w:b/>
                      <w:snapToGrid w:val="0"/>
                    </w:rPr>
                    <w:t>监控点</w:t>
                  </w:r>
                </w:p>
              </w:tc>
              <w:tc>
                <w:tcPr>
                  <w:tcW w:w="1588" w:type="dxa"/>
                  <w:vAlign w:val="center"/>
                </w:tcPr>
                <w:p>
                  <w:pPr>
                    <w:pStyle w:val="67"/>
                    <w:snapToGrid/>
                    <w:rPr>
                      <w:rFonts w:ascii="Times New Roman" w:hAnsi="Times New Roman" w:eastAsia="宋体"/>
                      <w:b/>
                      <w:snapToGrid w:val="0"/>
                    </w:rPr>
                  </w:pPr>
                  <w:r>
                    <w:rPr>
                      <w:rFonts w:hint="eastAsia" w:ascii="Times New Roman" w:hAnsi="Times New Roman" w:eastAsia="宋体"/>
                      <w:b/>
                      <w:snapToGrid w:val="0"/>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761" w:type="dxa"/>
                  <w:vAlign w:val="center"/>
                </w:tcPr>
                <w:p>
                  <w:pPr>
                    <w:pStyle w:val="67"/>
                    <w:snapToGrid/>
                    <w:rPr>
                      <w:rFonts w:ascii="Times New Roman" w:hAnsi="Times New Roman" w:eastAsia="宋体"/>
                      <w:snapToGrid w:val="0"/>
                    </w:rPr>
                  </w:pPr>
                  <w:r>
                    <w:rPr>
                      <w:rFonts w:ascii="Times New Roman" w:hAnsi="Times New Roman" w:eastAsia="宋体"/>
                      <w:snapToGrid w:val="0"/>
                    </w:rPr>
                    <w:t>无组织排放监控浓度限值</w:t>
                  </w:r>
                </w:p>
              </w:tc>
              <w:tc>
                <w:tcPr>
                  <w:tcW w:w="2824" w:type="dxa"/>
                  <w:vAlign w:val="center"/>
                </w:tcPr>
                <w:p>
                  <w:pPr>
                    <w:pStyle w:val="67"/>
                    <w:snapToGrid/>
                    <w:rPr>
                      <w:rFonts w:ascii="Times New Roman" w:hAnsi="Times New Roman" w:eastAsia="宋体"/>
                      <w:snapToGrid w:val="0"/>
                    </w:rPr>
                  </w:pPr>
                  <w:r>
                    <w:rPr>
                      <w:rFonts w:ascii="Times New Roman" w:hAnsi="Times New Roman" w:eastAsia="宋体"/>
                      <w:snapToGrid w:val="0"/>
                    </w:rPr>
                    <w:t>周界外浓度最高点</w:t>
                  </w:r>
                </w:p>
              </w:tc>
              <w:tc>
                <w:tcPr>
                  <w:tcW w:w="1588" w:type="dxa"/>
                  <w:vAlign w:val="center"/>
                </w:tcPr>
                <w:p>
                  <w:pPr>
                    <w:pStyle w:val="67"/>
                    <w:snapToGrid/>
                    <w:rPr>
                      <w:rFonts w:ascii="Times New Roman" w:hAnsi="Times New Roman" w:eastAsia="宋体"/>
                      <w:snapToGrid w:val="0"/>
                    </w:rPr>
                  </w:pPr>
                  <w:r>
                    <w:rPr>
                      <w:rFonts w:ascii="Times New Roman" w:hAnsi="Times New Roman" w:eastAsia="宋体"/>
                      <w:snapToGrid w:val="0"/>
                    </w:rPr>
                    <w:t>1.0</w:t>
                  </w:r>
                </w:p>
              </w:tc>
            </w:tr>
          </w:tbl>
          <w:p>
            <w:pPr>
              <w:adjustRightInd w:val="0"/>
              <w:spacing w:line="360" w:lineRule="auto"/>
              <w:ind w:firstLine="480" w:firstLineChars="200"/>
              <w:rPr>
                <w:sz w:val="24"/>
              </w:rPr>
            </w:pPr>
            <w:r>
              <w:rPr>
                <w:rFonts w:hint="eastAsia"/>
                <w:sz w:val="24"/>
              </w:rPr>
              <w:t>运营期：无工业废气排放，开关站厨房产生的少量油烟，经油烟净化器处理后排放</w:t>
            </w:r>
            <w:r>
              <w:rPr>
                <w:sz w:val="24"/>
              </w:rPr>
              <w:t>。</w:t>
            </w:r>
          </w:p>
          <w:p>
            <w:pPr>
              <w:adjustRightInd w:val="0"/>
              <w:spacing w:line="360" w:lineRule="auto"/>
              <w:ind w:firstLine="482" w:firstLineChars="200"/>
              <w:rPr>
                <w:rFonts w:cs="宋体"/>
                <w:b/>
                <w:bCs/>
                <w:sz w:val="24"/>
              </w:rPr>
            </w:pPr>
            <w:r>
              <w:rPr>
                <w:rFonts w:hint="eastAsia" w:cs="宋体"/>
                <w:b/>
                <w:bCs/>
                <w:sz w:val="24"/>
              </w:rPr>
              <w:t>（2）</w:t>
            </w:r>
            <w:r>
              <w:rPr>
                <w:rFonts w:cs="宋体"/>
                <w:b/>
                <w:bCs/>
                <w:sz w:val="24"/>
              </w:rPr>
              <w:t>废水</w:t>
            </w:r>
          </w:p>
          <w:p>
            <w:pPr>
              <w:adjustRightInd w:val="0"/>
              <w:spacing w:line="360" w:lineRule="auto"/>
              <w:ind w:firstLine="480" w:firstLineChars="200"/>
              <w:rPr>
                <w:sz w:val="24"/>
              </w:rPr>
            </w:pPr>
            <w:r>
              <w:rPr>
                <w:rFonts w:hint="eastAsia"/>
                <w:sz w:val="24"/>
              </w:rPr>
              <w:t>施工期：施工产生的废水经沉淀处理后，全部回用于场地洒水和绿化等，不外排。</w:t>
            </w:r>
          </w:p>
          <w:p>
            <w:pPr>
              <w:adjustRightInd w:val="0"/>
              <w:spacing w:line="360" w:lineRule="auto"/>
              <w:ind w:firstLine="480" w:firstLineChars="200"/>
              <w:rPr>
                <w:sz w:val="24"/>
              </w:rPr>
            </w:pPr>
            <w:r>
              <w:rPr>
                <w:rFonts w:hint="eastAsia"/>
                <w:sz w:val="24"/>
              </w:rPr>
              <w:t>运营期：开关站厨房废水</w:t>
            </w:r>
            <w:r>
              <w:rPr>
                <w:sz w:val="24"/>
              </w:rPr>
              <w:t>经隔油池</w:t>
            </w:r>
            <w:r>
              <w:rPr>
                <w:rFonts w:hint="eastAsia"/>
                <w:sz w:val="24"/>
              </w:rPr>
              <w:t>预处理后，连同其它生活污水经</w:t>
            </w:r>
            <w:r>
              <w:rPr>
                <w:sz w:val="24"/>
              </w:rPr>
              <w:t>化粪池</w:t>
            </w:r>
            <w:r>
              <w:rPr>
                <w:rFonts w:hint="eastAsia"/>
                <w:sz w:val="24"/>
              </w:rPr>
              <w:t>处理后，一同进入污水处理站处理</w:t>
            </w:r>
            <w:r>
              <w:rPr>
                <w:sz w:val="24"/>
              </w:rPr>
              <w:t>达</w:t>
            </w:r>
            <w:r>
              <w:rPr>
                <w:rFonts w:hint="eastAsia"/>
                <w:sz w:val="24"/>
              </w:rPr>
              <w:t>到</w:t>
            </w:r>
            <w:r>
              <w:rPr>
                <w:sz w:val="24"/>
              </w:rPr>
              <w:t>《城市污水再生利用 城市杂用水水质》</w:t>
            </w:r>
            <w:r>
              <w:rPr>
                <w:rFonts w:hint="eastAsia"/>
                <w:sz w:val="24"/>
              </w:rPr>
              <w:t>（</w:t>
            </w:r>
            <w:r>
              <w:rPr>
                <w:sz w:val="24"/>
              </w:rPr>
              <w:t>GB/T18920-20</w:t>
            </w:r>
            <w:r>
              <w:rPr>
                <w:rFonts w:hint="eastAsia"/>
                <w:sz w:val="24"/>
              </w:rPr>
              <w:t>20）</w:t>
            </w:r>
            <w:r>
              <w:rPr>
                <w:sz w:val="24"/>
              </w:rPr>
              <w:t>中绿化标准后回用于</w:t>
            </w:r>
            <w:r>
              <w:rPr>
                <w:rFonts w:hint="eastAsia"/>
                <w:sz w:val="24"/>
              </w:rPr>
              <w:t>光伏区</w:t>
            </w:r>
            <w:r>
              <w:rPr>
                <w:sz w:val="24"/>
              </w:rPr>
              <w:t>绿化</w:t>
            </w:r>
            <w:r>
              <w:rPr>
                <w:rFonts w:hint="eastAsia"/>
                <w:sz w:val="24"/>
              </w:rPr>
              <w:t>；光伏板清洗废水直接流在太阳能电池组件下方的草地上，作为绿化补充水，不会形成径流，无废水外排</w:t>
            </w:r>
            <w:r>
              <w:rPr>
                <w:sz w:val="24"/>
              </w:rPr>
              <w:t>。</w:t>
            </w:r>
          </w:p>
          <w:p>
            <w:pPr>
              <w:adjustRightInd w:val="0"/>
              <w:spacing w:line="360" w:lineRule="auto"/>
              <w:ind w:firstLine="480" w:firstLineChars="200"/>
              <w:rPr>
                <w:b/>
                <w:szCs w:val="20"/>
                <w:lang w:bidi="ar"/>
              </w:rPr>
            </w:pPr>
            <w:r>
              <w:rPr>
                <w:rFonts w:hint="eastAsia"/>
                <w:sz w:val="24"/>
              </w:rPr>
              <w:t>项目回用水执行下列标准。</w:t>
            </w:r>
          </w:p>
          <w:p>
            <w:pPr>
              <w:pStyle w:val="38"/>
              <w:widowControl w:val="0"/>
              <w:adjustRightInd w:val="0"/>
              <w:spacing w:before="0" w:beforeAutospacing="0" w:after="0" w:afterAutospacing="0"/>
              <w:jc w:val="center"/>
              <w:rPr>
                <w:rFonts w:ascii="Times New Roman" w:hAnsi="Times New Roman"/>
                <w:b/>
                <w:sz w:val="21"/>
                <w:szCs w:val="20"/>
                <w:lang w:bidi="ar"/>
              </w:rPr>
            </w:pPr>
          </w:p>
          <w:p>
            <w:pPr>
              <w:pStyle w:val="38"/>
              <w:widowControl w:val="0"/>
              <w:adjustRightInd w:val="0"/>
              <w:spacing w:before="0" w:beforeAutospacing="0" w:after="0" w:afterAutospacing="0"/>
              <w:jc w:val="center"/>
              <w:rPr>
                <w:rFonts w:ascii="Times New Roman" w:hAnsi="Times New Roman"/>
                <w:b/>
                <w:sz w:val="21"/>
                <w:szCs w:val="20"/>
                <w:lang w:bidi="ar"/>
              </w:rPr>
            </w:pPr>
            <w:r>
              <w:rPr>
                <w:rFonts w:hint="eastAsia" w:ascii="Times New Roman" w:hAnsi="Times New Roman"/>
                <w:b/>
                <w:sz w:val="21"/>
                <w:szCs w:val="20"/>
                <w:lang w:bidi="ar"/>
              </w:rPr>
              <w:t>表3-1</w:t>
            </w:r>
            <w:r>
              <w:rPr>
                <w:rFonts w:ascii="Times New Roman" w:hAnsi="Times New Roman"/>
                <w:b/>
                <w:sz w:val="21"/>
                <w:szCs w:val="20"/>
                <w:lang w:bidi="ar"/>
              </w:rPr>
              <w:t>2</w:t>
            </w:r>
            <w:r>
              <w:rPr>
                <w:rFonts w:hint="eastAsia" w:ascii="Times New Roman" w:hAnsi="Times New Roman"/>
                <w:b/>
                <w:sz w:val="21"/>
                <w:szCs w:val="20"/>
                <w:lang w:bidi="ar"/>
              </w:rPr>
              <w:t xml:space="preserve"> </w:t>
            </w:r>
            <w:r>
              <w:rPr>
                <w:rFonts w:ascii="Times New Roman" w:hAnsi="Times New Roman"/>
                <w:b/>
                <w:sz w:val="21"/>
                <w:szCs w:val="20"/>
                <w:lang w:bidi="ar"/>
              </w:rPr>
              <w:t xml:space="preserve"> 城市污水再生利用 城市杂用水水质   单位：mg/L</w:t>
            </w:r>
          </w:p>
          <w:tbl>
            <w:tblPr>
              <w:tblStyle w:val="44"/>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365"/>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b/>
                      <w:bCs/>
                      <w:szCs w:val="21"/>
                    </w:rPr>
                  </w:pPr>
                  <w:r>
                    <w:rPr>
                      <w:b/>
                      <w:bCs/>
                      <w:szCs w:val="21"/>
                    </w:rPr>
                    <w:t>序号</w:t>
                  </w:r>
                </w:p>
              </w:tc>
              <w:tc>
                <w:tcPr>
                  <w:tcW w:w="4365" w:type="dxa"/>
                  <w:vAlign w:val="center"/>
                </w:tcPr>
                <w:p>
                  <w:pPr>
                    <w:adjustRightInd w:val="0"/>
                    <w:jc w:val="center"/>
                    <w:rPr>
                      <w:b/>
                      <w:bCs/>
                      <w:szCs w:val="21"/>
                    </w:rPr>
                  </w:pPr>
                  <w:r>
                    <w:rPr>
                      <w:b/>
                      <w:bCs/>
                      <w:szCs w:val="21"/>
                    </w:rPr>
                    <w:t>项目</w:t>
                  </w:r>
                </w:p>
              </w:tc>
              <w:tc>
                <w:tcPr>
                  <w:tcW w:w="3059" w:type="dxa"/>
                  <w:vAlign w:val="center"/>
                </w:tcPr>
                <w:p>
                  <w:pPr>
                    <w:adjustRightInd w:val="0"/>
                    <w:jc w:val="center"/>
                    <w:rPr>
                      <w:b/>
                      <w:bCs/>
                      <w:szCs w:val="21"/>
                    </w:rPr>
                  </w:pPr>
                  <w:r>
                    <w:rPr>
                      <w:b/>
                      <w:bCs/>
                      <w:szCs w:val="21"/>
                    </w:rPr>
                    <w:t>绿化用水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1</w:t>
                  </w:r>
                </w:p>
              </w:tc>
              <w:tc>
                <w:tcPr>
                  <w:tcW w:w="4365" w:type="dxa"/>
                  <w:vAlign w:val="center"/>
                </w:tcPr>
                <w:p>
                  <w:pPr>
                    <w:adjustRightInd w:val="0"/>
                    <w:jc w:val="center"/>
                    <w:rPr>
                      <w:szCs w:val="21"/>
                    </w:rPr>
                  </w:pPr>
                  <w:r>
                    <w:rPr>
                      <w:szCs w:val="21"/>
                    </w:rPr>
                    <w:t>pH（无量纲）</w:t>
                  </w:r>
                </w:p>
              </w:tc>
              <w:tc>
                <w:tcPr>
                  <w:tcW w:w="3059" w:type="dxa"/>
                  <w:vAlign w:val="center"/>
                </w:tcPr>
                <w:p>
                  <w:pPr>
                    <w:adjustRightInd w:val="0"/>
                    <w:jc w:val="center"/>
                    <w:rPr>
                      <w:szCs w:val="21"/>
                    </w:rPr>
                  </w:pPr>
                  <w:r>
                    <w:rPr>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2</w:t>
                  </w:r>
                </w:p>
              </w:tc>
              <w:tc>
                <w:tcPr>
                  <w:tcW w:w="4365" w:type="dxa"/>
                  <w:vAlign w:val="center"/>
                </w:tcPr>
                <w:p>
                  <w:pPr>
                    <w:adjustRightInd w:val="0"/>
                    <w:jc w:val="center"/>
                    <w:rPr>
                      <w:szCs w:val="21"/>
                    </w:rPr>
                  </w:pPr>
                  <w:r>
                    <w:rPr>
                      <w:szCs w:val="21"/>
                    </w:rPr>
                    <w:t>色度，铂钴色度单位</w:t>
                  </w:r>
                </w:p>
              </w:tc>
              <w:tc>
                <w:tcPr>
                  <w:tcW w:w="3059" w:type="dxa"/>
                  <w:vAlign w:val="center"/>
                </w:tcPr>
                <w:p>
                  <w:pPr>
                    <w:adjustRightInd w:val="0"/>
                    <w:jc w:val="center"/>
                    <w:rPr>
                      <w:szCs w:val="21"/>
                    </w:rPr>
                  </w:pPr>
                  <w:r>
                    <w:rPr>
                      <w:rFonts w:ascii="宋体" w:hAnsi="宋体"/>
                      <w:szCs w:val="21"/>
                    </w:rPr>
                    <w:t>≤</w:t>
                  </w: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3</w:t>
                  </w:r>
                </w:p>
              </w:tc>
              <w:tc>
                <w:tcPr>
                  <w:tcW w:w="4365" w:type="dxa"/>
                  <w:vAlign w:val="center"/>
                </w:tcPr>
                <w:p>
                  <w:pPr>
                    <w:adjustRightInd w:val="0"/>
                    <w:jc w:val="center"/>
                    <w:rPr>
                      <w:szCs w:val="21"/>
                    </w:rPr>
                  </w:pPr>
                  <w:r>
                    <w:rPr>
                      <w:szCs w:val="21"/>
                    </w:rPr>
                    <w:t>嗅</w:t>
                  </w:r>
                </w:p>
              </w:tc>
              <w:tc>
                <w:tcPr>
                  <w:tcW w:w="3059" w:type="dxa"/>
                  <w:vAlign w:val="center"/>
                </w:tcPr>
                <w:p>
                  <w:pPr>
                    <w:adjustRightInd w:val="0"/>
                    <w:jc w:val="center"/>
                    <w:rPr>
                      <w:szCs w:val="21"/>
                    </w:rPr>
                  </w:pPr>
                  <w:r>
                    <w:rPr>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4</w:t>
                  </w:r>
                </w:p>
              </w:tc>
              <w:tc>
                <w:tcPr>
                  <w:tcW w:w="4365" w:type="dxa"/>
                  <w:vAlign w:val="center"/>
                </w:tcPr>
                <w:p>
                  <w:pPr>
                    <w:adjustRightInd w:val="0"/>
                    <w:jc w:val="center"/>
                    <w:rPr>
                      <w:szCs w:val="21"/>
                    </w:rPr>
                  </w:pPr>
                  <w:r>
                    <w:rPr>
                      <w:szCs w:val="21"/>
                    </w:rPr>
                    <w:t>浊度/NTU</w:t>
                  </w:r>
                </w:p>
              </w:tc>
              <w:tc>
                <w:tcPr>
                  <w:tcW w:w="3059" w:type="dxa"/>
                  <w:vAlign w:val="center"/>
                </w:tcPr>
                <w:p>
                  <w:pPr>
                    <w:adjustRightInd w:val="0"/>
                    <w:jc w:val="center"/>
                    <w:rPr>
                      <w:szCs w:val="21"/>
                    </w:rPr>
                  </w:pPr>
                  <w:r>
                    <w:rPr>
                      <w:rFonts w:ascii="宋体" w:hAnsi="宋体"/>
                      <w:szCs w:val="21"/>
                    </w:rPr>
                    <w:t>≤</w:t>
                  </w: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5</w:t>
                  </w:r>
                </w:p>
              </w:tc>
              <w:tc>
                <w:tcPr>
                  <w:tcW w:w="4365" w:type="dxa"/>
                  <w:vAlign w:val="center"/>
                </w:tcPr>
                <w:p>
                  <w:pPr>
                    <w:adjustRightInd w:val="0"/>
                    <w:jc w:val="center"/>
                    <w:rPr>
                      <w:szCs w:val="21"/>
                    </w:rPr>
                  </w:pPr>
                  <w:r>
                    <w:rPr>
                      <w:szCs w:val="21"/>
                    </w:rPr>
                    <w:t>BOD</w:t>
                  </w:r>
                  <w:r>
                    <w:rPr>
                      <w:szCs w:val="21"/>
                      <w:vertAlign w:val="subscript"/>
                    </w:rPr>
                    <w:t>5</w:t>
                  </w:r>
                  <w:r>
                    <w:rPr>
                      <w:szCs w:val="21"/>
                    </w:rPr>
                    <w:t>/（mg/L）</w:t>
                  </w:r>
                </w:p>
              </w:tc>
              <w:tc>
                <w:tcPr>
                  <w:tcW w:w="3059" w:type="dxa"/>
                  <w:vAlign w:val="center"/>
                </w:tcPr>
                <w:p>
                  <w:pPr>
                    <w:adjustRightInd w:val="0"/>
                    <w:jc w:val="center"/>
                    <w:rPr>
                      <w:szCs w:val="21"/>
                    </w:rPr>
                  </w:pPr>
                  <w:r>
                    <w:rPr>
                      <w:rFonts w:ascii="宋体" w:hAnsi="宋体"/>
                      <w:szCs w:val="21"/>
                    </w:rPr>
                    <w:t>≤</w:t>
                  </w: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6</w:t>
                  </w:r>
                </w:p>
              </w:tc>
              <w:tc>
                <w:tcPr>
                  <w:tcW w:w="4365" w:type="dxa"/>
                  <w:vAlign w:val="center"/>
                </w:tcPr>
                <w:p>
                  <w:pPr>
                    <w:adjustRightInd w:val="0"/>
                    <w:jc w:val="center"/>
                    <w:rPr>
                      <w:szCs w:val="21"/>
                    </w:rPr>
                  </w:pPr>
                  <w:r>
                    <w:rPr>
                      <w:szCs w:val="21"/>
                    </w:rPr>
                    <w:t>氨氮/（mg/L）</w:t>
                  </w:r>
                </w:p>
              </w:tc>
              <w:tc>
                <w:tcPr>
                  <w:tcW w:w="3059" w:type="dxa"/>
                  <w:vAlign w:val="center"/>
                </w:tcPr>
                <w:p>
                  <w:pPr>
                    <w:adjustRightInd w:val="0"/>
                    <w:jc w:val="center"/>
                    <w:rPr>
                      <w:rFonts w:ascii="宋体" w:hAnsi="宋体"/>
                      <w:szCs w:val="21"/>
                    </w:rPr>
                  </w:pPr>
                  <w:r>
                    <w:rPr>
                      <w:rFonts w:ascii="宋体" w:hAnsi="宋体"/>
                      <w:szCs w:val="21"/>
                    </w:rPr>
                    <w:t>≤</w:t>
                  </w: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7</w:t>
                  </w:r>
                </w:p>
              </w:tc>
              <w:tc>
                <w:tcPr>
                  <w:tcW w:w="4365" w:type="dxa"/>
                  <w:vAlign w:val="center"/>
                </w:tcPr>
                <w:p>
                  <w:pPr>
                    <w:adjustRightInd w:val="0"/>
                    <w:jc w:val="center"/>
                    <w:rPr>
                      <w:szCs w:val="21"/>
                    </w:rPr>
                  </w:pPr>
                  <w:r>
                    <w:rPr>
                      <w:szCs w:val="21"/>
                    </w:rPr>
                    <w:t>阴离子表面活性剂/（mg/L）</w:t>
                  </w:r>
                </w:p>
              </w:tc>
              <w:tc>
                <w:tcPr>
                  <w:tcW w:w="3059" w:type="dxa"/>
                  <w:vAlign w:val="center"/>
                </w:tcPr>
                <w:p>
                  <w:pPr>
                    <w:adjustRightInd w:val="0"/>
                    <w:jc w:val="center"/>
                    <w:rPr>
                      <w:szCs w:val="21"/>
                    </w:rPr>
                  </w:pPr>
                  <w:r>
                    <w:rPr>
                      <w:rFonts w:ascii="宋体" w:hAnsi="宋体"/>
                      <w:szCs w:val="21"/>
                    </w:rPr>
                    <w:t>≤</w:t>
                  </w: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8</w:t>
                  </w:r>
                </w:p>
              </w:tc>
              <w:tc>
                <w:tcPr>
                  <w:tcW w:w="4365" w:type="dxa"/>
                  <w:vAlign w:val="center"/>
                </w:tcPr>
                <w:p>
                  <w:pPr>
                    <w:adjustRightInd w:val="0"/>
                    <w:jc w:val="center"/>
                    <w:rPr>
                      <w:szCs w:val="21"/>
                    </w:rPr>
                  </w:pPr>
                  <w:r>
                    <w:rPr>
                      <w:szCs w:val="21"/>
                    </w:rPr>
                    <w:t>铁/（mg/L）</w:t>
                  </w:r>
                </w:p>
              </w:tc>
              <w:tc>
                <w:tcPr>
                  <w:tcW w:w="3059" w:type="dxa"/>
                  <w:vAlign w:val="center"/>
                </w:tcPr>
                <w:p>
                  <w:pPr>
                    <w:adjustRightIn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9</w:t>
                  </w:r>
                </w:p>
              </w:tc>
              <w:tc>
                <w:tcPr>
                  <w:tcW w:w="4365" w:type="dxa"/>
                  <w:vAlign w:val="center"/>
                </w:tcPr>
                <w:p>
                  <w:pPr>
                    <w:adjustRightInd w:val="0"/>
                    <w:jc w:val="center"/>
                    <w:rPr>
                      <w:szCs w:val="21"/>
                    </w:rPr>
                  </w:pPr>
                  <w:r>
                    <w:rPr>
                      <w:szCs w:val="21"/>
                    </w:rPr>
                    <w:t>锰/（mg/L）</w:t>
                  </w:r>
                </w:p>
              </w:tc>
              <w:tc>
                <w:tcPr>
                  <w:tcW w:w="3059" w:type="dxa"/>
                  <w:vAlign w:val="center"/>
                </w:tcPr>
                <w:p>
                  <w:pPr>
                    <w:adjustRightIn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10</w:t>
                  </w:r>
                </w:p>
              </w:tc>
              <w:tc>
                <w:tcPr>
                  <w:tcW w:w="4365" w:type="dxa"/>
                  <w:vAlign w:val="center"/>
                </w:tcPr>
                <w:p>
                  <w:pPr>
                    <w:adjustRightInd w:val="0"/>
                    <w:jc w:val="center"/>
                    <w:rPr>
                      <w:szCs w:val="21"/>
                    </w:rPr>
                  </w:pPr>
                  <w:r>
                    <w:rPr>
                      <w:szCs w:val="21"/>
                    </w:rPr>
                    <w:t>溶解性总固体/（mg/L）</w:t>
                  </w:r>
                </w:p>
              </w:tc>
              <w:tc>
                <w:tcPr>
                  <w:tcW w:w="3059" w:type="dxa"/>
                  <w:vAlign w:val="center"/>
                </w:tcPr>
                <w:p>
                  <w:pPr>
                    <w:adjustRightInd w:val="0"/>
                    <w:jc w:val="center"/>
                    <w:rPr>
                      <w:szCs w:val="21"/>
                    </w:rPr>
                  </w:pPr>
                  <w:r>
                    <w:rPr>
                      <w:rFonts w:ascii="宋体" w:hAnsi="宋体"/>
                      <w:szCs w:val="21"/>
                    </w:rPr>
                    <w:t>≤</w:t>
                  </w: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11</w:t>
                  </w:r>
                </w:p>
              </w:tc>
              <w:tc>
                <w:tcPr>
                  <w:tcW w:w="4365" w:type="dxa"/>
                  <w:vAlign w:val="center"/>
                </w:tcPr>
                <w:p>
                  <w:pPr>
                    <w:adjustRightInd w:val="0"/>
                    <w:jc w:val="center"/>
                    <w:rPr>
                      <w:szCs w:val="21"/>
                    </w:rPr>
                  </w:pPr>
                  <w:r>
                    <w:rPr>
                      <w:szCs w:val="21"/>
                    </w:rPr>
                    <w:t>溶解氧/（mg/L）</w:t>
                  </w:r>
                </w:p>
              </w:tc>
              <w:tc>
                <w:tcPr>
                  <w:tcW w:w="3059" w:type="dxa"/>
                  <w:vAlign w:val="center"/>
                </w:tcPr>
                <w:p>
                  <w:pPr>
                    <w:adjustRightInd w:val="0"/>
                    <w:jc w:val="center"/>
                    <w:rPr>
                      <w:szCs w:val="21"/>
                    </w:rPr>
                  </w:pPr>
                  <w:r>
                    <w:rPr>
                      <w:rFonts w:ascii="宋体" w:hAnsi="宋体"/>
                      <w:szCs w:val="21"/>
                    </w:rPr>
                    <w:t>≥</w:t>
                  </w: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12</w:t>
                  </w:r>
                </w:p>
              </w:tc>
              <w:tc>
                <w:tcPr>
                  <w:tcW w:w="4365" w:type="dxa"/>
                  <w:vAlign w:val="center"/>
                </w:tcPr>
                <w:p>
                  <w:pPr>
                    <w:adjustRightInd w:val="0"/>
                    <w:jc w:val="center"/>
                    <w:rPr>
                      <w:szCs w:val="21"/>
                    </w:rPr>
                  </w:pPr>
                  <w:r>
                    <w:rPr>
                      <w:szCs w:val="21"/>
                    </w:rPr>
                    <w:t>总氯/（mg/L）</w:t>
                  </w:r>
                </w:p>
              </w:tc>
              <w:tc>
                <w:tcPr>
                  <w:tcW w:w="3059" w:type="dxa"/>
                  <w:vAlign w:val="center"/>
                </w:tcPr>
                <w:p>
                  <w:pPr>
                    <w:adjustRightInd w:val="0"/>
                    <w:jc w:val="center"/>
                    <w:rPr>
                      <w:szCs w:val="21"/>
                    </w:rPr>
                  </w:pPr>
                  <w:r>
                    <w:rPr>
                      <w:rFonts w:ascii="宋体" w:hAnsi="宋体"/>
                      <w:szCs w:val="21"/>
                    </w:rPr>
                    <w:t>≤</w:t>
                  </w:r>
                  <w:r>
                    <w:rPr>
                      <w:szCs w:val="21"/>
                    </w:rPr>
                    <w:t>2.5（管网末端）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Align w:val="center"/>
                </w:tcPr>
                <w:p>
                  <w:pPr>
                    <w:adjustRightInd w:val="0"/>
                    <w:jc w:val="center"/>
                    <w:rPr>
                      <w:szCs w:val="21"/>
                    </w:rPr>
                  </w:pPr>
                  <w:r>
                    <w:rPr>
                      <w:szCs w:val="21"/>
                    </w:rPr>
                    <w:t>13</w:t>
                  </w:r>
                </w:p>
              </w:tc>
              <w:tc>
                <w:tcPr>
                  <w:tcW w:w="4365" w:type="dxa"/>
                  <w:vAlign w:val="center"/>
                </w:tcPr>
                <w:p>
                  <w:pPr>
                    <w:adjustRightInd w:val="0"/>
                    <w:jc w:val="center"/>
                    <w:rPr>
                      <w:szCs w:val="21"/>
                    </w:rPr>
                  </w:pPr>
                  <w:r>
                    <w:rPr>
                      <w:szCs w:val="21"/>
                    </w:rPr>
                    <w:t>大肠埃希氏菌/（MPN/100mL）</w:t>
                  </w:r>
                </w:p>
              </w:tc>
              <w:tc>
                <w:tcPr>
                  <w:tcW w:w="3059" w:type="dxa"/>
                  <w:vAlign w:val="center"/>
                </w:tcPr>
                <w:p>
                  <w:pPr>
                    <w:adjustRightInd w:val="0"/>
                    <w:jc w:val="center"/>
                    <w:rPr>
                      <w:szCs w:val="21"/>
                    </w:rPr>
                  </w:pPr>
                  <w:r>
                    <w:rPr>
                      <w:szCs w:val="21"/>
                    </w:rPr>
                    <w:t>不应检出</w:t>
                  </w:r>
                </w:p>
              </w:tc>
            </w:tr>
          </w:tbl>
          <w:p>
            <w:pPr>
              <w:adjustRightInd w:val="0"/>
              <w:spacing w:line="360" w:lineRule="auto"/>
              <w:ind w:firstLine="482" w:firstLineChars="200"/>
              <w:rPr>
                <w:b/>
                <w:bCs/>
                <w:sz w:val="24"/>
              </w:rPr>
            </w:pPr>
            <w:r>
              <w:rPr>
                <w:rFonts w:hint="eastAsia" w:cs="宋体"/>
                <w:b/>
                <w:bCs/>
                <w:kern w:val="0"/>
                <w:sz w:val="24"/>
              </w:rPr>
              <w:t>（3）</w:t>
            </w:r>
            <w:r>
              <w:rPr>
                <w:rFonts w:hint="eastAsia"/>
                <w:b/>
                <w:bCs/>
                <w:sz w:val="24"/>
              </w:rPr>
              <w:t>噪声</w:t>
            </w:r>
          </w:p>
          <w:p>
            <w:pPr>
              <w:adjustRightInd w:val="0"/>
              <w:spacing w:line="360" w:lineRule="auto"/>
              <w:ind w:firstLine="480" w:firstLineChars="200"/>
              <w:rPr>
                <w:sz w:val="24"/>
              </w:rPr>
            </w:pPr>
            <w:r>
              <w:rPr>
                <w:rFonts w:hint="eastAsia"/>
                <w:sz w:val="24"/>
              </w:rPr>
              <w:t>施工期：电站施工场界噪声执行《建筑施工场界环境噪声排放标准》（GB12523-2011），标准值详见下表。</w:t>
            </w:r>
          </w:p>
          <w:p>
            <w:pPr>
              <w:pStyle w:val="59"/>
              <w:adjustRightInd w:val="0"/>
              <w:rPr>
                <w:rFonts w:ascii="Times New Roman" w:hAnsi="Times New Roman" w:eastAsia="宋体"/>
              </w:rPr>
            </w:pPr>
            <w:r>
              <w:rPr>
                <w:rFonts w:ascii="Times New Roman" w:hAnsi="Times New Roman" w:eastAsia="宋体"/>
              </w:rPr>
              <w:t>表3-13</w:t>
            </w:r>
            <w:r>
              <w:rPr>
                <w:rFonts w:hint="eastAsia" w:ascii="Times New Roman" w:hAnsi="Times New Roman" w:eastAsia="宋体"/>
              </w:rPr>
              <w:t xml:space="preserve">  建筑施工场界环境噪声排放（GB12523-2011）（摘录）</w:t>
            </w:r>
          </w:p>
          <w:tbl>
            <w:tblPr>
              <w:tblStyle w:val="45"/>
              <w:tblW w:w="8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2"/>
              <w:gridCol w:w="4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3922" w:type="dxa"/>
                  <w:vAlign w:val="center"/>
                </w:tcPr>
                <w:p>
                  <w:pPr>
                    <w:pStyle w:val="59"/>
                    <w:adjustRightInd w:val="0"/>
                    <w:rPr>
                      <w:rFonts w:ascii="Times New Roman" w:hAnsi="Times New Roman" w:eastAsia="宋体"/>
                      <w:kern w:val="0"/>
                    </w:rPr>
                  </w:pPr>
                  <w:r>
                    <w:rPr>
                      <w:rFonts w:hint="eastAsia" w:ascii="Times New Roman" w:hAnsi="Times New Roman" w:eastAsia="宋体"/>
                      <w:kern w:val="0"/>
                    </w:rPr>
                    <w:t>昼间</w:t>
                  </w:r>
                </w:p>
              </w:tc>
              <w:tc>
                <w:tcPr>
                  <w:tcW w:w="4209" w:type="dxa"/>
                  <w:vAlign w:val="center"/>
                </w:tcPr>
                <w:p>
                  <w:pPr>
                    <w:pStyle w:val="59"/>
                    <w:adjustRightInd w:val="0"/>
                    <w:rPr>
                      <w:rFonts w:ascii="Times New Roman" w:hAnsi="Times New Roman" w:eastAsia="宋体"/>
                      <w:kern w:val="0"/>
                    </w:rPr>
                  </w:pPr>
                  <w:r>
                    <w:rPr>
                      <w:rFonts w:hint="eastAsia" w:ascii="Times New Roman" w:hAnsi="Times New Roman" w:eastAsia="宋体"/>
                      <w:kern w:val="0"/>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3922" w:type="dxa"/>
                  <w:vAlign w:val="center"/>
                </w:tcPr>
                <w:p>
                  <w:pPr>
                    <w:pStyle w:val="59"/>
                    <w:adjustRightInd w:val="0"/>
                    <w:rPr>
                      <w:rFonts w:ascii="Times New Roman" w:hAnsi="Times New Roman" w:eastAsia="宋体"/>
                      <w:b w:val="0"/>
                      <w:kern w:val="0"/>
                    </w:rPr>
                  </w:pPr>
                  <w:r>
                    <w:rPr>
                      <w:rFonts w:hint="eastAsia" w:ascii="Times New Roman" w:hAnsi="Times New Roman" w:eastAsia="宋体"/>
                      <w:b w:val="0"/>
                      <w:kern w:val="0"/>
                    </w:rPr>
                    <w:t>70dB（A）</w:t>
                  </w:r>
                </w:p>
              </w:tc>
              <w:tc>
                <w:tcPr>
                  <w:tcW w:w="4209" w:type="dxa"/>
                  <w:vAlign w:val="center"/>
                </w:tcPr>
                <w:p>
                  <w:pPr>
                    <w:pStyle w:val="59"/>
                    <w:adjustRightInd w:val="0"/>
                    <w:rPr>
                      <w:rFonts w:ascii="Times New Roman" w:hAnsi="Times New Roman" w:eastAsia="宋体"/>
                      <w:b w:val="0"/>
                      <w:kern w:val="0"/>
                    </w:rPr>
                  </w:pPr>
                  <w:r>
                    <w:rPr>
                      <w:rFonts w:hint="eastAsia" w:ascii="Times New Roman" w:hAnsi="Times New Roman" w:eastAsia="宋体"/>
                      <w:b w:val="0"/>
                      <w:kern w:val="0"/>
                    </w:rPr>
                    <w:t>55dB（A）</w:t>
                  </w:r>
                </w:p>
              </w:tc>
            </w:tr>
          </w:tbl>
          <w:p>
            <w:pPr>
              <w:pStyle w:val="59"/>
              <w:adjustRightInd w:val="0"/>
              <w:spacing w:line="360" w:lineRule="auto"/>
              <w:ind w:firstLine="480" w:firstLineChars="200"/>
              <w:jc w:val="both"/>
              <w:rPr>
                <w:rFonts w:ascii="Times New Roman" w:hAnsi="Times New Roman" w:eastAsia="宋体"/>
              </w:rPr>
            </w:pPr>
            <w:r>
              <w:rPr>
                <w:rFonts w:hint="eastAsia" w:ascii="Times New Roman" w:hAnsi="Times New Roman" w:eastAsia="宋体"/>
                <w:b w:val="0"/>
                <w:sz w:val="24"/>
                <w:szCs w:val="24"/>
              </w:rPr>
              <w:t>运营期：光伏区厂界噪声执行《工业企业厂界环境噪声排放标准》（GB12348-2008）</w:t>
            </w:r>
            <w:r>
              <w:rPr>
                <w:rFonts w:ascii="Times New Roman" w:hAnsi="Times New Roman" w:eastAsia="宋体"/>
                <w:b w:val="0"/>
                <w:sz w:val="24"/>
                <w:szCs w:val="24"/>
              </w:rPr>
              <w:t>1</w:t>
            </w:r>
            <w:r>
              <w:rPr>
                <w:rFonts w:hint="eastAsia" w:ascii="Times New Roman" w:hAnsi="Times New Roman" w:eastAsia="宋体"/>
                <w:b w:val="0"/>
                <w:sz w:val="24"/>
                <w:szCs w:val="24"/>
              </w:rPr>
              <w:t>类区标准，具体标准值见下表。</w:t>
            </w:r>
          </w:p>
          <w:p>
            <w:pPr>
              <w:pStyle w:val="59"/>
              <w:adjustRightInd w:val="0"/>
              <w:rPr>
                <w:rFonts w:ascii="Times New Roman" w:hAnsi="Times New Roman" w:eastAsia="宋体"/>
              </w:rPr>
            </w:pPr>
            <w:r>
              <w:rPr>
                <w:rFonts w:hint="eastAsia" w:ascii="Times New Roman" w:hAnsi="Times New Roman" w:eastAsia="宋体"/>
              </w:rPr>
              <w:t>表</w:t>
            </w:r>
            <w:r>
              <w:rPr>
                <w:rFonts w:ascii="Times New Roman" w:hAnsi="Times New Roman" w:eastAsia="宋体"/>
              </w:rPr>
              <w:t>3-14</w:t>
            </w:r>
            <w:r>
              <w:rPr>
                <w:rFonts w:hint="eastAsia" w:ascii="Times New Roman" w:hAnsi="Times New Roman" w:eastAsia="宋体"/>
              </w:rPr>
              <w:t xml:space="preserve">  工业企业厂界环境噪声排放标准（GB12348-2008）（摘录）</w:t>
            </w:r>
          </w:p>
          <w:tbl>
            <w:tblPr>
              <w:tblStyle w:val="45"/>
              <w:tblW w:w="81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5"/>
              <w:gridCol w:w="2614"/>
              <w:gridCol w:w="2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615" w:type="dxa"/>
                  <w:vAlign w:val="center"/>
                </w:tcPr>
                <w:p>
                  <w:pPr>
                    <w:pStyle w:val="59"/>
                    <w:adjustRightInd w:val="0"/>
                    <w:rPr>
                      <w:rFonts w:ascii="Times New Roman" w:hAnsi="Times New Roman" w:eastAsia="宋体"/>
                      <w:kern w:val="0"/>
                    </w:rPr>
                  </w:pPr>
                  <w:r>
                    <w:rPr>
                      <w:rFonts w:hint="eastAsia" w:ascii="Times New Roman" w:hAnsi="Times New Roman" w:eastAsia="宋体"/>
                      <w:kern w:val="0"/>
                    </w:rPr>
                    <w:t>类别</w:t>
                  </w:r>
                </w:p>
              </w:tc>
              <w:tc>
                <w:tcPr>
                  <w:tcW w:w="2614" w:type="dxa"/>
                  <w:vAlign w:val="center"/>
                </w:tcPr>
                <w:p>
                  <w:pPr>
                    <w:pStyle w:val="59"/>
                    <w:adjustRightInd w:val="0"/>
                    <w:rPr>
                      <w:rFonts w:ascii="Times New Roman" w:hAnsi="Times New Roman" w:eastAsia="宋体"/>
                      <w:kern w:val="0"/>
                    </w:rPr>
                  </w:pPr>
                  <w:r>
                    <w:rPr>
                      <w:rFonts w:hint="eastAsia" w:ascii="Times New Roman" w:hAnsi="Times New Roman" w:eastAsia="宋体"/>
                      <w:kern w:val="0"/>
                    </w:rPr>
                    <w:t>昼间</w:t>
                  </w:r>
                </w:p>
              </w:tc>
              <w:tc>
                <w:tcPr>
                  <w:tcW w:w="2884" w:type="dxa"/>
                  <w:vAlign w:val="center"/>
                </w:tcPr>
                <w:p>
                  <w:pPr>
                    <w:pStyle w:val="59"/>
                    <w:adjustRightInd w:val="0"/>
                    <w:rPr>
                      <w:rFonts w:ascii="Times New Roman" w:hAnsi="Times New Roman" w:eastAsia="宋体"/>
                      <w:kern w:val="0"/>
                    </w:rPr>
                  </w:pPr>
                  <w:r>
                    <w:rPr>
                      <w:rFonts w:hint="eastAsia" w:ascii="Times New Roman" w:hAnsi="Times New Roman" w:eastAsia="宋体"/>
                      <w:kern w:val="0"/>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615" w:type="dxa"/>
                  <w:vAlign w:val="center"/>
                </w:tcPr>
                <w:p>
                  <w:pPr>
                    <w:pStyle w:val="59"/>
                    <w:adjustRightInd w:val="0"/>
                    <w:rPr>
                      <w:rFonts w:ascii="Times New Roman" w:hAnsi="Times New Roman" w:eastAsia="宋体"/>
                      <w:b w:val="0"/>
                      <w:kern w:val="0"/>
                    </w:rPr>
                  </w:pPr>
                  <w:r>
                    <w:rPr>
                      <w:rFonts w:ascii="Times New Roman" w:hAnsi="Times New Roman" w:eastAsia="宋体"/>
                      <w:b w:val="0"/>
                      <w:kern w:val="0"/>
                    </w:rPr>
                    <w:t>1</w:t>
                  </w:r>
                  <w:r>
                    <w:rPr>
                      <w:rFonts w:hint="eastAsia" w:ascii="Times New Roman" w:hAnsi="Times New Roman" w:eastAsia="宋体"/>
                      <w:b w:val="0"/>
                      <w:kern w:val="0"/>
                    </w:rPr>
                    <w:t>类</w:t>
                  </w:r>
                </w:p>
              </w:tc>
              <w:tc>
                <w:tcPr>
                  <w:tcW w:w="2614" w:type="dxa"/>
                  <w:vAlign w:val="center"/>
                </w:tcPr>
                <w:p>
                  <w:pPr>
                    <w:pStyle w:val="59"/>
                    <w:adjustRightInd w:val="0"/>
                    <w:rPr>
                      <w:rFonts w:ascii="Times New Roman" w:hAnsi="Times New Roman" w:eastAsia="宋体"/>
                      <w:b w:val="0"/>
                      <w:kern w:val="0"/>
                    </w:rPr>
                  </w:pPr>
                  <w:r>
                    <w:rPr>
                      <w:rFonts w:ascii="Times New Roman" w:hAnsi="Times New Roman" w:eastAsia="宋体"/>
                      <w:b w:val="0"/>
                      <w:kern w:val="0"/>
                    </w:rPr>
                    <w:t>55</w:t>
                  </w:r>
                  <w:r>
                    <w:rPr>
                      <w:rFonts w:hint="eastAsia" w:ascii="Times New Roman" w:hAnsi="Times New Roman" w:eastAsia="宋体"/>
                      <w:b w:val="0"/>
                      <w:kern w:val="0"/>
                    </w:rPr>
                    <w:t>dB（A）</w:t>
                  </w:r>
                </w:p>
              </w:tc>
              <w:tc>
                <w:tcPr>
                  <w:tcW w:w="2884" w:type="dxa"/>
                  <w:vAlign w:val="center"/>
                </w:tcPr>
                <w:p>
                  <w:pPr>
                    <w:pStyle w:val="59"/>
                    <w:adjustRightInd w:val="0"/>
                    <w:rPr>
                      <w:rFonts w:ascii="Times New Roman" w:hAnsi="Times New Roman" w:eastAsia="宋体"/>
                      <w:b w:val="0"/>
                      <w:kern w:val="0"/>
                    </w:rPr>
                  </w:pPr>
                  <w:r>
                    <w:rPr>
                      <w:rFonts w:ascii="Times New Roman" w:hAnsi="Times New Roman" w:eastAsia="宋体"/>
                      <w:b w:val="0"/>
                      <w:kern w:val="0"/>
                    </w:rPr>
                    <w:t>45</w:t>
                  </w:r>
                  <w:r>
                    <w:rPr>
                      <w:rFonts w:hint="eastAsia" w:ascii="Times New Roman" w:hAnsi="Times New Roman" w:eastAsia="宋体"/>
                      <w:b w:val="0"/>
                      <w:kern w:val="0"/>
                    </w:rPr>
                    <w:t>dB（A）</w:t>
                  </w:r>
                </w:p>
              </w:tc>
            </w:tr>
          </w:tbl>
          <w:p>
            <w:pPr>
              <w:pStyle w:val="59"/>
              <w:adjustRightInd w:val="0"/>
              <w:spacing w:line="360" w:lineRule="auto"/>
              <w:ind w:firstLine="482"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4</w:t>
            </w:r>
            <w:r>
              <w:rPr>
                <w:rFonts w:hint="eastAsia" w:ascii="Times New Roman" w:hAnsi="Times New Roman" w:eastAsia="宋体"/>
                <w:sz w:val="24"/>
                <w:szCs w:val="24"/>
              </w:rPr>
              <w:t>）固体废物</w:t>
            </w:r>
          </w:p>
          <w:p>
            <w:pPr>
              <w:adjustRightInd w:val="0"/>
              <w:spacing w:line="360" w:lineRule="auto"/>
              <w:ind w:firstLine="480" w:firstLineChars="200"/>
              <w:rPr>
                <w:kern w:val="0"/>
                <w:sz w:val="24"/>
                <w:szCs w:val="21"/>
              </w:rPr>
            </w:pPr>
            <w:r>
              <w:rPr>
                <w:kern w:val="0"/>
                <w:sz w:val="24"/>
                <w:szCs w:val="21"/>
              </w:rPr>
              <w:t>危险废物</w:t>
            </w:r>
            <w:r>
              <w:rPr>
                <w:rFonts w:hint="eastAsia"/>
                <w:kern w:val="0"/>
                <w:sz w:val="24"/>
                <w:szCs w:val="21"/>
              </w:rPr>
              <w:t>（废矿物油、废铅蓄电池）</w:t>
            </w:r>
            <w:r>
              <w:rPr>
                <w:kern w:val="0"/>
                <w:sz w:val="24"/>
                <w:szCs w:val="21"/>
              </w:rPr>
              <w:t>贮存执行《危险废物贮存污染控制标准》（GB18597-2023）的相关规定。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80" w:type="dxa"/>
            <w:vAlign w:val="center"/>
          </w:tcPr>
          <w:p>
            <w:pPr>
              <w:adjustRightInd w:val="0"/>
              <w:jc w:val="center"/>
              <w:rPr>
                <w:rFonts w:ascii="宋体" w:hAnsi="宋体" w:cs="宋体"/>
                <w:kern w:val="0"/>
                <w:szCs w:val="21"/>
              </w:rPr>
            </w:pPr>
            <w:r>
              <w:rPr>
                <w:rFonts w:hint="eastAsia" w:ascii="宋体" w:hAnsi="宋体" w:cs="宋体"/>
                <w:kern w:val="0"/>
                <w:szCs w:val="21"/>
              </w:rPr>
              <w:t>其他</w:t>
            </w:r>
          </w:p>
        </w:tc>
        <w:tc>
          <w:tcPr>
            <w:tcW w:w="8391" w:type="dxa"/>
            <w:vAlign w:val="center"/>
          </w:tcPr>
          <w:p>
            <w:pPr>
              <w:autoSpaceDE w:val="0"/>
              <w:autoSpaceDN w:val="0"/>
              <w:adjustRightInd w:val="0"/>
              <w:spacing w:line="360" w:lineRule="auto"/>
              <w:ind w:firstLine="480" w:firstLineChars="200"/>
              <w:rPr>
                <w:kern w:val="0"/>
                <w:sz w:val="24"/>
                <w:szCs w:val="21"/>
              </w:rPr>
            </w:pPr>
            <w:r>
              <w:rPr>
                <w:rFonts w:hint="eastAsia"/>
                <w:kern w:val="0"/>
                <w:sz w:val="24"/>
                <w:szCs w:val="21"/>
              </w:rPr>
              <w:t>本工程为光伏发电项目，工程建成运行后其特征污染物主要为噪声，不属于总量控制指标。因此，无需设置总量控制指标。</w:t>
            </w:r>
          </w:p>
          <w:p>
            <w:pPr>
              <w:autoSpaceDE w:val="0"/>
              <w:autoSpaceDN w:val="0"/>
              <w:adjustRightInd w:val="0"/>
              <w:spacing w:line="360" w:lineRule="auto"/>
              <w:ind w:firstLine="480" w:firstLineChars="200"/>
              <w:rPr>
                <w:kern w:val="0"/>
                <w:sz w:val="24"/>
              </w:rPr>
            </w:pPr>
          </w:p>
          <w:p>
            <w:pPr>
              <w:autoSpaceDE w:val="0"/>
              <w:autoSpaceDN w:val="0"/>
              <w:adjustRightInd w:val="0"/>
              <w:spacing w:line="360" w:lineRule="auto"/>
              <w:ind w:firstLine="480" w:firstLineChars="200"/>
              <w:rPr>
                <w:kern w:val="0"/>
                <w:sz w:val="24"/>
              </w:rPr>
            </w:pPr>
          </w:p>
          <w:p>
            <w:pPr>
              <w:autoSpaceDE w:val="0"/>
              <w:autoSpaceDN w:val="0"/>
              <w:adjustRightInd w:val="0"/>
              <w:spacing w:line="360" w:lineRule="auto"/>
              <w:ind w:firstLine="480" w:firstLineChars="200"/>
              <w:rPr>
                <w:kern w:val="0"/>
                <w:sz w:val="24"/>
              </w:rPr>
            </w:pPr>
          </w:p>
          <w:p>
            <w:pPr>
              <w:autoSpaceDE w:val="0"/>
              <w:autoSpaceDN w:val="0"/>
              <w:adjustRightInd w:val="0"/>
              <w:spacing w:line="360" w:lineRule="auto"/>
              <w:ind w:firstLine="480" w:firstLineChars="200"/>
              <w:rPr>
                <w:kern w:val="0"/>
                <w:sz w:val="24"/>
              </w:rPr>
            </w:pPr>
          </w:p>
          <w:p>
            <w:pPr>
              <w:autoSpaceDE w:val="0"/>
              <w:autoSpaceDN w:val="0"/>
              <w:adjustRightInd w:val="0"/>
              <w:spacing w:line="360" w:lineRule="auto"/>
              <w:ind w:firstLine="480" w:firstLineChars="200"/>
              <w:rPr>
                <w:kern w:val="0"/>
                <w:sz w:val="24"/>
              </w:rPr>
            </w:pPr>
          </w:p>
          <w:p>
            <w:pPr>
              <w:autoSpaceDE w:val="0"/>
              <w:autoSpaceDN w:val="0"/>
              <w:adjustRightInd w:val="0"/>
              <w:spacing w:line="360" w:lineRule="auto"/>
              <w:ind w:firstLine="480" w:firstLineChars="200"/>
              <w:rPr>
                <w:kern w:val="0"/>
                <w:sz w:val="24"/>
              </w:rPr>
            </w:pPr>
          </w:p>
          <w:p>
            <w:pPr>
              <w:autoSpaceDE w:val="0"/>
              <w:autoSpaceDN w:val="0"/>
              <w:adjustRightInd w:val="0"/>
              <w:ind w:firstLine="480" w:firstLineChars="200"/>
              <w:rPr>
                <w:kern w:val="0"/>
                <w:sz w:val="24"/>
                <w:szCs w:val="21"/>
              </w:rPr>
            </w:pPr>
          </w:p>
        </w:tc>
      </w:tr>
    </w:tbl>
    <w:p>
      <w:pPr>
        <w:pStyle w:val="38"/>
        <w:adjustRightInd w:val="0"/>
        <w:spacing w:before="0" w:beforeAutospacing="0" w:after="0" w:afterAutospacing="0"/>
        <w:jc w:val="center"/>
        <w:outlineLvl w:val="0"/>
        <w:rPr>
          <w:rFonts w:ascii="黑体" w:hAnsi="黑体" w:eastAsia="黑体"/>
          <w:snapToGrid w:val="0"/>
          <w:sz w:val="18"/>
          <w:szCs w:val="18"/>
        </w:rPr>
        <w:sectPr>
          <w:pgSz w:w="11906" w:h="16838"/>
          <w:pgMar w:top="1531" w:right="1531" w:bottom="1531" w:left="1531" w:header="851" w:footer="1077" w:gutter="0"/>
          <w:cols w:space="720" w:num="1"/>
          <w:docGrid w:linePitch="335" w:charSpace="0"/>
        </w:sectPr>
      </w:pPr>
      <w:bookmarkStart w:id="47" w:name="_Toc129854116"/>
      <w:bookmarkStart w:id="48" w:name="_Toc129880760"/>
    </w:p>
    <w:p>
      <w:pPr>
        <w:pStyle w:val="38"/>
        <w:adjustRightInd w:val="0"/>
        <w:spacing w:before="0" w:beforeAutospacing="0" w:after="240" w:afterLines="100" w:afterAutospacing="0"/>
        <w:jc w:val="center"/>
        <w:outlineLvl w:val="0"/>
        <w:rPr>
          <w:rFonts w:ascii="黑体" w:hAnsi="黑体" w:eastAsia="黑体"/>
          <w:snapToGrid w:val="0"/>
          <w:sz w:val="30"/>
          <w:szCs w:val="30"/>
        </w:rPr>
      </w:pPr>
      <w:bookmarkStart w:id="49" w:name="_Toc140704263"/>
      <w:r>
        <w:rPr>
          <w:rFonts w:hint="eastAsia" w:ascii="黑体" w:hAnsi="黑体" w:eastAsia="黑体"/>
          <w:snapToGrid w:val="0"/>
          <w:sz w:val="30"/>
          <w:szCs w:val="30"/>
        </w:rPr>
        <w:t>四、生态环境影响分析</w:t>
      </w:r>
      <w:bookmarkEnd w:id="47"/>
      <w:bookmarkEnd w:id="48"/>
      <w:bookmarkEnd w:id="49"/>
    </w:p>
    <w:tbl>
      <w:tblPr>
        <w:tblStyle w:val="4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80" w:type="dxa"/>
            <w:tcMar>
              <w:left w:w="28" w:type="dxa"/>
              <w:right w:w="28" w:type="dxa"/>
            </w:tcMar>
            <w:vAlign w:val="center"/>
          </w:tcPr>
          <w:p>
            <w:pPr>
              <w:pStyle w:val="38"/>
              <w:adjustRightInd w:val="0"/>
              <w:spacing w:before="0" w:beforeAutospacing="0" w:after="0" w:afterAutospacing="0"/>
              <w:jc w:val="center"/>
              <w:rPr>
                <w:rFonts w:cs="宋体"/>
                <w:bCs/>
                <w:sz w:val="21"/>
                <w:szCs w:val="21"/>
              </w:rPr>
            </w:pPr>
            <w:bookmarkStart w:id="50" w:name="_Hlk49796138"/>
            <w:r>
              <w:rPr>
                <w:rFonts w:hint="eastAsia" w:cs="宋体"/>
                <w:bCs/>
                <w:sz w:val="21"/>
                <w:szCs w:val="21"/>
              </w:rPr>
              <w:t>施工期生态环境影响分析</w:t>
            </w:r>
            <w:bookmarkEnd w:id="50"/>
          </w:p>
        </w:tc>
        <w:tc>
          <w:tcPr>
            <w:tcW w:w="8391" w:type="dxa"/>
          </w:tcPr>
          <w:p>
            <w:pPr>
              <w:adjustRightInd w:val="0"/>
              <w:spacing w:line="360" w:lineRule="auto"/>
              <w:rPr>
                <w:b/>
                <w:sz w:val="24"/>
              </w:rPr>
            </w:pPr>
            <w:r>
              <w:rPr>
                <w:b/>
                <w:sz w:val="24"/>
              </w:rPr>
              <w:t>1、施工</w:t>
            </w:r>
            <w:r>
              <w:rPr>
                <w:rFonts w:hint="eastAsia"/>
                <w:b/>
                <w:sz w:val="24"/>
              </w:rPr>
              <w:t>期</w:t>
            </w:r>
            <w:r>
              <w:rPr>
                <w:b/>
                <w:sz w:val="24"/>
              </w:rPr>
              <w:t>工艺流程简述及产污</w:t>
            </w:r>
            <w:r>
              <w:rPr>
                <w:rFonts w:hint="eastAsia"/>
                <w:b/>
                <w:sz w:val="24"/>
              </w:rPr>
              <w:t>工序</w:t>
            </w:r>
          </w:p>
          <w:p>
            <w:pPr>
              <w:adjustRightInd w:val="0"/>
              <w:spacing w:line="360" w:lineRule="auto"/>
              <w:ind w:firstLine="480" w:firstLineChars="200"/>
            </w:pPr>
            <w:r>
              <w:rPr>
                <w:sz w:val="24"/>
              </w:rPr>
              <w:t>施工期间主要是对项目场址进行场地平整、太阳能电池组件的安装</w:t>
            </w:r>
            <w:r>
              <w:rPr>
                <w:rFonts w:hint="eastAsia"/>
                <w:sz w:val="24"/>
              </w:rPr>
              <w:t>、构筑物、场区道路、场址围栏建设</w:t>
            </w:r>
            <w:r>
              <w:rPr>
                <w:sz w:val="24"/>
              </w:rPr>
              <w:t>等。项目施工工艺流程</w:t>
            </w:r>
            <w:r>
              <w:rPr>
                <w:rFonts w:hint="eastAsia"/>
                <w:sz w:val="24"/>
              </w:rPr>
              <w:t>及产污节点图</w:t>
            </w:r>
            <w:r>
              <w:rPr>
                <w:sz w:val="24"/>
              </w:rPr>
              <w:t>见</w:t>
            </w:r>
            <w:r>
              <w:rPr>
                <w:rFonts w:hint="eastAsia"/>
                <w:sz w:val="24"/>
              </w:rPr>
              <w:t>下图</w:t>
            </w:r>
            <w:r>
              <w:rPr>
                <w:sz w:val="24"/>
              </w:rPr>
              <w:t>。</w:t>
            </w:r>
          </w:p>
          <w:p>
            <w:pPr>
              <w:adjustRightInd w:val="0"/>
              <w:spacing w:line="360" w:lineRule="auto"/>
              <w:jc w:val="center"/>
              <w:rPr>
                <w:b/>
              </w:rPr>
            </w:pPr>
            <w:r>
              <w:object>
                <v:shape id="_x0000_i1025" o:spt="75" type="#_x0000_t75" style="height:110.35pt;width:407.7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5" r:id="rId13">
                  <o:LockedField>false</o:LockedField>
                </o:OLEObject>
              </w:object>
            </w:r>
          </w:p>
          <w:p>
            <w:pPr>
              <w:pStyle w:val="59"/>
              <w:adjustRightInd w:val="0"/>
              <w:spacing w:line="360" w:lineRule="auto"/>
              <w:rPr>
                <w:rFonts w:ascii="Times New Roman" w:hAnsi="Times New Roman" w:eastAsia="宋体"/>
              </w:rPr>
            </w:pPr>
            <w:r>
              <w:rPr>
                <w:rFonts w:ascii="Times New Roman" w:hAnsi="Times New Roman" w:eastAsia="宋体"/>
              </w:rPr>
              <w:t>图4-1  施工工艺流程及产污节点图</w:t>
            </w:r>
          </w:p>
          <w:p>
            <w:pPr>
              <w:adjustRightInd w:val="0"/>
              <w:spacing w:line="360" w:lineRule="auto"/>
              <w:ind w:firstLine="480" w:firstLineChars="200"/>
              <w:rPr>
                <w:sz w:val="24"/>
                <w:szCs w:val="28"/>
              </w:rPr>
            </w:pPr>
            <w:r>
              <w:rPr>
                <w:rFonts w:hint="eastAsia"/>
                <w:kern w:val="0"/>
                <w:sz w:val="24"/>
                <w:szCs w:val="28"/>
              </w:rPr>
              <w:t>项目在道路修建、土石方开挖及回填、建设施工材料运输时将产生粉尘，施工过程中施工机械将产生噪声，建设过程中还将产生建筑垃圾等固体废弃物、施工废水，同时施工中将破坏地表植被和产生水土流失等。整个项目占地及施工范围较小，施工场地不设置施工生活营地，施工人员均为周边村镇人员，主要依托周边村镇现有生活设施进行食宿，因此项目施工期无生活废气，仅有少量生活废水（洗手废水）。</w:t>
            </w:r>
            <w:r>
              <w:rPr>
                <w:rFonts w:hint="eastAsia"/>
                <w:sz w:val="24"/>
                <w:szCs w:val="28"/>
              </w:rPr>
              <w:t>项目在施工期的主要污染工序见下表：</w:t>
            </w:r>
          </w:p>
          <w:p>
            <w:pPr>
              <w:adjustRightInd w:val="0"/>
              <w:jc w:val="center"/>
              <w:rPr>
                <w:b/>
                <w:szCs w:val="21"/>
              </w:rPr>
            </w:pPr>
            <w:r>
              <w:rPr>
                <w:rFonts w:hint="eastAsia"/>
                <w:b/>
                <w:szCs w:val="21"/>
              </w:rPr>
              <w:t>表</w:t>
            </w:r>
            <w:r>
              <w:rPr>
                <w:b/>
                <w:szCs w:val="21"/>
              </w:rPr>
              <w:t>4</w:t>
            </w:r>
            <w:r>
              <w:rPr>
                <w:rFonts w:hint="eastAsia"/>
                <w:b/>
                <w:szCs w:val="21"/>
              </w:rPr>
              <w:t>-</w:t>
            </w:r>
            <w:r>
              <w:rPr>
                <w:b/>
                <w:szCs w:val="21"/>
              </w:rPr>
              <w:t>1</w:t>
            </w:r>
            <w:r>
              <w:rPr>
                <w:rFonts w:hint="eastAsia"/>
                <w:b/>
                <w:szCs w:val="21"/>
              </w:rPr>
              <w:t xml:space="preserve">  施工期主要污染工序一览表</w:t>
            </w:r>
          </w:p>
          <w:tbl>
            <w:tblPr>
              <w:tblStyle w:val="45"/>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138"/>
              <w:gridCol w:w="2409"/>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adjustRightInd w:val="0"/>
                    <w:jc w:val="center"/>
                    <w:rPr>
                      <w:b/>
                      <w:kern w:val="0"/>
                      <w:szCs w:val="22"/>
                    </w:rPr>
                  </w:pPr>
                  <w:r>
                    <w:rPr>
                      <w:rFonts w:hint="eastAsia"/>
                      <w:b/>
                      <w:kern w:val="0"/>
                      <w:szCs w:val="22"/>
                    </w:rPr>
                    <w:t>时段</w:t>
                  </w:r>
                </w:p>
              </w:tc>
              <w:tc>
                <w:tcPr>
                  <w:tcW w:w="1138" w:type="dxa"/>
                  <w:vAlign w:val="center"/>
                </w:tcPr>
                <w:p>
                  <w:pPr>
                    <w:adjustRightInd w:val="0"/>
                    <w:jc w:val="center"/>
                    <w:rPr>
                      <w:b/>
                      <w:kern w:val="0"/>
                      <w:szCs w:val="22"/>
                    </w:rPr>
                  </w:pPr>
                  <w:r>
                    <w:rPr>
                      <w:rFonts w:hint="eastAsia"/>
                      <w:b/>
                      <w:kern w:val="0"/>
                      <w:szCs w:val="22"/>
                    </w:rPr>
                    <w:t>污染类别</w:t>
                  </w:r>
                </w:p>
              </w:tc>
              <w:tc>
                <w:tcPr>
                  <w:tcW w:w="2409" w:type="dxa"/>
                  <w:vAlign w:val="center"/>
                </w:tcPr>
                <w:p>
                  <w:pPr>
                    <w:adjustRightInd w:val="0"/>
                    <w:jc w:val="center"/>
                    <w:rPr>
                      <w:b/>
                      <w:kern w:val="0"/>
                      <w:szCs w:val="22"/>
                    </w:rPr>
                  </w:pPr>
                  <w:r>
                    <w:rPr>
                      <w:rFonts w:hint="eastAsia"/>
                      <w:b/>
                      <w:kern w:val="0"/>
                      <w:szCs w:val="22"/>
                    </w:rPr>
                    <w:t>污染源</w:t>
                  </w:r>
                </w:p>
              </w:tc>
              <w:tc>
                <w:tcPr>
                  <w:tcW w:w="3477" w:type="dxa"/>
                  <w:vAlign w:val="center"/>
                </w:tcPr>
                <w:p>
                  <w:pPr>
                    <w:adjustRightInd w:val="0"/>
                    <w:jc w:val="center"/>
                    <w:rPr>
                      <w:b/>
                      <w:kern w:val="0"/>
                      <w:szCs w:val="22"/>
                    </w:rPr>
                  </w:pPr>
                  <w:r>
                    <w:rPr>
                      <w:rFonts w:hint="eastAsia"/>
                      <w:b/>
                      <w:kern w:val="0"/>
                      <w:szCs w:val="22"/>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48" w:type="dxa"/>
                  <w:vMerge w:val="restart"/>
                  <w:vAlign w:val="center"/>
                </w:tcPr>
                <w:p>
                  <w:pPr>
                    <w:adjustRightInd w:val="0"/>
                    <w:jc w:val="center"/>
                    <w:rPr>
                      <w:kern w:val="0"/>
                      <w:szCs w:val="22"/>
                    </w:rPr>
                  </w:pPr>
                  <w:r>
                    <w:rPr>
                      <w:rFonts w:hint="eastAsia"/>
                      <w:kern w:val="0"/>
                      <w:szCs w:val="22"/>
                    </w:rPr>
                    <w:t>施工期</w:t>
                  </w:r>
                </w:p>
              </w:tc>
              <w:tc>
                <w:tcPr>
                  <w:tcW w:w="1138" w:type="dxa"/>
                  <w:vAlign w:val="center"/>
                </w:tcPr>
                <w:p>
                  <w:pPr>
                    <w:adjustRightInd w:val="0"/>
                    <w:jc w:val="center"/>
                    <w:rPr>
                      <w:kern w:val="0"/>
                      <w:szCs w:val="22"/>
                    </w:rPr>
                  </w:pPr>
                  <w:r>
                    <w:rPr>
                      <w:rFonts w:hint="eastAsia"/>
                      <w:kern w:val="0"/>
                      <w:szCs w:val="22"/>
                    </w:rPr>
                    <w:t>废气</w:t>
                  </w:r>
                </w:p>
              </w:tc>
              <w:tc>
                <w:tcPr>
                  <w:tcW w:w="2409" w:type="dxa"/>
                  <w:vAlign w:val="center"/>
                </w:tcPr>
                <w:p>
                  <w:pPr>
                    <w:adjustRightInd w:val="0"/>
                    <w:jc w:val="center"/>
                    <w:rPr>
                      <w:kern w:val="0"/>
                      <w:szCs w:val="22"/>
                    </w:rPr>
                  </w:pPr>
                  <w:r>
                    <w:rPr>
                      <w:rFonts w:hint="eastAsia"/>
                      <w:kern w:val="0"/>
                      <w:szCs w:val="22"/>
                    </w:rPr>
                    <w:t>施工扬尘</w:t>
                  </w:r>
                </w:p>
              </w:tc>
              <w:tc>
                <w:tcPr>
                  <w:tcW w:w="3477" w:type="dxa"/>
                  <w:vAlign w:val="center"/>
                </w:tcPr>
                <w:p>
                  <w:pPr>
                    <w:adjustRightInd w:val="0"/>
                    <w:jc w:val="center"/>
                    <w:rPr>
                      <w:kern w:val="0"/>
                      <w:szCs w:val="22"/>
                    </w:rPr>
                  </w:pPr>
                  <w:r>
                    <w:rPr>
                      <w:kern w:val="0"/>
                      <w:szCs w:val="22"/>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adjustRightInd w:val="0"/>
                    <w:jc w:val="center"/>
                    <w:rPr>
                      <w:kern w:val="0"/>
                      <w:szCs w:val="22"/>
                    </w:rPr>
                  </w:pPr>
                </w:p>
              </w:tc>
              <w:tc>
                <w:tcPr>
                  <w:tcW w:w="1138" w:type="dxa"/>
                  <w:vAlign w:val="center"/>
                </w:tcPr>
                <w:p>
                  <w:pPr>
                    <w:adjustRightInd w:val="0"/>
                    <w:jc w:val="center"/>
                    <w:rPr>
                      <w:kern w:val="0"/>
                      <w:szCs w:val="22"/>
                    </w:rPr>
                  </w:pPr>
                  <w:r>
                    <w:rPr>
                      <w:rFonts w:hint="eastAsia"/>
                      <w:kern w:val="0"/>
                      <w:szCs w:val="22"/>
                    </w:rPr>
                    <w:t>废水</w:t>
                  </w:r>
                </w:p>
              </w:tc>
              <w:tc>
                <w:tcPr>
                  <w:tcW w:w="2409" w:type="dxa"/>
                  <w:vAlign w:val="center"/>
                </w:tcPr>
                <w:p>
                  <w:pPr>
                    <w:adjustRightInd w:val="0"/>
                    <w:jc w:val="center"/>
                    <w:rPr>
                      <w:kern w:val="0"/>
                      <w:szCs w:val="22"/>
                    </w:rPr>
                  </w:pPr>
                  <w:r>
                    <w:rPr>
                      <w:rFonts w:hint="eastAsia"/>
                      <w:kern w:val="0"/>
                      <w:szCs w:val="22"/>
                    </w:rPr>
                    <w:t>施工废水、洗手废水</w:t>
                  </w:r>
                </w:p>
              </w:tc>
              <w:tc>
                <w:tcPr>
                  <w:tcW w:w="3477" w:type="dxa"/>
                  <w:vAlign w:val="center"/>
                </w:tcPr>
                <w:p>
                  <w:pPr>
                    <w:adjustRightInd w:val="0"/>
                    <w:jc w:val="center"/>
                    <w:rPr>
                      <w:kern w:val="0"/>
                      <w:szCs w:val="22"/>
                    </w:rPr>
                  </w:pPr>
                  <w:r>
                    <w:rPr>
                      <w:rFonts w:hint="eastAsia"/>
                      <w:kern w:val="0"/>
                      <w:szCs w:val="22"/>
                    </w:rPr>
                    <w:t>S</w:t>
                  </w:r>
                  <w:r>
                    <w:rPr>
                      <w:kern w:val="0"/>
                      <w:szCs w:val="22"/>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48" w:type="dxa"/>
                  <w:vMerge w:val="continue"/>
                  <w:vAlign w:val="center"/>
                </w:tcPr>
                <w:p>
                  <w:pPr>
                    <w:adjustRightInd w:val="0"/>
                    <w:jc w:val="center"/>
                    <w:rPr>
                      <w:kern w:val="0"/>
                      <w:szCs w:val="22"/>
                    </w:rPr>
                  </w:pPr>
                </w:p>
              </w:tc>
              <w:tc>
                <w:tcPr>
                  <w:tcW w:w="1138" w:type="dxa"/>
                  <w:vAlign w:val="center"/>
                </w:tcPr>
                <w:p>
                  <w:pPr>
                    <w:adjustRightInd w:val="0"/>
                    <w:jc w:val="center"/>
                    <w:rPr>
                      <w:kern w:val="0"/>
                      <w:szCs w:val="22"/>
                    </w:rPr>
                  </w:pPr>
                  <w:r>
                    <w:rPr>
                      <w:rFonts w:hint="eastAsia"/>
                      <w:kern w:val="0"/>
                      <w:szCs w:val="22"/>
                    </w:rPr>
                    <w:t>噪声</w:t>
                  </w:r>
                </w:p>
              </w:tc>
              <w:tc>
                <w:tcPr>
                  <w:tcW w:w="2409" w:type="dxa"/>
                  <w:vAlign w:val="center"/>
                </w:tcPr>
                <w:p>
                  <w:pPr>
                    <w:adjustRightInd w:val="0"/>
                    <w:jc w:val="center"/>
                    <w:rPr>
                      <w:kern w:val="0"/>
                      <w:szCs w:val="22"/>
                    </w:rPr>
                  </w:pPr>
                  <w:r>
                    <w:rPr>
                      <w:rFonts w:hint="eastAsia"/>
                      <w:kern w:val="0"/>
                      <w:szCs w:val="22"/>
                    </w:rPr>
                    <w:t>施工机械、运输车辆</w:t>
                  </w:r>
                </w:p>
              </w:tc>
              <w:tc>
                <w:tcPr>
                  <w:tcW w:w="3477" w:type="dxa"/>
                  <w:vAlign w:val="center"/>
                </w:tcPr>
                <w:p>
                  <w:pPr>
                    <w:adjustRightInd w:val="0"/>
                    <w:jc w:val="center"/>
                    <w:rPr>
                      <w:kern w:val="0"/>
                      <w:szCs w:val="22"/>
                    </w:rPr>
                  </w:pPr>
                  <w:r>
                    <w:rPr>
                      <w:rFonts w:hint="eastAsia"/>
                      <w:kern w:val="0"/>
                      <w:szCs w:val="22"/>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adjustRightInd w:val="0"/>
                    <w:jc w:val="center"/>
                    <w:rPr>
                      <w:kern w:val="0"/>
                      <w:szCs w:val="22"/>
                    </w:rPr>
                  </w:pPr>
                </w:p>
              </w:tc>
              <w:tc>
                <w:tcPr>
                  <w:tcW w:w="1138" w:type="dxa"/>
                  <w:vAlign w:val="center"/>
                </w:tcPr>
                <w:p>
                  <w:pPr>
                    <w:adjustRightInd w:val="0"/>
                    <w:jc w:val="center"/>
                    <w:rPr>
                      <w:kern w:val="0"/>
                      <w:szCs w:val="22"/>
                    </w:rPr>
                  </w:pPr>
                  <w:r>
                    <w:rPr>
                      <w:rFonts w:hint="eastAsia"/>
                      <w:kern w:val="0"/>
                      <w:szCs w:val="22"/>
                    </w:rPr>
                    <w:t>固废</w:t>
                  </w:r>
                </w:p>
              </w:tc>
              <w:tc>
                <w:tcPr>
                  <w:tcW w:w="2409" w:type="dxa"/>
                  <w:vAlign w:val="center"/>
                </w:tcPr>
                <w:p>
                  <w:pPr>
                    <w:adjustRightInd w:val="0"/>
                    <w:jc w:val="center"/>
                    <w:rPr>
                      <w:kern w:val="0"/>
                      <w:szCs w:val="22"/>
                    </w:rPr>
                  </w:pPr>
                  <w:r>
                    <w:rPr>
                      <w:rFonts w:hint="eastAsia"/>
                      <w:kern w:val="0"/>
                      <w:szCs w:val="22"/>
                    </w:rPr>
                    <w:t>地基开挖、构筑物、施工人员</w:t>
                  </w:r>
                </w:p>
              </w:tc>
              <w:tc>
                <w:tcPr>
                  <w:tcW w:w="3477" w:type="dxa"/>
                  <w:vAlign w:val="center"/>
                </w:tcPr>
                <w:p>
                  <w:pPr>
                    <w:adjustRightInd w:val="0"/>
                    <w:jc w:val="center"/>
                    <w:rPr>
                      <w:kern w:val="0"/>
                      <w:szCs w:val="22"/>
                    </w:rPr>
                  </w:pPr>
                  <w:r>
                    <w:rPr>
                      <w:rFonts w:hint="eastAsia"/>
                      <w:kern w:val="0"/>
                      <w:szCs w:val="22"/>
                    </w:rPr>
                    <w:t>建筑垃圾、生活垃圾、粪便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adjustRightInd w:val="0"/>
                    <w:jc w:val="center"/>
                    <w:rPr>
                      <w:kern w:val="0"/>
                      <w:szCs w:val="22"/>
                    </w:rPr>
                  </w:pPr>
                </w:p>
              </w:tc>
              <w:tc>
                <w:tcPr>
                  <w:tcW w:w="1138" w:type="dxa"/>
                  <w:vAlign w:val="center"/>
                </w:tcPr>
                <w:p>
                  <w:pPr>
                    <w:adjustRightInd w:val="0"/>
                    <w:jc w:val="center"/>
                    <w:rPr>
                      <w:kern w:val="0"/>
                      <w:szCs w:val="22"/>
                    </w:rPr>
                  </w:pPr>
                  <w:r>
                    <w:rPr>
                      <w:rFonts w:hint="eastAsia"/>
                      <w:kern w:val="0"/>
                      <w:szCs w:val="22"/>
                    </w:rPr>
                    <w:t>生态</w:t>
                  </w:r>
                </w:p>
              </w:tc>
              <w:tc>
                <w:tcPr>
                  <w:tcW w:w="5886" w:type="dxa"/>
                  <w:gridSpan w:val="2"/>
                  <w:vAlign w:val="center"/>
                </w:tcPr>
                <w:p>
                  <w:pPr>
                    <w:adjustRightInd w:val="0"/>
                    <w:jc w:val="center"/>
                    <w:rPr>
                      <w:kern w:val="0"/>
                      <w:szCs w:val="22"/>
                    </w:rPr>
                  </w:pPr>
                  <w:r>
                    <w:rPr>
                      <w:rFonts w:hint="eastAsia"/>
                      <w:kern w:val="0"/>
                      <w:szCs w:val="22"/>
                    </w:rPr>
                    <w:t>植被破坏、景观影响</w:t>
                  </w:r>
                </w:p>
              </w:tc>
            </w:tr>
          </w:tbl>
          <w:p>
            <w:pPr>
              <w:adjustRightInd w:val="0"/>
              <w:spacing w:line="360" w:lineRule="auto"/>
              <w:jc w:val="left"/>
              <w:rPr>
                <w:b/>
                <w:bCs/>
                <w:sz w:val="24"/>
              </w:rPr>
            </w:pPr>
            <w:r>
              <w:rPr>
                <w:b/>
                <w:bCs/>
                <w:sz w:val="24"/>
              </w:rPr>
              <w:t>2、施工期环境影响</w:t>
            </w:r>
            <w:r>
              <w:rPr>
                <w:rFonts w:hint="eastAsia"/>
                <w:b/>
                <w:bCs/>
                <w:sz w:val="24"/>
              </w:rPr>
              <w:t>分析</w:t>
            </w:r>
          </w:p>
          <w:p>
            <w:pPr>
              <w:autoSpaceDE w:val="0"/>
              <w:autoSpaceDN w:val="0"/>
              <w:adjustRightInd w:val="0"/>
              <w:spacing w:line="360" w:lineRule="auto"/>
              <w:ind w:firstLine="482" w:firstLineChars="200"/>
              <w:rPr>
                <w:b/>
                <w:bCs/>
                <w:sz w:val="24"/>
              </w:rPr>
            </w:pPr>
            <w:r>
              <w:rPr>
                <w:rFonts w:hint="eastAsia"/>
                <w:b/>
                <w:bCs/>
                <w:sz w:val="24"/>
              </w:rPr>
              <w:t>（</w:t>
            </w:r>
            <w:r>
              <w:rPr>
                <w:b/>
                <w:bCs/>
                <w:sz w:val="24"/>
              </w:rPr>
              <w:t>1</w:t>
            </w:r>
            <w:r>
              <w:rPr>
                <w:rFonts w:hint="eastAsia"/>
                <w:b/>
                <w:bCs/>
                <w:sz w:val="24"/>
              </w:rPr>
              <w:t>）生态环境</w:t>
            </w:r>
          </w:p>
          <w:p>
            <w:pPr>
              <w:adjustRightInd w:val="0"/>
              <w:spacing w:line="360" w:lineRule="auto"/>
              <w:ind w:firstLine="480" w:firstLineChars="200"/>
              <w:rPr>
                <w:sz w:val="24"/>
              </w:rPr>
            </w:pPr>
            <w:r>
              <w:rPr>
                <w:sz w:val="24"/>
              </w:rPr>
              <w:t>1</w:t>
            </w:r>
            <w:r>
              <w:rPr>
                <w:rFonts w:hint="eastAsia"/>
                <w:sz w:val="24"/>
              </w:rPr>
              <w:t>）对陆生生态环境的影响</w:t>
            </w:r>
          </w:p>
          <w:p>
            <w:pPr>
              <w:adjustRightInd w:val="0"/>
              <w:spacing w:line="360" w:lineRule="auto"/>
              <w:ind w:firstLine="480" w:firstLineChars="200"/>
              <w:rPr>
                <w:sz w:val="24"/>
              </w:rPr>
            </w:pPr>
            <w:r>
              <w:rPr>
                <w:rFonts w:hint="eastAsia"/>
                <w:sz w:val="24"/>
              </w:rPr>
              <w:t>①对植被</w:t>
            </w:r>
            <w:r>
              <w:rPr>
                <w:bCs/>
                <w:sz w:val="24"/>
              </w:rPr>
              <w:t>和植物的影响</w:t>
            </w:r>
          </w:p>
          <w:p>
            <w:pPr>
              <w:keepLines/>
              <w:adjustRightInd w:val="0"/>
              <w:spacing w:line="360" w:lineRule="auto"/>
              <w:ind w:firstLine="480" w:firstLineChars="200"/>
              <w:rPr>
                <w:sz w:val="24"/>
              </w:rPr>
            </w:pPr>
            <w:r>
              <w:rPr>
                <w:rFonts w:hint="eastAsia"/>
                <w:sz w:val="24"/>
              </w:rPr>
              <w:t>项目光伏支架施工采取独立桩基础，项目区主要开挖地表部分为开关站、光伏支架桩基、</w:t>
            </w:r>
            <w:r>
              <w:rPr>
                <w:sz w:val="24"/>
              </w:rPr>
              <w:t>箱变</w:t>
            </w:r>
            <w:r>
              <w:rPr>
                <w:rFonts w:hint="eastAsia"/>
                <w:sz w:val="24"/>
              </w:rPr>
              <w:t>基础和电缆沟，其他部分基本保留不变。场内施工道路主要占用荒草地，场外施工道路主要为改扩建道路，在已有的农业</w:t>
            </w:r>
            <w:r>
              <w:rPr>
                <w:sz w:val="24"/>
              </w:rPr>
              <w:t>运输</w:t>
            </w:r>
            <w:r>
              <w:rPr>
                <w:rFonts w:hint="eastAsia"/>
                <w:sz w:val="24"/>
              </w:rPr>
              <w:t>道路基础上加固成石渣路面，对道路外部植被基本不破坏。</w:t>
            </w:r>
          </w:p>
          <w:p>
            <w:pPr>
              <w:keepLines/>
              <w:adjustRightInd w:val="0"/>
              <w:spacing w:line="360" w:lineRule="auto"/>
              <w:ind w:firstLine="480" w:firstLineChars="200"/>
              <w:rPr>
                <w:sz w:val="24"/>
              </w:rPr>
            </w:pPr>
            <w:r>
              <w:rPr>
                <w:rFonts w:hint="eastAsia"/>
                <w:sz w:val="24"/>
              </w:rPr>
              <w:t>根据现场</w:t>
            </w:r>
            <w:r>
              <w:rPr>
                <w:sz w:val="24"/>
              </w:rPr>
              <w:t>调查</w:t>
            </w:r>
            <w:r>
              <w:rPr>
                <w:rFonts w:hint="eastAsia"/>
                <w:sz w:val="24"/>
              </w:rPr>
              <w:t>光伏区、开关站</w:t>
            </w:r>
            <w:r>
              <w:rPr>
                <w:bCs/>
                <w:sz w:val="24"/>
              </w:rPr>
              <w:t>占地</w:t>
            </w:r>
            <w:r>
              <w:rPr>
                <w:rFonts w:hint="eastAsia"/>
                <w:bCs/>
                <w:sz w:val="24"/>
              </w:rPr>
              <w:t>全部</w:t>
            </w:r>
            <w:r>
              <w:rPr>
                <w:bCs/>
                <w:sz w:val="24"/>
              </w:rPr>
              <w:t>为</w:t>
            </w:r>
            <w:r>
              <w:rPr>
                <w:rFonts w:hint="eastAsia"/>
                <w:sz w:val="24"/>
              </w:rPr>
              <w:t>荒草地、裸土地，</w:t>
            </w:r>
            <w:r>
              <w:rPr>
                <w:sz w:val="24"/>
              </w:rPr>
              <w:t>主要植物为</w:t>
            </w:r>
            <w:r>
              <w:rPr>
                <w:rFonts w:hint="eastAsia"/>
                <w:sz w:val="24"/>
              </w:rPr>
              <w:t>小铁仔、</w:t>
            </w:r>
            <w:r>
              <w:rPr>
                <w:sz w:val="24"/>
              </w:rPr>
              <w:t>旱茅</w:t>
            </w:r>
            <w:r>
              <w:rPr>
                <w:rFonts w:hint="eastAsia"/>
                <w:sz w:val="24"/>
              </w:rPr>
              <w:t>、火棘等</w:t>
            </w:r>
            <w:r>
              <w:rPr>
                <w:sz w:val="24"/>
              </w:rPr>
              <w:t>，</w:t>
            </w:r>
            <w:r>
              <w:rPr>
                <w:rFonts w:hint="eastAsia"/>
                <w:sz w:val="24"/>
              </w:rPr>
              <w:t>地</w:t>
            </w:r>
            <w:r>
              <w:rPr>
                <w:sz w:val="24"/>
              </w:rPr>
              <w:t>块内基本</w:t>
            </w:r>
            <w:r>
              <w:rPr>
                <w:rFonts w:hint="eastAsia"/>
                <w:sz w:val="24"/>
              </w:rPr>
              <w:t>无乔</w:t>
            </w:r>
            <w:r>
              <w:rPr>
                <w:sz w:val="24"/>
              </w:rPr>
              <w:t>木，</w:t>
            </w:r>
            <w:r>
              <w:rPr>
                <w:rFonts w:hint="eastAsia"/>
                <w:sz w:val="24"/>
              </w:rPr>
              <w:t>大多为草本植物</w:t>
            </w:r>
            <w:r>
              <w:rPr>
                <w:sz w:val="24"/>
              </w:rPr>
              <w:t>。</w:t>
            </w:r>
            <w:r>
              <w:rPr>
                <w:rFonts w:hint="eastAsia"/>
                <w:sz w:val="24"/>
              </w:rPr>
              <w:t>项</w:t>
            </w:r>
            <w:r>
              <w:rPr>
                <w:sz w:val="24"/>
              </w:rPr>
              <w:t>目</w:t>
            </w:r>
            <w:r>
              <w:rPr>
                <w:rFonts w:hint="eastAsia"/>
                <w:sz w:val="24"/>
              </w:rPr>
              <w:t>实际</w:t>
            </w:r>
            <w:r>
              <w:rPr>
                <w:sz w:val="24"/>
              </w:rPr>
              <w:t>使用</w:t>
            </w:r>
            <w:r>
              <w:rPr>
                <w:rFonts w:hint="eastAsia"/>
                <w:sz w:val="24"/>
              </w:rPr>
              <w:t>土</w:t>
            </w:r>
            <w:r>
              <w:rPr>
                <w:sz w:val="24"/>
              </w:rPr>
              <w:t>地时，在征地范围内对</w:t>
            </w:r>
            <w:r>
              <w:rPr>
                <w:rFonts w:hint="eastAsia"/>
                <w:sz w:val="24"/>
              </w:rPr>
              <w:t>稀疏的少量灌木进</w:t>
            </w:r>
            <w:r>
              <w:rPr>
                <w:sz w:val="24"/>
              </w:rPr>
              <w:t>行避让</w:t>
            </w:r>
            <w:r>
              <w:rPr>
                <w:rFonts w:hint="eastAsia"/>
                <w:sz w:val="24"/>
              </w:rPr>
              <w:t>不</w:t>
            </w:r>
            <w:r>
              <w:rPr>
                <w:sz w:val="24"/>
              </w:rPr>
              <w:t>使用，</w:t>
            </w:r>
            <w:r>
              <w:rPr>
                <w:rFonts w:hint="eastAsia"/>
                <w:sz w:val="24"/>
              </w:rPr>
              <w:t>使用</w:t>
            </w:r>
            <w:r>
              <w:rPr>
                <w:sz w:val="24"/>
              </w:rPr>
              <w:t>的</w:t>
            </w:r>
            <w:r>
              <w:rPr>
                <w:rFonts w:hint="eastAsia"/>
                <w:sz w:val="24"/>
              </w:rPr>
              <w:t>土</w:t>
            </w:r>
            <w:r>
              <w:rPr>
                <w:sz w:val="24"/>
              </w:rPr>
              <w:t>地为植</w:t>
            </w:r>
            <w:r>
              <w:rPr>
                <w:rFonts w:hint="eastAsia"/>
                <w:sz w:val="24"/>
              </w:rPr>
              <w:t>被</w:t>
            </w:r>
            <w:r>
              <w:rPr>
                <w:sz w:val="24"/>
              </w:rPr>
              <w:t>长势的不好土地</w:t>
            </w:r>
            <w:r>
              <w:rPr>
                <w:rFonts w:hint="eastAsia"/>
                <w:sz w:val="24"/>
              </w:rPr>
              <w:t>。</w:t>
            </w:r>
          </w:p>
          <w:p>
            <w:pPr>
              <w:keepLines/>
              <w:adjustRightInd w:val="0"/>
              <w:spacing w:line="360" w:lineRule="auto"/>
              <w:ind w:firstLine="480" w:firstLineChars="200"/>
              <w:rPr>
                <w:sz w:val="24"/>
              </w:rPr>
            </w:pPr>
            <w:r>
              <w:rPr>
                <w:rFonts w:hint="eastAsia"/>
                <w:sz w:val="24"/>
              </w:rPr>
              <w:t>项目选址已避让了生态敏感区，且在现有选址内光伏板布设避让了植被较好的区域，所占用的植被类型为项目所处区域常见的植被类型，且这些植被均具有一定的次生性，占地区的植物种类均为当地常见种，调查显示，工程占地区范围内没有国家和省级保护野生植物分布。工程建设仅导致部分常见植物种类个体数量的减少或是生长不良。因此，拟建项目建设虽然会造成占地区植物个体数量在一定时间和空间范围的减少，但不会对区域植物物种和资源产生明显的影响，不会导致任何一种植被类型在该区域消失，不会对当地的植被生态系统的稳定状况产生明显的不利影响。</w:t>
            </w:r>
          </w:p>
          <w:p>
            <w:pPr>
              <w:adjustRightInd w:val="0"/>
              <w:spacing w:line="360" w:lineRule="auto"/>
              <w:ind w:firstLine="480" w:firstLineChars="200"/>
              <w:rPr>
                <w:sz w:val="24"/>
              </w:rPr>
            </w:pPr>
            <w:r>
              <w:rPr>
                <w:rFonts w:hint="eastAsia"/>
                <w:sz w:val="24"/>
              </w:rPr>
              <w:t>②对动物的影响</w:t>
            </w:r>
          </w:p>
          <w:p>
            <w:pPr>
              <w:adjustRightInd w:val="0"/>
              <w:spacing w:line="360" w:lineRule="auto"/>
              <w:ind w:firstLine="480" w:firstLineChars="200"/>
              <w:rPr>
                <w:sz w:val="24"/>
              </w:rPr>
            </w:pPr>
            <w:r>
              <w:rPr>
                <w:rFonts w:hint="eastAsia"/>
                <w:sz w:val="24"/>
              </w:rPr>
              <w:t>项目实施对陆生野生脊椎动物的影响在以下三方面：施工对动物生境的干扰和破坏，如施工砍伐树木对动物栖息地的破坏等；施工人员的人为干扰；施工噪声对动物生境的破坏以及对动物的惊吓、驱赶等。影响的结果将使得大部分动物迁移他处，远离施工影响范围。评价区内有较多的鸟类，偶尔会进入项目区，鸟类动物迁徙能力强，活动区域大，其性甚机警，在环境受到干扰时，会迅速迁移至其他相同或相似生境中，会通过迁移来避免工程建设的影响，因此，只要加强施工管理，项目建设对鸟类的影响不大。</w:t>
            </w:r>
          </w:p>
          <w:p>
            <w:pPr>
              <w:adjustRightInd w:val="0"/>
              <w:spacing w:line="360" w:lineRule="auto"/>
              <w:ind w:firstLine="480" w:firstLineChars="200"/>
              <w:rPr>
                <w:sz w:val="24"/>
              </w:rPr>
            </w:pPr>
            <w:r>
              <w:rPr>
                <w:rFonts w:hint="eastAsia"/>
                <w:sz w:val="24"/>
              </w:rPr>
              <w:t>项目区分布的动物绝大多数为小型、常见的啮齿类小型动物，主要以鼠类居多，且多数对人类干扰有一定适应。项目的实施对野生动物的直接影响相对较小，通过加强对施工人员的环保教育，保护好野生动物，总体上项目实施对当地的动物影响不大。</w:t>
            </w:r>
          </w:p>
          <w:p>
            <w:pPr>
              <w:adjustRightInd w:val="0"/>
              <w:spacing w:line="360" w:lineRule="auto"/>
              <w:ind w:firstLine="480" w:firstLineChars="200"/>
              <w:rPr>
                <w:sz w:val="24"/>
              </w:rPr>
            </w:pPr>
            <w:r>
              <w:rPr>
                <w:sz w:val="24"/>
              </w:rPr>
              <w:t>2</w:t>
            </w:r>
            <w:r>
              <w:rPr>
                <w:rFonts w:hint="eastAsia"/>
                <w:sz w:val="24"/>
              </w:rPr>
              <w:t>）生物多样性的影响分析</w:t>
            </w:r>
          </w:p>
          <w:p>
            <w:pPr>
              <w:adjustRightInd w:val="0"/>
              <w:spacing w:line="360" w:lineRule="auto"/>
              <w:ind w:firstLine="480" w:firstLineChars="200"/>
              <w:rPr>
                <w:sz w:val="24"/>
              </w:rPr>
            </w:pPr>
            <w:r>
              <w:rPr>
                <w:rFonts w:hint="eastAsia"/>
                <w:sz w:val="24"/>
              </w:rPr>
              <w:t>根据现场踏勘，项目区生态系统受人为影响较为严重，生物多样性较差，除部分人工种植耕地作物外，大面积生长荒草，有少量针叶林，土壤多为沙质土壤且混有碎石，土层浅薄。动物为小型常见动物，无国家和省级保护动物。项目施工仅在占地范围内进行，不对外部生态环境进行破坏，施工过程不会改变区域的生态系统完整性和生物多样性。</w:t>
            </w:r>
          </w:p>
          <w:p>
            <w:pPr>
              <w:adjustRightInd w:val="0"/>
              <w:spacing w:line="360" w:lineRule="auto"/>
              <w:ind w:firstLine="480" w:firstLineChars="200"/>
              <w:rPr>
                <w:sz w:val="24"/>
              </w:rPr>
            </w:pPr>
            <w:r>
              <w:rPr>
                <w:sz w:val="24"/>
              </w:rPr>
              <w:t>3</w:t>
            </w:r>
            <w:r>
              <w:rPr>
                <w:rFonts w:hint="eastAsia"/>
                <w:sz w:val="24"/>
              </w:rPr>
              <w:t>）水土流失的影响</w:t>
            </w:r>
          </w:p>
          <w:p>
            <w:pPr>
              <w:adjustRightInd w:val="0"/>
              <w:spacing w:line="360" w:lineRule="auto"/>
              <w:ind w:firstLine="480" w:firstLineChars="200"/>
              <w:rPr>
                <w:sz w:val="24"/>
              </w:rPr>
            </w:pPr>
            <w:r>
              <w:rPr>
                <w:rFonts w:hint="eastAsia"/>
                <w:sz w:val="24"/>
              </w:rPr>
              <w:t>在光伏电站中，太阳能电池方阵占地面积最大，占地面积可达电站总占地面积的</w:t>
            </w:r>
            <w:r>
              <w:rPr>
                <w:sz w:val="24"/>
              </w:rPr>
              <w:t>7</w:t>
            </w:r>
            <w:r>
              <w:rPr>
                <w:rFonts w:hint="eastAsia"/>
                <w:sz w:val="24"/>
              </w:rPr>
              <w:t>0%以上，是电站用地最大的设施，故太阳能光伏电站水土保持的重点就在太阳能电池方阵的建设施工过程中。</w:t>
            </w:r>
          </w:p>
          <w:p>
            <w:pPr>
              <w:adjustRightInd w:val="0"/>
              <w:spacing w:line="360" w:lineRule="auto"/>
              <w:ind w:firstLine="480" w:firstLineChars="200"/>
              <w:rPr>
                <w:sz w:val="24"/>
              </w:rPr>
            </w:pPr>
            <w:r>
              <w:rPr>
                <w:rFonts w:hint="eastAsia"/>
                <w:sz w:val="24"/>
              </w:rPr>
              <w:t>太阳电池方阵占地面积大，场地平整和支架基础施工时的土地扰动面积大。在开挖和回填等活动的过程中不可避免地对原地貌、植被与地表组成物造成破坏。场地边坡施工和支架基础施工时，若不加以防护、容易产生水土流失。回填土方时，因堆积相对松散，可能发生局部沉陷、滑坡，容易导致重力侵蚀。同时一些施工临时性工程，如场内道路、表土堆场和施工区，若防治不当，会新增区域水土流失量，对区域造成水土流失影响。</w:t>
            </w:r>
          </w:p>
          <w:p>
            <w:pPr>
              <w:adjustRightInd w:val="0"/>
              <w:spacing w:line="360" w:lineRule="auto"/>
              <w:ind w:firstLine="480" w:firstLineChars="200"/>
              <w:rPr>
                <w:sz w:val="24"/>
              </w:rPr>
            </w:pPr>
            <w:r>
              <w:rPr>
                <w:rFonts w:hint="eastAsia"/>
                <w:sz w:val="24"/>
              </w:rPr>
              <w:t>因此，在项目施工中应高度重视水土保持工作，严格按照水土保持有关要求进行设计施工，选择好临时弃渣堆放区，并建设拦挡和覆盖等水土防护措施，施工场地周围建设截排水沟，下游设置沉沙池，最大限度地减少水土流失。经采取水保方案提出的工程、植物、临时措施后，项目建设产生的水土流失在可控范围内，对区域影响不大。</w:t>
            </w:r>
          </w:p>
          <w:p>
            <w:pPr>
              <w:adjustRightInd w:val="0"/>
              <w:spacing w:line="360" w:lineRule="auto"/>
              <w:ind w:firstLine="480" w:firstLineChars="200"/>
              <w:rPr>
                <w:sz w:val="24"/>
              </w:rPr>
            </w:pPr>
            <w:r>
              <w:rPr>
                <w:sz w:val="24"/>
              </w:rPr>
              <w:t>4</w:t>
            </w:r>
            <w:r>
              <w:rPr>
                <w:rFonts w:hint="eastAsia"/>
                <w:sz w:val="24"/>
              </w:rPr>
              <w:t>）对土地利用的影响</w:t>
            </w:r>
          </w:p>
          <w:p>
            <w:pPr>
              <w:adjustRightInd w:val="0"/>
              <w:spacing w:line="360" w:lineRule="auto"/>
              <w:ind w:firstLine="480" w:firstLineChars="200"/>
              <w:rPr>
                <w:sz w:val="24"/>
              </w:rPr>
            </w:pPr>
            <w:r>
              <w:rPr>
                <w:rFonts w:hint="eastAsia"/>
                <w:sz w:val="24"/>
              </w:rPr>
              <w:t>由于项目用地主要为寻甸县的其他林地、裸土地，不占用基本农田、乔木林地，现有植被多为荒草和稀疏低矮灌木，施工结束后除桩基占地外，其它土地可以恢复种植树木和灌丛。工程施工占地改变了原有土地利用的性质和功能，永久占地部分永久性的改变了土地性质，是无法恢复的；临时占地在施工结束后可通过恢复植被措施使其原来土地的性质和功能得到一定程度的恢复。为减少项目建设占地对土地利用的不利影响，建设单位在征地过程中应办理相关土地和林地补偿手续。施工结束后应尽快采取措施恢复工程施工期间临时占用的土地，将对土地利用的不利影响降到最低限度。</w:t>
            </w:r>
          </w:p>
          <w:p>
            <w:pPr>
              <w:adjustRightInd w:val="0"/>
              <w:spacing w:line="360" w:lineRule="auto"/>
              <w:ind w:firstLine="480" w:firstLineChars="200"/>
              <w:rPr>
                <w:sz w:val="24"/>
              </w:rPr>
            </w:pPr>
            <w:r>
              <w:rPr>
                <w:sz w:val="24"/>
              </w:rPr>
              <w:t>5</w:t>
            </w:r>
            <w:r>
              <w:rPr>
                <w:rFonts w:hint="eastAsia"/>
                <w:sz w:val="24"/>
              </w:rPr>
              <w:t>）对景观的影响</w:t>
            </w:r>
          </w:p>
          <w:p>
            <w:pPr>
              <w:adjustRightInd w:val="0"/>
              <w:spacing w:line="360" w:lineRule="auto"/>
              <w:ind w:firstLine="480" w:firstLineChars="200"/>
              <w:rPr>
                <w:sz w:val="24"/>
              </w:rPr>
            </w:pPr>
            <w:r>
              <w:rPr>
                <w:rFonts w:hint="eastAsia"/>
                <w:sz w:val="24"/>
              </w:rPr>
              <w:t>项目建设期对景观的不利影响主要体现在施工初期，因施工道路建设、场址挖填平整、管沟开挖等均在风力较大的山顶地带，在大风作用下易产生扬尘污染，可能形成漫漫黄沙的景象。同时，局部区域的开挖会使周边视野范围内形成明显的开挖裸露面，造成视觉景观的破坏。</w:t>
            </w:r>
          </w:p>
          <w:p>
            <w:pPr>
              <w:adjustRightInd w:val="0"/>
              <w:spacing w:line="360" w:lineRule="auto"/>
              <w:ind w:firstLine="480" w:firstLineChars="200"/>
              <w:rPr>
                <w:b/>
                <w:bCs/>
                <w:sz w:val="24"/>
                <w:szCs w:val="28"/>
              </w:rPr>
            </w:pPr>
            <w:r>
              <w:rPr>
                <w:rFonts w:hint="eastAsia"/>
                <w:sz w:val="24"/>
              </w:rPr>
              <w:t>但项目建设场地平整及挖填量不大，太阳能电池阵列的安装主要依地势进行，不进行场地的平整，项目场地平整及土方挖填主要集中在项目开关站的建设区域，其平整量不大，随着项目的建成，区域植被的恢复，这种景观的影响也会随着消失。</w:t>
            </w:r>
          </w:p>
          <w:p>
            <w:pPr>
              <w:adjustRightInd w:val="0"/>
              <w:spacing w:line="360" w:lineRule="auto"/>
              <w:ind w:firstLine="482" w:firstLineChars="200"/>
              <w:rPr>
                <w:b/>
                <w:bCs/>
                <w:sz w:val="24"/>
                <w:szCs w:val="28"/>
              </w:rPr>
            </w:pPr>
            <w:r>
              <w:rPr>
                <w:rFonts w:hint="eastAsia"/>
                <w:b/>
                <w:bCs/>
                <w:sz w:val="24"/>
                <w:szCs w:val="28"/>
              </w:rPr>
              <w:t>（</w:t>
            </w:r>
            <w:r>
              <w:rPr>
                <w:b/>
                <w:bCs/>
                <w:sz w:val="24"/>
                <w:szCs w:val="28"/>
              </w:rPr>
              <w:t>2</w:t>
            </w:r>
            <w:r>
              <w:rPr>
                <w:rFonts w:hint="eastAsia"/>
                <w:b/>
                <w:bCs/>
                <w:sz w:val="24"/>
                <w:szCs w:val="28"/>
              </w:rPr>
              <w:t>）</w:t>
            </w:r>
            <w:r>
              <w:rPr>
                <w:b/>
                <w:bCs/>
                <w:sz w:val="24"/>
                <w:szCs w:val="28"/>
              </w:rPr>
              <w:t>废气</w:t>
            </w:r>
          </w:p>
          <w:p>
            <w:pPr>
              <w:adjustRightInd w:val="0"/>
              <w:spacing w:line="360" w:lineRule="auto"/>
              <w:ind w:firstLine="480" w:firstLineChars="200"/>
              <w:rPr>
                <w:sz w:val="24"/>
              </w:rPr>
            </w:pPr>
            <w:r>
              <w:rPr>
                <w:sz w:val="24"/>
              </w:rPr>
              <w:t>施工期大气污染主要为施工扬尘及运输车辆尾气，来源于基础开挖、施工垃圾清理及堆放、运输道路扬尘等。</w:t>
            </w:r>
          </w:p>
          <w:p>
            <w:pPr>
              <w:adjustRightInd w:val="0"/>
              <w:spacing w:line="360" w:lineRule="auto"/>
              <w:ind w:firstLine="480" w:firstLineChars="200"/>
              <w:rPr>
                <w:sz w:val="24"/>
              </w:rPr>
            </w:pPr>
            <w:r>
              <w:rPr>
                <w:rFonts w:hint="eastAsia"/>
                <w:sz w:val="24"/>
              </w:rPr>
              <w:t>1）施工扬尘</w:t>
            </w:r>
          </w:p>
          <w:p>
            <w:pPr>
              <w:adjustRightInd w:val="0"/>
              <w:spacing w:line="360" w:lineRule="auto"/>
              <w:ind w:firstLine="480" w:firstLineChars="200"/>
              <w:rPr>
                <w:sz w:val="24"/>
              </w:rPr>
            </w:pPr>
            <w:r>
              <w:rPr>
                <w:rFonts w:hint="eastAsia"/>
                <w:sz w:val="24"/>
              </w:rPr>
              <w:t>项目的扬尘主要是由道路修建、基础开挖、建材装卸等施工环节，以及施工形成的裸土面、堆渣堆料而产生，再就是施工车辆运输水泥、沙石等材料也可能引起较大的扬尘及道路扬尘，其主要污染物为TSP，不含有毒有害的特殊污染物质，对周边环境有一定的污染。扬尘呈无组织排放，其产生强度与施工方式、气象条件有关。</w:t>
            </w:r>
          </w:p>
          <w:p>
            <w:pPr>
              <w:adjustRightInd w:val="0"/>
              <w:spacing w:line="360" w:lineRule="auto"/>
              <w:ind w:firstLine="480" w:firstLineChars="200"/>
              <w:rPr>
                <w:sz w:val="24"/>
              </w:rPr>
            </w:pPr>
            <w:r>
              <w:rPr>
                <w:rFonts w:hint="eastAsia"/>
                <w:sz w:val="24"/>
              </w:rPr>
              <w:t>施工作业中产生的扬尘对环境空气造成的影响大小取决于产生量和气候条件，影响面主要集中在施工场地200m范围内。据有关资料，当风速大于3.0m/s时，地面将产生扬尘。另外，进出施工场地的运输车辆也会造成施工作业场所近地面粉尘浓度升高，运输车辆引起的扬尘对路边30m范围内影响较大，而且形成</w:t>
            </w:r>
            <w:r>
              <w:rPr>
                <w:rFonts w:hint="eastAsia"/>
                <w:sz w:val="24"/>
                <w:lang w:eastAsia="zh-CN"/>
              </w:rPr>
              <w:t>线性</w:t>
            </w:r>
            <w:r>
              <w:rPr>
                <w:rFonts w:hint="eastAsia"/>
                <w:sz w:val="24"/>
              </w:rPr>
              <w:t>污染，路边的TSP浓度可达10mg/m</w:t>
            </w:r>
            <w:r>
              <w:rPr>
                <w:rFonts w:hint="eastAsia"/>
                <w:sz w:val="24"/>
                <w:vertAlign w:val="superscript"/>
              </w:rPr>
              <w:t>3</w:t>
            </w:r>
            <w:r>
              <w:rPr>
                <w:rFonts w:hint="eastAsia"/>
                <w:sz w:val="24"/>
              </w:rPr>
              <w:t>以上，一般浓度范围在1.5~30mg/m</w:t>
            </w:r>
            <w:r>
              <w:rPr>
                <w:rFonts w:hint="eastAsia"/>
                <w:sz w:val="24"/>
                <w:vertAlign w:val="superscript"/>
              </w:rPr>
              <w:t>3</w:t>
            </w:r>
            <w:r>
              <w:rPr>
                <w:rFonts w:hint="eastAsia"/>
                <w:sz w:val="24"/>
              </w:rPr>
              <w:t>。</w:t>
            </w:r>
          </w:p>
          <w:p>
            <w:pPr>
              <w:adjustRightInd w:val="0"/>
              <w:spacing w:line="360" w:lineRule="auto"/>
              <w:ind w:firstLine="600" w:firstLineChars="250"/>
              <w:rPr>
                <w:bCs/>
                <w:sz w:val="24"/>
              </w:rPr>
            </w:pPr>
            <w:r>
              <w:rPr>
                <w:rFonts w:hint="eastAsia"/>
                <w:sz w:val="24"/>
              </w:rPr>
              <w:t>由周围环境关系图可知，项目周围无居民点，最近处距离光伏区5</w:t>
            </w:r>
            <w:r>
              <w:rPr>
                <w:sz w:val="24"/>
              </w:rPr>
              <w:t>00</w:t>
            </w:r>
            <w:r>
              <w:rPr>
                <w:rFonts w:hint="eastAsia"/>
                <w:sz w:val="24"/>
              </w:rPr>
              <w:t>m以外，但运输路线经过居民点，施工中若不采取扬尘防治措施，将对其产生扬尘影响，因此项目施工时应配置洒水车对施工场地和运输沿线进行洒水降尘，堆场进行遮盖，监督运输车辆减速慢行并对货箱进行覆盖。由于光伏施工作业面呈点状和线状，并不会造成大面积地表裸露，经采取上述措施后，施工扬尘对周围居民影响可控。</w:t>
            </w:r>
          </w:p>
          <w:p>
            <w:pPr>
              <w:adjustRightInd w:val="0"/>
              <w:spacing w:line="360" w:lineRule="auto"/>
              <w:ind w:firstLine="601"/>
              <w:rPr>
                <w:sz w:val="24"/>
              </w:rPr>
            </w:pPr>
            <w:r>
              <w:rPr>
                <w:rFonts w:hint="eastAsia"/>
                <w:sz w:val="24"/>
              </w:rPr>
              <w:t>2）汽车尾气及机械废气</w:t>
            </w:r>
          </w:p>
          <w:p>
            <w:pPr>
              <w:adjustRightInd w:val="0"/>
              <w:spacing w:line="360" w:lineRule="auto"/>
              <w:ind w:firstLine="601"/>
              <w:rPr>
                <w:sz w:val="24"/>
              </w:rPr>
            </w:pPr>
            <w:r>
              <w:rPr>
                <w:bCs/>
                <w:sz w:val="24"/>
              </w:rPr>
              <w:t>本项目施工期废气主要来源于运输车辆及其它燃油机械施工时产生的</w:t>
            </w:r>
            <w:r>
              <w:rPr>
                <w:rFonts w:hint="eastAsia"/>
                <w:bCs/>
                <w:sz w:val="24"/>
              </w:rPr>
              <w:t>废</w:t>
            </w:r>
            <w:r>
              <w:rPr>
                <w:bCs/>
                <w:sz w:val="24"/>
              </w:rPr>
              <w:t>气，其中的污染物主要有烟尘、NOx、CO及CHx等，会对环境空气造成一定影响。施工机械废气具有间断性产生、产生量较小、产生点相对分散、易被稀释扩散等特点。项目区处于半山坡地形，周边无特别高的山体，有利于大气扩散，一般情况下，施工机械和运输车辆所产生的废气污染在空气中经自然扩散和稀释后，对项目区域的空气环境质量影响不大</w:t>
            </w:r>
            <w:r>
              <w:rPr>
                <w:rFonts w:hint="eastAsia"/>
                <w:sz w:val="24"/>
              </w:rPr>
              <w:t>。</w:t>
            </w:r>
          </w:p>
          <w:p>
            <w:pPr>
              <w:adjustRightInd w:val="0"/>
              <w:spacing w:line="360" w:lineRule="auto"/>
              <w:ind w:firstLine="482" w:firstLineChars="200"/>
              <w:rPr>
                <w:b/>
                <w:bCs/>
                <w:sz w:val="24"/>
              </w:rPr>
            </w:pPr>
            <w:r>
              <w:rPr>
                <w:rFonts w:hint="eastAsia"/>
                <w:b/>
                <w:bCs/>
                <w:sz w:val="24"/>
              </w:rPr>
              <w:t>（</w:t>
            </w:r>
            <w:r>
              <w:rPr>
                <w:b/>
                <w:bCs/>
                <w:sz w:val="24"/>
              </w:rPr>
              <w:t>3</w:t>
            </w:r>
            <w:r>
              <w:rPr>
                <w:rFonts w:hint="eastAsia"/>
                <w:b/>
                <w:bCs/>
                <w:sz w:val="24"/>
              </w:rPr>
              <w:t>）废水</w:t>
            </w:r>
          </w:p>
          <w:p>
            <w:pPr>
              <w:adjustRightInd w:val="0"/>
              <w:spacing w:line="360" w:lineRule="auto"/>
              <w:ind w:firstLine="480" w:firstLineChars="200"/>
              <w:rPr>
                <w:sz w:val="24"/>
              </w:rPr>
            </w:pPr>
            <w:r>
              <w:rPr>
                <w:rFonts w:hint="eastAsia"/>
                <w:sz w:val="24"/>
              </w:rPr>
              <w:t>1）施工废水</w:t>
            </w:r>
          </w:p>
          <w:p>
            <w:pPr>
              <w:adjustRightInd w:val="0"/>
              <w:spacing w:line="360" w:lineRule="auto"/>
              <w:ind w:firstLine="480" w:firstLineChars="200"/>
              <w:rPr>
                <w:sz w:val="24"/>
              </w:rPr>
            </w:pPr>
            <w:r>
              <w:rPr>
                <w:rFonts w:hint="eastAsia"/>
                <w:sz w:val="24"/>
              </w:rPr>
              <w:t>项目施工期涉及排水的阶段主要是开关站、箱式变压器基础建设和场内道路建设阶段有少量混凝土养护排水、各种车辆冲洗水和少量施工过程中产生的废水。</w:t>
            </w:r>
          </w:p>
          <w:p>
            <w:pPr>
              <w:adjustRightInd w:val="0"/>
              <w:spacing w:line="360" w:lineRule="auto"/>
              <w:ind w:firstLine="480" w:firstLineChars="200"/>
              <w:rPr>
                <w:sz w:val="24"/>
              </w:rPr>
            </w:pPr>
            <w:r>
              <w:rPr>
                <w:sz w:val="24"/>
              </w:rPr>
              <w:t>建筑施工废水主要为混凝土养护废水、工具清洗废水等。废水中所含污染物主要为SS，浓度约为3000mg/L左右，经沉淀池处理后，回用于施工现场，不外排</w:t>
            </w:r>
            <w:r>
              <w:rPr>
                <w:rFonts w:hint="eastAsia"/>
                <w:sz w:val="24"/>
              </w:rPr>
              <w:t>，不会对周围地表水体产生影响</w:t>
            </w:r>
            <w:r>
              <w:rPr>
                <w:sz w:val="24"/>
              </w:rPr>
              <w:t>。</w:t>
            </w:r>
          </w:p>
          <w:p>
            <w:pPr>
              <w:adjustRightInd w:val="0"/>
              <w:spacing w:line="360" w:lineRule="auto"/>
              <w:ind w:firstLine="601"/>
              <w:rPr>
                <w:sz w:val="24"/>
              </w:rPr>
            </w:pPr>
            <w:r>
              <w:rPr>
                <w:rFonts w:hint="eastAsia"/>
                <w:sz w:val="24"/>
              </w:rPr>
              <w:t>2）生活污水</w:t>
            </w:r>
          </w:p>
          <w:p>
            <w:pPr>
              <w:adjustRightInd w:val="0"/>
              <w:spacing w:line="360" w:lineRule="auto"/>
              <w:ind w:firstLine="601"/>
              <w:rPr>
                <w:sz w:val="24"/>
              </w:rPr>
            </w:pPr>
            <w:r>
              <w:rPr>
                <w:rFonts w:hint="eastAsia"/>
                <w:sz w:val="24"/>
              </w:rPr>
              <w:t>根据建设单位介绍，本项目施工期间日常平均施工人员为</w:t>
            </w:r>
            <w:r>
              <w:rPr>
                <w:sz w:val="24"/>
              </w:rPr>
              <w:t>15</w:t>
            </w:r>
            <w:r>
              <w:rPr>
                <w:rFonts w:hint="eastAsia"/>
                <w:sz w:val="24"/>
              </w:rPr>
              <w:t>0人/d，项目施工期场地使用旱厕。施工期施工人员不在项目区食宿，生活污水为洗手废水，每人用水量按</w:t>
            </w:r>
            <w:r>
              <w:rPr>
                <w:sz w:val="24"/>
              </w:rPr>
              <w:t>1</w:t>
            </w:r>
            <w:r>
              <w:rPr>
                <w:rFonts w:hint="eastAsia"/>
                <w:sz w:val="24"/>
              </w:rPr>
              <w:t>0L/d，用水量为</w:t>
            </w:r>
            <w:r>
              <w:rPr>
                <w:sz w:val="24"/>
              </w:rPr>
              <w:t>1.5</w:t>
            </w:r>
            <w:r>
              <w:rPr>
                <w:rFonts w:hint="eastAsia"/>
                <w:sz w:val="24"/>
              </w:rPr>
              <w:t>m</w:t>
            </w:r>
            <w:r>
              <w:rPr>
                <w:rFonts w:hint="eastAsia"/>
                <w:sz w:val="24"/>
                <w:vertAlign w:val="superscript"/>
              </w:rPr>
              <w:t>3</w:t>
            </w:r>
            <w:r>
              <w:rPr>
                <w:rFonts w:hint="eastAsia"/>
                <w:sz w:val="24"/>
              </w:rPr>
              <w:t>/d，施工人员产生的污水量按80%计，日常施工期施工人员产生的生活污水量为</w:t>
            </w:r>
            <w:r>
              <w:rPr>
                <w:sz w:val="24"/>
              </w:rPr>
              <w:t>1.2</w:t>
            </w:r>
            <w:r>
              <w:rPr>
                <w:rFonts w:hint="eastAsia"/>
                <w:sz w:val="24"/>
              </w:rPr>
              <w:t>m</w:t>
            </w:r>
            <w:r>
              <w:rPr>
                <w:rFonts w:hint="eastAsia"/>
                <w:sz w:val="24"/>
                <w:vertAlign w:val="superscript"/>
              </w:rPr>
              <w:t>3</w:t>
            </w:r>
            <w:r>
              <w:rPr>
                <w:rFonts w:hint="eastAsia"/>
                <w:sz w:val="24"/>
              </w:rPr>
              <w:t>/d，项目施工高峰期现场施工人员可达</w:t>
            </w:r>
            <w:r>
              <w:rPr>
                <w:sz w:val="24"/>
              </w:rPr>
              <w:t>2</w:t>
            </w:r>
            <w:r>
              <w:rPr>
                <w:rFonts w:hint="eastAsia"/>
                <w:sz w:val="24"/>
              </w:rPr>
              <w:t>00人，故项目施工期最大生活用水量为</w:t>
            </w:r>
            <w:r>
              <w:rPr>
                <w:sz w:val="24"/>
              </w:rPr>
              <w:t>2</w:t>
            </w:r>
            <w:r>
              <w:rPr>
                <w:rFonts w:hint="eastAsia"/>
                <w:sz w:val="24"/>
              </w:rPr>
              <w:t>m</w:t>
            </w:r>
            <w:r>
              <w:rPr>
                <w:rFonts w:hint="eastAsia"/>
                <w:sz w:val="24"/>
                <w:vertAlign w:val="superscript"/>
              </w:rPr>
              <w:t>3</w:t>
            </w:r>
            <w:r>
              <w:rPr>
                <w:rFonts w:hint="eastAsia"/>
                <w:sz w:val="24"/>
              </w:rPr>
              <w:t>/d，最大生活污水产生量为</w:t>
            </w:r>
            <w:r>
              <w:rPr>
                <w:sz w:val="24"/>
              </w:rPr>
              <w:t>1.6</w:t>
            </w:r>
            <w:r>
              <w:rPr>
                <w:rFonts w:hint="eastAsia"/>
                <w:sz w:val="24"/>
              </w:rPr>
              <w:t>m</w:t>
            </w:r>
            <w:r>
              <w:rPr>
                <w:rFonts w:hint="eastAsia"/>
                <w:sz w:val="24"/>
                <w:vertAlign w:val="superscript"/>
              </w:rPr>
              <w:t>3</w:t>
            </w:r>
            <w:r>
              <w:rPr>
                <w:rFonts w:hint="eastAsia"/>
                <w:sz w:val="24"/>
              </w:rPr>
              <w:t>/d。类比同类型工程水污染物排放浓度，COD为250mg/L，BOD</w:t>
            </w:r>
            <w:r>
              <w:rPr>
                <w:rFonts w:hint="eastAsia"/>
                <w:sz w:val="24"/>
                <w:vertAlign w:val="subscript"/>
              </w:rPr>
              <w:t>5</w:t>
            </w:r>
            <w:r>
              <w:rPr>
                <w:rFonts w:hint="eastAsia"/>
                <w:sz w:val="24"/>
              </w:rPr>
              <w:t>为450mg/L，SS为200mg/L，NH</w:t>
            </w:r>
            <w:r>
              <w:rPr>
                <w:rFonts w:hint="eastAsia"/>
                <w:sz w:val="24"/>
                <w:vertAlign w:val="subscript"/>
              </w:rPr>
              <w:t>3</w:t>
            </w:r>
            <w:r>
              <w:rPr>
                <w:rFonts w:hint="eastAsia"/>
                <w:sz w:val="24"/>
              </w:rPr>
              <w:t>-N为30mg/L，总磷为5mg/L。</w:t>
            </w:r>
          </w:p>
          <w:p>
            <w:pPr>
              <w:adjustRightInd w:val="0"/>
              <w:spacing w:line="360" w:lineRule="auto"/>
              <w:ind w:firstLine="480" w:firstLineChars="200"/>
              <w:rPr>
                <w:sz w:val="24"/>
              </w:rPr>
            </w:pPr>
            <w:r>
              <w:rPr>
                <w:rFonts w:hint="eastAsia"/>
                <w:sz w:val="24"/>
              </w:rPr>
              <w:t>施工场地内使用旱厕，粪便污水进入旱厕，其余废水统一收集，经沉淀处理后用于场地施工过程或洒水降尘，不外排，旱厕粪便定期委托周边村民运走作为农家肥使用。因此本项目施工期无外排的生活废水，基本不会对地表水环境产生影响。</w:t>
            </w:r>
          </w:p>
          <w:p>
            <w:pPr>
              <w:adjustRightInd w:val="0"/>
              <w:spacing w:line="360" w:lineRule="auto"/>
              <w:ind w:firstLine="480" w:firstLineChars="200"/>
              <w:rPr>
                <w:sz w:val="24"/>
              </w:rPr>
            </w:pPr>
            <w:r>
              <w:rPr>
                <w:rFonts w:hint="eastAsia"/>
                <w:sz w:val="24"/>
              </w:rPr>
              <w:t>3）</w:t>
            </w:r>
            <w:r>
              <w:rPr>
                <w:sz w:val="24"/>
              </w:rPr>
              <w:t>雨季径流</w:t>
            </w:r>
          </w:p>
          <w:p>
            <w:pPr>
              <w:adjustRightInd w:val="0"/>
              <w:spacing w:line="360" w:lineRule="auto"/>
              <w:ind w:firstLine="480" w:firstLineChars="200"/>
              <w:rPr>
                <w:sz w:val="24"/>
              </w:rPr>
            </w:pPr>
            <w:r>
              <w:rPr>
                <w:sz w:val="24"/>
              </w:rPr>
              <w:t>雨季径流主要为雨季降水</w:t>
            </w:r>
            <w:r>
              <w:rPr>
                <w:rFonts w:hint="eastAsia"/>
                <w:sz w:val="24"/>
              </w:rPr>
              <w:t>冲刷裸露地表</w:t>
            </w:r>
            <w:r>
              <w:rPr>
                <w:sz w:val="24"/>
              </w:rPr>
              <w:t>产生，</w:t>
            </w:r>
            <w:r>
              <w:rPr>
                <w:rFonts w:hint="eastAsia"/>
                <w:sz w:val="24"/>
              </w:rPr>
              <w:t>其产生量根据降雨情况不同而不同，</w:t>
            </w:r>
            <w:r>
              <w:rPr>
                <w:sz w:val="24"/>
              </w:rPr>
              <w:t>所含污染物主要为SS和微量石油类，其中SS浓度为200～500mg/L左右。</w:t>
            </w:r>
            <w:r>
              <w:rPr>
                <w:rFonts w:hint="eastAsia"/>
                <w:sz w:val="24"/>
              </w:rPr>
              <w:t>道路、电缆沟、桩基、开关站基础、设备基础等涉及开挖的工序尽量避开雨季，并及时回填夯实，减少地表裸露时间。开关站</w:t>
            </w:r>
            <w:r>
              <w:rPr>
                <w:sz w:val="24"/>
              </w:rPr>
              <w:t>场地</w:t>
            </w:r>
            <w:r>
              <w:rPr>
                <w:rFonts w:hint="eastAsia"/>
                <w:sz w:val="24"/>
              </w:rPr>
              <w:t>施工时在地势低矮处设置截排水沟</w:t>
            </w:r>
            <w:r>
              <w:rPr>
                <w:sz w:val="24"/>
              </w:rPr>
              <w:t>，场地内雨季径流经</w:t>
            </w:r>
            <w:r>
              <w:rPr>
                <w:rFonts w:hint="eastAsia"/>
                <w:sz w:val="24"/>
              </w:rPr>
              <w:t>收集</w:t>
            </w:r>
            <w:r>
              <w:rPr>
                <w:sz w:val="24"/>
              </w:rPr>
              <w:t>沉淀处理后</w:t>
            </w:r>
            <w:r>
              <w:rPr>
                <w:rFonts w:hint="eastAsia"/>
                <w:sz w:val="24"/>
              </w:rPr>
              <w:t>，尽量回用于场地，剩余部分再外排</w:t>
            </w:r>
            <w:r>
              <w:rPr>
                <w:sz w:val="24"/>
              </w:rPr>
              <w:t>。</w:t>
            </w:r>
            <w:r>
              <w:rPr>
                <w:rFonts w:hint="eastAsia"/>
                <w:sz w:val="24"/>
              </w:rPr>
              <w:t>道路区在两侧设置排水沟，排水沟末端设置沉淀池，雨水经沉淀后再外排，对周围地表水体影响较小。</w:t>
            </w:r>
          </w:p>
          <w:p>
            <w:pPr>
              <w:adjustRightInd w:val="0"/>
              <w:spacing w:line="360" w:lineRule="auto"/>
              <w:ind w:firstLine="482" w:firstLineChars="200"/>
              <w:rPr>
                <w:b/>
                <w:bCs/>
                <w:sz w:val="24"/>
              </w:rPr>
            </w:pPr>
            <w:r>
              <w:rPr>
                <w:rFonts w:hint="eastAsia"/>
                <w:b/>
                <w:bCs/>
                <w:sz w:val="24"/>
              </w:rPr>
              <w:t>（</w:t>
            </w:r>
            <w:r>
              <w:rPr>
                <w:b/>
                <w:bCs/>
                <w:sz w:val="24"/>
              </w:rPr>
              <w:t>4</w:t>
            </w:r>
            <w:r>
              <w:rPr>
                <w:rFonts w:hint="eastAsia"/>
                <w:b/>
                <w:bCs/>
                <w:sz w:val="24"/>
              </w:rPr>
              <w:t>）</w:t>
            </w:r>
            <w:r>
              <w:rPr>
                <w:b/>
                <w:bCs/>
                <w:sz w:val="24"/>
              </w:rPr>
              <w:t>噪声</w:t>
            </w:r>
          </w:p>
          <w:p>
            <w:pPr>
              <w:adjustRightInd w:val="0"/>
              <w:spacing w:line="360" w:lineRule="auto"/>
              <w:ind w:firstLine="480" w:firstLineChars="200"/>
              <w:rPr>
                <w:sz w:val="24"/>
              </w:rPr>
            </w:pPr>
            <w:r>
              <w:rPr>
                <w:rFonts w:hint="eastAsia"/>
                <w:sz w:val="24"/>
              </w:rPr>
              <w:t>1）污染源</w:t>
            </w:r>
          </w:p>
          <w:p>
            <w:pPr>
              <w:adjustRightInd w:val="0"/>
              <w:spacing w:line="360" w:lineRule="auto"/>
              <w:ind w:firstLine="480" w:firstLineChars="200"/>
              <w:rPr>
                <w:b/>
              </w:rPr>
            </w:pPr>
            <w:r>
              <w:rPr>
                <w:rFonts w:hint="eastAsia"/>
                <w:sz w:val="24"/>
              </w:rPr>
              <w:t>由于施工设备种类多，不同的设备产生的噪声不同。在多台机械设备同时作业时，产生的噪声还会叠加，根据类比调查，叠加后的噪声值约为3~8dB（A）。本项目单体设备声源声级在70-100dB（A）之间。施工期主要机械设备噪声级详情见下表：</w:t>
            </w:r>
          </w:p>
          <w:p>
            <w:pPr>
              <w:adjustRightInd w:val="0"/>
              <w:ind w:firstLine="422" w:firstLineChars="200"/>
              <w:jc w:val="center"/>
              <w:rPr>
                <w:b/>
              </w:rPr>
            </w:pPr>
            <w:r>
              <w:rPr>
                <w:rFonts w:hint="eastAsia"/>
                <w:b/>
              </w:rPr>
              <w:t>表</w:t>
            </w:r>
            <w:r>
              <w:rPr>
                <w:b/>
              </w:rPr>
              <w:t>4</w:t>
            </w:r>
            <w:r>
              <w:rPr>
                <w:rFonts w:hint="eastAsia"/>
                <w:b/>
              </w:rPr>
              <w:t>-</w:t>
            </w:r>
            <w:r>
              <w:rPr>
                <w:b/>
              </w:rPr>
              <w:t>2</w:t>
            </w:r>
            <w:r>
              <w:rPr>
                <w:rFonts w:hint="eastAsia"/>
                <w:b/>
              </w:rPr>
              <w:t xml:space="preserve">  主要施工机械设备的噪声声压级汇总一览表  单位：dB（A）</w:t>
            </w:r>
          </w:p>
          <w:tbl>
            <w:tblPr>
              <w:tblStyle w:val="45"/>
              <w:tblW w:w="8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075"/>
              <w:gridCol w:w="2076"/>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Align w:val="center"/>
                </w:tcPr>
                <w:p>
                  <w:pPr>
                    <w:adjustRightInd w:val="0"/>
                    <w:jc w:val="center"/>
                    <w:rPr>
                      <w:b/>
                      <w:kern w:val="0"/>
                      <w:szCs w:val="21"/>
                    </w:rPr>
                  </w:pPr>
                  <w:r>
                    <w:rPr>
                      <w:rFonts w:hint="eastAsia"/>
                      <w:b/>
                      <w:kern w:val="0"/>
                      <w:szCs w:val="21"/>
                    </w:rPr>
                    <w:t>施工阶段</w:t>
                  </w:r>
                </w:p>
              </w:tc>
              <w:tc>
                <w:tcPr>
                  <w:tcW w:w="2075" w:type="dxa"/>
                  <w:vAlign w:val="center"/>
                </w:tcPr>
                <w:p>
                  <w:pPr>
                    <w:adjustRightInd w:val="0"/>
                    <w:jc w:val="center"/>
                    <w:rPr>
                      <w:b/>
                      <w:kern w:val="0"/>
                      <w:szCs w:val="21"/>
                    </w:rPr>
                  </w:pPr>
                  <w:r>
                    <w:rPr>
                      <w:rFonts w:hint="eastAsia"/>
                      <w:b/>
                      <w:kern w:val="0"/>
                      <w:szCs w:val="21"/>
                    </w:rPr>
                    <w:t>施工机械</w:t>
                  </w:r>
                </w:p>
              </w:tc>
              <w:tc>
                <w:tcPr>
                  <w:tcW w:w="2076" w:type="dxa"/>
                  <w:vAlign w:val="center"/>
                </w:tcPr>
                <w:p>
                  <w:pPr>
                    <w:adjustRightInd w:val="0"/>
                    <w:jc w:val="center"/>
                    <w:rPr>
                      <w:b/>
                      <w:kern w:val="0"/>
                      <w:szCs w:val="21"/>
                    </w:rPr>
                  </w:pPr>
                  <w:r>
                    <w:rPr>
                      <w:rFonts w:hint="eastAsia"/>
                      <w:b/>
                      <w:kern w:val="0"/>
                      <w:szCs w:val="21"/>
                    </w:rPr>
                    <w:t>平均声压级</w:t>
                  </w:r>
                </w:p>
              </w:tc>
              <w:tc>
                <w:tcPr>
                  <w:tcW w:w="1837" w:type="dxa"/>
                  <w:vAlign w:val="center"/>
                </w:tcPr>
                <w:p>
                  <w:pPr>
                    <w:adjustRightInd w:val="0"/>
                    <w:jc w:val="center"/>
                    <w:rPr>
                      <w:b/>
                      <w:kern w:val="0"/>
                      <w:szCs w:val="21"/>
                    </w:rPr>
                  </w:pPr>
                  <w:r>
                    <w:rPr>
                      <w:rFonts w:hint="eastAsia"/>
                      <w:b/>
                      <w:kern w:val="0"/>
                      <w:szCs w:val="21"/>
                    </w:rPr>
                    <w:t>测量距离（m）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restart"/>
                  <w:vAlign w:val="center"/>
                </w:tcPr>
                <w:p>
                  <w:pPr>
                    <w:adjustRightInd w:val="0"/>
                    <w:jc w:val="center"/>
                    <w:rPr>
                      <w:kern w:val="0"/>
                      <w:szCs w:val="21"/>
                    </w:rPr>
                  </w:pPr>
                  <w:r>
                    <w:rPr>
                      <w:rFonts w:hint="eastAsia"/>
                      <w:kern w:val="0"/>
                      <w:szCs w:val="21"/>
                    </w:rPr>
                    <w:t>土石方</w:t>
                  </w:r>
                </w:p>
              </w:tc>
              <w:tc>
                <w:tcPr>
                  <w:tcW w:w="2075" w:type="dxa"/>
                  <w:vAlign w:val="center"/>
                </w:tcPr>
                <w:p>
                  <w:pPr>
                    <w:adjustRightInd w:val="0"/>
                    <w:jc w:val="center"/>
                    <w:rPr>
                      <w:kern w:val="0"/>
                      <w:szCs w:val="21"/>
                    </w:rPr>
                  </w:pPr>
                  <w:r>
                    <w:rPr>
                      <w:rFonts w:hint="eastAsia"/>
                      <w:kern w:val="0"/>
                      <w:szCs w:val="21"/>
                    </w:rPr>
                    <w:t>挖掘机</w:t>
                  </w:r>
                </w:p>
              </w:tc>
              <w:tc>
                <w:tcPr>
                  <w:tcW w:w="2076" w:type="dxa"/>
                  <w:vAlign w:val="center"/>
                </w:tcPr>
                <w:p>
                  <w:pPr>
                    <w:adjustRightInd w:val="0"/>
                    <w:jc w:val="center"/>
                    <w:rPr>
                      <w:kern w:val="0"/>
                      <w:szCs w:val="21"/>
                    </w:rPr>
                  </w:pPr>
                  <w:r>
                    <w:rPr>
                      <w:kern w:val="0"/>
                      <w:szCs w:val="21"/>
                    </w:rPr>
                    <w:t>90</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continue"/>
                  <w:vAlign w:val="center"/>
                </w:tcPr>
                <w:p>
                  <w:pPr>
                    <w:adjustRightInd w:val="0"/>
                    <w:jc w:val="center"/>
                    <w:rPr>
                      <w:kern w:val="0"/>
                      <w:szCs w:val="21"/>
                    </w:rPr>
                  </w:pPr>
                </w:p>
              </w:tc>
              <w:tc>
                <w:tcPr>
                  <w:tcW w:w="2075" w:type="dxa"/>
                  <w:vAlign w:val="center"/>
                </w:tcPr>
                <w:p>
                  <w:pPr>
                    <w:adjustRightInd w:val="0"/>
                    <w:jc w:val="center"/>
                    <w:rPr>
                      <w:kern w:val="0"/>
                      <w:szCs w:val="21"/>
                    </w:rPr>
                  </w:pPr>
                  <w:r>
                    <w:rPr>
                      <w:rFonts w:hint="eastAsia"/>
                      <w:kern w:val="0"/>
                      <w:szCs w:val="21"/>
                    </w:rPr>
                    <w:t>内燃压路机</w:t>
                  </w:r>
                </w:p>
              </w:tc>
              <w:tc>
                <w:tcPr>
                  <w:tcW w:w="2076" w:type="dxa"/>
                  <w:vAlign w:val="center"/>
                </w:tcPr>
                <w:p>
                  <w:pPr>
                    <w:adjustRightInd w:val="0"/>
                    <w:jc w:val="center"/>
                    <w:rPr>
                      <w:kern w:val="0"/>
                      <w:szCs w:val="21"/>
                    </w:rPr>
                  </w:pPr>
                  <w:r>
                    <w:rPr>
                      <w:kern w:val="0"/>
                      <w:szCs w:val="21"/>
                    </w:rPr>
                    <w:t>9</w:t>
                  </w:r>
                  <w:r>
                    <w:rPr>
                      <w:rFonts w:hint="eastAsia"/>
                      <w:kern w:val="0"/>
                      <w:szCs w:val="21"/>
                    </w:rPr>
                    <w:t>0</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restart"/>
                  <w:vAlign w:val="center"/>
                </w:tcPr>
                <w:p>
                  <w:pPr>
                    <w:adjustRightInd w:val="0"/>
                    <w:jc w:val="center"/>
                    <w:rPr>
                      <w:kern w:val="0"/>
                      <w:szCs w:val="21"/>
                    </w:rPr>
                  </w:pPr>
                  <w:r>
                    <w:rPr>
                      <w:rFonts w:hint="eastAsia"/>
                      <w:kern w:val="0"/>
                      <w:szCs w:val="21"/>
                    </w:rPr>
                    <w:t>结构</w:t>
                  </w:r>
                </w:p>
              </w:tc>
              <w:tc>
                <w:tcPr>
                  <w:tcW w:w="2075" w:type="dxa"/>
                  <w:vAlign w:val="center"/>
                </w:tcPr>
                <w:p>
                  <w:pPr>
                    <w:adjustRightInd w:val="0"/>
                    <w:jc w:val="center"/>
                    <w:rPr>
                      <w:kern w:val="0"/>
                      <w:szCs w:val="21"/>
                    </w:rPr>
                  </w:pPr>
                  <w:r>
                    <w:rPr>
                      <w:rFonts w:hint="eastAsia"/>
                      <w:kern w:val="0"/>
                      <w:szCs w:val="21"/>
                    </w:rPr>
                    <w:t>运输车</w:t>
                  </w:r>
                </w:p>
              </w:tc>
              <w:tc>
                <w:tcPr>
                  <w:tcW w:w="2076" w:type="dxa"/>
                  <w:vAlign w:val="center"/>
                </w:tcPr>
                <w:p>
                  <w:pPr>
                    <w:adjustRightInd w:val="0"/>
                    <w:jc w:val="center"/>
                    <w:rPr>
                      <w:kern w:val="0"/>
                      <w:szCs w:val="21"/>
                    </w:rPr>
                  </w:pPr>
                  <w:r>
                    <w:rPr>
                      <w:rFonts w:hint="eastAsia"/>
                      <w:kern w:val="0"/>
                      <w:szCs w:val="21"/>
                    </w:rPr>
                    <w:t>75</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continue"/>
                  <w:vAlign w:val="center"/>
                </w:tcPr>
                <w:p>
                  <w:pPr>
                    <w:adjustRightInd w:val="0"/>
                    <w:jc w:val="center"/>
                    <w:rPr>
                      <w:kern w:val="0"/>
                      <w:szCs w:val="21"/>
                    </w:rPr>
                  </w:pPr>
                </w:p>
              </w:tc>
              <w:tc>
                <w:tcPr>
                  <w:tcW w:w="2075" w:type="dxa"/>
                  <w:vAlign w:val="center"/>
                </w:tcPr>
                <w:p>
                  <w:pPr>
                    <w:adjustRightInd w:val="0"/>
                    <w:jc w:val="center"/>
                    <w:rPr>
                      <w:kern w:val="0"/>
                      <w:szCs w:val="21"/>
                    </w:rPr>
                  </w:pPr>
                  <w:r>
                    <w:rPr>
                      <w:rFonts w:hint="eastAsia"/>
                      <w:kern w:val="0"/>
                      <w:szCs w:val="21"/>
                    </w:rPr>
                    <w:t>钢筋切断机</w:t>
                  </w:r>
                </w:p>
              </w:tc>
              <w:tc>
                <w:tcPr>
                  <w:tcW w:w="2076" w:type="dxa"/>
                  <w:vAlign w:val="center"/>
                </w:tcPr>
                <w:p>
                  <w:pPr>
                    <w:adjustRightInd w:val="0"/>
                    <w:jc w:val="center"/>
                    <w:rPr>
                      <w:kern w:val="0"/>
                      <w:szCs w:val="21"/>
                    </w:rPr>
                  </w:pPr>
                  <w:r>
                    <w:rPr>
                      <w:rFonts w:hint="eastAsia"/>
                      <w:kern w:val="0"/>
                      <w:szCs w:val="21"/>
                    </w:rPr>
                    <w:t>80</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continue"/>
                  <w:vAlign w:val="center"/>
                </w:tcPr>
                <w:p>
                  <w:pPr>
                    <w:adjustRightInd w:val="0"/>
                    <w:jc w:val="center"/>
                    <w:rPr>
                      <w:kern w:val="0"/>
                      <w:szCs w:val="21"/>
                    </w:rPr>
                  </w:pPr>
                </w:p>
              </w:tc>
              <w:tc>
                <w:tcPr>
                  <w:tcW w:w="2075" w:type="dxa"/>
                  <w:vAlign w:val="center"/>
                </w:tcPr>
                <w:p>
                  <w:pPr>
                    <w:adjustRightInd w:val="0"/>
                    <w:jc w:val="center"/>
                    <w:rPr>
                      <w:kern w:val="0"/>
                      <w:szCs w:val="21"/>
                    </w:rPr>
                  </w:pPr>
                  <w:r>
                    <w:rPr>
                      <w:rFonts w:hint="eastAsia"/>
                      <w:kern w:val="0"/>
                      <w:szCs w:val="21"/>
                    </w:rPr>
                    <w:t>电钻</w:t>
                  </w:r>
                </w:p>
              </w:tc>
              <w:tc>
                <w:tcPr>
                  <w:tcW w:w="2076" w:type="dxa"/>
                  <w:vAlign w:val="center"/>
                </w:tcPr>
                <w:p>
                  <w:pPr>
                    <w:adjustRightInd w:val="0"/>
                    <w:jc w:val="center"/>
                    <w:rPr>
                      <w:kern w:val="0"/>
                      <w:szCs w:val="21"/>
                    </w:rPr>
                  </w:pPr>
                  <w:r>
                    <w:rPr>
                      <w:rFonts w:hint="eastAsia"/>
                      <w:kern w:val="0"/>
                      <w:szCs w:val="21"/>
                    </w:rPr>
                    <w:t>100</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continue"/>
                  <w:vAlign w:val="center"/>
                </w:tcPr>
                <w:p>
                  <w:pPr>
                    <w:adjustRightInd w:val="0"/>
                    <w:jc w:val="center"/>
                    <w:rPr>
                      <w:kern w:val="0"/>
                      <w:szCs w:val="21"/>
                    </w:rPr>
                  </w:pPr>
                </w:p>
              </w:tc>
              <w:tc>
                <w:tcPr>
                  <w:tcW w:w="2075" w:type="dxa"/>
                  <w:vAlign w:val="center"/>
                </w:tcPr>
                <w:p>
                  <w:pPr>
                    <w:adjustRightInd w:val="0"/>
                    <w:jc w:val="center"/>
                    <w:rPr>
                      <w:kern w:val="0"/>
                      <w:szCs w:val="21"/>
                    </w:rPr>
                  </w:pPr>
                  <w:r>
                    <w:rPr>
                      <w:rFonts w:hint="eastAsia"/>
                      <w:kern w:val="0"/>
                      <w:szCs w:val="21"/>
                    </w:rPr>
                    <w:t>电焊机</w:t>
                  </w:r>
                </w:p>
              </w:tc>
              <w:tc>
                <w:tcPr>
                  <w:tcW w:w="2076" w:type="dxa"/>
                  <w:vAlign w:val="center"/>
                </w:tcPr>
                <w:p>
                  <w:pPr>
                    <w:adjustRightInd w:val="0"/>
                    <w:jc w:val="center"/>
                    <w:rPr>
                      <w:kern w:val="0"/>
                      <w:szCs w:val="21"/>
                    </w:rPr>
                  </w:pPr>
                  <w:r>
                    <w:rPr>
                      <w:rFonts w:hint="eastAsia"/>
                      <w:kern w:val="0"/>
                      <w:szCs w:val="21"/>
                    </w:rPr>
                    <w:t>90</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restart"/>
                  <w:vAlign w:val="center"/>
                </w:tcPr>
                <w:p>
                  <w:pPr>
                    <w:adjustRightInd w:val="0"/>
                    <w:jc w:val="center"/>
                    <w:rPr>
                      <w:kern w:val="0"/>
                      <w:szCs w:val="21"/>
                    </w:rPr>
                  </w:pPr>
                  <w:r>
                    <w:rPr>
                      <w:rFonts w:hint="eastAsia"/>
                      <w:kern w:val="0"/>
                      <w:szCs w:val="21"/>
                    </w:rPr>
                    <w:t>设备安装</w:t>
                  </w:r>
                </w:p>
              </w:tc>
              <w:tc>
                <w:tcPr>
                  <w:tcW w:w="2075" w:type="dxa"/>
                  <w:vAlign w:val="center"/>
                </w:tcPr>
                <w:p>
                  <w:pPr>
                    <w:adjustRightInd w:val="0"/>
                    <w:jc w:val="center"/>
                    <w:rPr>
                      <w:kern w:val="0"/>
                      <w:szCs w:val="21"/>
                    </w:rPr>
                  </w:pPr>
                  <w:r>
                    <w:rPr>
                      <w:rFonts w:hint="eastAsia"/>
                      <w:kern w:val="0"/>
                      <w:szCs w:val="21"/>
                    </w:rPr>
                    <w:t>汽车式起重机</w:t>
                  </w:r>
                </w:p>
              </w:tc>
              <w:tc>
                <w:tcPr>
                  <w:tcW w:w="2076" w:type="dxa"/>
                  <w:vAlign w:val="center"/>
                </w:tcPr>
                <w:p>
                  <w:pPr>
                    <w:adjustRightInd w:val="0"/>
                    <w:jc w:val="center"/>
                    <w:rPr>
                      <w:kern w:val="0"/>
                      <w:szCs w:val="21"/>
                    </w:rPr>
                  </w:pPr>
                  <w:r>
                    <w:rPr>
                      <w:rFonts w:hint="eastAsia"/>
                      <w:kern w:val="0"/>
                      <w:szCs w:val="21"/>
                    </w:rPr>
                    <w:t>70</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continue"/>
                  <w:vAlign w:val="center"/>
                </w:tcPr>
                <w:p>
                  <w:pPr>
                    <w:adjustRightInd w:val="0"/>
                    <w:jc w:val="center"/>
                    <w:rPr>
                      <w:kern w:val="0"/>
                      <w:szCs w:val="21"/>
                    </w:rPr>
                  </w:pPr>
                </w:p>
              </w:tc>
              <w:tc>
                <w:tcPr>
                  <w:tcW w:w="2075" w:type="dxa"/>
                  <w:vAlign w:val="center"/>
                </w:tcPr>
                <w:p>
                  <w:pPr>
                    <w:adjustRightInd w:val="0"/>
                    <w:jc w:val="center"/>
                    <w:rPr>
                      <w:kern w:val="0"/>
                      <w:szCs w:val="21"/>
                    </w:rPr>
                  </w:pPr>
                  <w:r>
                    <w:rPr>
                      <w:rFonts w:hint="eastAsia"/>
                      <w:kern w:val="0"/>
                      <w:szCs w:val="21"/>
                    </w:rPr>
                    <w:t>钢筋调直机</w:t>
                  </w:r>
                </w:p>
              </w:tc>
              <w:tc>
                <w:tcPr>
                  <w:tcW w:w="2076" w:type="dxa"/>
                  <w:vAlign w:val="center"/>
                </w:tcPr>
                <w:p>
                  <w:pPr>
                    <w:adjustRightInd w:val="0"/>
                    <w:jc w:val="center"/>
                    <w:rPr>
                      <w:kern w:val="0"/>
                      <w:szCs w:val="21"/>
                    </w:rPr>
                  </w:pPr>
                  <w:r>
                    <w:rPr>
                      <w:rFonts w:hint="eastAsia"/>
                      <w:kern w:val="0"/>
                      <w:szCs w:val="21"/>
                    </w:rPr>
                    <w:t>75</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continue"/>
                  <w:vAlign w:val="center"/>
                </w:tcPr>
                <w:p>
                  <w:pPr>
                    <w:adjustRightInd w:val="0"/>
                    <w:jc w:val="center"/>
                    <w:rPr>
                      <w:kern w:val="0"/>
                      <w:szCs w:val="21"/>
                    </w:rPr>
                  </w:pPr>
                </w:p>
              </w:tc>
              <w:tc>
                <w:tcPr>
                  <w:tcW w:w="2075" w:type="dxa"/>
                  <w:vAlign w:val="center"/>
                </w:tcPr>
                <w:p>
                  <w:pPr>
                    <w:adjustRightInd w:val="0"/>
                    <w:jc w:val="center"/>
                    <w:rPr>
                      <w:kern w:val="0"/>
                      <w:szCs w:val="21"/>
                    </w:rPr>
                  </w:pPr>
                  <w:r>
                    <w:rPr>
                      <w:rFonts w:hint="eastAsia"/>
                      <w:kern w:val="0"/>
                      <w:szCs w:val="21"/>
                    </w:rPr>
                    <w:t>钢筋切断机</w:t>
                  </w:r>
                </w:p>
              </w:tc>
              <w:tc>
                <w:tcPr>
                  <w:tcW w:w="2076" w:type="dxa"/>
                  <w:vAlign w:val="center"/>
                </w:tcPr>
                <w:p>
                  <w:pPr>
                    <w:adjustRightInd w:val="0"/>
                    <w:jc w:val="center"/>
                    <w:rPr>
                      <w:kern w:val="0"/>
                      <w:szCs w:val="21"/>
                    </w:rPr>
                  </w:pPr>
                  <w:r>
                    <w:rPr>
                      <w:rFonts w:hint="eastAsia"/>
                      <w:kern w:val="0"/>
                      <w:szCs w:val="21"/>
                    </w:rPr>
                    <w:t>80</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Merge w:val="continue"/>
                  <w:vAlign w:val="center"/>
                </w:tcPr>
                <w:p>
                  <w:pPr>
                    <w:adjustRightInd w:val="0"/>
                    <w:jc w:val="center"/>
                    <w:rPr>
                      <w:kern w:val="0"/>
                      <w:szCs w:val="21"/>
                    </w:rPr>
                  </w:pPr>
                </w:p>
              </w:tc>
              <w:tc>
                <w:tcPr>
                  <w:tcW w:w="2075" w:type="dxa"/>
                  <w:vAlign w:val="center"/>
                </w:tcPr>
                <w:p>
                  <w:pPr>
                    <w:adjustRightInd w:val="0"/>
                    <w:jc w:val="center"/>
                    <w:rPr>
                      <w:kern w:val="0"/>
                      <w:szCs w:val="21"/>
                    </w:rPr>
                  </w:pPr>
                  <w:r>
                    <w:rPr>
                      <w:rFonts w:hint="eastAsia"/>
                      <w:kern w:val="0"/>
                      <w:szCs w:val="21"/>
                    </w:rPr>
                    <w:t>钢筋弯曲机</w:t>
                  </w:r>
                </w:p>
              </w:tc>
              <w:tc>
                <w:tcPr>
                  <w:tcW w:w="2076" w:type="dxa"/>
                  <w:vAlign w:val="center"/>
                </w:tcPr>
                <w:p>
                  <w:pPr>
                    <w:adjustRightInd w:val="0"/>
                    <w:jc w:val="center"/>
                    <w:rPr>
                      <w:kern w:val="0"/>
                      <w:szCs w:val="21"/>
                    </w:rPr>
                  </w:pPr>
                  <w:r>
                    <w:rPr>
                      <w:rFonts w:hint="eastAsia"/>
                      <w:kern w:val="0"/>
                      <w:szCs w:val="21"/>
                    </w:rPr>
                    <w:t>75</w:t>
                  </w:r>
                </w:p>
              </w:tc>
              <w:tc>
                <w:tcPr>
                  <w:tcW w:w="1837" w:type="dxa"/>
                  <w:vAlign w:val="center"/>
                </w:tcPr>
                <w:p>
                  <w:pPr>
                    <w:adjustRightInd w:val="0"/>
                    <w:jc w:val="center"/>
                    <w:rPr>
                      <w:kern w:val="0"/>
                      <w:szCs w:val="21"/>
                    </w:rPr>
                  </w:pPr>
                  <w:r>
                    <w:rPr>
                      <w:rFonts w:hint="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075" w:type="dxa"/>
                  <w:vAlign w:val="center"/>
                </w:tcPr>
                <w:p>
                  <w:pPr>
                    <w:adjustRightInd w:val="0"/>
                    <w:jc w:val="center"/>
                    <w:rPr>
                      <w:kern w:val="0"/>
                      <w:szCs w:val="21"/>
                    </w:rPr>
                  </w:pPr>
                  <w:r>
                    <w:rPr>
                      <w:rFonts w:hint="eastAsia"/>
                      <w:kern w:val="0"/>
                      <w:szCs w:val="21"/>
                    </w:rPr>
                    <w:t>运输</w:t>
                  </w:r>
                </w:p>
              </w:tc>
              <w:tc>
                <w:tcPr>
                  <w:tcW w:w="2075" w:type="dxa"/>
                  <w:vAlign w:val="center"/>
                </w:tcPr>
                <w:p>
                  <w:pPr>
                    <w:adjustRightInd w:val="0"/>
                    <w:jc w:val="center"/>
                    <w:rPr>
                      <w:kern w:val="0"/>
                      <w:szCs w:val="21"/>
                    </w:rPr>
                  </w:pPr>
                  <w:r>
                    <w:rPr>
                      <w:rFonts w:hint="eastAsia"/>
                      <w:kern w:val="0"/>
                      <w:szCs w:val="21"/>
                    </w:rPr>
                    <w:t>载重车</w:t>
                  </w:r>
                </w:p>
              </w:tc>
              <w:tc>
                <w:tcPr>
                  <w:tcW w:w="2076" w:type="dxa"/>
                  <w:vAlign w:val="center"/>
                </w:tcPr>
                <w:p>
                  <w:pPr>
                    <w:adjustRightInd w:val="0"/>
                    <w:jc w:val="center"/>
                    <w:rPr>
                      <w:kern w:val="0"/>
                      <w:szCs w:val="21"/>
                    </w:rPr>
                  </w:pPr>
                  <w:r>
                    <w:rPr>
                      <w:rFonts w:hint="eastAsia"/>
                      <w:kern w:val="0"/>
                      <w:szCs w:val="21"/>
                    </w:rPr>
                    <w:t>80</w:t>
                  </w:r>
                </w:p>
              </w:tc>
              <w:tc>
                <w:tcPr>
                  <w:tcW w:w="1837" w:type="dxa"/>
                  <w:vAlign w:val="center"/>
                </w:tcPr>
                <w:p>
                  <w:pPr>
                    <w:adjustRightInd w:val="0"/>
                    <w:jc w:val="center"/>
                    <w:rPr>
                      <w:kern w:val="0"/>
                      <w:szCs w:val="21"/>
                    </w:rPr>
                  </w:pPr>
                  <w:r>
                    <w:rPr>
                      <w:rFonts w:hint="eastAsia"/>
                      <w:kern w:val="0"/>
                      <w:szCs w:val="21"/>
                    </w:rPr>
                    <w:t>3</w:t>
                  </w:r>
                </w:p>
              </w:tc>
            </w:tr>
          </w:tbl>
          <w:p>
            <w:pPr>
              <w:adjustRightInd w:val="0"/>
              <w:spacing w:line="360" w:lineRule="auto"/>
              <w:ind w:firstLine="480" w:firstLineChars="200"/>
              <w:rPr>
                <w:sz w:val="24"/>
              </w:rPr>
            </w:pPr>
            <w:r>
              <w:rPr>
                <w:sz w:val="24"/>
              </w:rPr>
              <w:t>2</w:t>
            </w:r>
            <w:r>
              <w:rPr>
                <w:rFonts w:hint="eastAsia"/>
                <w:sz w:val="24"/>
              </w:rPr>
              <w:t>）噪声预测分析</w:t>
            </w:r>
          </w:p>
          <w:p>
            <w:pPr>
              <w:adjustRightInd w:val="0"/>
              <w:spacing w:line="360" w:lineRule="auto"/>
              <w:ind w:firstLine="480" w:firstLineChars="200"/>
              <w:rPr>
                <w:sz w:val="24"/>
              </w:rPr>
            </w:pPr>
            <w:r>
              <w:rPr>
                <w:rFonts w:hint="eastAsia"/>
                <w:sz w:val="24"/>
              </w:rPr>
              <w:t>根据有关测试分析，施工机械噪声可近似点声源处理，为了反映施工机械噪声对环境的影响，利用点声源的几何发散衰减公式预测施工机械噪声不同距离处的噪声值，公式如下：</w:t>
            </w:r>
          </w:p>
          <w:p>
            <w:pPr>
              <w:adjustRightInd w:val="0"/>
              <w:spacing w:line="360" w:lineRule="auto"/>
              <w:rPr>
                <w:sz w:val="24"/>
              </w:rPr>
            </w:pPr>
            <m:oMathPara>
              <m:oMathParaPr>
                <m:jc m:val="center"/>
              </m:oMathParaPr>
              <m:oMath>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A</m:t>
                    </m:r>
                    <m:ctrlPr>
                      <w:rPr>
                        <w:rFonts w:ascii="Cambria Math" w:hAnsi="Cambria Math"/>
                        <w:i/>
                        <w:sz w:val="24"/>
                      </w:rPr>
                    </m:ctrlPr>
                  </m:sub>
                </m:sSub>
                <m:d>
                  <m:dPr>
                    <m:begChr m:val="（"/>
                    <m:endChr m:val="）"/>
                    <m:ctrlPr>
                      <w:rPr>
                        <w:rFonts w:ascii="Cambria Math" w:hAnsi="Cambria Math"/>
                        <w:i/>
                        <w:sz w:val="24"/>
                      </w:rPr>
                    </m:ctrlPr>
                  </m:dPr>
                  <m:e>
                    <m:r>
                      <m:rPr/>
                      <w:rPr>
                        <w:rFonts w:hint="eastAsia" w:ascii="Cambria Math" w:hAnsi="Cambria Math"/>
                        <w:sz w:val="24"/>
                      </w:rPr>
                      <m:t>r</m:t>
                    </m:r>
                    <m:ctrlPr>
                      <w:rPr>
                        <w:rFonts w:ascii="Cambria Math" w:hAnsi="Cambria Math"/>
                        <w:i/>
                        <w:sz w:val="24"/>
                      </w:rPr>
                    </m:ctrlPr>
                  </m:e>
                </m:d>
                <m:r>
                  <m:rPr/>
                  <w:rPr>
                    <w:rFonts w:ascii="Cambria Math" w:hAnsi="Cambria Math"/>
                    <w:sz w:val="24"/>
                  </w:rPr>
                  <m:t>=</m:t>
                </m:r>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A</m:t>
                    </m:r>
                    <m:ctrlPr>
                      <w:rPr>
                        <w:rFonts w:ascii="Cambria Math" w:hAnsi="Cambria Math"/>
                        <w:i/>
                        <w:sz w:val="24"/>
                      </w:rPr>
                    </m:ctrlPr>
                  </m:sub>
                </m:sSub>
                <m:d>
                  <m:dPr>
                    <m:begChr m:val="（"/>
                    <m:endChr m:val="）"/>
                    <m:ctrlPr>
                      <w:rPr>
                        <w:rFonts w:ascii="Cambria Math" w:hAnsi="Cambria Math"/>
                        <w:i/>
                        <w:sz w:val="24"/>
                      </w:rPr>
                    </m:ctrlPr>
                  </m:dPr>
                  <m:e>
                    <m:sSub>
                      <m:sSubPr>
                        <m:ctrlPr>
                          <w:rPr>
                            <w:rFonts w:ascii="Cambria Math" w:hAnsi="Cambria Math"/>
                            <w:i/>
                            <w:sz w:val="24"/>
                          </w:rPr>
                        </m:ctrlPr>
                      </m:sSubPr>
                      <m:e>
                        <m:r>
                          <m:rPr/>
                          <w:rPr>
                            <w:rFonts w:hint="eastAsia" w:ascii="Cambria Math" w:hAnsi="Cambria Math"/>
                            <w:sz w:val="24"/>
                          </w:rPr>
                          <m:t>r</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i/>
                        <w:sz w:val="24"/>
                      </w:rPr>
                    </m:ctrlPr>
                  </m:e>
                </m:d>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hint="eastAsia" w:ascii="Cambria Math" w:hAnsi="Cambria Math"/>
                        <w:sz w:val="24"/>
                      </w:rPr>
                      <m:t>div</m:t>
                    </m:r>
                    <m:ctrlPr>
                      <w:rPr>
                        <w:rFonts w:ascii="Cambria Math" w:hAnsi="Cambria Math"/>
                        <w:i/>
                        <w:sz w:val="24"/>
                      </w:rPr>
                    </m:ctrlPr>
                  </m:sub>
                </m:sSub>
              </m:oMath>
            </m:oMathPara>
          </w:p>
          <w:p>
            <w:pPr>
              <w:adjustRightInd w:val="0"/>
              <w:spacing w:line="360" w:lineRule="auto"/>
              <w:ind w:firstLine="480" w:firstLineChars="200"/>
              <w:rPr>
                <w:sz w:val="24"/>
              </w:rPr>
            </w:pPr>
            <m:oMathPara>
              <m:oMath>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rPr>
                      <m:t>div</m:t>
                    </m:r>
                    <m:ctrlPr>
                      <w:rPr>
                        <w:rFonts w:ascii="Cambria Math" w:hAnsi="Cambria Math"/>
                        <w:i/>
                        <w:sz w:val="24"/>
                      </w:rPr>
                    </m:ctrlPr>
                  </m:sub>
                </m:sSub>
                <m:r>
                  <m:rPr/>
                  <w:rPr>
                    <w:rFonts w:ascii="Cambria Math" w:hAnsi="Cambria Math"/>
                    <w:sz w:val="24"/>
                  </w:rPr>
                  <m:t>=20</m:t>
                </m:r>
                <m:r>
                  <m:rPr>
                    <m:sty m:val="p"/>
                  </m:rPr>
                  <w:rPr>
                    <w:rFonts w:ascii="Cambria Math" w:hAnsi="Cambria Math"/>
                    <w:sz w:val="24"/>
                  </w:rPr>
                  <m:t>lg</m:t>
                </m:r>
                <m:d>
                  <m:dPr>
                    <m:begChr m:val="（"/>
                    <m:endChr m:val="）"/>
                    <m:ctrlPr>
                      <w:rPr>
                        <w:rFonts w:ascii="Cambria Math" w:hAnsi="Cambria Math"/>
                        <w:i/>
                        <w:sz w:val="24"/>
                      </w:rPr>
                    </m:ctrlPr>
                  </m:dPr>
                  <m:e>
                    <m:f>
                      <m:fPr>
                        <m:type m:val="lin"/>
                        <m:ctrlPr>
                          <w:rPr>
                            <w:rFonts w:ascii="Cambria Math" w:hAnsi="Cambria Math"/>
                            <w:i/>
                            <w:sz w:val="24"/>
                          </w:rPr>
                        </m:ctrlPr>
                      </m:fPr>
                      <m:num>
                        <m:r>
                          <m:rPr/>
                          <w:rPr>
                            <w:rFonts w:hint="eastAsia" w:ascii="Cambria Math" w:hAnsi="Cambria Math"/>
                            <w:sz w:val="24"/>
                          </w:rPr>
                          <m:t>r</m:t>
                        </m:r>
                        <m:ctrlPr>
                          <w:rPr>
                            <w:rFonts w:ascii="Cambria Math" w:hAnsi="Cambria Math"/>
                            <w:i/>
                            <w:sz w:val="24"/>
                          </w:rPr>
                        </m:ctrlPr>
                      </m:num>
                      <m:den>
                        <m:sSub>
                          <m:sSubPr>
                            <m:ctrlPr>
                              <w:rPr>
                                <w:rFonts w:ascii="Cambria Math" w:hAnsi="Cambria Math"/>
                                <w:i/>
                                <w:sz w:val="24"/>
                              </w:rPr>
                            </m:ctrlPr>
                          </m:sSubPr>
                          <m:e>
                            <m:r>
                              <m:rPr/>
                              <w:rPr>
                                <w:rFonts w:hint="eastAsia" w:ascii="Cambria Math" w:hAnsi="Cambria Math"/>
                                <w:sz w:val="24"/>
                              </w:rPr>
                              <m:t>r</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i/>
                            <w:sz w:val="24"/>
                          </w:rPr>
                        </m:ctrlPr>
                      </m:den>
                    </m:f>
                    <m:ctrlPr>
                      <w:rPr>
                        <w:rFonts w:ascii="Cambria Math" w:hAnsi="Cambria Math"/>
                        <w:i/>
                        <w:sz w:val="24"/>
                      </w:rPr>
                    </m:ctrlPr>
                  </m:e>
                </m:d>
              </m:oMath>
            </m:oMathPara>
          </w:p>
          <w:p>
            <w:pPr>
              <w:adjustRightInd w:val="0"/>
              <w:spacing w:line="360" w:lineRule="auto"/>
              <w:ind w:firstLine="480" w:firstLineChars="200"/>
              <w:rPr>
                <w:sz w:val="24"/>
              </w:rPr>
            </w:pPr>
            <w:r>
              <w:rPr>
                <w:sz w:val="24"/>
              </w:rPr>
              <w:t>式中：</w:t>
            </w:r>
          </w:p>
          <w:p>
            <w:pPr>
              <w:adjustRightInd w:val="0"/>
              <w:spacing w:line="360" w:lineRule="auto"/>
              <w:ind w:firstLine="960" w:firstLineChars="400"/>
              <w:rPr>
                <w:sz w:val="24"/>
              </w:rPr>
            </w:pPr>
            <w:r>
              <w:rPr>
                <w:i/>
                <w:iCs/>
                <w:sz w:val="24"/>
              </w:rPr>
              <w:t>L</w:t>
            </w:r>
            <w:r>
              <w:rPr>
                <w:sz w:val="24"/>
                <w:vertAlign w:val="subscript"/>
              </w:rPr>
              <w:t>A</w:t>
            </w:r>
            <w:r>
              <w:rPr>
                <w:rFonts w:hint="eastAsia"/>
                <w:sz w:val="24"/>
              </w:rPr>
              <w:t>（</w:t>
            </w:r>
            <w:r>
              <w:rPr>
                <w:rFonts w:hint="eastAsia"/>
                <w:i/>
                <w:iCs/>
                <w:sz w:val="24"/>
              </w:rPr>
              <w:t>r</w:t>
            </w:r>
            <w:r>
              <w:rPr>
                <w:rFonts w:hint="eastAsia"/>
                <w:sz w:val="24"/>
              </w:rPr>
              <w:t>）</w:t>
            </w:r>
            <w:r>
              <w:rPr>
                <w:sz w:val="24"/>
              </w:rPr>
              <w:t>——</w:t>
            </w:r>
            <w:r>
              <w:rPr>
                <w:rFonts w:hint="eastAsia"/>
                <w:sz w:val="24"/>
              </w:rPr>
              <w:t>距声源</w:t>
            </w:r>
            <w:r>
              <w:rPr>
                <w:rFonts w:hint="eastAsia"/>
                <w:i/>
                <w:iCs/>
                <w:sz w:val="24"/>
              </w:rPr>
              <w:t>r</w:t>
            </w:r>
            <w:r>
              <w:rPr>
                <w:rFonts w:hint="eastAsia"/>
                <w:sz w:val="24"/>
              </w:rPr>
              <w:t>处的A声</w:t>
            </w:r>
            <w:r>
              <w:rPr>
                <w:sz w:val="24"/>
              </w:rPr>
              <w:t>级</w:t>
            </w:r>
            <w:r>
              <w:rPr>
                <w:rFonts w:hint="eastAsia"/>
                <w:sz w:val="24"/>
              </w:rPr>
              <w:t>，</w:t>
            </w:r>
            <w:r>
              <w:rPr>
                <w:sz w:val="24"/>
              </w:rPr>
              <w:t>dB（A）；</w:t>
            </w:r>
          </w:p>
          <w:p>
            <w:pPr>
              <w:adjustRightInd w:val="0"/>
              <w:spacing w:line="360" w:lineRule="auto"/>
              <w:ind w:firstLine="960" w:firstLineChars="400"/>
              <w:rPr>
                <w:sz w:val="24"/>
              </w:rPr>
            </w:pPr>
            <w:r>
              <w:rPr>
                <w:i/>
                <w:iCs/>
                <w:sz w:val="24"/>
              </w:rPr>
              <w:t>L</w:t>
            </w:r>
            <w:r>
              <w:rPr>
                <w:sz w:val="24"/>
                <w:vertAlign w:val="subscript"/>
              </w:rPr>
              <w:t>A</w:t>
            </w:r>
            <w:r>
              <w:rPr>
                <w:rFonts w:hint="eastAsia"/>
                <w:sz w:val="24"/>
              </w:rPr>
              <w:t>（</w:t>
            </w:r>
            <w:r>
              <w:rPr>
                <w:rFonts w:hint="eastAsia"/>
                <w:i/>
                <w:iCs/>
                <w:sz w:val="24"/>
              </w:rPr>
              <w:t>r</w:t>
            </w:r>
            <w:r>
              <w:rPr>
                <w:sz w:val="24"/>
                <w:vertAlign w:val="subscript"/>
              </w:rPr>
              <w:t>0</w:t>
            </w:r>
            <w:r>
              <w:rPr>
                <w:rFonts w:hint="eastAsia"/>
                <w:sz w:val="24"/>
              </w:rPr>
              <w:t>）</w:t>
            </w:r>
            <w:r>
              <w:rPr>
                <w:sz w:val="24"/>
              </w:rPr>
              <w:t>——</w:t>
            </w:r>
            <w:r>
              <w:rPr>
                <w:rFonts w:hint="eastAsia"/>
                <w:sz w:val="24"/>
              </w:rPr>
              <w:t>参考位置</w:t>
            </w:r>
            <w:r>
              <w:rPr>
                <w:rFonts w:hint="eastAsia"/>
                <w:i/>
                <w:iCs/>
                <w:sz w:val="24"/>
              </w:rPr>
              <w:t>r</w:t>
            </w:r>
            <w:r>
              <w:rPr>
                <w:rFonts w:hint="eastAsia"/>
                <w:sz w:val="24"/>
                <w:vertAlign w:val="subscript"/>
              </w:rPr>
              <w:t>0</w:t>
            </w:r>
            <w:r>
              <w:rPr>
                <w:rFonts w:hint="eastAsia"/>
                <w:sz w:val="24"/>
              </w:rPr>
              <w:t>处的A声级，dB（A）</w:t>
            </w:r>
            <w:r>
              <w:rPr>
                <w:sz w:val="24"/>
              </w:rPr>
              <w:t>；</w:t>
            </w:r>
          </w:p>
          <w:p>
            <w:pPr>
              <w:adjustRightInd w:val="0"/>
              <w:spacing w:line="360" w:lineRule="auto"/>
              <w:ind w:firstLine="960" w:firstLineChars="400"/>
              <w:rPr>
                <w:sz w:val="24"/>
              </w:rPr>
            </w:pPr>
            <w:r>
              <w:rPr>
                <w:i/>
                <w:iCs/>
                <w:sz w:val="24"/>
              </w:rPr>
              <w:t>A</w:t>
            </w:r>
            <w:r>
              <w:rPr>
                <w:rFonts w:hint="eastAsia"/>
                <w:sz w:val="24"/>
                <w:vertAlign w:val="subscript"/>
              </w:rPr>
              <w:t>div</w:t>
            </w:r>
            <w:r>
              <w:rPr>
                <w:sz w:val="24"/>
              </w:rPr>
              <w:t xml:space="preserve"> ——</w:t>
            </w:r>
            <w:r>
              <w:rPr>
                <w:rFonts w:hint="eastAsia"/>
                <w:sz w:val="24"/>
              </w:rPr>
              <w:t>几何发散引起的衰减，d</w:t>
            </w:r>
            <w:r>
              <w:rPr>
                <w:sz w:val="24"/>
              </w:rPr>
              <w:t>B</w:t>
            </w:r>
            <w:r>
              <w:rPr>
                <w:rFonts w:hint="eastAsia"/>
                <w:sz w:val="24"/>
              </w:rPr>
              <w:t>；</w:t>
            </w:r>
          </w:p>
          <w:p>
            <w:pPr>
              <w:adjustRightInd w:val="0"/>
              <w:spacing w:line="360" w:lineRule="auto"/>
              <w:ind w:firstLine="960" w:firstLineChars="400"/>
              <w:rPr>
                <w:sz w:val="24"/>
              </w:rPr>
            </w:pPr>
            <w:r>
              <w:rPr>
                <w:rFonts w:hint="eastAsia"/>
                <w:i/>
                <w:iCs/>
                <w:sz w:val="24"/>
              </w:rPr>
              <w:t>r</w:t>
            </w:r>
            <w:r>
              <w:rPr>
                <w:sz w:val="24"/>
              </w:rPr>
              <w:t xml:space="preserve"> ——</w:t>
            </w:r>
            <w:r>
              <w:rPr>
                <w:rFonts w:hint="eastAsia"/>
                <w:sz w:val="24"/>
              </w:rPr>
              <w:t>预测点距声源的距离；</w:t>
            </w:r>
          </w:p>
          <w:p>
            <w:pPr>
              <w:adjustRightInd w:val="0"/>
              <w:spacing w:line="360" w:lineRule="auto"/>
              <w:ind w:firstLine="960" w:firstLineChars="400"/>
              <w:rPr>
                <w:sz w:val="24"/>
              </w:rPr>
            </w:pPr>
            <w:r>
              <w:rPr>
                <w:rFonts w:hint="eastAsia"/>
                <w:i/>
                <w:iCs/>
                <w:sz w:val="24"/>
              </w:rPr>
              <w:t>r</w:t>
            </w:r>
            <w:r>
              <w:rPr>
                <w:sz w:val="24"/>
                <w:vertAlign w:val="subscript"/>
              </w:rPr>
              <w:t>0</w:t>
            </w:r>
            <w:r>
              <w:rPr>
                <w:sz w:val="24"/>
              </w:rPr>
              <w:t xml:space="preserve"> ——</w:t>
            </w:r>
            <w:r>
              <w:rPr>
                <w:rFonts w:hint="eastAsia"/>
                <w:sz w:val="24"/>
              </w:rPr>
              <w:t>参考位置距声源的距离。</w:t>
            </w:r>
          </w:p>
          <w:p>
            <w:pPr>
              <w:adjustRightInd w:val="0"/>
              <w:spacing w:line="360" w:lineRule="auto"/>
              <w:ind w:firstLine="480" w:firstLineChars="200"/>
              <w:rPr>
                <w:sz w:val="24"/>
              </w:rPr>
            </w:pPr>
            <w:r>
              <w:rPr>
                <w:rFonts w:hint="eastAsia"/>
                <w:sz w:val="24"/>
              </w:rPr>
              <w:t>各施工机械设备噪声随距离衰减的预测值见下表。</w:t>
            </w:r>
          </w:p>
          <w:p>
            <w:pPr>
              <w:adjustRightInd w:val="0"/>
              <w:ind w:firstLine="422" w:firstLineChars="200"/>
              <w:jc w:val="center"/>
              <w:rPr>
                <w:b/>
                <w:szCs w:val="21"/>
              </w:rPr>
            </w:pPr>
            <w:r>
              <w:rPr>
                <w:rFonts w:hint="eastAsia"/>
                <w:b/>
                <w:szCs w:val="21"/>
              </w:rPr>
              <w:t>表</w:t>
            </w:r>
            <w:r>
              <w:rPr>
                <w:b/>
                <w:szCs w:val="21"/>
              </w:rPr>
              <w:t>4-3</w:t>
            </w:r>
            <w:r>
              <w:rPr>
                <w:rFonts w:hint="eastAsia"/>
                <w:b/>
                <w:szCs w:val="21"/>
              </w:rPr>
              <w:t xml:space="preserve">  距声源不同距离处的噪声预测值  单位：dB（A）</w:t>
            </w:r>
          </w:p>
          <w:tbl>
            <w:tblPr>
              <w:tblStyle w:val="45"/>
              <w:tblW w:w="8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4"/>
              <w:gridCol w:w="709"/>
              <w:gridCol w:w="708"/>
              <w:gridCol w:w="709"/>
              <w:gridCol w:w="709"/>
              <w:gridCol w:w="709"/>
              <w:gridCol w:w="708"/>
              <w:gridCol w:w="709"/>
              <w:gridCol w:w="709"/>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b/>
                      <w:kern w:val="0"/>
                      <w:szCs w:val="21"/>
                    </w:rPr>
                  </w:pPr>
                  <w:r>
                    <w:rPr>
                      <w:rFonts w:hint="eastAsia"/>
                      <w:b/>
                      <w:kern w:val="0"/>
                      <w:szCs w:val="21"/>
                    </w:rPr>
                    <w:t>设备名称</w:t>
                  </w:r>
                </w:p>
              </w:tc>
              <w:tc>
                <w:tcPr>
                  <w:tcW w:w="709" w:type="dxa"/>
                  <w:vAlign w:val="center"/>
                </w:tcPr>
                <w:p>
                  <w:pPr>
                    <w:adjustRightInd w:val="0"/>
                    <w:jc w:val="center"/>
                    <w:rPr>
                      <w:b/>
                      <w:kern w:val="0"/>
                      <w:szCs w:val="21"/>
                    </w:rPr>
                  </w:pPr>
                  <w:r>
                    <w:rPr>
                      <w:rFonts w:hint="eastAsia"/>
                      <w:b/>
                      <w:kern w:val="0"/>
                      <w:szCs w:val="21"/>
                    </w:rPr>
                    <w:t>1m</w:t>
                  </w:r>
                </w:p>
              </w:tc>
              <w:tc>
                <w:tcPr>
                  <w:tcW w:w="708" w:type="dxa"/>
                  <w:vAlign w:val="center"/>
                </w:tcPr>
                <w:p>
                  <w:pPr>
                    <w:adjustRightInd w:val="0"/>
                    <w:jc w:val="center"/>
                    <w:rPr>
                      <w:b/>
                      <w:kern w:val="0"/>
                      <w:szCs w:val="21"/>
                    </w:rPr>
                  </w:pPr>
                  <w:r>
                    <w:rPr>
                      <w:rFonts w:hint="eastAsia"/>
                      <w:b/>
                      <w:kern w:val="0"/>
                      <w:szCs w:val="21"/>
                    </w:rPr>
                    <w:t>5m</w:t>
                  </w:r>
                </w:p>
              </w:tc>
              <w:tc>
                <w:tcPr>
                  <w:tcW w:w="709" w:type="dxa"/>
                  <w:vAlign w:val="center"/>
                </w:tcPr>
                <w:p>
                  <w:pPr>
                    <w:adjustRightInd w:val="0"/>
                    <w:jc w:val="center"/>
                    <w:rPr>
                      <w:b/>
                      <w:kern w:val="0"/>
                      <w:szCs w:val="21"/>
                    </w:rPr>
                  </w:pPr>
                  <w:r>
                    <w:rPr>
                      <w:rFonts w:hint="eastAsia"/>
                      <w:b/>
                      <w:kern w:val="0"/>
                      <w:szCs w:val="21"/>
                    </w:rPr>
                    <w:t>10m</w:t>
                  </w:r>
                </w:p>
              </w:tc>
              <w:tc>
                <w:tcPr>
                  <w:tcW w:w="709" w:type="dxa"/>
                  <w:vAlign w:val="center"/>
                </w:tcPr>
                <w:p>
                  <w:pPr>
                    <w:adjustRightInd w:val="0"/>
                    <w:jc w:val="center"/>
                    <w:rPr>
                      <w:b/>
                      <w:kern w:val="0"/>
                      <w:szCs w:val="21"/>
                    </w:rPr>
                  </w:pPr>
                  <w:r>
                    <w:rPr>
                      <w:rFonts w:hint="eastAsia"/>
                      <w:b/>
                      <w:kern w:val="0"/>
                      <w:szCs w:val="21"/>
                    </w:rPr>
                    <w:t>20m</w:t>
                  </w:r>
                </w:p>
              </w:tc>
              <w:tc>
                <w:tcPr>
                  <w:tcW w:w="709" w:type="dxa"/>
                  <w:vAlign w:val="center"/>
                </w:tcPr>
                <w:p>
                  <w:pPr>
                    <w:adjustRightInd w:val="0"/>
                    <w:jc w:val="center"/>
                    <w:rPr>
                      <w:b/>
                      <w:kern w:val="0"/>
                      <w:szCs w:val="21"/>
                    </w:rPr>
                  </w:pPr>
                  <w:r>
                    <w:rPr>
                      <w:rFonts w:hint="eastAsia"/>
                      <w:b/>
                      <w:kern w:val="0"/>
                      <w:szCs w:val="21"/>
                    </w:rPr>
                    <w:t>40m</w:t>
                  </w:r>
                </w:p>
              </w:tc>
              <w:tc>
                <w:tcPr>
                  <w:tcW w:w="708" w:type="dxa"/>
                  <w:vAlign w:val="center"/>
                </w:tcPr>
                <w:p>
                  <w:pPr>
                    <w:adjustRightInd w:val="0"/>
                    <w:jc w:val="center"/>
                    <w:rPr>
                      <w:b/>
                      <w:kern w:val="0"/>
                      <w:szCs w:val="21"/>
                    </w:rPr>
                  </w:pPr>
                  <w:r>
                    <w:rPr>
                      <w:rFonts w:hint="eastAsia"/>
                      <w:b/>
                      <w:kern w:val="0"/>
                      <w:szCs w:val="21"/>
                    </w:rPr>
                    <w:t>50m</w:t>
                  </w:r>
                </w:p>
              </w:tc>
              <w:tc>
                <w:tcPr>
                  <w:tcW w:w="709" w:type="dxa"/>
                  <w:vAlign w:val="center"/>
                </w:tcPr>
                <w:p>
                  <w:pPr>
                    <w:adjustRightInd w:val="0"/>
                    <w:jc w:val="center"/>
                    <w:rPr>
                      <w:b/>
                      <w:kern w:val="0"/>
                      <w:szCs w:val="21"/>
                    </w:rPr>
                  </w:pPr>
                  <w:r>
                    <w:rPr>
                      <w:rFonts w:hint="eastAsia"/>
                      <w:b/>
                      <w:kern w:val="0"/>
                      <w:szCs w:val="21"/>
                    </w:rPr>
                    <w:t>100m</w:t>
                  </w:r>
                </w:p>
              </w:tc>
              <w:tc>
                <w:tcPr>
                  <w:tcW w:w="709" w:type="dxa"/>
                  <w:vAlign w:val="center"/>
                </w:tcPr>
                <w:p>
                  <w:pPr>
                    <w:adjustRightInd w:val="0"/>
                    <w:jc w:val="center"/>
                    <w:rPr>
                      <w:b/>
                      <w:kern w:val="0"/>
                      <w:szCs w:val="21"/>
                    </w:rPr>
                  </w:pPr>
                  <w:r>
                    <w:rPr>
                      <w:rFonts w:hint="eastAsia"/>
                      <w:b/>
                      <w:kern w:val="0"/>
                      <w:szCs w:val="21"/>
                    </w:rPr>
                    <w:t>150m</w:t>
                  </w:r>
                </w:p>
              </w:tc>
              <w:tc>
                <w:tcPr>
                  <w:tcW w:w="749" w:type="dxa"/>
                  <w:vAlign w:val="center"/>
                </w:tcPr>
                <w:p>
                  <w:pPr>
                    <w:adjustRightInd w:val="0"/>
                    <w:jc w:val="center"/>
                    <w:rPr>
                      <w:b/>
                      <w:kern w:val="0"/>
                      <w:szCs w:val="21"/>
                    </w:rPr>
                  </w:pPr>
                  <w:r>
                    <w:rPr>
                      <w:rFonts w:hint="eastAsia"/>
                      <w:b/>
                      <w:kern w:val="0"/>
                      <w:szCs w:val="21"/>
                    </w:rPr>
                    <w:t>300m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kern w:val="0"/>
                      <w:szCs w:val="21"/>
                    </w:rPr>
                  </w:pPr>
                  <w:r>
                    <w:rPr>
                      <w:rFonts w:hint="eastAsia"/>
                      <w:kern w:val="0"/>
                      <w:szCs w:val="21"/>
                    </w:rPr>
                    <w:t>电钻</w:t>
                  </w:r>
                </w:p>
              </w:tc>
              <w:tc>
                <w:tcPr>
                  <w:tcW w:w="709" w:type="dxa"/>
                  <w:vAlign w:val="center"/>
                </w:tcPr>
                <w:p>
                  <w:pPr>
                    <w:adjustRightInd w:val="0"/>
                    <w:jc w:val="center"/>
                    <w:rPr>
                      <w:kern w:val="0"/>
                      <w:szCs w:val="21"/>
                    </w:rPr>
                  </w:pPr>
                  <w:r>
                    <w:rPr>
                      <w:rFonts w:hint="eastAsia"/>
                      <w:kern w:val="0"/>
                      <w:szCs w:val="21"/>
                    </w:rPr>
                    <w:t>100</w:t>
                  </w:r>
                </w:p>
              </w:tc>
              <w:tc>
                <w:tcPr>
                  <w:tcW w:w="708" w:type="dxa"/>
                  <w:vAlign w:val="center"/>
                </w:tcPr>
                <w:p>
                  <w:pPr>
                    <w:adjustRightInd w:val="0"/>
                    <w:jc w:val="center"/>
                    <w:rPr>
                      <w:kern w:val="0"/>
                      <w:szCs w:val="21"/>
                    </w:rPr>
                  </w:pPr>
                  <w:r>
                    <w:rPr>
                      <w:rFonts w:hint="eastAsia"/>
                      <w:kern w:val="0"/>
                      <w:szCs w:val="21"/>
                    </w:rPr>
                    <w:t>86</w:t>
                  </w:r>
                </w:p>
              </w:tc>
              <w:tc>
                <w:tcPr>
                  <w:tcW w:w="709" w:type="dxa"/>
                  <w:vAlign w:val="center"/>
                </w:tcPr>
                <w:p>
                  <w:pPr>
                    <w:adjustRightInd w:val="0"/>
                    <w:jc w:val="center"/>
                    <w:rPr>
                      <w:kern w:val="0"/>
                      <w:szCs w:val="21"/>
                    </w:rPr>
                  </w:pPr>
                  <w:r>
                    <w:rPr>
                      <w:rFonts w:hint="eastAsia"/>
                      <w:kern w:val="0"/>
                      <w:szCs w:val="21"/>
                    </w:rPr>
                    <w:t>80</w:t>
                  </w:r>
                </w:p>
              </w:tc>
              <w:tc>
                <w:tcPr>
                  <w:tcW w:w="709" w:type="dxa"/>
                  <w:vAlign w:val="center"/>
                </w:tcPr>
                <w:p>
                  <w:pPr>
                    <w:adjustRightInd w:val="0"/>
                    <w:jc w:val="center"/>
                    <w:rPr>
                      <w:kern w:val="0"/>
                      <w:szCs w:val="21"/>
                    </w:rPr>
                  </w:pPr>
                  <w:r>
                    <w:rPr>
                      <w:rFonts w:hint="eastAsia"/>
                      <w:kern w:val="0"/>
                      <w:szCs w:val="21"/>
                    </w:rPr>
                    <w:t>74</w:t>
                  </w:r>
                </w:p>
              </w:tc>
              <w:tc>
                <w:tcPr>
                  <w:tcW w:w="709" w:type="dxa"/>
                  <w:vAlign w:val="center"/>
                </w:tcPr>
                <w:p>
                  <w:pPr>
                    <w:adjustRightInd w:val="0"/>
                    <w:jc w:val="center"/>
                    <w:rPr>
                      <w:kern w:val="0"/>
                      <w:szCs w:val="21"/>
                    </w:rPr>
                  </w:pPr>
                  <w:r>
                    <w:rPr>
                      <w:rFonts w:hint="eastAsia"/>
                      <w:kern w:val="0"/>
                      <w:szCs w:val="21"/>
                    </w:rPr>
                    <w:t>68</w:t>
                  </w:r>
                </w:p>
              </w:tc>
              <w:tc>
                <w:tcPr>
                  <w:tcW w:w="708" w:type="dxa"/>
                  <w:vAlign w:val="center"/>
                </w:tcPr>
                <w:p>
                  <w:pPr>
                    <w:adjustRightInd w:val="0"/>
                    <w:jc w:val="center"/>
                    <w:rPr>
                      <w:kern w:val="0"/>
                      <w:szCs w:val="21"/>
                    </w:rPr>
                  </w:pPr>
                  <w:r>
                    <w:rPr>
                      <w:rFonts w:hint="eastAsia"/>
                      <w:kern w:val="0"/>
                      <w:szCs w:val="21"/>
                    </w:rPr>
                    <w:t>66</w:t>
                  </w:r>
                </w:p>
              </w:tc>
              <w:tc>
                <w:tcPr>
                  <w:tcW w:w="709" w:type="dxa"/>
                  <w:vAlign w:val="center"/>
                </w:tcPr>
                <w:p>
                  <w:pPr>
                    <w:adjustRightInd w:val="0"/>
                    <w:jc w:val="center"/>
                    <w:rPr>
                      <w:kern w:val="0"/>
                      <w:szCs w:val="21"/>
                    </w:rPr>
                  </w:pPr>
                  <w:r>
                    <w:rPr>
                      <w:rFonts w:hint="eastAsia"/>
                      <w:kern w:val="0"/>
                      <w:szCs w:val="21"/>
                    </w:rPr>
                    <w:t>60</w:t>
                  </w:r>
                </w:p>
              </w:tc>
              <w:tc>
                <w:tcPr>
                  <w:tcW w:w="709" w:type="dxa"/>
                  <w:vAlign w:val="center"/>
                </w:tcPr>
                <w:p>
                  <w:pPr>
                    <w:adjustRightInd w:val="0"/>
                    <w:jc w:val="center"/>
                    <w:rPr>
                      <w:kern w:val="0"/>
                      <w:szCs w:val="21"/>
                    </w:rPr>
                  </w:pPr>
                  <w:r>
                    <w:rPr>
                      <w:rFonts w:hint="eastAsia"/>
                      <w:kern w:val="0"/>
                      <w:szCs w:val="21"/>
                    </w:rPr>
                    <w:t>57</w:t>
                  </w:r>
                </w:p>
              </w:tc>
              <w:tc>
                <w:tcPr>
                  <w:tcW w:w="749" w:type="dxa"/>
                  <w:vAlign w:val="center"/>
                </w:tcPr>
                <w:p>
                  <w:pPr>
                    <w:adjustRightInd w:val="0"/>
                    <w:jc w:val="center"/>
                    <w:rPr>
                      <w:kern w:val="0"/>
                      <w:szCs w:val="21"/>
                    </w:rPr>
                  </w:pPr>
                  <w:r>
                    <w:rPr>
                      <w:rFonts w:hint="eastAsia"/>
                      <w:kern w:val="0"/>
                      <w:szCs w:val="21"/>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kern w:val="0"/>
                      <w:szCs w:val="21"/>
                    </w:rPr>
                  </w:pPr>
                  <w:r>
                    <w:rPr>
                      <w:rFonts w:hint="eastAsia"/>
                      <w:kern w:val="0"/>
                      <w:szCs w:val="21"/>
                    </w:rPr>
                    <w:t>电焊机</w:t>
                  </w:r>
                </w:p>
              </w:tc>
              <w:tc>
                <w:tcPr>
                  <w:tcW w:w="709" w:type="dxa"/>
                  <w:vAlign w:val="center"/>
                </w:tcPr>
                <w:p>
                  <w:pPr>
                    <w:adjustRightInd w:val="0"/>
                    <w:jc w:val="center"/>
                    <w:rPr>
                      <w:kern w:val="0"/>
                      <w:szCs w:val="21"/>
                    </w:rPr>
                  </w:pPr>
                  <w:r>
                    <w:rPr>
                      <w:rFonts w:hint="eastAsia"/>
                      <w:kern w:val="0"/>
                      <w:szCs w:val="21"/>
                    </w:rPr>
                    <w:t>90</w:t>
                  </w:r>
                </w:p>
              </w:tc>
              <w:tc>
                <w:tcPr>
                  <w:tcW w:w="708" w:type="dxa"/>
                  <w:vAlign w:val="center"/>
                </w:tcPr>
                <w:p>
                  <w:pPr>
                    <w:adjustRightInd w:val="0"/>
                    <w:jc w:val="center"/>
                    <w:rPr>
                      <w:kern w:val="0"/>
                      <w:szCs w:val="21"/>
                    </w:rPr>
                  </w:pPr>
                  <w:r>
                    <w:rPr>
                      <w:rFonts w:hint="eastAsia"/>
                      <w:kern w:val="0"/>
                      <w:szCs w:val="21"/>
                    </w:rPr>
                    <w:t>76</w:t>
                  </w:r>
                </w:p>
              </w:tc>
              <w:tc>
                <w:tcPr>
                  <w:tcW w:w="709" w:type="dxa"/>
                  <w:vAlign w:val="center"/>
                </w:tcPr>
                <w:p>
                  <w:pPr>
                    <w:adjustRightInd w:val="0"/>
                    <w:jc w:val="center"/>
                    <w:rPr>
                      <w:kern w:val="0"/>
                      <w:szCs w:val="21"/>
                    </w:rPr>
                  </w:pPr>
                  <w:r>
                    <w:rPr>
                      <w:rFonts w:hint="eastAsia"/>
                      <w:kern w:val="0"/>
                      <w:szCs w:val="21"/>
                    </w:rPr>
                    <w:t>70</w:t>
                  </w:r>
                </w:p>
              </w:tc>
              <w:tc>
                <w:tcPr>
                  <w:tcW w:w="709" w:type="dxa"/>
                  <w:vAlign w:val="center"/>
                </w:tcPr>
                <w:p>
                  <w:pPr>
                    <w:adjustRightInd w:val="0"/>
                    <w:jc w:val="center"/>
                    <w:rPr>
                      <w:kern w:val="0"/>
                      <w:szCs w:val="21"/>
                    </w:rPr>
                  </w:pPr>
                  <w:r>
                    <w:rPr>
                      <w:rFonts w:hint="eastAsia"/>
                      <w:kern w:val="0"/>
                      <w:szCs w:val="21"/>
                    </w:rPr>
                    <w:t>64</w:t>
                  </w:r>
                </w:p>
              </w:tc>
              <w:tc>
                <w:tcPr>
                  <w:tcW w:w="709" w:type="dxa"/>
                  <w:vAlign w:val="center"/>
                </w:tcPr>
                <w:p>
                  <w:pPr>
                    <w:adjustRightInd w:val="0"/>
                    <w:jc w:val="center"/>
                    <w:rPr>
                      <w:kern w:val="0"/>
                      <w:szCs w:val="21"/>
                    </w:rPr>
                  </w:pPr>
                  <w:r>
                    <w:rPr>
                      <w:rFonts w:hint="eastAsia"/>
                      <w:kern w:val="0"/>
                      <w:szCs w:val="21"/>
                    </w:rPr>
                    <w:t>58</w:t>
                  </w:r>
                </w:p>
              </w:tc>
              <w:tc>
                <w:tcPr>
                  <w:tcW w:w="708" w:type="dxa"/>
                  <w:vAlign w:val="center"/>
                </w:tcPr>
                <w:p>
                  <w:pPr>
                    <w:adjustRightInd w:val="0"/>
                    <w:jc w:val="center"/>
                    <w:rPr>
                      <w:kern w:val="0"/>
                      <w:szCs w:val="21"/>
                    </w:rPr>
                  </w:pPr>
                  <w:r>
                    <w:rPr>
                      <w:rFonts w:hint="eastAsia"/>
                      <w:kern w:val="0"/>
                      <w:szCs w:val="21"/>
                    </w:rPr>
                    <w:t>56</w:t>
                  </w:r>
                </w:p>
              </w:tc>
              <w:tc>
                <w:tcPr>
                  <w:tcW w:w="709" w:type="dxa"/>
                  <w:vAlign w:val="center"/>
                </w:tcPr>
                <w:p>
                  <w:pPr>
                    <w:adjustRightInd w:val="0"/>
                    <w:jc w:val="center"/>
                    <w:rPr>
                      <w:kern w:val="0"/>
                      <w:szCs w:val="21"/>
                    </w:rPr>
                  </w:pPr>
                  <w:r>
                    <w:rPr>
                      <w:rFonts w:hint="eastAsia"/>
                      <w:kern w:val="0"/>
                      <w:szCs w:val="21"/>
                    </w:rPr>
                    <w:t>50</w:t>
                  </w:r>
                </w:p>
              </w:tc>
              <w:tc>
                <w:tcPr>
                  <w:tcW w:w="709" w:type="dxa"/>
                  <w:vAlign w:val="center"/>
                </w:tcPr>
                <w:p>
                  <w:pPr>
                    <w:adjustRightInd w:val="0"/>
                    <w:jc w:val="center"/>
                    <w:rPr>
                      <w:kern w:val="0"/>
                      <w:szCs w:val="21"/>
                    </w:rPr>
                  </w:pPr>
                  <w:r>
                    <w:rPr>
                      <w:rFonts w:hint="eastAsia"/>
                      <w:kern w:val="0"/>
                      <w:szCs w:val="21"/>
                    </w:rPr>
                    <w:t>-</w:t>
                  </w:r>
                </w:p>
              </w:tc>
              <w:tc>
                <w:tcPr>
                  <w:tcW w:w="749" w:type="dxa"/>
                  <w:vAlign w:val="center"/>
                </w:tcPr>
                <w:p>
                  <w:pPr>
                    <w:adjustRightInd w:val="0"/>
                    <w:jc w:val="center"/>
                    <w:rPr>
                      <w:kern w:val="0"/>
                      <w:szCs w:val="21"/>
                    </w:rPr>
                  </w:pPr>
                  <w:r>
                    <w:rPr>
                      <w:rFonts w:hint="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kern w:val="0"/>
                      <w:szCs w:val="21"/>
                    </w:rPr>
                  </w:pPr>
                  <w:r>
                    <w:rPr>
                      <w:rFonts w:hint="eastAsia"/>
                      <w:kern w:val="0"/>
                      <w:szCs w:val="21"/>
                    </w:rPr>
                    <w:t>挖掘机</w:t>
                  </w:r>
                </w:p>
              </w:tc>
              <w:tc>
                <w:tcPr>
                  <w:tcW w:w="709" w:type="dxa"/>
                  <w:vAlign w:val="center"/>
                </w:tcPr>
                <w:p>
                  <w:pPr>
                    <w:adjustRightInd w:val="0"/>
                    <w:jc w:val="center"/>
                    <w:rPr>
                      <w:kern w:val="0"/>
                      <w:szCs w:val="21"/>
                    </w:rPr>
                  </w:pPr>
                  <w:r>
                    <w:rPr>
                      <w:kern w:val="0"/>
                      <w:szCs w:val="21"/>
                    </w:rPr>
                    <w:t>90</w:t>
                  </w:r>
                </w:p>
              </w:tc>
              <w:tc>
                <w:tcPr>
                  <w:tcW w:w="708" w:type="dxa"/>
                  <w:vAlign w:val="center"/>
                </w:tcPr>
                <w:p>
                  <w:pPr>
                    <w:adjustRightInd w:val="0"/>
                    <w:jc w:val="center"/>
                    <w:rPr>
                      <w:kern w:val="0"/>
                      <w:szCs w:val="21"/>
                    </w:rPr>
                  </w:pPr>
                  <w:r>
                    <w:rPr>
                      <w:kern w:val="0"/>
                      <w:szCs w:val="21"/>
                    </w:rPr>
                    <w:t>76</w:t>
                  </w:r>
                </w:p>
              </w:tc>
              <w:tc>
                <w:tcPr>
                  <w:tcW w:w="709" w:type="dxa"/>
                  <w:vAlign w:val="center"/>
                </w:tcPr>
                <w:p>
                  <w:pPr>
                    <w:adjustRightInd w:val="0"/>
                    <w:jc w:val="center"/>
                    <w:rPr>
                      <w:kern w:val="0"/>
                      <w:szCs w:val="21"/>
                    </w:rPr>
                  </w:pPr>
                  <w:r>
                    <w:rPr>
                      <w:kern w:val="0"/>
                      <w:szCs w:val="21"/>
                    </w:rPr>
                    <w:t>70</w:t>
                  </w:r>
                </w:p>
              </w:tc>
              <w:tc>
                <w:tcPr>
                  <w:tcW w:w="709" w:type="dxa"/>
                  <w:vAlign w:val="center"/>
                </w:tcPr>
                <w:p>
                  <w:pPr>
                    <w:adjustRightInd w:val="0"/>
                    <w:jc w:val="center"/>
                    <w:rPr>
                      <w:kern w:val="0"/>
                      <w:szCs w:val="21"/>
                    </w:rPr>
                  </w:pPr>
                  <w:r>
                    <w:rPr>
                      <w:kern w:val="0"/>
                      <w:szCs w:val="21"/>
                    </w:rPr>
                    <w:t>64</w:t>
                  </w:r>
                </w:p>
              </w:tc>
              <w:tc>
                <w:tcPr>
                  <w:tcW w:w="709" w:type="dxa"/>
                  <w:vAlign w:val="center"/>
                </w:tcPr>
                <w:p>
                  <w:pPr>
                    <w:adjustRightInd w:val="0"/>
                    <w:jc w:val="center"/>
                    <w:rPr>
                      <w:kern w:val="0"/>
                      <w:szCs w:val="21"/>
                    </w:rPr>
                  </w:pPr>
                  <w:r>
                    <w:rPr>
                      <w:kern w:val="0"/>
                      <w:szCs w:val="21"/>
                    </w:rPr>
                    <w:t>58</w:t>
                  </w:r>
                </w:p>
              </w:tc>
              <w:tc>
                <w:tcPr>
                  <w:tcW w:w="708"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49" w:type="dxa"/>
                  <w:vAlign w:val="center"/>
                </w:tcPr>
                <w:p>
                  <w:pPr>
                    <w:adjustRightInd w:val="0"/>
                    <w:jc w:val="center"/>
                    <w:rPr>
                      <w:kern w:val="0"/>
                      <w:szCs w:val="21"/>
                    </w:rPr>
                  </w:pPr>
                  <w:r>
                    <w:rPr>
                      <w:rFonts w:hint="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kern w:val="0"/>
                      <w:szCs w:val="21"/>
                    </w:rPr>
                  </w:pPr>
                  <w:r>
                    <w:rPr>
                      <w:rFonts w:hint="eastAsia"/>
                      <w:kern w:val="0"/>
                      <w:szCs w:val="21"/>
                    </w:rPr>
                    <w:t>钢筋切断机</w:t>
                  </w:r>
                </w:p>
              </w:tc>
              <w:tc>
                <w:tcPr>
                  <w:tcW w:w="709" w:type="dxa"/>
                  <w:vAlign w:val="center"/>
                </w:tcPr>
                <w:p>
                  <w:pPr>
                    <w:adjustRightInd w:val="0"/>
                    <w:jc w:val="center"/>
                    <w:rPr>
                      <w:kern w:val="0"/>
                      <w:szCs w:val="21"/>
                    </w:rPr>
                  </w:pPr>
                  <w:r>
                    <w:rPr>
                      <w:rFonts w:hint="eastAsia"/>
                      <w:kern w:val="0"/>
                      <w:szCs w:val="21"/>
                    </w:rPr>
                    <w:t>80</w:t>
                  </w:r>
                </w:p>
              </w:tc>
              <w:tc>
                <w:tcPr>
                  <w:tcW w:w="708" w:type="dxa"/>
                  <w:vAlign w:val="center"/>
                </w:tcPr>
                <w:p>
                  <w:pPr>
                    <w:adjustRightInd w:val="0"/>
                    <w:jc w:val="center"/>
                    <w:rPr>
                      <w:kern w:val="0"/>
                      <w:szCs w:val="21"/>
                    </w:rPr>
                  </w:pPr>
                  <w:r>
                    <w:rPr>
                      <w:rFonts w:hint="eastAsia"/>
                      <w:kern w:val="0"/>
                      <w:szCs w:val="21"/>
                    </w:rPr>
                    <w:t>66</w:t>
                  </w:r>
                </w:p>
              </w:tc>
              <w:tc>
                <w:tcPr>
                  <w:tcW w:w="709" w:type="dxa"/>
                  <w:vAlign w:val="center"/>
                </w:tcPr>
                <w:p>
                  <w:pPr>
                    <w:adjustRightInd w:val="0"/>
                    <w:jc w:val="center"/>
                    <w:rPr>
                      <w:kern w:val="0"/>
                      <w:szCs w:val="21"/>
                    </w:rPr>
                  </w:pPr>
                  <w:r>
                    <w:rPr>
                      <w:rFonts w:hint="eastAsia"/>
                      <w:kern w:val="0"/>
                      <w:szCs w:val="21"/>
                    </w:rPr>
                    <w:t>60</w:t>
                  </w:r>
                </w:p>
              </w:tc>
              <w:tc>
                <w:tcPr>
                  <w:tcW w:w="709" w:type="dxa"/>
                  <w:vAlign w:val="center"/>
                </w:tcPr>
                <w:p>
                  <w:pPr>
                    <w:adjustRightInd w:val="0"/>
                    <w:jc w:val="center"/>
                    <w:rPr>
                      <w:kern w:val="0"/>
                      <w:szCs w:val="21"/>
                    </w:rPr>
                  </w:pPr>
                  <w:r>
                    <w:rPr>
                      <w:rFonts w:hint="eastAsia"/>
                      <w:kern w:val="0"/>
                      <w:szCs w:val="21"/>
                    </w:rPr>
                    <w:t>54</w:t>
                  </w:r>
                </w:p>
              </w:tc>
              <w:tc>
                <w:tcPr>
                  <w:tcW w:w="709" w:type="dxa"/>
                  <w:vAlign w:val="center"/>
                </w:tcPr>
                <w:p>
                  <w:pPr>
                    <w:adjustRightInd w:val="0"/>
                    <w:jc w:val="center"/>
                    <w:rPr>
                      <w:kern w:val="0"/>
                      <w:szCs w:val="21"/>
                    </w:rPr>
                  </w:pPr>
                  <w:r>
                    <w:rPr>
                      <w:rFonts w:hint="eastAsia"/>
                      <w:kern w:val="0"/>
                      <w:szCs w:val="21"/>
                    </w:rPr>
                    <w:t>-</w:t>
                  </w:r>
                </w:p>
              </w:tc>
              <w:tc>
                <w:tcPr>
                  <w:tcW w:w="708"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49" w:type="dxa"/>
                  <w:vAlign w:val="center"/>
                </w:tcPr>
                <w:p>
                  <w:pPr>
                    <w:adjustRightInd w:val="0"/>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kern w:val="0"/>
                      <w:szCs w:val="21"/>
                    </w:rPr>
                  </w:pPr>
                  <w:r>
                    <w:rPr>
                      <w:rFonts w:hint="eastAsia"/>
                      <w:kern w:val="0"/>
                      <w:szCs w:val="21"/>
                    </w:rPr>
                    <w:t>钢筋调直机</w:t>
                  </w:r>
                </w:p>
              </w:tc>
              <w:tc>
                <w:tcPr>
                  <w:tcW w:w="709" w:type="dxa"/>
                  <w:vAlign w:val="center"/>
                </w:tcPr>
                <w:p>
                  <w:pPr>
                    <w:adjustRightInd w:val="0"/>
                    <w:jc w:val="center"/>
                    <w:rPr>
                      <w:kern w:val="0"/>
                      <w:szCs w:val="21"/>
                    </w:rPr>
                  </w:pPr>
                  <w:r>
                    <w:rPr>
                      <w:rFonts w:hint="eastAsia"/>
                      <w:kern w:val="0"/>
                      <w:szCs w:val="21"/>
                    </w:rPr>
                    <w:t>75</w:t>
                  </w:r>
                </w:p>
              </w:tc>
              <w:tc>
                <w:tcPr>
                  <w:tcW w:w="708" w:type="dxa"/>
                  <w:vAlign w:val="center"/>
                </w:tcPr>
                <w:p>
                  <w:pPr>
                    <w:adjustRightInd w:val="0"/>
                    <w:jc w:val="center"/>
                    <w:rPr>
                      <w:kern w:val="0"/>
                      <w:szCs w:val="21"/>
                    </w:rPr>
                  </w:pPr>
                  <w:r>
                    <w:rPr>
                      <w:rFonts w:hint="eastAsia"/>
                      <w:kern w:val="0"/>
                      <w:szCs w:val="21"/>
                    </w:rPr>
                    <w:t>61</w:t>
                  </w:r>
                </w:p>
              </w:tc>
              <w:tc>
                <w:tcPr>
                  <w:tcW w:w="709" w:type="dxa"/>
                  <w:vAlign w:val="center"/>
                </w:tcPr>
                <w:p>
                  <w:pPr>
                    <w:adjustRightInd w:val="0"/>
                    <w:jc w:val="center"/>
                    <w:rPr>
                      <w:kern w:val="0"/>
                      <w:szCs w:val="21"/>
                    </w:rPr>
                  </w:pPr>
                  <w:r>
                    <w:rPr>
                      <w:rFonts w:hint="eastAsia"/>
                      <w:kern w:val="0"/>
                      <w:szCs w:val="21"/>
                    </w:rPr>
                    <w:t>55</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8"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49" w:type="dxa"/>
                  <w:vAlign w:val="center"/>
                </w:tcPr>
                <w:p>
                  <w:pPr>
                    <w:adjustRightInd w:val="0"/>
                    <w:jc w:val="center"/>
                    <w:rPr>
                      <w:kern w:val="0"/>
                      <w:szCs w:val="21"/>
                    </w:rPr>
                  </w:pPr>
                  <w:r>
                    <w:rPr>
                      <w:rFonts w:hint="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kern w:val="0"/>
                      <w:szCs w:val="21"/>
                    </w:rPr>
                  </w:pPr>
                  <w:r>
                    <w:rPr>
                      <w:rFonts w:hint="eastAsia"/>
                      <w:kern w:val="0"/>
                      <w:szCs w:val="21"/>
                    </w:rPr>
                    <w:t>钢筋弯曲机</w:t>
                  </w:r>
                </w:p>
              </w:tc>
              <w:tc>
                <w:tcPr>
                  <w:tcW w:w="709" w:type="dxa"/>
                  <w:vAlign w:val="center"/>
                </w:tcPr>
                <w:p>
                  <w:pPr>
                    <w:adjustRightInd w:val="0"/>
                    <w:jc w:val="center"/>
                    <w:rPr>
                      <w:kern w:val="0"/>
                      <w:szCs w:val="21"/>
                    </w:rPr>
                  </w:pPr>
                  <w:r>
                    <w:rPr>
                      <w:rFonts w:hint="eastAsia"/>
                      <w:kern w:val="0"/>
                      <w:szCs w:val="21"/>
                    </w:rPr>
                    <w:t>75</w:t>
                  </w:r>
                </w:p>
              </w:tc>
              <w:tc>
                <w:tcPr>
                  <w:tcW w:w="708" w:type="dxa"/>
                  <w:vAlign w:val="center"/>
                </w:tcPr>
                <w:p>
                  <w:pPr>
                    <w:adjustRightInd w:val="0"/>
                    <w:jc w:val="center"/>
                    <w:rPr>
                      <w:kern w:val="0"/>
                      <w:szCs w:val="21"/>
                    </w:rPr>
                  </w:pPr>
                  <w:r>
                    <w:rPr>
                      <w:rFonts w:hint="eastAsia"/>
                      <w:kern w:val="0"/>
                      <w:szCs w:val="21"/>
                    </w:rPr>
                    <w:t>61</w:t>
                  </w:r>
                </w:p>
              </w:tc>
              <w:tc>
                <w:tcPr>
                  <w:tcW w:w="709" w:type="dxa"/>
                  <w:vAlign w:val="center"/>
                </w:tcPr>
                <w:p>
                  <w:pPr>
                    <w:adjustRightInd w:val="0"/>
                    <w:jc w:val="center"/>
                    <w:rPr>
                      <w:kern w:val="0"/>
                      <w:szCs w:val="21"/>
                    </w:rPr>
                  </w:pPr>
                  <w:r>
                    <w:rPr>
                      <w:rFonts w:hint="eastAsia"/>
                      <w:kern w:val="0"/>
                      <w:szCs w:val="21"/>
                    </w:rPr>
                    <w:t>55</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8"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49" w:type="dxa"/>
                  <w:vAlign w:val="center"/>
                </w:tcPr>
                <w:p>
                  <w:pPr>
                    <w:adjustRightInd w:val="0"/>
                    <w:jc w:val="center"/>
                    <w:rPr>
                      <w:kern w:val="0"/>
                      <w:szCs w:val="21"/>
                    </w:rPr>
                  </w:pPr>
                  <w:r>
                    <w:rPr>
                      <w:rFonts w:hint="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744" w:type="dxa"/>
                  <w:vAlign w:val="center"/>
                </w:tcPr>
                <w:p>
                  <w:pPr>
                    <w:adjustRightInd w:val="0"/>
                    <w:jc w:val="center"/>
                    <w:rPr>
                      <w:kern w:val="0"/>
                      <w:szCs w:val="21"/>
                    </w:rPr>
                  </w:pPr>
                  <w:r>
                    <w:rPr>
                      <w:rFonts w:hint="eastAsia"/>
                      <w:kern w:val="0"/>
                      <w:szCs w:val="21"/>
                    </w:rPr>
                    <w:t>汽车式起重机</w:t>
                  </w:r>
                </w:p>
              </w:tc>
              <w:tc>
                <w:tcPr>
                  <w:tcW w:w="709" w:type="dxa"/>
                  <w:vAlign w:val="center"/>
                </w:tcPr>
                <w:p>
                  <w:pPr>
                    <w:adjustRightInd w:val="0"/>
                    <w:jc w:val="center"/>
                    <w:rPr>
                      <w:kern w:val="0"/>
                      <w:szCs w:val="21"/>
                    </w:rPr>
                  </w:pPr>
                  <w:r>
                    <w:rPr>
                      <w:rFonts w:hint="eastAsia"/>
                      <w:kern w:val="0"/>
                      <w:szCs w:val="21"/>
                    </w:rPr>
                    <w:t>70</w:t>
                  </w:r>
                </w:p>
              </w:tc>
              <w:tc>
                <w:tcPr>
                  <w:tcW w:w="708" w:type="dxa"/>
                  <w:vAlign w:val="center"/>
                </w:tcPr>
                <w:p>
                  <w:pPr>
                    <w:adjustRightInd w:val="0"/>
                    <w:jc w:val="center"/>
                    <w:rPr>
                      <w:kern w:val="0"/>
                      <w:szCs w:val="21"/>
                    </w:rPr>
                  </w:pPr>
                  <w:r>
                    <w:rPr>
                      <w:rFonts w:hint="eastAsia"/>
                      <w:kern w:val="0"/>
                      <w:szCs w:val="21"/>
                    </w:rPr>
                    <w:t>56</w:t>
                  </w:r>
                </w:p>
              </w:tc>
              <w:tc>
                <w:tcPr>
                  <w:tcW w:w="709" w:type="dxa"/>
                  <w:vAlign w:val="center"/>
                </w:tcPr>
                <w:p>
                  <w:pPr>
                    <w:adjustRightInd w:val="0"/>
                    <w:jc w:val="center"/>
                    <w:rPr>
                      <w:kern w:val="0"/>
                      <w:szCs w:val="21"/>
                    </w:rPr>
                  </w:pPr>
                  <w:r>
                    <w:rPr>
                      <w:rFonts w:hint="eastAsia"/>
                      <w:kern w:val="0"/>
                      <w:szCs w:val="21"/>
                    </w:rPr>
                    <w:t>50</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8"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09" w:type="dxa"/>
                  <w:vAlign w:val="center"/>
                </w:tcPr>
                <w:p>
                  <w:pPr>
                    <w:adjustRightInd w:val="0"/>
                    <w:jc w:val="center"/>
                    <w:rPr>
                      <w:kern w:val="0"/>
                      <w:szCs w:val="21"/>
                    </w:rPr>
                  </w:pPr>
                  <w:r>
                    <w:rPr>
                      <w:rFonts w:hint="eastAsia"/>
                      <w:kern w:val="0"/>
                      <w:szCs w:val="21"/>
                    </w:rPr>
                    <w:t>-</w:t>
                  </w:r>
                </w:p>
              </w:tc>
              <w:tc>
                <w:tcPr>
                  <w:tcW w:w="749" w:type="dxa"/>
                  <w:vAlign w:val="center"/>
                </w:tcPr>
                <w:p>
                  <w:pPr>
                    <w:adjustRightInd w:val="0"/>
                    <w:jc w:val="center"/>
                    <w:rPr>
                      <w:kern w:val="0"/>
                      <w:szCs w:val="21"/>
                    </w:rPr>
                  </w:pPr>
                  <w:r>
                    <w:rPr>
                      <w:rFonts w:hint="eastAsia"/>
                      <w:kern w:val="0"/>
                      <w:szCs w:val="21"/>
                    </w:rPr>
                    <w:t>-</w:t>
                  </w:r>
                </w:p>
              </w:tc>
            </w:tr>
          </w:tbl>
          <w:p>
            <w:pPr>
              <w:adjustRightInd w:val="0"/>
              <w:spacing w:line="360" w:lineRule="auto"/>
              <w:ind w:firstLine="480" w:firstLineChars="200"/>
              <w:rPr>
                <w:sz w:val="24"/>
              </w:rPr>
            </w:pPr>
            <w:r>
              <w:rPr>
                <w:rFonts w:hint="eastAsia"/>
                <w:sz w:val="24"/>
              </w:rPr>
              <w:t>从上表可以看出，各种施工机械满负荷运行时，声源噪声强度较大，对建设项目周围环境有一定影响。但随着距离的增加，噪声衰减量增大，在距离施工机械40m时，施工噪声昼间可达《建筑施工场界噪声排放标准》（GB12523-2011），项目夜间不施工。</w:t>
            </w:r>
          </w:p>
          <w:p>
            <w:pPr>
              <w:adjustRightInd w:val="0"/>
              <w:spacing w:line="360" w:lineRule="auto"/>
              <w:ind w:firstLine="480" w:firstLineChars="200"/>
              <w:rPr>
                <w:sz w:val="24"/>
              </w:rPr>
            </w:pPr>
            <w:r>
              <w:rPr>
                <w:rFonts w:hint="eastAsia"/>
                <w:sz w:val="24"/>
              </w:rPr>
              <w:t>施工区域周边</w:t>
            </w:r>
            <w:r>
              <w:rPr>
                <w:sz w:val="24"/>
              </w:rPr>
              <w:t>5</w:t>
            </w:r>
            <w:r>
              <w:rPr>
                <w:rFonts w:hint="eastAsia"/>
                <w:sz w:val="24"/>
              </w:rPr>
              <w:t>00m范围内无声环境保护目标，但运输线路经过居民区，运输车辆经过敏感点时，只要采取减速行驶、禁鸣等措施后，可以减小噪声对所经过敏感点的声环境影响。施工期应采用低噪机械，合理安排施工场地布置，文明施工，加强施工管理，合理安排施工进度，将主要噪声源尽量远离场界</w:t>
            </w:r>
            <w:bookmarkStart w:id="72" w:name="_GoBack"/>
            <w:bookmarkEnd w:id="72"/>
            <w:r>
              <w:rPr>
                <w:rFonts w:hint="eastAsia"/>
                <w:sz w:val="24"/>
              </w:rPr>
              <w:t>等措施减小噪声的影响。项目夜间禁止施工，采取环评要求的施工噪声污染防治措施后，施工期能满足《建筑施工场界环境噪声排放标准》（GB12523-2011）昼间标准，可以做到达标排放，对周围声环境影响较小。</w:t>
            </w:r>
          </w:p>
          <w:p>
            <w:pPr>
              <w:adjustRightInd w:val="0"/>
              <w:spacing w:line="360" w:lineRule="auto"/>
              <w:ind w:firstLine="482" w:firstLineChars="200"/>
              <w:rPr>
                <w:b/>
                <w:bCs/>
                <w:sz w:val="24"/>
              </w:rPr>
            </w:pPr>
            <w:r>
              <w:rPr>
                <w:rFonts w:hint="eastAsia"/>
                <w:b/>
                <w:bCs/>
                <w:sz w:val="24"/>
              </w:rPr>
              <w:t>（</w:t>
            </w:r>
            <w:r>
              <w:rPr>
                <w:b/>
                <w:bCs/>
                <w:sz w:val="24"/>
              </w:rPr>
              <w:t>5</w:t>
            </w:r>
            <w:r>
              <w:rPr>
                <w:rFonts w:hint="eastAsia"/>
                <w:b/>
                <w:bCs/>
                <w:sz w:val="24"/>
              </w:rPr>
              <w:t>）固体废物</w:t>
            </w:r>
          </w:p>
          <w:p>
            <w:pPr>
              <w:adjustRightInd w:val="0"/>
              <w:spacing w:line="360" w:lineRule="auto"/>
              <w:ind w:firstLine="480" w:firstLineChars="200"/>
              <w:rPr>
                <w:kern w:val="0"/>
                <w:sz w:val="24"/>
                <w:szCs w:val="22"/>
              </w:rPr>
            </w:pPr>
            <w:r>
              <w:rPr>
                <w:rFonts w:hint="eastAsia"/>
                <w:sz w:val="24"/>
                <w:szCs w:val="20"/>
              </w:rPr>
              <w:t>项目</w:t>
            </w:r>
            <w:r>
              <w:rPr>
                <w:sz w:val="24"/>
                <w:szCs w:val="22"/>
              </w:rPr>
              <w:t>施工期产生的固体废物主要是</w:t>
            </w:r>
            <w:r>
              <w:rPr>
                <w:rFonts w:hint="eastAsia"/>
                <w:sz w:val="24"/>
                <w:szCs w:val="22"/>
              </w:rPr>
              <w:t>废弃土石方、</w:t>
            </w:r>
            <w:r>
              <w:rPr>
                <w:sz w:val="24"/>
                <w:szCs w:val="22"/>
              </w:rPr>
              <w:t>建筑</w:t>
            </w:r>
            <w:r>
              <w:rPr>
                <w:kern w:val="0"/>
                <w:sz w:val="24"/>
                <w:szCs w:val="22"/>
              </w:rPr>
              <w:t>垃圾</w:t>
            </w:r>
            <w:r>
              <w:rPr>
                <w:rFonts w:hint="eastAsia"/>
                <w:kern w:val="0"/>
                <w:sz w:val="24"/>
                <w:szCs w:val="22"/>
              </w:rPr>
              <w:t>、</w:t>
            </w:r>
            <w:r>
              <w:rPr>
                <w:sz w:val="24"/>
              </w:rPr>
              <w:t>光伏组件安装工程中产生的废弃太阳电池板</w:t>
            </w:r>
            <w:r>
              <w:rPr>
                <w:kern w:val="0"/>
                <w:sz w:val="24"/>
                <w:szCs w:val="22"/>
              </w:rPr>
              <w:t>及施工人员生活垃圾等。</w:t>
            </w:r>
          </w:p>
          <w:p>
            <w:pPr>
              <w:autoSpaceDE w:val="0"/>
              <w:autoSpaceDN w:val="0"/>
              <w:adjustRightInd w:val="0"/>
              <w:spacing w:line="360" w:lineRule="auto"/>
              <w:ind w:firstLine="480" w:firstLineChars="200"/>
              <w:rPr>
                <w:sz w:val="24"/>
              </w:rPr>
            </w:pPr>
            <w:r>
              <w:rPr>
                <w:rFonts w:hint="eastAsia"/>
                <w:sz w:val="24"/>
              </w:rPr>
              <w:t>1）废弃土石方</w:t>
            </w:r>
          </w:p>
          <w:p>
            <w:pPr>
              <w:adjustRightInd w:val="0"/>
              <w:spacing w:line="360" w:lineRule="auto"/>
              <w:ind w:firstLine="480" w:firstLineChars="200"/>
              <w:rPr>
                <w:sz w:val="24"/>
              </w:rPr>
            </w:pPr>
            <w:r>
              <w:rPr>
                <w:rFonts w:hint="eastAsia"/>
                <w:sz w:val="24"/>
              </w:rPr>
              <w:t>本项目设备基础工程量不大，开挖产生的土石方可用于场区低洼处回填，也可用来填筑道路，最终在场区内平衡。根据项目水保方案，</w:t>
            </w:r>
            <w:bookmarkStart w:id="51" w:name="_Hlk117849357"/>
            <w:r>
              <w:rPr>
                <w:sz w:val="24"/>
              </w:rPr>
              <w:t>本工程建设期间共产生土石方开挖10.09</w:t>
            </w:r>
            <w:r>
              <w:rPr>
                <w:rFonts w:hint="eastAsia"/>
                <w:sz w:val="24"/>
              </w:rPr>
              <w:t>万</w:t>
            </w:r>
            <w:r>
              <w:rPr>
                <w:sz w:val="24"/>
              </w:rPr>
              <w:t>m</w:t>
            </w:r>
            <w:r>
              <w:rPr>
                <w:sz w:val="24"/>
                <w:vertAlign w:val="superscript"/>
              </w:rPr>
              <w:t>3</w:t>
            </w:r>
            <w:r>
              <w:rPr>
                <w:sz w:val="24"/>
              </w:rPr>
              <w:t>（其中表土剥离0.94</w:t>
            </w:r>
            <w:r>
              <w:rPr>
                <w:rFonts w:hint="eastAsia"/>
                <w:sz w:val="24"/>
              </w:rPr>
              <w:t>万</w:t>
            </w:r>
            <w:r>
              <w:rPr>
                <w:sz w:val="24"/>
              </w:rPr>
              <w:t>m</w:t>
            </w:r>
            <w:r>
              <w:rPr>
                <w:sz w:val="24"/>
                <w:vertAlign w:val="superscript"/>
              </w:rPr>
              <w:t>3</w:t>
            </w:r>
            <w:r>
              <w:rPr>
                <w:sz w:val="24"/>
              </w:rPr>
              <w:t>，场平开挖7.02</w:t>
            </w:r>
            <w:r>
              <w:rPr>
                <w:rFonts w:hint="eastAsia"/>
                <w:sz w:val="24"/>
              </w:rPr>
              <w:t>万</w:t>
            </w:r>
            <w:r>
              <w:rPr>
                <w:sz w:val="24"/>
              </w:rPr>
              <w:t>m</w:t>
            </w:r>
            <w:r>
              <w:rPr>
                <w:sz w:val="24"/>
                <w:vertAlign w:val="superscript"/>
              </w:rPr>
              <w:t>3</w:t>
            </w:r>
            <w:r>
              <w:rPr>
                <w:sz w:val="24"/>
              </w:rPr>
              <w:t>，基础开挖2.13</w:t>
            </w:r>
            <w:r>
              <w:rPr>
                <w:rFonts w:hint="eastAsia"/>
                <w:sz w:val="24"/>
              </w:rPr>
              <w:t>万</w:t>
            </w:r>
            <w:r>
              <w:rPr>
                <w:sz w:val="24"/>
              </w:rPr>
              <w:t>m</w:t>
            </w:r>
            <w:r>
              <w:rPr>
                <w:sz w:val="24"/>
                <w:vertAlign w:val="superscript"/>
              </w:rPr>
              <w:t>3</w:t>
            </w:r>
            <w:r>
              <w:rPr>
                <w:sz w:val="24"/>
              </w:rPr>
              <w:t>）；回填10.09</w:t>
            </w:r>
            <w:r>
              <w:rPr>
                <w:rFonts w:hint="eastAsia"/>
                <w:sz w:val="24"/>
              </w:rPr>
              <w:t>万</w:t>
            </w:r>
            <w:r>
              <w:rPr>
                <w:sz w:val="24"/>
              </w:rPr>
              <w:t>m</w:t>
            </w:r>
            <w:r>
              <w:rPr>
                <w:sz w:val="24"/>
                <w:vertAlign w:val="superscript"/>
              </w:rPr>
              <w:t>3</w:t>
            </w:r>
            <w:r>
              <w:rPr>
                <w:sz w:val="24"/>
              </w:rPr>
              <w:t>（其中</w:t>
            </w:r>
            <w:r>
              <w:rPr>
                <w:rFonts w:hint="eastAsia"/>
                <w:sz w:val="24"/>
              </w:rPr>
              <w:t>表土回覆</w:t>
            </w:r>
            <w:r>
              <w:rPr>
                <w:sz w:val="24"/>
              </w:rPr>
              <w:t>0.94</w:t>
            </w:r>
            <w:r>
              <w:rPr>
                <w:rFonts w:hint="eastAsia"/>
                <w:sz w:val="24"/>
              </w:rPr>
              <w:t>万</w:t>
            </w:r>
            <w:r>
              <w:rPr>
                <w:sz w:val="24"/>
              </w:rPr>
              <w:t>m</w:t>
            </w:r>
            <w:r>
              <w:rPr>
                <w:sz w:val="24"/>
                <w:vertAlign w:val="superscript"/>
              </w:rPr>
              <w:t>3</w:t>
            </w:r>
            <w:r>
              <w:rPr>
                <w:sz w:val="24"/>
              </w:rPr>
              <w:t>，场平回填7.02</w:t>
            </w:r>
            <w:r>
              <w:rPr>
                <w:rFonts w:hint="eastAsia"/>
                <w:sz w:val="24"/>
              </w:rPr>
              <w:t>万</w:t>
            </w:r>
            <w:r>
              <w:rPr>
                <w:sz w:val="24"/>
              </w:rPr>
              <w:t>m</w:t>
            </w:r>
            <w:r>
              <w:rPr>
                <w:sz w:val="24"/>
                <w:vertAlign w:val="superscript"/>
              </w:rPr>
              <w:t>3</w:t>
            </w:r>
            <w:r>
              <w:rPr>
                <w:sz w:val="24"/>
              </w:rPr>
              <w:t>，基础回填2.13</w:t>
            </w:r>
            <w:r>
              <w:rPr>
                <w:rFonts w:hint="eastAsia"/>
                <w:sz w:val="24"/>
              </w:rPr>
              <w:t>万</w:t>
            </w:r>
            <w:r>
              <w:rPr>
                <w:sz w:val="24"/>
              </w:rPr>
              <w:t>m</w:t>
            </w:r>
            <w:r>
              <w:rPr>
                <w:sz w:val="24"/>
                <w:vertAlign w:val="superscript"/>
              </w:rPr>
              <w:t>3</w:t>
            </w:r>
            <w:r>
              <w:rPr>
                <w:sz w:val="24"/>
              </w:rPr>
              <w:t>）</w:t>
            </w:r>
            <w:r>
              <w:rPr>
                <w:rFonts w:hint="eastAsia"/>
                <w:sz w:val="24"/>
              </w:rPr>
              <w:t>，内部调运</w:t>
            </w:r>
            <w:r>
              <w:rPr>
                <w:sz w:val="24"/>
              </w:rPr>
              <w:t>1.89</w:t>
            </w:r>
            <w:r>
              <w:rPr>
                <w:rFonts w:hint="eastAsia"/>
                <w:sz w:val="24"/>
              </w:rPr>
              <w:t>万</w:t>
            </w:r>
            <w:r>
              <w:rPr>
                <w:sz w:val="24"/>
              </w:rPr>
              <w:t>m</w:t>
            </w:r>
            <w:r>
              <w:rPr>
                <w:sz w:val="24"/>
                <w:vertAlign w:val="superscript"/>
              </w:rPr>
              <w:t>3</w:t>
            </w:r>
            <w:r>
              <w:rPr>
                <w:rFonts w:hint="eastAsia"/>
                <w:sz w:val="24"/>
              </w:rPr>
              <w:t>（其中</w:t>
            </w:r>
            <w:r>
              <w:rPr>
                <w:sz w:val="24"/>
              </w:rPr>
              <w:t>0.39</w:t>
            </w:r>
            <w:r>
              <w:rPr>
                <w:rFonts w:hint="eastAsia"/>
                <w:sz w:val="24"/>
              </w:rPr>
              <w:t>万m</w:t>
            </w:r>
            <w:r>
              <w:rPr>
                <w:rFonts w:hint="eastAsia"/>
                <w:sz w:val="24"/>
                <w:vertAlign w:val="superscript"/>
              </w:rPr>
              <w:t>3</w:t>
            </w:r>
            <w:r>
              <w:rPr>
                <w:rFonts w:hint="eastAsia"/>
                <w:sz w:val="24"/>
              </w:rPr>
              <w:t>为表土，</w:t>
            </w:r>
            <w:r>
              <w:rPr>
                <w:sz w:val="24"/>
              </w:rPr>
              <w:t>1.50</w:t>
            </w:r>
            <w:r>
              <w:rPr>
                <w:rFonts w:hint="eastAsia"/>
                <w:sz w:val="24"/>
              </w:rPr>
              <w:t>万m</w:t>
            </w:r>
            <w:r>
              <w:rPr>
                <w:rFonts w:hint="eastAsia"/>
                <w:sz w:val="24"/>
                <w:vertAlign w:val="superscript"/>
              </w:rPr>
              <w:t>3</w:t>
            </w:r>
            <w:r>
              <w:rPr>
                <w:rFonts w:hint="eastAsia"/>
                <w:sz w:val="24"/>
              </w:rPr>
              <w:t>为一般土石方）</w:t>
            </w:r>
            <w:r>
              <w:rPr>
                <w:sz w:val="24"/>
              </w:rPr>
              <w:t>，</w:t>
            </w:r>
            <w:r>
              <w:rPr>
                <w:rFonts w:hint="eastAsia"/>
                <w:sz w:val="24"/>
              </w:rPr>
              <w:t>项目建设无永久弃方产生</w:t>
            </w:r>
            <w:bookmarkEnd w:id="51"/>
            <w:r>
              <w:rPr>
                <w:rFonts w:hint="eastAsia"/>
                <w:sz w:val="24"/>
              </w:rPr>
              <w:t>。</w:t>
            </w:r>
          </w:p>
          <w:p>
            <w:pPr>
              <w:autoSpaceDE w:val="0"/>
              <w:autoSpaceDN w:val="0"/>
              <w:adjustRightInd w:val="0"/>
              <w:spacing w:line="360" w:lineRule="auto"/>
              <w:ind w:firstLine="480" w:firstLineChars="200"/>
              <w:rPr>
                <w:sz w:val="24"/>
              </w:rPr>
            </w:pPr>
            <w:r>
              <w:rPr>
                <w:rFonts w:hint="eastAsia"/>
                <w:sz w:val="24"/>
              </w:rPr>
              <w:t>2）</w:t>
            </w:r>
            <w:r>
              <w:rPr>
                <w:sz w:val="24"/>
              </w:rPr>
              <w:t>建筑</w:t>
            </w:r>
            <w:r>
              <w:rPr>
                <w:rFonts w:hint="eastAsia"/>
                <w:sz w:val="24"/>
              </w:rPr>
              <w:t>垃圾</w:t>
            </w:r>
          </w:p>
          <w:p>
            <w:pPr>
              <w:autoSpaceDE w:val="0"/>
              <w:autoSpaceDN w:val="0"/>
              <w:adjustRightInd w:val="0"/>
              <w:spacing w:line="360" w:lineRule="auto"/>
              <w:ind w:firstLine="480" w:firstLineChars="200"/>
              <w:rPr>
                <w:sz w:val="24"/>
              </w:rPr>
            </w:pPr>
            <w:r>
              <w:rPr>
                <w:rFonts w:hint="eastAsia"/>
                <w:sz w:val="24"/>
              </w:rPr>
              <w:t>项目区主要的建筑物开关站和其它构筑物结构采用砖混结构，太阳电池方阵区对场地尽量不作平整，只在坡度和地形起伏很不利的地方做适当铲平，以改善太阳电池组件方阵布置的条件。建筑施工垃圾主要成分为水泥凝结废渣、废弃建材等，其产生量较少，部分可回收利用的材料回收处理，剩余部分经施工人员收集后统一清运至相关部门指定堆放点集中处理。不会对环境造成污染影响</w:t>
            </w:r>
            <w:r>
              <w:rPr>
                <w:sz w:val="24"/>
              </w:rPr>
              <w:t>。</w:t>
            </w:r>
          </w:p>
          <w:p>
            <w:pPr>
              <w:autoSpaceDE w:val="0"/>
              <w:autoSpaceDN w:val="0"/>
              <w:adjustRightInd w:val="0"/>
              <w:spacing w:line="360" w:lineRule="auto"/>
              <w:ind w:firstLine="480" w:firstLineChars="200"/>
              <w:rPr>
                <w:sz w:val="24"/>
              </w:rPr>
            </w:pPr>
            <w:r>
              <w:rPr>
                <w:rFonts w:hint="eastAsia"/>
                <w:sz w:val="24"/>
              </w:rPr>
              <w:t>3）废弃光伏电池板</w:t>
            </w:r>
          </w:p>
          <w:p>
            <w:pPr>
              <w:autoSpaceDE w:val="0"/>
              <w:autoSpaceDN w:val="0"/>
              <w:adjustRightInd w:val="0"/>
              <w:spacing w:line="360" w:lineRule="auto"/>
              <w:ind w:firstLine="480" w:firstLineChars="200"/>
              <w:rPr>
                <w:sz w:val="24"/>
              </w:rPr>
            </w:pPr>
            <w:r>
              <w:rPr>
                <w:rFonts w:hint="eastAsia"/>
                <w:sz w:val="24"/>
              </w:rPr>
              <w:t>施工期进行电池方阵的安装。支架采用钢结构，外购后运至施工现场进行安装，现场仅进行少量钢构件的加工，固废的产生量较小，且为金属，统一收集后外卖。电池板在安装过程中会有部分被损坏，要求建设单位统一收集后作返厂处置，不得与其他一般固废混合处置。</w:t>
            </w:r>
          </w:p>
          <w:p>
            <w:pPr>
              <w:autoSpaceDE w:val="0"/>
              <w:autoSpaceDN w:val="0"/>
              <w:adjustRightInd w:val="0"/>
              <w:spacing w:line="360" w:lineRule="auto"/>
              <w:ind w:firstLine="480" w:firstLineChars="200"/>
              <w:rPr>
                <w:sz w:val="24"/>
              </w:rPr>
            </w:pPr>
            <w:r>
              <w:rPr>
                <w:rFonts w:hint="eastAsia"/>
                <w:sz w:val="24"/>
              </w:rPr>
              <w:t>4）生活垃圾及粪便</w:t>
            </w:r>
          </w:p>
          <w:p>
            <w:pPr>
              <w:autoSpaceDE w:val="0"/>
              <w:autoSpaceDN w:val="0"/>
              <w:adjustRightInd w:val="0"/>
              <w:spacing w:line="360" w:lineRule="auto"/>
              <w:ind w:firstLine="480" w:firstLineChars="200"/>
              <w:rPr>
                <w:sz w:val="24"/>
              </w:rPr>
            </w:pPr>
            <w:r>
              <w:rPr>
                <w:rFonts w:hint="eastAsia"/>
                <w:sz w:val="24"/>
              </w:rPr>
              <w:t>项目施工期日常平均施工人员为</w:t>
            </w:r>
            <w:r>
              <w:rPr>
                <w:sz w:val="24"/>
              </w:rPr>
              <w:t>15</w:t>
            </w:r>
            <w:r>
              <w:rPr>
                <w:rFonts w:hint="eastAsia"/>
                <w:sz w:val="24"/>
              </w:rPr>
              <w:t>0人/d，施工人员产生的生活垃圾按每人每天0.5kg计算，则项目施工日常生活垃圾产生量为</w:t>
            </w:r>
            <w:r>
              <w:rPr>
                <w:sz w:val="24"/>
              </w:rPr>
              <w:t>75</w:t>
            </w:r>
            <w:r>
              <w:rPr>
                <w:rFonts w:hint="eastAsia"/>
                <w:sz w:val="24"/>
              </w:rPr>
              <w:t>kg/d；施工高峰期施工人员可达</w:t>
            </w:r>
            <w:r>
              <w:rPr>
                <w:sz w:val="24"/>
              </w:rPr>
              <w:t>2</w:t>
            </w:r>
            <w:r>
              <w:rPr>
                <w:rFonts w:hint="eastAsia"/>
                <w:sz w:val="24"/>
              </w:rPr>
              <w:t>00人，则项目施工高峰期生活垃圾产生量为</w:t>
            </w:r>
            <w:r>
              <w:rPr>
                <w:sz w:val="24"/>
              </w:rPr>
              <w:t>100</w:t>
            </w:r>
            <w:r>
              <w:rPr>
                <w:rFonts w:hint="eastAsia"/>
                <w:sz w:val="24"/>
              </w:rPr>
              <w:t>kg/d。收集后清运至山下城镇生活垃圾处置点。旱厕粪便定期委托周边村民运走作为农家肥使用。</w:t>
            </w:r>
          </w:p>
          <w:p>
            <w:pPr>
              <w:adjustRightInd w:val="0"/>
              <w:spacing w:line="360" w:lineRule="auto"/>
              <w:ind w:firstLine="480" w:firstLineChars="200"/>
              <w:rPr>
                <w:sz w:val="24"/>
              </w:rPr>
            </w:pPr>
            <w:r>
              <w:rPr>
                <w:rFonts w:hint="eastAsia"/>
                <w:sz w:val="24"/>
              </w:rPr>
              <w:t>综上，在项目施工期间，只要加强施工人员及施工过程的管理，规范固体废物的堆放与处置，并严格制定和执行施工条例，对于所产生的固体废物采取相应的处理措施，并对施工地点的原料堆放进行处理，通过采用加盖土工布等方式以防止雨季产生冲刷，则施工过程中固体废物产生的影响在一定程度上将大大降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Mar>
              <w:left w:w="28" w:type="dxa"/>
              <w:right w:w="28" w:type="dxa"/>
            </w:tcMar>
            <w:vAlign w:val="center"/>
          </w:tcPr>
          <w:p>
            <w:pPr>
              <w:pStyle w:val="38"/>
              <w:adjustRightInd w:val="0"/>
              <w:spacing w:before="0" w:beforeAutospacing="0" w:after="0" w:afterAutospacing="0"/>
              <w:jc w:val="center"/>
              <w:rPr>
                <w:rFonts w:cs="宋体"/>
                <w:bCs/>
                <w:sz w:val="21"/>
                <w:szCs w:val="21"/>
              </w:rPr>
            </w:pPr>
            <w:r>
              <w:rPr>
                <w:rFonts w:hint="eastAsia" w:cs="宋体"/>
                <w:bCs/>
                <w:sz w:val="21"/>
                <w:szCs w:val="21"/>
              </w:rPr>
              <w:t>运营期生态环境影响分析</w:t>
            </w:r>
          </w:p>
        </w:tc>
        <w:tc>
          <w:tcPr>
            <w:tcW w:w="8391" w:type="dxa"/>
          </w:tcPr>
          <w:p>
            <w:pPr>
              <w:adjustRightInd w:val="0"/>
              <w:spacing w:line="360" w:lineRule="auto"/>
              <w:rPr>
                <w:b/>
                <w:sz w:val="24"/>
              </w:rPr>
            </w:pPr>
            <w:r>
              <w:rPr>
                <w:b/>
                <w:sz w:val="24"/>
              </w:rPr>
              <w:t>1、</w:t>
            </w:r>
            <w:r>
              <w:rPr>
                <w:rFonts w:hint="eastAsia"/>
                <w:b/>
                <w:sz w:val="24"/>
              </w:rPr>
              <w:t>运营期</w:t>
            </w:r>
            <w:r>
              <w:rPr>
                <w:b/>
                <w:sz w:val="24"/>
              </w:rPr>
              <w:t>工艺流程简述及产污</w:t>
            </w:r>
            <w:r>
              <w:rPr>
                <w:rFonts w:hint="eastAsia"/>
                <w:b/>
                <w:sz w:val="24"/>
              </w:rPr>
              <w:t>工序</w:t>
            </w:r>
          </w:p>
          <w:p>
            <w:pPr>
              <w:adjustRightInd w:val="0"/>
              <w:spacing w:line="360" w:lineRule="auto"/>
              <w:ind w:firstLine="480" w:firstLineChars="200"/>
              <w:rPr>
                <w:sz w:val="24"/>
              </w:rPr>
            </w:pPr>
            <w:r>
              <w:rPr>
                <w:sz w:val="24"/>
              </w:rPr>
              <w:t>本项目属于太阳能光伏发电项目，是使用物理学的光生伏特效应（是一种量子效应）直接将太阳能光能转变为电能，太阳能光伏发电的优点是：没有运动部件，无噪声、无污染、模块化安装，建设周期短，避免长距离输电，可就近供电，是今后能源发展的重要方向。</w:t>
            </w:r>
          </w:p>
          <w:p>
            <w:pPr>
              <w:adjustRightInd w:val="0"/>
              <w:spacing w:line="360" w:lineRule="auto"/>
              <w:ind w:firstLine="480" w:firstLineChars="200"/>
              <w:rPr>
                <w:sz w:val="24"/>
              </w:rPr>
            </w:pPr>
            <w:r>
              <w:rPr>
                <w:sz w:val="24"/>
              </w:rPr>
              <w:t>本项目属清洁能源，运营期</w:t>
            </w:r>
            <w:r>
              <w:rPr>
                <w:rFonts w:hint="eastAsia"/>
                <w:sz w:val="24"/>
              </w:rPr>
              <w:t>工艺流程</w:t>
            </w:r>
            <w:r>
              <w:rPr>
                <w:sz w:val="24"/>
              </w:rPr>
              <w:t>如下图所示。</w:t>
            </w:r>
          </w:p>
          <w:p>
            <w:pPr>
              <w:adjustRightInd w:val="0"/>
              <w:jc w:val="center"/>
              <w:rPr>
                <w:sz w:val="24"/>
              </w:rPr>
            </w:pPr>
            <w:r>
              <w:object>
                <v:shape id="_x0000_i1026" o:spt="75" type="#_x0000_t75" style="height:158.05pt;width:410.5pt;" o:ole="t" filled="f" o:preferrelative="t" stroked="f" coordsize="21600,21600">
                  <v:path/>
                  <v:fill on="f" focussize="0,0"/>
                  <v:stroke on="f" joinstyle="miter"/>
                  <v:imagedata r:id="rId16" o:title=""/>
                  <o:lock v:ext="edit" aspectratio="t"/>
                  <w10:wrap type="none"/>
                  <w10:anchorlock/>
                </v:shape>
                <o:OLEObject Type="Embed" ProgID="Visio.Drawing.15" ShapeID="_x0000_i1026" DrawAspect="Content" ObjectID="_1468075726" r:id="rId15">
                  <o:LockedField>false</o:LockedField>
                </o:OLEObject>
              </w:object>
            </w:r>
          </w:p>
          <w:p>
            <w:pPr>
              <w:adjustRightInd w:val="0"/>
              <w:spacing w:line="360" w:lineRule="auto"/>
              <w:jc w:val="center"/>
              <w:rPr>
                <w:b/>
                <w:bCs/>
                <w:szCs w:val="21"/>
              </w:rPr>
            </w:pPr>
            <w:r>
              <w:rPr>
                <w:b/>
                <w:bCs/>
                <w:szCs w:val="21"/>
              </w:rPr>
              <w:t>图4-2</w:t>
            </w:r>
            <w:r>
              <w:rPr>
                <w:rFonts w:hint="eastAsia"/>
                <w:b/>
                <w:bCs/>
                <w:szCs w:val="21"/>
              </w:rPr>
              <w:t xml:space="preserve">  </w:t>
            </w:r>
            <w:r>
              <w:rPr>
                <w:b/>
                <w:bCs/>
                <w:szCs w:val="21"/>
              </w:rPr>
              <w:t>项目运营期工艺流程及产污节点图</w:t>
            </w:r>
          </w:p>
          <w:p>
            <w:pPr>
              <w:adjustRightInd w:val="0"/>
              <w:spacing w:line="360" w:lineRule="auto"/>
              <w:ind w:firstLine="480" w:firstLineChars="200"/>
              <w:jc w:val="left"/>
              <w:rPr>
                <w:sz w:val="24"/>
                <w:szCs w:val="28"/>
              </w:rPr>
            </w:pPr>
            <w:r>
              <w:rPr>
                <w:rFonts w:hint="eastAsia"/>
                <w:sz w:val="24"/>
                <w:szCs w:val="28"/>
              </w:rPr>
              <w:t>项目在运营期的主要污染工序见下表：</w:t>
            </w:r>
          </w:p>
          <w:p>
            <w:pPr>
              <w:adjustRightInd w:val="0"/>
              <w:jc w:val="center"/>
              <w:rPr>
                <w:b/>
                <w:szCs w:val="21"/>
              </w:rPr>
            </w:pPr>
            <w:r>
              <w:rPr>
                <w:rFonts w:hint="eastAsia"/>
                <w:b/>
                <w:szCs w:val="21"/>
              </w:rPr>
              <w:t>表</w:t>
            </w:r>
            <w:r>
              <w:rPr>
                <w:b/>
                <w:szCs w:val="21"/>
              </w:rPr>
              <w:t>4</w:t>
            </w:r>
            <w:r>
              <w:rPr>
                <w:rFonts w:hint="eastAsia"/>
                <w:b/>
                <w:szCs w:val="21"/>
              </w:rPr>
              <w:t>-</w:t>
            </w:r>
            <w:r>
              <w:rPr>
                <w:b/>
                <w:szCs w:val="21"/>
              </w:rPr>
              <w:t>4</w:t>
            </w:r>
            <w:r>
              <w:rPr>
                <w:rFonts w:hint="eastAsia"/>
                <w:b/>
                <w:szCs w:val="21"/>
              </w:rPr>
              <w:t xml:space="preserve">  主要污染工序一览表</w:t>
            </w:r>
          </w:p>
          <w:tbl>
            <w:tblPr>
              <w:tblStyle w:val="45"/>
              <w:tblW w:w="8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138"/>
              <w:gridCol w:w="2051"/>
              <w:gridCol w:w="3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Align w:val="center"/>
                </w:tcPr>
                <w:p>
                  <w:pPr>
                    <w:adjustRightInd w:val="0"/>
                    <w:jc w:val="center"/>
                    <w:rPr>
                      <w:b/>
                      <w:kern w:val="0"/>
                      <w:szCs w:val="21"/>
                    </w:rPr>
                  </w:pPr>
                  <w:r>
                    <w:rPr>
                      <w:rFonts w:hint="eastAsia"/>
                      <w:b/>
                      <w:kern w:val="0"/>
                      <w:szCs w:val="21"/>
                    </w:rPr>
                    <w:t>时段</w:t>
                  </w:r>
                </w:p>
              </w:tc>
              <w:tc>
                <w:tcPr>
                  <w:tcW w:w="1138" w:type="dxa"/>
                  <w:vAlign w:val="center"/>
                </w:tcPr>
                <w:p>
                  <w:pPr>
                    <w:adjustRightInd w:val="0"/>
                    <w:jc w:val="center"/>
                    <w:rPr>
                      <w:b/>
                      <w:kern w:val="0"/>
                      <w:szCs w:val="21"/>
                    </w:rPr>
                  </w:pPr>
                  <w:r>
                    <w:rPr>
                      <w:rFonts w:hint="eastAsia"/>
                      <w:b/>
                      <w:kern w:val="0"/>
                      <w:szCs w:val="21"/>
                    </w:rPr>
                    <w:t>污染类别</w:t>
                  </w:r>
                </w:p>
              </w:tc>
              <w:tc>
                <w:tcPr>
                  <w:tcW w:w="2051" w:type="dxa"/>
                  <w:vAlign w:val="center"/>
                </w:tcPr>
                <w:p>
                  <w:pPr>
                    <w:adjustRightInd w:val="0"/>
                    <w:jc w:val="center"/>
                    <w:rPr>
                      <w:b/>
                      <w:kern w:val="0"/>
                      <w:szCs w:val="21"/>
                    </w:rPr>
                  </w:pPr>
                  <w:r>
                    <w:rPr>
                      <w:rFonts w:hint="eastAsia"/>
                      <w:b/>
                      <w:kern w:val="0"/>
                      <w:szCs w:val="21"/>
                    </w:rPr>
                    <w:t>污染源</w:t>
                  </w:r>
                </w:p>
              </w:tc>
              <w:tc>
                <w:tcPr>
                  <w:tcW w:w="3718" w:type="dxa"/>
                  <w:vAlign w:val="center"/>
                </w:tcPr>
                <w:p>
                  <w:pPr>
                    <w:adjustRightInd w:val="0"/>
                    <w:jc w:val="center"/>
                    <w:rPr>
                      <w:b/>
                      <w:kern w:val="0"/>
                      <w:szCs w:val="21"/>
                    </w:rPr>
                  </w:pPr>
                  <w:r>
                    <w:rPr>
                      <w:rFonts w:hint="eastAsia"/>
                      <w:b/>
                      <w:kern w:val="0"/>
                      <w:szCs w:val="21"/>
                    </w:rPr>
                    <w:t>主要污染因子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Merge w:val="restart"/>
                  <w:vAlign w:val="center"/>
                </w:tcPr>
                <w:p>
                  <w:pPr>
                    <w:adjustRightInd w:val="0"/>
                    <w:jc w:val="center"/>
                    <w:rPr>
                      <w:kern w:val="0"/>
                      <w:szCs w:val="21"/>
                    </w:rPr>
                  </w:pPr>
                  <w:r>
                    <w:rPr>
                      <w:rFonts w:hint="eastAsia"/>
                      <w:kern w:val="0"/>
                      <w:szCs w:val="21"/>
                    </w:rPr>
                    <w:t>运营期</w:t>
                  </w:r>
                </w:p>
              </w:tc>
              <w:tc>
                <w:tcPr>
                  <w:tcW w:w="1138" w:type="dxa"/>
                  <w:vMerge w:val="restart"/>
                  <w:vAlign w:val="center"/>
                </w:tcPr>
                <w:p>
                  <w:pPr>
                    <w:adjustRightInd w:val="0"/>
                    <w:jc w:val="center"/>
                    <w:rPr>
                      <w:kern w:val="0"/>
                      <w:szCs w:val="21"/>
                    </w:rPr>
                  </w:pPr>
                  <w:r>
                    <w:rPr>
                      <w:rFonts w:hint="eastAsia"/>
                      <w:kern w:val="0"/>
                      <w:szCs w:val="21"/>
                    </w:rPr>
                    <w:t>废水</w:t>
                  </w:r>
                </w:p>
              </w:tc>
              <w:tc>
                <w:tcPr>
                  <w:tcW w:w="2051" w:type="dxa"/>
                  <w:vAlign w:val="center"/>
                </w:tcPr>
                <w:p>
                  <w:pPr>
                    <w:adjustRightInd w:val="0"/>
                    <w:jc w:val="center"/>
                    <w:rPr>
                      <w:kern w:val="0"/>
                      <w:szCs w:val="21"/>
                    </w:rPr>
                  </w:pPr>
                  <w:r>
                    <w:rPr>
                      <w:rFonts w:hint="eastAsia"/>
                      <w:kern w:val="0"/>
                      <w:szCs w:val="21"/>
                    </w:rPr>
                    <w:t>电池组件清洗废水</w:t>
                  </w:r>
                </w:p>
              </w:tc>
              <w:tc>
                <w:tcPr>
                  <w:tcW w:w="3718" w:type="dxa"/>
                  <w:vAlign w:val="center"/>
                </w:tcPr>
                <w:p>
                  <w:pPr>
                    <w:adjustRightInd w:val="0"/>
                    <w:jc w:val="center"/>
                    <w:rPr>
                      <w:kern w:val="0"/>
                      <w:szCs w:val="21"/>
                    </w:rPr>
                  </w:pPr>
                  <w:r>
                    <w:rPr>
                      <w:rFonts w:hint="eastAsia"/>
                      <w:kern w:val="0"/>
                      <w:szCs w:val="21"/>
                    </w:rPr>
                    <w:t>S</w:t>
                  </w:r>
                  <w:r>
                    <w:rPr>
                      <w:kern w:val="0"/>
                      <w:szCs w:val="21"/>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Merge w:val="continue"/>
                  <w:vAlign w:val="center"/>
                </w:tcPr>
                <w:p>
                  <w:pPr>
                    <w:adjustRightInd w:val="0"/>
                    <w:jc w:val="center"/>
                    <w:rPr>
                      <w:kern w:val="0"/>
                      <w:sz w:val="20"/>
                      <w:szCs w:val="21"/>
                    </w:rPr>
                  </w:pPr>
                </w:p>
              </w:tc>
              <w:tc>
                <w:tcPr>
                  <w:tcW w:w="1138" w:type="dxa"/>
                  <w:vMerge w:val="continue"/>
                  <w:vAlign w:val="center"/>
                </w:tcPr>
                <w:p>
                  <w:pPr>
                    <w:adjustRightInd w:val="0"/>
                    <w:jc w:val="center"/>
                    <w:rPr>
                      <w:kern w:val="0"/>
                      <w:sz w:val="20"/>
                      <w:szCs w:val="21"/>
                    </w:rPr>
                  </w:pPr>
                </w:p>
              </w:tc>
              <w:tc>
                <w:tcPr>
                  <w:tcW w:w="2051" w:type="dxa"/>
                  <w:vAlign w:val="center"/>
                </w:tcPr>
                <w:p>
                  <w:pPr>
                    <w:adjustRightInd w:val="0"/>
                    <w:jc w:val="center"/>
                    <w:rPr>
                      <w:kern w:val="0"/>
                      <w:sz w:val="20"/>
                      <w:szCs w:val="21"/>
                    </w:rPr>
                  </w:pPr>
                  <w:r>
                    <w:rPr>
                      <w:rFonts w:hint="eastAsia"/>
                      <w:kern w:val="0"/>
                      <w:szCs w:val="21"/>
                    </w:rPr>
                    <w:t>生活污水</w:t>
                  </w:r>
                </w:p>
              </w:tc>
              <w:tc>
                <w:tcPr>
                  <w:tcW w:w="3718" w:type="dxa"/>
                  <w:vAlign w:val="center"/>
                </w:tcPr>
                <w:p>
                  <w:pPr>
                    <w:adjustRightInd w:val="0"/>
                    <w:jc w:val="center"/>
                    <w:rPr>
                      <w:kern w:val="0"/>
                      <w:sz w:val="20"/>
                      <w:szCs w:val="21"/>
                    </w:rPr>
                  </w:pPr>
                  <w:r>
                    <w:rPr>
                      <w:rFonts w:hint="eastAsia"/>
                      <w:kern w:val="0"/>
                      <w:szCs w:val="21"/>
                    </w:rPr>
                    <w:t>COD、NH</w:t>
                  </w:r>
                  <w:r>
                    <w:rPr>
                      <w:rFonts w:hint="eastAsia"/>
                      <w:kern w:val="0"/>
                      <w:szCs w:val="21"/>
                      <w:vertAlign w:val="subscript"/>
                    </w:rPr>
                    <w:t>3</w:t>
                  </w:r>
                  <w:r>
                    <w:rPr>
                      <w:rFonts w:hint="eastAsia"/>
                      <w:kern w:val="0"/>
                      <w:szCs w:val="21"/>
                    </w:rPr>
                    <w:t>-N、SS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Merge w:val="continue"/>
                  <w:vAlign w:val="center"/>
                </w:tcPr>
                <w:p>
                  <w:pPr>
                    <w:adjustRightInd w:val="0"/>
                    <w:jc w:val="center"/>
                    <w:rPr>
                      <w:kern w:val="0"/>
                      <w:szCs w:val="21"/>
                    </w:rPr>
                  </w:pPr>
                </w:p>
              </w:tc>
              <w:tc>
                <w:tcPr>
                  <w:tcW w:w="1138" w:type="dxa"/>
                  <w:vAlign w:val="center"/>
                </w:tcPr>
                <w:p>
                  <w:pPr>
                    <w:adjustRightInd w:val="0"/>
                    <w:jc w:val="center"/>
                    <w:rPr>
                      <w:kern w:val="0"/>
                      <w:szCs w:val="21"/>
                    </w:rPr>
                  </w:pPr>
                  <w:r>
                    <w:rPr>
                      <w:rFonts w:hint="eastAsia"/>
                      <w:kern w:val="0"/>
                      <w:szCs w:val="21"/>
                    </w:rPr>
                    <w:t>噪声</w:t>
                  </w:r>
                </w:p>
              </w:tc>
              <w:tc>
                <w:tcPr>
                  <w:tcW w:w="2051" w:type="dxa"/>
                  <w:vAlign w:val="center"/>
                </w:tcPr>
                <w:p>
                  <w:pPr>
                    <w:adjustRightInd w:val="0"/>
                    <w:jc w:val="center"/>
                    <w:rPr>
                      <w:kern w:val="0"/>
                      <w:szCs w:val="21"/>
                    </w:rPr>
                  </w:pPr>
                  <w:r>
                    <w:rPr>
                      <w:rFonts w:hint="eastAsia"/>
                      <w:kern w:val="0"/>
                      <w:szCs w:val="21"/>
                    </w:rPr>
                    <w:t>逆变器、变压器</w:t>
                  </w:r>
                </w:p>
              </w:tc>
              <w:tc>
                <w:tcPr>
                  <w:tcW w:w="3718" w:type="dxa"/>
                  <w:vAlign w:val="center"/>
                </w:tcPr>
                <w:p>
                  <w:pPr>
                    <w:adjustRightInd w:val="0"/>
                    <w:jc w:val="center"/>
                    <w:rPr>
                      <w:kern w:val="0"/>
                      <w:szCs w:val="21"/>
                    </w:rPr>
                  </w:pPr>
                  <w:r>
                    <w:rPr>
                      <w:rFonts w:hint="eastAsia"/>
                      <w:kern w:val="0"/>
                      <w:szCs w:val="21"/>
                    </w:rPr>
                    <w:t>运行噪声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Merge w:val="continue"/>
                  <w:vAlign w:val="center"/>
                </w:tcPr>
                <w:p>
                  <w:pPr>
                    <w:adjustRightInd w:val="0"/>
                    <w:jc w:val="center"/>
                    <w:rPr>
                      <w:kern w:val="0"/>
                      <w:szCs w:val="21"/>
                    </w:rPr>
                  </w:pPr>
                </w:p>
              </w:tc>
              <w:tc>
                <w:tcPr>
                  <w:tcW w:w="1138" w:type="dxa"/>
                  <w:vMerge w:val="restart"/>
                  <w:vAlign w:val="center"/>
                </w:tcPr>
                <w:p>
                  <w:pPr>
                    <w:adjustRightInd w:val="0"/>
                    <w:jc w:val="center"/>
                    <w:rPr>
                      <w:kern w:val="0"/>
                      <w:szCs w:val="21"/>
                    </w:rPr>
                  </w:pPr>
                  <w:r>
                    <w:rPr>
                      <w:rFonts w:hint="eastAsia"/>
                      <w:kern w:val="0"/>
                      <w:szCs w:val="21"/>
                    </w:rPr>
                    <w:t>固废</w:t>
                  </w:r>
                </w:p>
              </w:tc>
              <w:tc>
                <w:tcPr>
                  <w:tcW w:w="2051" w:type="dxa"/>
                  <w:vAlign w:val="center"/>
                </w:tcPr>
                <w:p>
                  <w:pPr>
                    <w:adjustRightInd w:val="0"/>
                    <w:jc w:val="center"/>
                    <w:rPr>
                      <w:kern w:val="0"/>
                      <w:szCs w:val="21"/>
                    </w:rPr>
                  </w:pPr>
                  <w:r>
                    <w:rPr>
                      <w:rFonts w:hint="eastAsia"/>
                      <w:kern w:val="0"/>
                      <w:szCs w:val="21"/>
                    </w:rPr>
                    <w:t>电站运营</w:t>
                  </w:r>
                </w:p>
              </w:tc>
              <w:tc>
                <w:tcPr>
                  <w:tcW w:w="3718" w:type="dxa"/>
                  <w:vAlign w:val="center"/>
                </w:tcPr>
                <w:p>
                  <w:pPr>
                    <w:adjustRightInd w:val="0"/>
                    <w:jc w:val="center"/>
                    <w:rPr>
                      <w:kern w:val="0"/>
                      <w:szCs w:val="21"/>
                    </w:rPr>
                  </w:pPr>
                  <w:r>
                    <w:rPr>
                      <w:rFonts w:hint="eastAsia"/>
                      <w:kern w:val="0"/>
                      <w:szCs w:val="21"/>
                    </w:rPr>
                    <w:t>废电池板组件、废矿物油、废蓄电池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Merge w:val="continue"/>
                  <w:vAlign w:val="center"/>
                </w:tcPr>
                <w:p>
                  <w:pPr>
                    <w:adjustRightInd w:val="0"/>
                    <w:jc w:val="center"/>
                    <w:rPr>
                      <w:kern w:val="0"/>
                      <w:sz w:val="20"/>
                      <w:szCs w:val="21"/>
                    </w:rPr>
                  </w:pPr>
                </w:p>
              </w:tc>
              <w:tc>
                <w:tcPr>
                  <w:tcW w:w="1138" w:type="dxa"/>
                  <w:vMerge w:val="continue"/>
                  <w:vAlign w:val="center"/>
                </w:tcPr>
                <w:p>
                  <w:pPr>
                    <w:adjustRightInd w:val="0"/>
                    <w:jc w:val="center"/>
                    <w:rPr>
                      <w:kern w:val="0"/>
                      <w:sz w:val="20"/>
                      <w:szCs w:val="21"/>
                    </w:rPr>
                  </w:pPr>
                </w:p>
              </w:tc>
              <w:tc>
                <w:tcPr>
                  <w:tcW w:w="2051" w:type="dxa"/>
                  <w:vAlign w:val="center"/>
                </w:tcPr>
                <w:p>
                  <w:pPr>
                    <w:adjustRightInd w:val="0"/>
                    <w:jc w:val="center"/>
                    <w:rPr>
                      <w:kern w:val="0"/>
                      <w:sz w:val="20"/>
                      <w:szCs w:val="21"/>
                    </w:rPr>
                  </w:pPr>
                  <w:r>
                    <w:rPr>
                      <w:rFonts w:hint="eastAsia"/>
                      <w:kern w:val="0"/>
                      <w:szCs w:val="22"/>
                    </w:rPr>
                    <w:t>生活区</w:t>
                  </w:r>
                </w:p>
              </w:tc>
              <w:tc>
                <w:tcPr>
                  <w:tcW w:w="3718" w:type="dxa"/>
                  <w:vAlign w:val="center"/>
                </w:tcPr>
                <w:p>
                  <w:pPr>
                    <w:adjustRightInd w:val="0"/>
                    <w:jc w:val="center"/>
                    <w:rPr>
                      <w:kern w:val="0"/>
                      <w:sz w:val="20"/>
                      <w:szCs w:val="21"/>
                    </w:rPr>
                  </w:pPr>
                  <w:r>
                    <w:rPr>
                      <w:rFonts w:hint="eastAsia"/>
                      <w:kern w:val="0"/>
                      <w:szCs w:val="22"/>
                    </w:rPr>
                    <w:t>生活垃圾、污泥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Merge w:val="continue"/>
                  <w:vAlign w:val="center"/>
                </w:tcPr>
                <w:p>
                  <w:pPr>
                    <w:adjustRightInd w:val="0"/>
                    <w:jc w:val="center"/>
                    <w:rPr>
                      <w:kern w:val="0"/>
                      <w:szCs w:val="21"/>
                    </w:rPr>
                  </w:pPr>
                </w:p>
              </w:tc>
              <w:tc>
                <w:tcPr>
                  <w:tcW w:w="1138" w:type="dxa"/>
                  <w:vAlign w:val="center"/>
                </w:tcPr>
                <w:p>
                  <w:pPr>
                    <w:adjustRightInd w:val="0"/>
                    <w:jc w:val="center"/>
                    <w:rPr>
                      <w:kern w:val="0"/>
                      <w:szCs w:val="21"/>
                    </w:rPr>
                  </w:pPr>
                  <w:r>
                    <w:rPr>
                      <w:rFonts w:hint="eastAsia"/>
                      <w:kern w:val="0"/>
                      <w:szCs w:val="21"/>
                    </w:rPr>
                    <w:t>光污染</w:t>
                  </w:r>
                </w:p>
              </w:tc>
              <w:tc>
                <w:tcPr>
                  <w:tcW w:w="2051" w:type="dxa"/>
                  <w:vAlign w:val="center"/>
                </w:tcPr>
                <w:p>
                  <w:pPr>
                    <w:adjustRightInd w:val="0"/>
                    <w:jc w:val="center"/>
                    <w:rPr>
                      <w:kern w:val="0"/>
                      <w:szCs w:val="21"/>
                    </w:rPr>
                  </w:pPr>
                  <w:r>
                    <w:rPr>
                      <w:rFonts w:hint="eastAsia"/>
                      <w:kern w:val="0"/>
                      <w:szCs w:val="21"/>
                    </w:rPr>
                    <w:t>太阳电池板</w:t>
                  </w:r>
                </w:p>
              </w:tc>
              <w:tc>
                <w:tcPr>
                  <w:tcW w:w="3718" w:type="dxa"/>
                  <w:vAlign w:val="center"/>
                </w:tcPr>
                <w:p>
                  <w:pPr>
                    <w:adjustRightInd w:val="0"/>
                    <w:jc w:val="center"/>
                    <w:rPr>
                      <w:kern w:val="0"/>
                      <w:szCs w:val="21"/>
                    </w:rPr>
                  </w:pPr>
                  <w:r>
                    <w:rPr>
                      <w:rFonts w:hint="eastAsia"/>
                      <w:kern w:val="0"/>
                      <w:szCs w:val="21"/>
                    </w:rPr>
                    <w:t>反射光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248" w:type="dxa"/>
                  <w:vMerge w:val="continue"/>
                  <w:vAlign w:val="center"/>
                </w:tcPr>
                <w:p>
                  <w:pPr>
                    <w:adjustRightInd w:val="0"/>
                    <w:jc w:val="center"/>
                    <w:rPr>
                      <w:kern w:val="0"/>
                      <w:szCs w:val="21"/>
                    </w:rPr>
                  </w:pPr>
                </w:p>
              </w:tc>
              <w:tc>
                <w:tcPr>
                  <w:tcW w:w="1138" w:type="dxa"/>
                  <w:vAlign w:val="center"/>
                </w:tcPr>
                <w:p>
                  <w:pPr>
                    <w:adjustRightInd w:val="0"/>
                    <w:jc w:val="center"/>
                    <w:rPr>
                      <w:kern w:val="0"/>
                      <w:szCs w:val="21"/>
                    </w:rPr>
                  </w:pPr>
                  <w:r>
                    <w:rPr>
                      <w:rFonts w:hint="eastAsia"/>
                      <w:kern w:val="0"/>
                      <w:szCs w:val="21"/>
                    </w:rPr>
                    <w:t>生态</w:t>
                  </w:r>
                </w:p>
              </w:tc>
              <w:tc>
                <w:tcPr>
                  <w:tcW w:w="5769" w:type="dxa"/>
                  <w:gridSpan w:val="2"/>
                  <w:vAlign w:val="center"/>
                </w:tcPr>
                <w:p>
                  <w:pPr>
                    <w:adjustRightInd w:val="0"/>
                    <w:jc w:val="center"/>
                    <w:rPr>
                      <w:kern w:val="0"/>
                      <w:szCs w:val="21"/>
                    </w:rPr>
                  </w:pPr>
                  <w:r>
                    <w:rPr>
                      <w:rFonts w:hint="eastAsia"/>
                      <w:kern w:val="0"/>
                      <w:szCs w:val="21"/>
                    </w:rPr>
                    <w:t>影响植被生长、景观影响</w:t>
                  </w:r>
                </w:p>
              </w:tc>
            </w:tr>
          </w:tbl>
          <w:p>
            <w:pPr>
              <w:adjustRightInd w:val="0"/>
              <w:spacing w:line="360" w:lineRule="auto"/>
              <w:rPr>
                <w:b/>
                <w:bCs/>
                <w:sz w:val="24"/>
              </w:rPr>
            </w:pPr>
            <w:r>
              <w:rPr>
                <w:b/>
                <w:bCs/>
                <w:sz w:val="24"/>
              </w:rPr>
              <w:t>2、</w:t>
            </w:r>
            <w:r>
              <w:rPr>
                <w:rFonts w:hint="eastAsia"/>
                <w:b/>
                <w:bCs/>
                <w:sz w:val="24"/>
              </w:rPr>
              <w:t>运营</w:t>
            </w:r>
            <w:r>
              <w:rPr>
                <w:b/>
                <w:bCs/>
                <w:sz w:val="24"/>
              </w:rPr>
              <w:t>期环境影响</w:t>
            </w:r>
            <w:r>
              <w:rPr>
                <w:rFonts w:hint="eastAsia"/>
                <w:b/>
                <w:bCs/>
                <w:sz w:val="24"/>
              </w:rPr>
              <w:t>分析</w:t>
            </w:r>
          </w:p>
          <w:p>
            <w:pPr>
              <w:adjustRightInd w:val="0"/>
              <w:spacing w:line="360" w:lineRule="auto"/>
              <w:ind w:firstLine="482" w:firstLineChars="200"/>
              <w:rPr>
                <w:b/>
                <w:bCs/>
                <w:sz w:val="24"/>
              </w:rPr>
            </w:pPr>
            <w:r>
              <w:rPr>
                <w:rFonts w:hint="eastAsia"/>
                <w:b/>
                <w:bCs/>
                <w:sz w:val="24"/>
              </w:rPr>
              <w:t>（1）生态环境</w:t>
            </w:r>
          </w:p>
          <w:p>
            <w:pPr>
              <w:adjustRightInd w:val="0"/>
              <w:spacing w:line="360" w:lineRule="auto"/>
              <w:ind w:firstLine="480" w:firstLineChars="200"/>
              <w:rPr>
                <w:sz w:val="24"/>
                <w:szCs w:val="28"/>
              </w:rPr>
            </w:pPr>
            <w:bookmarkStart w:id="52" w:name="_Toc117998045"/>
            <w:r>
              <w:rPr>
                <w:sz w:val="24"/>
              </w:rPr>
              <w:t>1）</w:t>
            </w:r>
            <w:r>
              <w:rPr>
                <w:sz w:val="24"/>
                <w:szCs w:val="28"/>
              </w:rPr>
              <w:t>对陆</w:t>
            </w:r>
            <w:r>
              <w:rPr>
                <w:rFonts w:hint="eastAsia"/>
                <w:sz w:val="24"/>
                <w:szCs w:val="28"/>
              </w:rPr>
              <w:t>生生态环境的影响</w:t>
            </w:r>
          </w:p>
          <w:p>
            <w:pPr>
              <w:adjustRightInd w:val="0"/>
              <w:spacing w:line="360" w:lineRule="auto"/>
              <w:ind w:firstLine="480" w:firstLineChars="200"/>
              <w:rPr>
                <w:sz w:val="24"/>
              </w:rPr>
            </w:pPr>
            <w:r>
              <w:rPr>
                <w:rFonts w:hint="eastAsia"/>
                <w:sz w:val="24"/>
              </w:rPr>
              <w:t>①对植物的影响</w:t>
            </w:r>
          </w:p>
          <w:p>
            <w:pPr>
              <w:autoSpaceDE w:val="0"/>
              <w:autoSpaceDN w:val="0"/>
              <w:adjustRightInd w:val="0"/>
              <w:spacing w:line="360" w:lineRule="auto"/>
              <w:ind w:firstLine="480" w:firstLineChars="200"/>
              <w:rPr>
                <w:kern w:val="0"/>
                <w:sz w:val="24"/>
              </w:rPr>
            </w:pPr>
            <w:r>
              <w:rPr>
                <w:rFonts w:hint="eastAsia"/>
                <w:kern w:val="0"/>
                <w:sz w:val="24"/>
              </w:rPr>
              <w:t>由于光伏电站只设置在光照充足且日照强烈的阳坡，阴坡上的植被大部分将得以保存，电池板由于不直接接触地面，板下的稍耐阴植物会因斜射光及散射光的照射部分得以恢复。项目安装大量的太阳能光伏组件，受太阳能光伏组件遮挡，喜阳的禾本科植物将受到较大的不利影响；而对耐阴植物来说，影响不是很大；对喜阴植物来说，由于适宜生境的增加，在一定程度上，其个体数量将会增加。</w:t>
            </w:r>
          </w:p>
          <w:p>
            <w:pPr>
              <w:autoSpaceDE w:val="0"/>
              <w:autoSpaceDN w:val="0"/>
              <w:adjustRightInd w:val="0"/>
              <w:spacing w:line="360" w:lineRule="auto"/>
              <w:ind w:firstLine="480" w:firstLineChars="200"/>
              <w:rPr>
                <w:kern w:val="0"/>
                <w:sz w:val="24"/>
              </w:rPr>
            </w:pPr>
            <w:r>
              <w:rPr>
                <w:rFonts w:hint="eastAsia"/>
                <w:bCs/>
                <w:sz w:val="24"/>
              </w:rPr>
              <w:t>本项目占地区域主要为荒草坡，</w:t>
            </w:r>
            <w:r>
              <w:rPr>
                <w:rFonts w:hint="eastAsia"/>
                <w:kern w:val="0"/>
                <w:sz w:val="24"/>
              </w:rPr>
              <w:t>光伏组件最低点高于现有植被1</w:t>
            </w:r>
            <w:r>
              <w:rPr>
                <w:kern w:val="0"/>
                <w:sz w:val="24"/>
              </w:rPr>
              <w:t>m</w:t>
            </w:r>
            <w:r>
              <w:rPr>
                <w:rFonts w:hint="eastAsia"/>
                <w:kern w:val="0"/>
                <w:sz w:val="24"/>
              </w:rPr>
              <w:t>以上，</w:t>
            </w:r>
            <w:r>
              <w:rPr>
                <w:rFonts w:hint="eastAsia"/>
                <w:bCs/>
                <w:sz w:val="24"/>
              </w:rPr>
              <w:t>能满足下方植被的采光需求，除光伏桩基用地外，不硬化地面、不破坏原有植被，施工完成后及时对扰动区域进行植被恢复。</w:t>
            </w:r>
          </w:p>
          <w:p>
            <w:pPr>
              <w:autoSpaceDE w:val="0"/>
              <w:autoSpaceDN w:val="0"/>
              <w:adjustRightInd w:val="0"/>
              <w:spacing w:line="360" w:lineRule="auto"/>
              <w:ind w:firstLine="480" w:firstLineChars="200"/>
              <w:rPr>
                <w:kern w:val="0"/>
                <w:sz w:val="24"/>
              </w:rPr>
            </w:pPr>
            <w:r>
              <w:rPr>
                <w:bCs/>
                <w:kern w:val="0"/>
                <w:sz w:val="24"/>
              </w:rPr>
              <w:t>采取以上措施后，能最大限度的减少工程建设对</w:t>
            </w:r>
            <w:r>
              <w:rPr>
                <w:rFonts w:hint="eastAsia"/>
                <w:bCs/>
                <w:kern w:val="0"/>
                <w:sz w:val="24"/>
              </w:rPr>
              <w:t>光伏区域</w:t>
            </w:r>
            <w:r>
              <w:rPr>
                <w:bCs/>
                <w:kern w:val="0"/>
                <w:sz w:val="24"/>
              </w:rPr>
              <w:t>植被的影响，不会对区域</w:t>
            </w:r>
            <w:r>
              <w:rPr>
                <w:rFonts w:hint="eastAsia"/>
                <w:bCs/>
                <w:kern w:val="0"/>
                <w:sz w:val="24"/>
              </w:rPr>
              <w:t>外植被造成破坏影响，对地表植被影响较小。</w:t>
            </w:r>
          </w:p>
          <w:p>
            <w:pPr>
              <w:autoSpaceDE w:val="0"/>
              <w:autoSpaceDN w:val="0"/>
              <w:adjustRightInd w:val="0"/>
              <w:spacing w:line="360" w:lineRule="auto"/>
              <w:ind w:firstLine="480" w:firstLineChars="200"/>
              <w:rPr>
                <w:kern w:val="0"/>
                <w:sz w:val="24"/>
              </w:rPr>
            </w:pPr>
            <w:r>
              <w:rPr>
                <w:rFonts w:hint="eastAsia" w:ascii="宋体" w:hAnsi="宋体"/>
                <w:kern w:val="0"/>
                <w:sz w:val="24"/>
              </w:rPr>
              <w:t>②</w:t>
            </w:r>
            <w:r>
              <w:rPr>
                <w:rFonts w:hint="eastAsia"/>
                <w:kern w:val="0"/>
                <w:sz w:val="24"/>
              </w:rPr>
              <w:t>对动物的影响</w:t>
            </w:r>
          </w:p>
          <w:p>
            <w:pPr>
              <w:autoSpaceDE w:val="0"/>
              <w:autoSpaceDN w:val="0"/>
              <w:adjustRightInd w:val="0"/>
              <w:spacing w:line="360" w:lineRule="auto"/>
              <w:ind w:firstLine="480" w:firstLineChars="200"/>
              <w:rPr>
                <w:kern w:val="0"/>
                <w:sz w:val="24"/>
              </w:rPr>
            </w:pPr>
            <w:r>
              <w:rPr>
                <w:rFonts w:hint="eastAsia"/>
                <w:kern w:val="0"/>
                <w:sz w:val="24"/>
              </w:rPr>
              <w:t>项目建成后</w:t>
            </w:r>
            <w:r>
              <w:rPr>
                <w:kern w:val="0"/>
                <w:sz w:val="24"/>
              </w:rPr>
              <w:t>对</w:t>
            </w:r>
            <w:r>
              <w:rPr>
                <w:rFonts w:hint="eastAsia"/>
                <w:kern w:val="0"/>
                <w:sz w:val="24"/>
              </w:rPr>
              <w:t>动物的影响主要表现在</w:t>
            </w:r>
            <w:r>
              <w:rPr>
                <w:kern w:val="0"/>
                <w:sz w:val="24"/>
              </w:rPr>
              <w:t>项目运营期间</w:t>
            </w:r>
            <w:r>
              <w:rPr>
                <w:rFonts w:hint="eastAsia"/>
                <w:kern w:val="0"/>
                <w:sz w:val="24"/>
              </w:rPr>
              <w:t>光伏阵列的占地</w:t>
            </w:r>
            <w:r>
              <w:rPr>
                <w:kern w:val="0"/>
                <w:sz w:val="24"/>
              </w:rPr>
              <w:t>影响</w:t>
            </w:r>
            <w:r>
              <w:rPr>
                <w:rFonts w:hint="eastAsia"/>
                <w:kern w:val="0"/>
                <w:sz w:val="24"/>
              </w:rPr>
              <w:t>，项目区内及周边动物</w:t>
            </w:r>
            <w:r>
              <w:rPr>
                <w:kern w:val="0"/>
                <w:sz w:val="24"/>
              </w:rPr>
              <w:t>活动和交流，野生动物分布的种类和数量将会减少。但</w:t>
            </w:r>
            <w:r>
              <w:rPr>
                <w:rFonts w:hint="eastAsia"/>
                <w:kern w:val="0"/>
                <w:sz w:val="24"/>
              </w:rPr>
              <w:t>项目</w:t>
            </w:r>
            <w:r>
              <w:rPr>
                <w:kern w:val="0"/>
                <w:sz w:val="24"/>
              </w:rPr>
              <w:t>周围附近适宜生境较多，因此，项目运行不会对小型兽类和爬行类动物产生明显的不利影响。</w:t>
            </w:r>
          </w:p>
          <w:bookmarkEnd w:id="52"/>
          <w:p>
            <w:pPr>
              <w:adjustRightInd w:val="0"/>
              <w:spacing w:line="360" w:lineRule="auto"/>
              <w:ind w:firstLine="480" w:firstLineChars="200"/>
              <w:rPr>
                <w:sz w:val="24"/>
              </w:rPr>
            </w:pPr>
            <w:r>
              <w:rPr>
                <w:sz w:val="24"/>
              </w:rPr>
              <w:t>2）景观影响分析</w:t>
            </w:r>
          </w:p>
          <w:p>
            <w:pPr>
              <w:adjustRightInd w:val="0"/>
              <w:spacing w:line="360" w:lineRule="auto"/>
              <w:ind w:firstLine="480" w:firstLineChars="200"/>
              <w:rPr>
                <w:sz w:val="24"/>
              </w:rPr>
            </w:pPr>
            <w:r>
              <w:rPr>
                <w:rFonts w:hint="eastAsia"/>
                <w:sz w:val="24"/>
              </w:rPr>
              <w:t>项目建设完成后，安装大量的太阳能电池组件，占地面积较大，且颜色、样式单一，改变了原有的生态景观，造成区域视觉景观破坏。项目在设计光伏组件的布局时，在满足设计要求的同时，尽量依山势布置，以减少对景观在形态上的影响。项目周边没有自然风景区及风景名胜区等环境敏感点，周边均为山体及耕地，居民住户距离项目也较远，故项目运营期间产生的视觉景观破坏不会对各景点产生景观影响，对项目周边影响也较小，其影响在可接受范围内。</w:t>
            </w:r>
          </w:p>
          <w:p>
            <w:pPr>
              <w:adjustRightInd w:val="0"/>
              <w:spacing w:line="360" w:lineRule="auto"/>
              <w:ind w:firstLine="480" w:firstLineChars="200"/>
              <w:rPr>
                <w:bCs/>
                <w:sz w:val="24"/>
              </w:rPr>
            </w:pPr>
            <w:r>
              <w:rPr>
                <w:rFonts w:hint="eastAsia"/>
                <w:bCs/>
                <w:sz w:val="24"/>
              </w:rPr>
              <w:t>3）水土流失影响</w:t>
            </w:r>
          </w:p>
          <w:p>
            <w:pPr>
              <w:adjustRightInd w:val="0"/>
              <w:spacing w:line="360" w:lineRule="auto"/>
              <w:ind w:firstLine="480" w:firstLineChars="200"/>
              <w:rPr>
                <w:bCs/>
                <w:sz w:val="24"/>
              </w:rPr>
            </w:pPr>
            <w:r>
              <w:rPr>
                <w:rFonts w:hint="eastAsia"/>
                <w:bCs/>
                <w:sz w:val="24"/>
              </w:rPr>
              <w:t>项目投入运行后，其水土流失防护工程也完成并开始发挥作用，可有效控制项目建设引起的水土流失。光伏板区域采取种植植物措施，临时占地范围内的植被恢复一般在3年内才能逐步稳定，达到较好的水土保持效果。在水土保持工程和植物措施有效发挥作用后，项目区内的水土流失可得到完全控制，项目建设区的水土流失可达到轻度以下水平，工程建设造成的水土流失可得到基本治理，并使工程占地区域内水土流失状况得到明显改善。因此，项目运营期不会引起不良的水土流失。</w:t>
            </w:r>
          </w:p>
          <w:p>
            <w:pPr>
              <w:adjustRightInd w:val="0"/>
              <w:spacing w:line="360" w:lineRule="auto"/>
              <w:ind w:firstLine="480" w:firstLineChars="200"/>
              <w:rPr>
                <w:sz w:val="24"/>
              </w:rPr>
            </w:pPr>
            <w:r>
              <w:rPr>
                <w:sz w:val="24"/>
              </w:rPr>
              <w:t>4</w:t>
            </w:r>
            <w:r>
              <w:rPr>
                <w:rFonts w:hint="eastAsia"/>
                <w:sz w:val="24"/>
              </w:rPr>
              <w:t>）光污染影响分析</w:t>
            </w:r>
          </w:p>
          <w:p>
            <w:pPr>
              <w:adjustRightInd w:val="0"/>
              <w:spacing w:line="360" w:lineRule="auto"/>
              <w:ind w:firstLine="480" w:firstLineChars="200"/>
              <w:rPr>
                <w:sz w:val="24"/>
              </w:rPr>
            </w:pPr>
            <w:r>
              <w:rPr>
                <w:rFonts w:hint="eastAsia"/>
                <w:sz w:val="24"/>
              </w:rPr>
              <w:t>本项目运营后，太阳能电池组件表面将产生一定的光反射，会给周围环境造成光干扰，国际上一般将光污染分成3类—白亮污染、人工白昼和彩光污染。太阳能电池组件表面产生的光污染属于白亮污染的范畴，白亮污染是指阳光照射强烈时，建筑物的玻璃幕墙、釉面砖、磨光大理石、各种涂料等装饰反射光线，明晃白亮，炫眼夺目。</w:t>
            </w:r>
          </w:p>
          <w:p>
            <w:pPr>
              <w:adjustRightInd w:val="0"/>
              <w:spacing w:line="360" w:lineRule="auto"/>
              <w:ind w:firstLine="480" w:firstLineChars="200"/>
              <w:rPr>
                <w:sz w:val="24"/>
              </w:rPr>
            </w:pPr>
            <w:r>
              <w:rPr>
                <w:rFonts w:hint="eastAsia"/>
                <w:sz w:val="24"/>
              </w:rPr>
              <w:t>太阳能</w:t>
            </w:r>
            <w:r>
              <w:rPr>
                <w:sz w:val="24"/>
              </w:rPr>
              <w:t>光伏板</w:t>
            </w:r>
            <w:r>
              <w:rPr>
                <w:rFonts w:hint="eastAsia"/>
                <w:sz w:val="24"/>
              </w:rPr>
              <w:t>安装</w:t>
            </w:r>
            <w:r>
              <w:rPr>
                <w:sz w:val="24"/>
              </w:rPr>
              <w:t>有一定的倾角</w:t>
            </w:r>
            <w:r>
              <w:rPr>
                <w:rFonts w:hint="eastAsia"/>
                <w:sz w:val="24"/>
              </w:rPr>
              <w:t>，向南倾斜</w:t>
            </w:r>
            <w:r>
              <w:rPr>
                <w:sz w:val="24"/>
              </w:rPr>
              <w:t>，</w:t>
            </w:r>
            <w:r>
              <w:rPr>
                <w:rFonts w:hint="eastAsia"/>
                <w:sz w:val="24"/>
              </w:rPr>
              <w:t>电池板</w:t>
            </w:r>
            <w:r>
              <w:rPr>
                <w:sz w:val="24"/>
              </w:rPr>
              <w:t>大部分</w:t>
            </w:r>
            <w:r>
              <w:rPr>
                <w:rFonts w:hint="eastAsia"/>
                <w:sz w:val="24"/>
              </w:rPr>
              <w:t>都</w:t>
            </w:r>
            <w:r>
              <w:rPr>
                <w:sz w:val="24"/>
              </w:rPr>
              <w:t>朝向天空</w:t>
            </w:r>
            <w:r>
              <w:rPr>
                <w:rFonts w:hint="eastAsia"/>
                <w:sz w:val="24"/>
              </w:rPr>
              <w:t>，其对太阳光的反射不会向四周发散，</w:t>
            </w:r>
            <w:r>
              <w:rPr>
                <w:sz w:val="24"/>
              </w:rPr>
              <w:t>对</w:t>
            </w:r>
            <w:r>
              <w:rPr>
                <w:rFonts w:hint="eastAsia"/>
                <w:sz w:val="24"/>
              </w:rPr>
              <w:t>过往人眼视觉上</w:t>
            </w:r>
            <w:r>
              <w:rPr>
                <w:sz w:val="24"/>
              </w:rPr>
              <w:t>基本没有影响。另外，太阳电池组件产品的表面设计要求最大程度地减少对太阳光的反射，</w:t>
            </w:r>
            <w:r>
              <w:rPr>
                <w:rFonts w:hint="eastAsia"/>
                <w:sz w:val="24"/>
              </w:rPr>
              <w:t>采用黑色吸光材料，</w:t>
            </w:r>
            <w:r>
              <w:rPr>
                <w:sz w:val="24"/>
              </w:rPr>
              <w:t>以利于提高其发电效率，太阳电池</w:t>
            </w:r>
            <w:r>
              <w:rPr>
                <w:rFonts w:hint="eastAsia"/>
                <w:sz w:val="24"/>
              </w:rPr>
              <w:t>板</w:t>
            </w:r>
            <w:r>
              <w:rPr>
                <w:sz w:val="24"/>
              </w:rPr>
              <w:t>的反光性较低，</w:t>
            </w:r>
            <w:r>
              <w:rPr>
                <w:rFonts w:hint="eastAsia"/>
                <w:sz w:val="24"/>
              </w:rPr>
              <w:t>晶硅体太阳能电池板主要吸收太阳能光中的可见光、近红外光中的部分能量，而硅片对可见光和近红外光的反射率仅达4%～10%，</w:t>
            </w:r>
            <w:r>
              <w:rPr>
                <w:sz w:val="24"/>
              </w:rPr>
              <w:t>对周围环境基本没有光污染。</w:t>
            </w:r>
          </w:p>
          <w:p>
            <w:pPr>
              <w:adjustRightInd w:val="0"/>
              <w:spacing w:line="360" w:lineRule="auto"/>
              <w:ind w:firstLine="482" w:firstLineChars="200"/>
              <w:rPr>
                <w:b/>
                <w:sz w:val="24"/>
              </w:rPr>
            </w:pPr>
            <w:r>
              <w:rPr>
                <w:b/>
                <w:sz w:val="24"/>
              </w:rPr>
              <w:t>（</w:t>
            </w:r>
            <w:r>
              <w:rPr>
                <w:rFonts w:hint="eastAsia"/>
                <w:b/>
                <w:sz w:val="24"/>
              </w:rPr>
              <w:t>2</w:t>
            </w:r>
            <w:r>
              <w:rPr>
                <w:b/>
                <w:sz w:val="24"/>
              </w:rPr>
              <w:t>）</w:t>
            </w:r>
            <w:r>
              <w:rPr>
                <w:rFonts w:hint="eastAsia"/>
                <w:b/>
                <w:sz w:val="24"/>
              </w:rPr>
              <w:t>大气环境</w:t>
            </w:r>
          </w:p>
          <w:p>
            <w:pPr>
              <w:adjustRightInd w:val="0"/>
              <w:spacing w:line="360" w:lineRule="auto"/>
              <w:ind w:firstLine="480" w:firstLineChars="200"/>
              <w:rPr>
                <w:sz w:val="24"/>
              </w:rPr>
            </w:pPr>
            <w:r>
              <w:rPr>
                <w:rFonts w:hint="eastAsia"/>
                <w:sz w:val="24"/>
              </w:rPr>
              <w:t>运营期项目使用清洁能源电、液化气，产生的废气主要为厨房油烟、汽车尾气。</w:t>
            </w:r>
          </w:p>
          <w:p>
            <w:pPr>
              <w:adjustRightInd w:val="0"/>
              <w:spacing w:line="360" w:lineRule="auto"/>
              <w:ind w:firstLine="480" w:firstLineChars="200"/>
              <w:rPr>
                <w:sz w:val="24"/>
              </w:rPr>
            </w:pPr>
            <w:r>
              <w:rPr>
                <w:sz w:val="24"/>
              </w:rPr>
              <w:t>1）</w:t>
            </w:r>
            <w:r>
              <w:rPr>
                <w:rFonts w:hint="eastAsia"/>
                <w:sz w:val="24"/>
              </w:rPr>
              <w:t>厨房油烟</w:t>
            </w:r>
          </w:p>
          <w:p>
            <w:pPr>
              <w:adjustRightInd w:val="0"/>
              <w:spacing w:line="360" w:lineRule="auto"/>
              <w:ind w:firstLine="480" w:firstLineChars="200"/>
              <w:rPr>
                <w:sz w:val="24"/>
              </w:rPr>
            </w:pPr>
            <w:r>
              <w:rPr>
                <w:rFonts w:hint="eastAsia"/>
                <w:sz w:val="24"/>
              </w:rPr>
              <w:t>项目开关站综合楼内设置有厨房，使用能源为电、液化气，设置2个灶头，产生的少量油烟，经油烟净化器处理后，通过高于屋顶1.5m排气装置排放，少量油烟废气对周围环境影响小。</w:t>
            </w:r>
          </w:p>
          <w:p>
            <w:pPr>
              <w:adjustRightInd w:val="0"/>
              <w:spacing w:line="360" w:lineRule="auto"/>
              <w:ind w:firstLine="480" w:firstLineChars="200"/>
              <w:rPr>
                <w:sz w:val="24"/>
              </w:rPr>
            </w:pPr>
            <w:r>
              <w:rPr>
                <w:rFonts w:hint="eastAsia"/>
                <w:sz w:val="24"/>
              </w:rPr>
              <w:t>2</w:t>
            </w:r>
            <w:r>
              <w:rPr>
                <w:sz w:val="24"/>
              </w:rPr>
              <w:t>）汽车尾气</w:t>
            </w:r>
          </w:p>
          <w:p>
            <w:pPr>
              <w:adjustRightInd w:val="0"/>
              <w:spacing w:line="360" w:lineRule="auto"/>
              <w:ind w:firstLine="480" w:firstLineChars="200"/>
              <w:rPr>
                <w:sz w:val="24"/>
              </w:rPr>
            </w:pPr>
            <w:r>
              <w:rPr>
                <w:rFonts w:hint="eastAsia"/>
                <w:sz w:val="24"/>
              </w:rPr>
              <w:t>升压站内</w:t>
            </w:r>
            <w:r>
              <w:rPr>
                <w:sz w:val="24"/>
              </w:rPr>
              <w:t>停车场车辆进出时排放少量的汽车尾气，</w:t>
            </w:r>
            <w:r>
              <w:rPr>
                <w:rFonts w:hint="eastAsia"/>
                <w:sz w:val="24"/>
              </w:rPr>
              <w:t>主要成分是</w:t>
            </w:r>
            <w:r>
              <w:rPr>
                <w:sz w:val="24"/>
              </w:rPr>
              <w:t>烯烃类、CO和NO</w:t>
            </w:r>
            <w:r>
              <w:rPr>
                <w:sz w:val="24"/>
                <w:vertAlign w:val="subscript"/>
              </w:rPr>
              <w:t>X</w:t>
            </w:r>
            <w:r>
              <w:rPr>
                <w:sz w:val="24"/>
              </w:rPr>
              <w:t>，属无组织排放，</w:t>
            </w:r>
            <w:r>
              <w:rPr>
                <w:rFonts w:hint="eastAsia"/>
                <w:sz w:val="24"/>
              </w:rPr>
              <w:t>间歇性</w:t>
            </w:r>
            <w:r>
              <w:rPr>
                <w:sz w:val="24"/>
              </w:rPr>
              <w:t>排放</w:t>
            </w:r>
            <w:r>
              <w:rPr>
                <w:rFonts w:hint="eastAsia"/>
                <w:sz w:val="24"/>
              </w:rPr>
              <w:t>，其</w:t>
            </w:r>
            <w:r>
              <w:rPr>
                <w:sz w:val="24"/>
              </w:rPr>
              <w:t>排放量少，可及时扩散，对环境的影响较小。</w:t>
            </w:r>
          </w:p>
          <w:p>
            <w:pPr>
              <w:adjustRightInd w:val="0"/>
              <w:spacing w:line="360" w:lineRule="auto"/>
              <w:ind w:firstLine="482" w:firstLineChars="200"/>
              <w:rPr>
                <w:b/>
                <w:bCs/>
                <w:sz w:val="24"/>
              </w:rPr>
            </w:pPr>
            <w:r>
              <w:rPr>
                <w:rFonts w:hint="eastAsia"/>
                <w:b/>
                <w:bCs/>
                <w:sz w:val="24"/>
              </w:rPr>
              <w:t>（</w:t>
            </w:r>
            <w:r>
              <w:rPr>
                <w:b/>
                <w:bCs/>
                <w:sz w:val="24"/>
              </w:rPr>
              <w:t>3</w:t>
            </w:r>
            <w:r>
              <w:rPr>
                <w:rFonts w:hint="eastAsia"/>
                <w:b/>
                <w:bCs/>
                <w:sz w:val="24"/>
              </w:rPr>
              <w:t>）水环境</w:t>
            </w:r>
          </w:p>
          <w:p>
            <w:pPr>
              <w:spacing w:line="360" w:lineRule="auto"/>
              <w:ind w:firstLine="480" w:firstLineChars="200"/>
              <w:rPr>
                <w:sz w:val="24"/>
              </w:rPr>
            </w:pPr>
            <w:r>
              <w:rPr>
                <w:rFonts w:hint="eastAsia"/>
                <w:sz w:val="24"/>
              </w:rPr>
              <w:t>项目运营期主要产生的废水为生活污水和太阳能电池清洗废水。</w:t>
            </w:r>
          </w:p>
          <w:p>
            <w:pPr>
              <w:spacing w:line="360" w:lineRule="auto"/>
              <w:ind w:firstLine="480" w:firstLineChars="200"/>
              <w:rPr>
                <w:sz w:val="24"/>
              </w:rPr>
            </w:pPr>
            <w:r>
              <w:rPr>
                <w:rFonts w:hint="eastAsia"/>
                <w:sz w:val="24"/>
              </w:rPr>
              <w:t>1）生活污水</w:t>
            </w:r>
          </w:p>
          <w:p>
            <w:pPr>
              <w:spacing w:line="360" w:lineRule="auto"/>
              <w:ind w:firstLine="480" w:firstLineChars="200"/>
              <w:rPr>
                <w:rFonts w:hAnsi="宋体"/>
                <w:sz w:val="24"/>
              </w:rPr>
            </w:pPr>
            <w:r>
              <w:rPr>
                <w:rFonts w:hint="eastAsia"/>
                <w:sz w:val="24"/>
              </w:rPr>
              <w:t>项目开关站内，工作人员为</w:t>
            </w:r>
            <w:r>
              <w:rPr>
                <w:sz w:val="24"/>
              </w:rPr>
              <w:t>5</w:t>
            </w:r>
            <w:r>
              <w:rPr>
                <w:rFonts w:hint="eastAsia"/>
                <w:sz w:val="24"/>
              </w:rPr>
              <w:t>人，根据</w:t>
            </w:r>
            <w:r>
              <w:rPr>
                <w:sz w:val="24"/>
              </w:rPr>
              <w:t>《云南省地方标准</w:t>
            </w:r>
            <w:r>
              <w:rPr>
                <w:rFonts w:hint="eastAsia"/>
                <w:sz w:val="24"/>
              </w:rPr>
              <w:t xml:space="preserve"> </w:t>
            </w:r>
            <w:r>
              <w:rPr>
                <w:sz w:val="24"/>
              </w:rPr>
              <w:t>用水定额》</w:t>
            </w:r>
            <w:r>
              <w:rPr>
                <w:rFonts w:hint="eastAsia"/>
                <w:sz w:val="24"/>
              </w:rPr>
              <w:t>（</w:t>
            </w:r>
            <w:r>
              <w:rPr>
                <w:sz w:val="24"/>
              </w:rPr>
              <w:t>DB53/T168-2019</w:t>
            </w:r>
            <w:r>
              <w:rPr>
                <w:rFonts w:hint="eastAsia"/>
                <w:sz w:val="24"/>
              </w:rPr>
              <w:t>），</w:t>
            </w:r>
            <w:r>
              <w:rPr>
                <w:sz w:val="24"/>
              </w:rPr>
              <w:t>生活用水量按0.1m</w:t>
            </w:r>
            <w:r>
              <w:rPr>
                <w:sz w:val="24"/>
                <w:vertAlign w:val="superscript"/>
              </w:rPr>
              <w:t>3</w:t>
            </w:r>
            <w:r>
              <w:rPr>
                <w:sz w:val="24"/>
              </w:rPr>
              <w:t>/</w:t>
            </w:r>
            <w:r>
              <w:rPr>
                <w:rFonts w:hint="eastAsia"/>
                <w:sz w:val="24"/>
              </w:rPr>
              <w:t>（</w:t>
            </w:r>
            <w:r>
              <w:rPr>
                <w:sz w:val="24"/>
              </w:rPr>
              <w:t>人·d</w:t>
            </w:r>
            <w:r>
              <w:rPr>
                <w:rFonts w:hint="eastAsia"/>
                <w:sz w:val="24"/>
              </w:rPr>
              <w:t>）</w:t>
            </w:r>
            <w:r>
              <w:rPr>
                <w:sz w:val="24"/>
              </w:rPr>
              <w:t>计算，生活用水量为</w:t>
            </w:r>
            <w:r>
              <w:rPr>
                <w:bCs/>
                <w:sz w:val="24"/>
              </w:rPr>
              <w:t>0.5</w:t>
            </w:r>
            <w:r>
              <w:rPr>
                <w:sz w:val="24"/>
              </w:rPr>
              <w:t>m</w:t>
            </w:r>
            <w:r>
              <w:rPr>
                <w:sz w:val="24"/>
                <w:vertAlign w:val="superscript"/>
              </w:rPr>
              <w:t>3</w:t>
            </w:r>
            <w:r>
              <w:rPr>
                <w:sz w:val="24"/>
              </w:rPr>
              <w:t>/d</w:t>
            </w:r>
            <w:r>
              <w:rPr>
                <w:rFonts w:hint="eastAsia"/>
                <w:sz w:val="24"/>
              </w:rPr>
              <w:t>。</w:t>
            </w:r>
            <w:r>
              <w:rPr>
                <w:sz w:val="24"/>
              </w:rPr>
              <w:t>排水系数以0.9计，则</w:t>
            </w:r>
            <w:r>
              <w:rPr>
                <w:rFonts w:hint="eastAsia"/>
                <w:sz w:val="24"/>
              </w:rPr>
              <w:t>升压站内的</w:t>
            </w:r>
            <w:r>
              <w:rPr>
                <w:sz w:val="24"/>
              </w:rPr>
              <w:t>生活污水</w:t>
            </w:r>
            <w:r>
              <w:rPr>
                <w:rFonts w:hint="eastAsia"/>
                <w:sz w:val="24"/>
              </w:rPr>
              <w:t>产生</w:t>
            </w:r>
            <w:r>
              <w:rPr>
                <w:sz w:val="24"/>
              </w:rPr>
              <w:t>量为</w:t>
            </w:r>
            <w:r>
              <w:rPr>
                <w:bCs/>
                <w:sz w:val="24"/>
              </w:rPr>
              <w:t>0.45</w:t>
            </w:r>
            <w:r>
              <w:rPr>
                <w:sz w:val="24"/>
              </w:rPr>
              <w:t>m</w:t>
            </w:r>
            <w:r>
              <w:rPr>
                <w:sz w:val="24"/>
                <w:vertAlign w:val="superscript"/>
              </w:rPr>
              <w:t>3</w:t>
            </w:r>
            <w:r>
              <w:rPr>
                <w:sz w:val="24"/>
              </w:rPr>
              <w:t>/d，类比生活污水监测资料可知，</w:t>
            </w:r>
            <w:r>
              <w:rPr>
                <w:rFonts w:hint="eastAsia"/>
                <w:sz w:val="24"/>
              </w:rPr>
              <w:t>升压站内</w:t>
            </w:r>
            <w:r>
              <w:rPr>
                <w:rFonts w:hAnsi="宋体"/>
                <w:sz w:val="24"/>
              </w:rPr>
              <w:t>废水中主要污染物及浓度为COD</w:t>
            </w:r>
            <w:r>
              <w:rPr>
                <w:rFonts w:hint="eastAsia" w:hAnsi="宋体"/>
                <w:sz w:val="24"/>
              </w:rPr>
              <w:t>：400</w:t>
            </w:r>
            <w:r>
              <w:rPr>
                <w:rFonts w:hAnsi="宋体"/>
                <w:sz w:val="24"/>
              </w:rPr>
              <w:t>mg/L，</w:t>
            </w:r>
            <w:r>
              <w:rPr>
                <w:rFonts w:hint="eastAsia" w:hAnsi="宋体"/>
                <w:sz w:val="24"/>
              </w:rPr>
              <w:t>BOD</w:t>
            </w:r>
            <w:r>
              <w:rPr>
                <w:rFonts w:hint="eastAsia" w:hAnsi="宋体"/>
                <w:sz w:val="24"/>
                <w:vertAlign w:val="subscript"/>
              </w:rPr>
              <w:t>5</w:t>
            </w:r>
            <w:r>
              <w:rPr>
                <w:rFonts w:hint="eastAsia" w:hAnsi="宋体"/>
                <w:sz w:val="24"/>
              </w:rPr>
              <w:t>：250</w:t>
            </w:r>
            <w:r>
              <w:rPr>
                <w:rFonts w:hAnsi="宋体"/>
                <w:sz w:val="24"/>
              </w:rPr>
              <w:t>mg/L</w:t>
            </w:r>
            <w:r>
              <w:rPr>
                <w:rFonts w:hint="eastAsia" w:hAnsi="宋体"/>
                <w:sz w:val="24"/>
              </w:rPr>
              <w:t>，</w:t>
            </w:r>
            <w:r>
              <w:rPr>
                <w:rFonts w:hAnsi="宋体"/>
                <w:sz w:val="24"/>
              </w:rPr>
              <w:t>SS</w:t>
            </w:r>
            <w:r>
              <w:rPr>
                <w:rFonts w:hint="eastAsia" w:hAnsi="宋体"/>
                <w:sz w:val="24"/>
              </w:rPr>
              <w:t>：250</w:t>
            </w:r>
            <w:r>
              <w:rPr>
                <w:rFonts w:hAnsi="宋体"/>
                <w:sz w:val="24"/>
              </w:rPr>
              <w:t>mg/L，NH</w:t>
            </w:r>
            <w:r>
              <w:rPr>
                <w:rFonts w:hAnsi="宋体"/>
                <w:sz w:val="24"/>
                <w:vertAlign w:val="subscript"/>
              </w:rPr>
              <w:t>3</w:t>
            </w:r>
            <w:r>
              <w:rPr>
                <w:rFonts w:hAnsi="宋体"/>
                <w:sz w:val="24"/>
              </w:rPr>
              <w:t>-N</w:t>
            </w:r>
            <w:r>
              <w:rPr>
                <w:rFonts w:hint="eastAsia" w:hAnsi="宋体"/>
                <w:sz w:val="24"/>
              </w:rPr>
              <w:t>：30</w:t>
            </w:r>
            <w:r>
              <w:rPr>
                <w:rFonts w:hAnsi="宋体"/>
                <w:sz w:val="24"/>
              </w:rPr>
              <w:t>mg/L。</w:t>
            </w:r>
          </w:p>
          <w:p>
            <w:pPr>
              <w:spacing w:line="360" w:lineRule="auto"/>
              <w:ind w:firstLine="480" w:firstLineChars="200"/>
              <w:rPr>
                <w:sz w:val="24"/>
              </w:rPr>
            </w:pPr>
            <w:r>
              <w:rPr>
                <w:rFonts w:hint="eastAsia"/>
                <w:sz w:val="24"/>
              </w:rPr>
              <w:t>运营期开关站内厨余废水经隔油池处理后，连同其它生活污水经化粪池、一体化污水处理站处理后，全部用于开关站周边绿化和道路洒水，雨天用中水暂存池暂存，不外排。因此，运营期生活污水不会对周围地表河流水质造成影响。</w:t>
            </w:r>
          </w:p>
          <w:p>
            <w:pPr>
              <w:spacing w:line="360" w:lineRule="auto"/>
              <w:ind w:firstLine="480" w:firstLineChars="200"/>
              <w:rPr>
                <w:sz w:val="24"/>
              </w:rPr>
            </w:pPr>
            <w:r>
              <w:rPr>
                <w:rFonts w:hint="eastAsia"/>
                <w:sz w:val="24"/>
              </w:rPr>
              <w:t>2）太阳能电池清洗废水</w:t>
            </w:r>
          </w:p>
          <w:p>
            <w:pPr>
              <w:adjustRightInd w:val="0"/>
              <w:spacing w:line="360" w:lineRule="auto"/>
              <w:ind w:firstLine="480" w:firstLineChars="200"/>
              <w:rPr>
                <w:sz w:val="24"/>
              </w:rPr>
            </w:pPr>
            <w:r>
              <w:rPr>
                <w:rFonts w:hint="eastAsia"/>
                <w:sz w:val="24"/>
              </w:rPr>
              <w:t>电站在运营期间为了保证太阳能电池板的清洁，会对</w:t>
            </w:r>
            <w:r>
              <w:rPr>
                <w:sz w:val="24"/>
              </w:rPr>
              <w:t>太阳能电池组件</w:t>
            </w:r>
            <w:r>
              <w:rPr>
                <w:rFonts w:hint="eastAsia"/>
                <w:sz w:val="24"/>
              </w:rPr>
              <w:t>进行不定期擦洗，</w:t>
            </w:r>
            <w:r>
              <w:rPr>
                <w:bCs/>
                <w:sz w:val="24"/>
              </w:rPr>
              <w:t>电池组件一般每</w:t>
            </w:r>
            <w:r>
              <w:rPr>
                <w:rFonts w:hint="eastAsia"/>
                <w:bCs/>
                <w:sz w:val="24"/>
              </w:rPr>
              <w:t>季度</w:t>
            </w:r>
            <w:r>
              <w:rPr>
                <w:bCs/>
                <w:sz w:val="24"/>
              </w:rPr>
              <w:t>清洁1次，分片区依次清洁。</w:t>
            </w:r>
            <w:r>
              <w:rPr>
                <w:rFonts w:hint="eastAsia"/>
                <w:bCs/>
                <w:sz w:val="24"/>
              </w:rPr>
              <w:t>清洗方式采用移动式节能喷水设施进行清洗，根据建设单位其他项目经验用水量取</w:t>
            </w:r>
            <w:r>
              <w:rPr>
                <w:bCs/>
                <w:sz w:val="24"/>
              </w:rPr>
              <w:t>0.5</w:t>
            </w:r>
            <w:r>
              <w:rPr>
                <w:rFonts w:hint="eastAsia"/>
                <w:bCs/>
                <w:sz w:val="24"/>
              </w:rPr>
              <w:t>L/块，本项目设</w:t>
            </w:r>
            <w:r>
              <w:rPr>
                <w:bCs/>
                <w:sz w:val="24"/>
              </w:rPr>
              <w:t>42900</w:t>
            </w:r>
            <w:r>
              <w:rPr>
                <w:rFonts w:hint="eastAsia"/>
                <w:bCs/>
                <w:sz w:val="24"/>
              </w:rPr>
              <w:t>块光伏组件，则清洗用水量为</w:t>
            </w:r>
            <w:r>
              <w:rPr>
                <w:bCs/>
                <w:sz w:val="24"/>
              </w:rPr>
              <w:t>21.45</w:t>
            </w:r>
            <w:r>
              <w:rPr>
                <w:rFonts w:hint="eastAsia"/>
                <w:bCs/>
                <w:sz w:val="24"/>
              </w:rPr>
              <w:t>m</w:t>
            </w:r>
            <w:r>
              <w:rPr>
                <w:rFonts w:hint="eastAsia"/>
                <w:bCs/>
                <w:sz w:val="24"/>
                <w:vertAlign w:val="superscript"/>
              </w:rPr>
              <w:t>3</w:t>
            </w:r>
            <w:r>
              <w:rPr>
                <w:rFonts w:hint="eastAsia"/>
                <w:bCs/>
                <w:sz w:val="24"/>
              </w:rPr>
              <w:t>/a。</w:t>
            </w:r>
            <w:r>
              <w:rPr>
                <w:rFonts w:hint="eastAsia"/>
                <w:sz w:val="24"/>
              </w:rPr>
              <w:t>使用清水清洗，不添加任何化学试剂，污水中主要为清洗下来的浮灰等悬浮物（SS）。电池组件进行清洗时是分期、分批进行的，单次的清洗废水产生量较小，由于气候干燥，清洗电池组件产生的废水一部分在清洗过程中就被蒸发，其余清洗废水直接流在太阳能电池组件下方的地面上，作为灌溉补充水，不会形成径流，无废水外排，不会对地表水环境造成影响。</w:t>
            </w:r>
          </w:p>
          <w:p>
            <w:pPr>
              <w:adjustRightInd w:val="0"/>
              <w:spacing w:line="360" w:lineRule="auto"/>
              <w:ind w:firstLine="480" w:firstLineChars="200"/>
              <w:rPr>
                <w:sz w:val="24"/>
              </w:rPr>
            </w:pPr>
            <w:r>
              <w:rPr>
                <w:rFonts w:hint="eastAsia"/>
                <w:sz w:val="24"/>
              </w:rPr>
              <w:t>3）项目废水回用合理性分析</w:t>
            </w:r>
          </w:p>
          <w:p>
            <w:pPr>
              <w:adjustRightInd w:val="0"/>
              <w:spacing w:line="360" w:lineRule="auto"/>
              <w:ind w:firstLine="480" w:firstLineChars="200"/>
              <w:rPr>
                <w:sz w:val="24"/>
              </w:rPr>
            </w:pPr>
            <w:r>
              <w:rPr>
                <w:rFonts w:hint="eastAsia"/>
                <w:sz w:val="24"/>
              </w:rPr>
              <w:t>一体化污水处理站采用“A</w:t>
            </w:r>
            <w:r>
              <w:rPr>
                <w:sz w:val="24"/>
              </w:rPr>
              <w:t>AO+</w:t>
            </w:r>
            <w:r>
              <w:rPr>
                <w:rFonts w:hint="eastAsia"/>
                <w:sz w:val="24"/>
              </w:rPr>
              <w:t>沉淀+消毒”工艺，此工艺成熟稳定，污水治理效果较好，处理后的废水可稳定达到《城市污水再生利用 城市杂用水水质》（GB/T18920-2020）中绿化标准，废水处理达标后排入回用水池，全部用于场区绿化</w:t>
            </w:r>
            <w:r>
              <w:rPr>
                <w:rFonts w:hAnsi="宋体"/>
                <w:sz w:val="24"/>
              </w:rPr>
              <w:t>。</w:t>
            </w:r>
            <w:r>
              <w:rPr>
                <w:rFonts w:hint="eastAsia"/>
                <w:sz w:val="24"/>
              </w:rPr>
              <w:t>项目废水量仅为</w:t>
            </w:r>
            <w:r>
              <w:rPr>
                <w:sz w:val="24"/>
              </w:rPr>
              <w:t>0.45m</w:t>
            </w:r>
            <w:r>
              <w:rPr>
                <w:sz w:val="24"/>
                <w:vertAlign w:val="superscript"/>
              </w:rPr>
              <w:t>3</w:t>
            </w:r>
            <w:r>
              <w:rPr>
                <w:sz w:val="24"/>
              </w:rPr>
              <w:t>/</w:t>
            </w:r>
            <w:r>
              <w:rPr>
                <w:rFonts w:hint="eastAsia"/>
                <w:sz w:val="24"/>
              </w:rPr>
              <w:t>d，废水可以全部绿化、灌溉消耗，废水全部回用可行。</w:t>
            </w:r>
          </w:p>
          <w:p>
            <w:pPr>
              <w:adjustRightInd w:val="0"/>
              <w:spacing w:line="360" w:lineRule="auto"/>
              <w:ind w:firstLine="480" w:firstLineChars="200"/>
              <w:rPr>
                <w:sz w:val="24"/>
              </w:rPr>
            </w:pPr>
            <w:r>
              <w:rPr>
                <w:sz w:val="24"/>
              </w:rPr>
              <w:t>综上，本项目废水不外排，对环境影响较小。</w:t>
            </w:r>
          </w:p>
          <w:p>
            <w:pPr>
              <w:adjustRightInd w:val="0"/>
              <w:spacing w:line="360" w:lineRule="auto"/>
              <w:ind w:firstLine="482" w:firstLineChars="200"/>
              <w:rPr>
                <w:b/>
                <w:bCs/>
                <w:sz w:val="24"/>
              </w:rPr>
            </w:pPr>
            <w:r>
              <w:rPr>
                <w:rFonts w:hint="eastAsia"/>
                <w:b/>
                <w:bCs/>
                <w:sz w:val="24"/>
              </w:rPr>
              <w:t>（</w:t>
            </w:r>
            <w:r>
              <w:rPr>
                <w:b/>
                <w:bCs/>
                <w:sz w:val="24"/>
              </w:rPr>
              <w:t>4</w:t>
            </w:r>
            <w:r>
              <w:rPr>
                <w:rFonts w:hint="eastAsia"/>
                <w:b/>
                <w:bCs/>
                <w:sz w:val="24"/>
              </w:rPr>
              <w:t>）声环境</w:t>
            </w:r>
          </w:p>
          <w:p>
            <w:pPr>
              <w:adjustRightInd w:val="0"/>
              <w:spacing w:line="360" w:lineRule="auto"/>
              <w:ind w:firstLine="480" w:firstLineChars="200"/>
              <w:rPr>
                <w:sz w:val="24"/>
              </w:rPr>
            </w:pPr>
            <w:r>
              <w:rPr>
                <w:rFonts w:hint="eastAsia"/>
                <w:bCs/>
                <w:sz w:val="24"/>
              </w:rPr>
              <w:t>项目</w:t>
            </w:r>
            <w:r>
              <w:rPr>
                <w:bCs/>
                <w:sz w:val="24"/>
              </w:rPr>
              <w:t>噪声主要来自</w:t>
            </w:r>
            <w:r>
              <w:rPr>
                <w:rFonts w:hint="eastAsia"/>
                <w:bCs/>
                <w:sz w:val="24"/>
              </w:rPr>
              <w:t>光伏区</w:t>
            </w:r>
            <w:r>
              <w:rPr>
                <w:bCs/>
                <w:sz w:val="24"/>
              </w:rPr>
              <w:t>箱式变压器</w:t>
            </w:r>
            <w:r>
              <w:rPr>
                <w:rFonts w:hint="eastAsia"/>
                <w:bCs/>
                <w:sz w:val="24"/>
              </w:rPr>
              <w:t>、</w:t>
            </w:r>
            <w:r>
              <w:rPr>
                <w:bCs/>
                <w:sz w:val="24"/>
              </w:rPr>
              <w:t>逆变器</w:t>
            </w:r>
            <w:r>
              <w:rPr>
                <w:rFonts w:hint="eastAsia"/>
                <w:bCs/>
                <w:sz w:val="24"/>
              </w:rPr>
              <w:t>及开关站3</w:t>
            </w:r>
            <w:r>
              <w:rPr>
                <w:bCs/>
                <w:sz w:val="24"/>
              </w:rPr>
              <w:t>5</w:t>
            </w:r>
            <w:r>
              <w:rPr>
                <w:rFonts w:hint="eastAsia"/>
                <w:bCs/>
                <w:sz w:val="24"/>
              </w:rPr>
              <w:t>k</w:t>
            </w:r>
            <w:r>
              <w:rPr>
                <w:bCs/>
                <w:sz w:val="24"/>
              </w:rPr>
              <w:t>V</w:t>
            </w:r>
            <w:r>
              <w:rPr>
                <w:rFonts w:hint="eastAsia"/>
                <w:bCs/>
                <w:sz w:val="24"/>
              </w:rPr>
              <w:t>站用变</w:t>
            </w:r>
            <w:r>
              <w:rPr>
                <w:bCs/>
                <w:sz w:val="24"/>
              </w:rPr>
              <w:t>，</w:t>
            </w:r>
            <w:r>
              <w:rPr>
                <w:rFonts w:hint="eastAsia"/>
                <w:bCs/>
                <w:sz w:val="24"/>
              </w:rPr>
              <w:t>根据</w:t>
            </w:r>
            <w:r>
              <w:rPr>
                <w:sz w:val="24"/>
              </w:rPr>
              <w:t>交流变压器技术规范书</w:t>
            </w:r>
            <w:r>
              <w:rPr>
                <w:rFonts w:hint="eastAsia"/>
                <w:sz w:val="24"/>
              </w:rPr>
              <w:t>，</w:t>
            </w:r>
            <w:r>
              <w:rPr>
                <w:rFonts w:hint="eastAsia"/>
                <w:bCs/>
                <w:sz w:val="24"/>
              </w:rPr>
              <w:t>变压器及逆变器</w:t>
            </w:r>
            <w:r>
              <w:rPr>
                <w:bCs/>
                <w:sz w:val="24"/>
              </w:rPr>
              <w:t>1m处的噪声源强约为</w:t>
            </w:r>
            <w:r>
              <w:rPr>
                <w:rFonts w:hint="eastAsia"/>
                <w:bCs/>
                <w:sz w:val="24"/>
              </w:rPr>
              <w:t>6</w:t>
            </w:r>
            <w:r>
              <w:rPr>
                <w:bCs/>
                <w:sz w:val="24"/>
              </w:rPr>
              <w:t>0dB（A）</w:t>
            </w:r>
            <w:r>
              <w:rPr>
                <w:rFonts w:hint="eastAsia"/>
                <w:bCs/>
                <w:sz w:val="24"/>
              </w:rPr>
              <w:t>，项目夜间不工作。</w:t>
            </w:r>
          </w:p>
          <w:p>
            <w:pPr>
              <w:adjustRightInd w:val="0"/>
              <w:spacing w:line="360" w:lineRule="auto"/>
              <w:ind w:firstLine="480" w:firstLineChars="200"/>
              <w:rPr>
                <w:bCs/>
                <w:sz w:val="24"/>
              </w:rPr>
            </w:pPr>
            <w:r>
              <w:rPr>
                <w:bCs/>
                <w:sz w:val="24"/>
              </w:rPr>
              <w:t>本项目设置6</w:t>
            </w:r>
            <w:r>
              <w:rPr>
                <w:rFonts w:hint="eastAsia"/>
                <w:bCs/>
                <w:sz w:val="24"/>
              </w:rPr>
              <w:t>台</w:t>
            </w:r>
            <w:r>
              <w:rPr>
                <w:bCs/>
                <w:sz w:val="24"/>
              </w:rPr>
              <w:t>箱式变压器、66台组串式逆变器</w:t>
            </w:r>
            <w:r>
              <w:rPr>
                <w:rFonts w:hint="eastAsia"/>
                <w:bCs/>
                <w:sz w:val="24"/>
              </w:rPr>
              <w:t>、1台3</w:t>
            </w:r>
            <w:r>
              <w:rPr>
                <w:bCs/>
                <w:sz w:val="24"/>
              </w:rPr>
              <w:t>5</w:t>
            </w:r>
            <w:r>
              <w:rPr>
                <w:rFonts w:hint="eastAsia"/>
                <w:bCs/>
                <w:sz w:val="24"/>
              </w:rPr>
              <w:t>k</w:t>
            </w:r>
            <w:r>
              <w:rPr>
                <w:bCs/>
                <w:sz w:val="24"/>
              </w:rPr>
              <w:t>V</w:t>
            </w:r>
            <w:r>
              <w:rPr>
                <w:rFonts w:hint="eastAsia"/>
                <w:bCs/>
                <w:sz w:val="24"/>
              </w:rPr>
              <w:t>站用变。站用变位于开关站内，整体位于光伏区用地范围内，开关站设有2</w:t>
            </w:r>
            <w:r>
              <w:rPr>
                <w:bCs/>
                <w:sz w:val="24"/>
              </w:rPr>
              <w:t>.5</w:t>
            </w:r>
            <w:r>
              <w:rPr>
                <w:rFonts w:hint="eastAsia"/>
                <w:bCs/>
                <w:sz w:val="24"/>
              </w:rPr>
              <w:t>m高围墙，且站用变距围墙1</w:t>
            </w:r>
            <w:r>
              <w:rPr>
                <w:bCs/>
                <w:sz w:val="24"/>
              </w:rPr>
              <w:t>0</w:t>
            </w:r>
            <w:r>
              <w:rPr>
                <w:rFonts w:hint="eastAsia"/>
                <w:bCs/>
                <w:sz w:val="24"/>
              </w:rPr>
              <w:t>m以上，</w:t>
            </w:r>
            <w:r>
              <w:rPr>
                <w:bCs/>
                <w:sz w:val="24"/>
              </w:rPr>
              <w:t>隔声降噪量为10dB（A）</w:t>
            </w:r>
            <w:r>
              <w:rPr>
                <w:rFonts w:hint="eastAsia"/>
                <w:bCs/>
                <w:sz w:val="24"/>
              </w:rPr>
              <w:t>。</w:t>
            </w:r>
            <w:r>
              <w:rPr>
                <w:bCs/>
                <w:sz w:val="24"/>
              </w:rPr>
              <w:t>箱式变压器及逆变器相对分散，且箱式变压器设置于箱变房内，逆变器设置于逆变器箱内，进行密封隔声，隔声降噪量为10dB（A）</w:t>
            </w:r>
            <w:r>
              <w:rPr>
                <w:rFonts w:hint="eastAsia"/>
                <w:bCs/>
                <w:sz w:val="24"/>
              </w:rPr>
              <w:t>，</w:t>
            </w:r>
            <w:r>
              <w:rPr>
                <w:bCs/>
                <w:sz w:val="24"/>
              </w:rPr>
              <w:t>逆变器和箱式变压器距离场界最近距离约为</w:t>
            </w:r>
            <w:r>
              <w:rPr>
                <w:rFonts w:hint="eastAsia"/>
                <w:bCs/>
                <w:sz w:val="24"/>
              </w:rPr>
              <w:t>1</w:t>
            </w:r>
            <w:r>
              <w:rPr>
                <w:bCs/>
                <w:sz w:val="24"/>
              </w:rPr>
              <w:t>m</w:t>
            </w:r>
            <w:r>
              <w:rPr>
                <w:rFonts w:hint="eastAsia"/>
                <w:bCs/>
                <w:sz w:val="24"/>
              </w:rPr>
              <w:t>。噪声源</w:t>
            </w:r>
            <w:r>
              <w:rPr>
                <w:bCs/>
                <w:sz w:val="24"/>
              </w:rPr>
              <w:t>可近似视为点源处理</w:t>
            </w:r>
            <w:r>
              <w:rPr>
                <w:rFonts w:hint="eastAsia"/>
                <w:bCs/>
                <w:sz w:val="24"/>
              </w:rPr>
              <w:t>，</w:t>
            </w:r>
            <w:r>
              <w:rPr>
                <w:bCs/>
                <w:sz w:val="24"/>
              </w:rPr>
              <w:t>根据点声源噪声</w:t>
            </w:r>
            <w:r>
              <w:rPr>
                <w:rFonts w:hint="eastAsia"/>
                <w:bCs/>
                <w:sz w:val="24"/>
              </w:rPr>
              <w:t>几何发散</w:t>
            </w:r>
            <w:r>
              <w:rPr>
                <w:bCs/>
                <w:sz w:val="24"/>
              </w:rPr>
              <w:t>衰减模式，计算出离点声源不同距离处的噪声值，预测模式如下：</w:t>
            </w:r>
          </w:p>
          <w:p>
            <w:pPr>
              <w:adjustRightInd w:val="0"/>
              <w:spacing w:line="360" w:lineRule="auto"/>
              <w:rPr>
                <w:sz w:val="24"/>
              </w:rPr>
            </w:pPr>
            <m:oMathPara>
              <m:oMathParaPr>
                <m:jc m:val="center"/>
              </m:oMathParaPr>
              <m:oMath>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A</m:t>
                    </m:r>
                    <m:ctrlPr>
                      <w:rPr>
                        <w:rFonts w:ascii="Cambria Math" w:hAnsi="Cambria Math"/>
                        <w:i/>
                        <w:sz w:val="24"/>
                      </w:rPr>
                    </m:ctrlPr>
                  </m:sub>
                </m:sSub>
                <m:d>
                  <m:dPr>
                    <m:begChr m:val="（"/>
                    <m:endChr m:val="）"/>
                    <m:ctrlPr>
                      <w:rPr>
                        <w:rFonts w:ascii="Cambria Math" w:hAnsi="Cambria Math"/>
                        <w:i/>
                        <w:sz w:val="24"/>
                      </w:rPr>
                    </m:ctrlPr>
                  </m:dPr>
                  <m:e>
                    <m:r>
                      <m:rPr/>
                      <w:rPr>
                        <w:rFonts w:hint="eastAsia" w:ascii="Cambria Math" w:hAnsi="Cambria Math"/>
                        <w:sz w:val="24"/>
                      </w:rPr>
                      <m:t>r</m:t>
                    </m:r>
                    <m:ctrlPr>
                      <w:rPr>
                        <w:rFonts w:ascii="Cambria Math" w:hAnsi="Cambria Math"/>
                        <w:i/>
                        <w:sz w:val="24"/>
                      </w:rPr>
                    </m:ctrlPr>
                  </m:e>
                </m:d>
                <m:r>
                  <m:rPr/>
                  <w:rPr>
                    <w:rFonts w:ascii="Cambria Math" w:hAnsi="Cambria Math"/>
                    <w:sz w:val="24"/>
                  </w:rPr>
                  <m:t>=</m:t>
                </m:r>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A</m:t>
                    </m:r>
                    <m:ctrlPr>
                      <w:rPr>
                        <w:rFonts w:ascii="Cambria Math" w:hAnsi="Cambria Math"/>
                        <w:i/>
                        <w:sz w:val="24"/>
                      </w:rPr>
                    </m:ctrlPr>
                  </m:sub>
                </m:sSub>
                <m:d>
                  <m:dPr>
                    <m:begChr m:val="（"/>
                    <m:endChr m:val="）"/>
                    <m:ctrlPr>
                      <w:rPr>
                        <w:rFonts w:ascii="Cambria Math" w:hAnsi="Cambria Math"/>
                        <w:i/>
                        <w:sz w:val="24"/>
                      </w:rPr>
                    </m:ctrlPr>
                  </m:dPr>
                  <m:e>
                    <m:sSub>
                      <m:sSubPr>
                        <m:ctrlPr>
                          <w:rPr>
                            <w:rFonts w:ascii="Cambria Math" w:hAnsi="Cambria Math"/>
                            <w:i/>
                            <w:sz w:val="24"/>
                          </w:rPr>
                        </m:ctrlPr>
                      </m:sSubPr>
                      <m:e>
                        <m:r>
                          <m:rPr/>
                          <w:rPr>
                            <w:rFonts w:hint="eastAsia" w:ascii="Cambria Math" w:hAnsi="Cambria Math"/>
                            <w:sz w:val="24"/>
                          </w:rPr>
                          <m:t>r</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i/>
                        <w:sz w:val="24"/>
                      </w:rPr>
                    </m:ctrlPr>
                  </m:e>
                </m:d>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hint="eastAsia" w:ascii="Cambria Math" w:hAnsi="Cambria Math"/>
                        <w:sz w:val="24"/>
                      </w:rPr>
                      <m:t>div</m:t>
                    </m:r>
                    <m:ctrlPr>
                      <w:rPr>
                        <w:rFonts w:ascii="Cambria Math" w:hAnsi="Cambria Math"/>
                        <w:i/>
                        <w:sz w:val="24"/>
                      </w:rPr>
                    </m:ctrlPr>
                  </m:sub>
                </m:sSub>
              </m:oMath>
            </m:oMathPara>
          </w:p>
          <w:p>
            <w:pPr>
              <w:adjustRightInd w:val="0"/>
              <w:spacing w:line="360" w:lineRule="auto"/>
              <w:ind w:firstLine="480" w:firstLineChars="200"/>
              <w:rPr>
                <w:sz w:val="24"/>
              </w:rPr>
            </w:pPr>
            <m:oMathPara>
              <m:oMath>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rPr>
                      <m:t>div</m:t>
                    </m:r>
                    <m:ctrlPr>
                      <w:rPr>
                        <w:rFonts w:ascii="Cambria Math" w:hAnsi="Cambria Math"/>
                        <w:i/>
                        <w:sz w:val="24"/>
                      </w:rPr>
                    </m:ctrlPr>
                  </m:sub>
                </m:sSub>
                <m:r>
                  <m:rPr/>
                  <w:rPr>
                    <w:rFonts w:ascii="Cambria Math" w:hAnsi="Cambria Math"/>
                    <w:sz w:val="24"/>
                  </w:rPr>
                  <m:t>=20</m:t>
                </m:r>
                <m:r>
                  <m:rPr>
                    <m:sty m:val="p"/>
                  </m:rPr>
                  <w:rPr>
                    <w:rFonts w:ascii="Cambria Math" w:hAnsi="Cambria Math"/>
                    <w:sz w:val="24"/>
                  </w:rPr>
                  <m:t>lg</m:t>
                </m:r>
                <m:d>
                  <m:dPr>
                    <m:begChr m:val="（"/>
                    <m:endChr m:val="）"/>
                    <m:ctrlPr>
                      <w:rPr>
                        <w:rFonts w:ascii="Cambria Math" w:hAnsi="Cambria Math"/>
                        <w:i/>
                        <w:sz w:val="24"/>
                      </w:rPr>
                    </m:ctrlPr>
                  </m:dPr>
                  <m:e>
                    <m:f>
                      <m:fPr>
                        <m:type m:val="lin"/>
                        <m:ctrlPr>
                          <w:rPr>
                            <w:rFonts w:ascii="Cambria Math" w:hAnsi="Cambria Math"/>
                            <w:i/>
                            <w:sz w:val="24"/>
                          </w:rPr>
                        </m:ctrlPr>
                      </m:fPr>
                      <m:num>
                        <m:r>
                          <m:rPr/>
                          <w:rPr>
                            <w:rFonts w:hint="eastAsia" w:ascii="Cambria Math" w:hAnsi="Cambria Math"/>
                            <w:sz w:val="24"/>
                          </w:rPr>
                          <m:t>r</m:t>
                        </m:r>
                        <m:ctrlPr>
                          <w:rPr>
                            <w:rFonts w:ascii="Cambria Math" w:hAnsi="Cambria Math"/>
                            <w:i/>
                            <w:sz w:val="24"/>
                          </w:rPr>
                        </m:ctrlPr>
                      </m:num>
                      <m:den>
                        <m:sSub>
                          <m:sSubPr>
                            <m:ctrlPr>
                              <w:rPr>
                                <w:rFonts w:ascii="Cambria Math" w:hAnsi="Cambria Math"/>
                                <w:i/>
                                <w:sz w:val="24"/>
                              </w:rPr>
                            </m:ctrlPr>
                          </m:sSubPr>
                          <m:e>
                            <m:r>
                              <m:rPr/>
                              <w:rPr>
                                <w:rFonts w:hint="eastAsia" w:ascii="Cambria Math" w:hAnsi="Cambria Math"/>
                                <w:sz w:val="24"/>
                              </w:rPr>
                              <m:t>r</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ctrlPr>
                          <w:rPr>
                            <w:rFonts w:ascii="Cambria Math" w:hAnsi="Cambria Math"/>
                            <w:i/>
                            <w:sz w:val="24"/>
                          </w:rPr>
                        </m:ctrlPr>
                      </m:den>
                    </m:f>
                    <m:ctrlPr>
                      <w:rPr>
                        <w:rFonts w:ascii="Cambria Math" w:hAnsi="Cambria Math"/>
                        <w:i/>
                        <w:sz w:val="24"/>
                      </w:rPr>
                    </m:ctrlPr>
                  </m:e>
                </m:d>
              </m:oMath>
            </m:oMathPara>
          </w:p>
          <w:p>
            <w:pPr>
              <w:adjustRightInd w:val="0"/>
              <w:spacing w:line="360" w:lineRule="auto"/>
              <w:ind w:firstLine="480" w:firstLineChars="200"/>
              <w:rPr>
                <w:sz w:val="24"/>
              </w:rPr>
            </w:pPr>
            <w:r>
              <w:rPr>
                <w:sz w:val="24"/>
              </w:rPr>
              <w:t>式中：</w:t>
            </w:r>
          </w:p>
          <w:p>
            <w:pPr>
              <w:adjustRightInd w:val="0"/>
              <w:spacing w:line="360" w:lineRule="auto"/>
              <w:ind w:firstLine="960" w:firstLineChars="400"/>
              <w:rPr>
                <w:sz w:val="24"/>
              </w:rPr>
            </w:pPr>
            <w:r>
              <w:rPr>
                <w:i/>
                <w:iCs/>
                <w:sz w:val="24"/>
              </w:rPr>
              <w:t>L</w:t>
            </w:r>
            <w:r>
              <w:rPr>
                <w:sz w:val="24"/>
                <w:vertAlign w:val="subscript"/>
              </w:rPr>
              <w:t>A</w:t>
            </w:r>
            <w:r>
              <w:rPr>
                <w:rFonts w:hint="eastAsia"/>
                <w:sz w:val="24"/>
              </w:rPr>
              <w:t>（</w:t>
            </w:r>
            <w:r>
              <w:rPr>
                <w:rFonts w:hint="eastAsia"/>
                <w:i/>
                <w:iCs/>
                <w:sz w:val="24"/>
              </w:rPr>
              <w:t>r</w:t>
            </w:r>
            <w:r>
              <w:rPr>
                <w:rFonts w:hint="eastAsia"/>
                <w:sz w:val="24"/>
              </w:rPr>
              <w:t>）</w:t>
            </w:r>
            <w:r>
              <w:rPr>
                <w:sz w:val="24"/>
              </w:rPr>
              <w:t>——</w:t>
            </w:r>
            <w:r>
              <w:rPr>
                <w:rFonts w:hint="eastAsia"/>
                <w:sz w:val="24"/>
              </w:rPr>
              <w:t>距声源</w:t>
            </w:r>
            <w:r>
              <w:rPr>
                <w:rFonts w:hint="eastAsia"/>
                <w:i/>
                <w:iCs/>
                <w:sz w:val="24"/>
              </w:rPr>
              <w:t>r</w:t>
            </w:r>
            <w:r>
              <w:rPr>
                <w:rFonts w:hint="eastAsia"/>
                <w:sz w:val="24"/>
              </w:rPr>
              <w:t>处的A声</w:t>
            </w:r>
            <w:r>
              <w:rPr>
                <w:sz w:val="24"/>
              </w:rPr>
              <w:t>级</w:t>
            </w:r>
            <w:r>
              <w:rPr>
                <w:rFonts w:hint="eastAsia"/>
                <w:sz w:val="24"/>
              </w:rPr>
              <w:t>，</w:t>
            </w:r>
            <w:r>
              <w:rPr>
                <w:sz w:val="24"/>
              </w:rPr>
              <w:t>dB（A）；</w:t>
            </w:r>
          </w:p>
          <w:p>
            <w:pPr>
              <w:adjustRightInd w:val="0"/>
              <w:spacing w:line="360" w:lineRule="auto"/>
              <w:ind w:firstLine="960" w:firstLineChars="400"/>
              <w:rPr>
                <w:sz w:val="24"/>
              </w:rPr>
            </w:pPr>
            <w:r>
              <w:rPr>
                <w:i/>
                <w:iCs/>
                <w:sz w:val="24"/>
              </w:rPr>
              <w:t>L</w:t>
            </w:r>
            <w:r>
              <w:rPr>
                <w:sz w:val="24"/>
                <w:vertAlign w:val="subscript"/>
              </w:rPr>
              <w:t>A</w:t>
            </w:r>
            <w:r>
              <w:rPr>
                <w:rFonts w:hint="eastAsia"/>
                <w:sz w:val="24"/>
              </w:rPr>
              <w:t>（</w:t>
            </w:r>
            <w:r>
              <w:rPr>
                <w:rFonts w:hint="eastAsia"/>
                <w:i/>
                <w:iCs/>
                <w:sz w:val="24"/>
              </w:rPr>
              <w:t>r</w:t>
            </w:r>
            <w:r>
              <w:rPr>
                <w:sz w:val="24"/>
                <w:vertAlign w:val="subscript"/>
              </w:rPr>
              <w:t>0</w:t>
            </w:r>
            <w:r>
              <w:rPr>
                <w:rFonts w:hint="eastAsia"/>
                <w:sz w:val="24"/>
              </w:rPr>
              <w:t>）</w:t>
            </w:r>
            <w:r>
              <w:rPr>
                <w:sz w:val="24"/>
              </w:rPr>
              <w:t>——</w:t>
            </w:r>
            <w:r>
              <w:rPr>
                <w:rFonts w:hint="eastAsia"/>
                <w:sz w:val="24"/>
              </w:rPr>
              <w:t>参考位置</w:t>
            </w:r>
            <w:r>
              <w:rPr>
                <w:rFonts w:hint="eastAsia"/>
                <w:i/>
                <w:iCs/>
                <w:sz w:val="24"/>
              </w:rPr>
              <w:t>r</w:t>
            </w:r>
            <w:r>
              <w:rPr>
                <w:rFonts w:hint="eastAsia"/>
                <w:sz w:val="24"/>
                <w:vertAlign w:val="subscript"/>
              </w:rPr>
              <w:t>0</w:t>
            </w:r>
            <w:r>
              <w:rPr>
                <w:rFonts w:hint="eastAsia"/>
                <w:sz w:val="24"/>
              </w:rPr>
              <w:t>处的A声级，dB（A）</w:t>
            </w:r>
            <w:r>
              <w:rPr>
                <w:sz w:val="24"/>
              </w:rPr>
              <w:t>；</w:t>
            </w:r>
          </w:p>
          <w:p>
            <w:pPr>
              <w:adjustRightInd w:val="0"/>
              <w:spacing w:line="360" w:lineRule="auto"/>
              <w:ind w:firstLine="960" w:firstLineChars="400"/>
              <w:rPr>
                <w:sz w:val="24"/>
              </w:rPr>
            </w:pPr>
            <w:r>
              <w:rPr>
                <w:i/>
                <w:iCs/>
                <w:sz w:val="24"/>
              </w:rPr>
              <w:t>A</w:t>
            </w:r>
            <w:r>
              <w:rPr>
                <w:rFonts w:hint="eastAsia"/>
                <w:sz w:val="24"/>
                <w:vertAlign w:val="subscript"/>
              </w:rPr>
              <w:t>div</w:t>
            </w:r>
            <w:r>
              <w:rPr>
                <w:sz w:val="24"/>
              </w:rPr>
              <w:t xml:space="preserve"> ——</w:t>
            </w:r>
            <w:r>
              <w:rPr>
                <w:rFonts w:hint="eastAsia"/>
                <w:sz w:val="24"/>
              </w:rPr>
              <w:t>几何发散引起的衰减，d</w:t>
            </w:r>
            <w:r>
              <w:rPr>
                <w:sz w:val="24"/>
              </w:rPr>
              <w:t>B</w:t>
            </w:r>
            <w:r>
              <w:rPr>
                <w:rFonts w:hint="eastAsia"/>
                <w:sz w:val="24"/>
              </w:rPr>
              <w:t>；</w:t>
            </w:r>
          </w:p>
          <w:p>
            <w:pPr>
              <w:adjustRightInd w:val="0"/>
              <w:spacing w:line="360" w:lineRule="auto"/>
              <w:ind w:firstLine="960" w:firstLineChars="400"/>
              <w:rPr>
                <w:sz w:val="24"/>
              </w:rPr>
            </w:pPr>
            <w:r>
              <w:rPr>
                <w:rFonts w:hint="eastAsia"/>
                <w:i/>
                <w:iCs/>
                <w:sz w:val="24"/>
              </w:rPr>
              <w:t>r</w:t>
            </w:r>
            <w:r>
              <w:rPr>
                <w:sz w:val="24"/>
              </w:rPr>
              <w:t xml:space="preserve"> ——</w:t>
            </w:r>
            <w:r>
              <w:rPr>
                <w:rFonts w:hint="eastAsia"/>
                <w:sz w:val="24"/>
              </w:rPr>
              <w:t>预测点距声源的距离；</w:t>
            </w:r>
          </w:p>
          <w:p>
            <w:pPr>
              <w:adjustRightInd w:val="0"/>
              <w:spacing w:line="360" w:lineRule="auto"/>
              <w:ind w:firstLine="960" w:firstLineChars="400"/>
              <w:rPr>
                <w:sz w:val="24"/>
              </w:rPr>
            </w:pPr>
            <w:r>
              <w:rPr>
                <w:rFonts w:hint="eastAsia"/>
                <w:i/>
                <w:iCs/>
                <w:sz w:val="24"/>
              </w:rPr>
              <w:t>r</w:t>
            </w:r>
            <w:r>
              <w:rPr>
                <w:sz w:val="24"/>
                <w:vertAlign w:val="subscript"/>
              </w:rPr>
              <w:t>0</w:t>
            </w:r>
            <w:r>
              <w:rPr>
                <w:sz w:val="24"/>
              </w:rPr>
              <w:t xml:space="preserve"> ——</w:t>
            </w:r>
            <w:r>
              <w:rPr>
                <w:rFonts w:hint="eastAsia"/>
                <w:sz w:val="24"/>
              </w:rPr>
              <w:t>参考位置距声源的距离。</w:t>
            </w:r>
          </w:p>
          <w:p>
            <w:pPr>
              <w:adjustRightInd w:val="0"/>
              <w:spacing w:line="360" w:lineRule="auto"/>
              <w:ind w:firstLine="480" w:firstLineChars="200"/>
              <w:rPr>
                <w:sz w:val="24"/>
              </w:rPr>
            </w:pPr>
            <w:r>
              <w:rPr>
                <w:rFonts w:hint="eastAsia"/>
                <w:sz w:val="24"/>
              </w:rPr>
              <w:t>预测过程仅考虑声波几何发散、屏障引起的衰减，不考虑空气吸收衰减、地面效应及其他多方面效应引起的衰减。经预测本期工程</w:t>
            </w:r>
            <w:r>
              <w:rPr>
                <w:sz w:val="24"/>
              </w:rPr>
              <w:t>建成后噪声预测结果见下表</w:t>
            </w:r>
            <w:r>
              <w:rPr>
                <w:rFonts w:hint="eastAsia"/>
                <w:sz w:val="24"/>
              </w:rPr>
              <w:t>：</w:t>
            </w:r>
          </w:p>
          <w:p>
            <w:pPr>
              <w:adjustRightInd w:val="0"/>
              <w:jc w:val="center"/>
              <w:rPr>
                <w:sz w:val="24"/>
              </w:rPr>
            </w:pPr>
            <w:r>
              <w:rPr>
                <w:b/>
              </w:rPr>
              <w:t>表4-5</w:t>
            </w:r>
            <w:r>
              <w:rPr>
                <w:rFonts w:hint="eastAsia"/>
                <w:b/>
              </w:rPr>
              <w:t xml:space="preserve">  运营期噪声预测贡献值</w:t>
            </w:r>
          </w:p>
          <w:tbl>
            <w:tblPr>
              <w:tblStyle w:val="4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2221"/>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28" w:type="dxa"/>
                  <w:vAlign w:val="center"/>
                </w:tcPr>
                <w:p>
                  <w:pPr>
                    <w:spacing w:line="260" w:lineRule="exact"/>
                    <w:ind w:left="-84" w:leftChars="-40" w:right="-84" w:rightChars="-40"/>
                    <w:jc w:val="center"/>
                    <w:rPr>
                      <w:b/>
                      <w:szCs w:val="21"/>
                    </w:rPr>
                  </w:pPr>
                  <w:r>
                    <w:rPr>
                      <w:b/>
                      <w:szCs w:val="21"/>
                    </w:rPr>
                    <w:t>位置</w:t>
                  </w:r>
                </w:p>
              </w:tc>
              <w:tc>
                <w:tcPr>
                  <w:tcW w:w="2221" w:type="dxa"/>
                  <w:vAlign w:val="center"/>
                </w:tcPr>
                <w:p>
                  <w:pPr>
                    <w:spacing w:line="260" w:lineRule="exact"/>
                    <w:ind w:left="-84" w:leftChars="-40" w:right="-84" w:rightChars="-40"/>
                    <w:jc w:val="center"/>
                    <w:rPr>
                      <w:b/>
                      <w:szCs w:val="21"/>
                    </w:rPr>
                  </w:pPr>
                  <w:r>
                    <w:rPr>
                      <w:b/>
                      <w:szCs w:val="21"/>
                    </w:rPr>
                    <w:t>距</w:t>
                  </w:r>
                  <w:r>
                    <w:rPr>
                      <w:rFonts w:hint="eastAsia"/>
                      <w:b/>
                      <w:szCs w:val="21"/>
                    </w:rPr>
                    <w:t>噪声源</w:t>
                  </w:r>
                  <w:r>
                    <w:rPr>
                      <w:b/>
                      <w:szCs w:val="21"/>
                    </w:rPr>
                    <w:t>距离（m）</w:t>
                  </w:r>
                </w:p>
              </w:tc>
              <w:tc>
                <w:tcPr>
                  <w:tcW w:w="1900" w:type="dxa"/>
                  <w:vAlign w:val="center"/>
                </w:tcPr>
                <w:p>
                  <w:pPr>
                    <w:spacing w:line="260" w:lineRule="exact"/>
                    <w:ind w:right="-84" w:rightChars="-40"/>
                    <w:jc w:val="center"/>
                    <w:rPr>
                      <w:b/>
                      <w:szCs w:val="21"/>
                    </w:rPr>
                  </w:pPr>
                  <w:r>
                    <w:rPr>
                      <w:b/>
                      <w:szCs w:val="21"/>
                    </w:rPr>
                    <w:t>贡献值dB（A）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28" w:type="dxa"/>
                  <w:vAlign w:val="center"/>
                </w:tcPr>
                <w:p>
                  <w:pPr>
                    <w:spacing w:line="260" w:lineRule="exact"/>
                    <w:ind w:left="-84" w:leftChars="-40" w:right="-84" w:rightChars="-40"/>
                    <w:jc w:val="center"/>
                    <w:rPr>
                      <w:szCs w:val="21"/>
                    </w:rPr>
                  </w:pPr>
                  <w:r>
                    <w:rPr>
                      <w:rFonts w:hint="eastAsia"/>
                      <w:szCs w:val="21"/>
                    </w:rPr>
                    <w:t>光伏东场界外1m处</w:t>
                  </w:r>
                </w:p>
              </w:tc>
              <w:tc>
                <w:tcPr>
                  <w:tcW w:w="2221" w:type="dxa"/>
                  <w:vAlign w:val="center"/>
                </w:tcPr>
                <w:p>
                  <w:pPr>
                    <w:jc w:val="center"/>
                    <w:rPr>
                      <w:szCs w:val="21"/>
                    </w:rPr>
                  </w:pPr>
                  <w:r>
                    <w:rPr>
                      <w:rFonts w:hint="eastAsia"/>
                      <w:szCs w:val="21"/>
                    </w:rPr>
                    <w:t>1</w:t>
                  </w:r>
                </w:p>
              </w:tc>
              <w:tc>
                <w:tcPr>
                  <w:tcW w:w="1900" w:type="dxa"/>
                  <w:vAlign w:val="center"/>
                </w:tcPr>
                <w:p>
                  <w:pPr>
                    <w:jc w:val="center"/>
                    <w:rPr>
                      <w:szCs w:val="21"/>
                    </w:rPr>
                  </w:pPr>
                  <w:r>
                    <w:rPr>
                      <w:rFonts w:hint="eastAsia"/>
                      <w:szCs w:val="21"/>
                    </w:rPr>
                    <w:t>5</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28" w:type="dxa"/>
                  <w:vAlign w:val="center"/>
                </w:tcPr>
                <w:p>
                  <w:pPr>
                    <w:spacing w:line="260" w:lineRule="exact"/>
                    <w:ind w:left="-84" w:leftChars="-40" w:right="-84" w:rightChars="-40"/>
                    <w:jc w:val="center"/>
                    <w:rPr>
                      <w:szCs w:val="21"/>
                    </w:rPr>
                  </w:pPr>
                  <w:r>
                    <w:rPr>
                      <w:rFonts w:hint="eastAsia"/>
                      <w:szCs w:val="21"/>
                    </w:rPr>
                    <w:t>光伏南场界外1m处</w:t>
                  </w:r>
                </w:p>
              </w:tc>
              <w:tc>
                <w:tcPr>
                  <w:tcW w:w="2221" w:type="dxa"/>
                  <w:vAlign w:val="center"/>
                </w:tcPr>
                <w:p>
                  <w:pPr>
                    <w:jc w:val="center"/>
                    <w:rPr>
                      <w:szCs w:val="21"/>
                    </w:rPr>
                  </w:pPr>
                  <w:r>
                    <w:rPr>
                      <w:rFonts w:hint="eastAsia"/>
                      <w:szCs w:val="21"/>
                    </w:rPr>
                    <w:t>1</w:t>
                  </w:r>
                </w:p>
              </w:tc>
              <w:tc>
                <w:tcPr>
                  <w:tcW w:w="1900" w:type="dxa"/>
                  <w:vAlign w:val="center"/>
                </w:tcPr>
                <w:p>
                  <w:pPr>
                    <w:jc w:val="center"/>
                    <w:rPr>
                      <w:szCs w:val="21"/>
                    </w:rPr>
                  </w:pPr>
                  <w:r>
                    <w:rPr>
                      <w:rFonts w:hint="eastAsia"/>
                      <w:szCs w:val="21"/>
                    </w:rPr>
                    <w:t>5</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28" w:type="dxa"/>
                  <w:vAlign w:val="center"/>
                </w:tcPr>
                <w:p>
                  <w:pPr>
                    <w:spacing w:line="260" w:lineRule="exact"/>
                    <w:ind w:left="-84" w:leftChars="-40" w:right="-84" w:rightChars="-40"/>
                    <w:jc w:val="center"/>
                    <w:rPr>
                      <w:szCs w:val="21"/>
                    </w:rPr>
                  </w:pPr>
                  <w:r>
                    <w:rPr>
                      <w:rFonts w:hint="eastAsia"/>
                      <w:szCs w:val="21"/>
                    </w:rPr>
                    <w:t>光伏西场界外1m处</w:t>
                  </w:r>
                </w:p>
              </w:tc>
              <w:tc>
                <w:tcPr>
                  <w:tcW w:w="2221" w:type="dxa"/>
                  <w:vAlign w:val="center"/>
                </w:tcPr>
                <w:p>
                  <w:pPr>
                    <w:jc w:val="center"/>
                    <w:rPr>
                      <w:szCs w:val="21"/>
                    </w:rPr>
                  </w:pPr>
                  <w:r>
                    <w:rPr>
                      <w:rFonts w:hint="eastAsia"/>
                      <w:szCs w:val="21"/>
                    </w:rPr>
                    <w:t>1</w:t>
                  </w:r>
                </w:p>
              </w:tc>
              <w:tc>
                <w:tcPr>
                  <w:tcW w:w="1900" w:type="dxa"/>
                  <w:vAlign w:val="center"/>
                </w:tcPr>
                <w:p>
                  <w:pPr>
                    <w:jc w:val="center"/>
                    <w:rPr>
                      <w:szCs w:val="21"/>
                    </w:rPr>
                  </w:pPr>
                  <w:r>
                    <w:rPr>
                      <w:rFonts w:hint="eastAsia"/>
                      <w:szCs w:val="21"/>
                    </w:rPr>
                    <w:t>5</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28" w:type="dxa"/>
                  <w:vAlign w:val="center"/>
                </w:tcPr>
                <w:p>
                  <w:pPr>
                    <w:spacing w:line="260" w:lineRule="exact"/>
                    <w:ind w:left="-84" w:leftChars="-40" w:right="-84" w:rightChars="-40"/>
                    <w:jc w:val="center"/>
                    <w:rPr>
                      <w:szCs w:val="21"/>
                    </w:rPr>
                  </w:pPr>
                  <w:r>
                    <w:rPr>
                      <w:rFonts w:hint="eastAsia"/>
                      <w:szCs w:val="21"/>
                    </w:rPr>
                    <w:t>光伏北场界外1m处</w:t>
                  </w:r>
                </w:p>
              </w:tc>
              <w:tc>
                <w:tcPr>
                  <w:tcW w:w="2221" w:type="dxa"/>
                  <w:vAlign w:val="center"/>
                </w:tcPr>
                <w:p>
                  <w:pPr>
                    <w:jc w:val="center"/>
                    <w:rPr>
                      <w:szCs w:val="21"/>
                    </w:rPr>
                  </w:pPr>
                  <w:r>
                    <w:rPr>
                      <w:rFonts w:hint="eastAsia"/>
                      <w:szCs w:val="21"/>
                    </w:rPr>
                    <w:t>1</w:t>
                  </w:r>
                </w:p>
              </w:tc>
              <w:tc>
                <w:tcPr>
                  <w:tcW w:w="1900" w:type="dxa"/>
                  <w:vAlign w:val="center"/>
                </w:tcPr>
                <w:p>
                  <w:pPr>
                    <w:jc w:val="center"/>
                    <w:rPr>
                      <w:szCs w:val="21"/>
                    </w:rPr>
                  </w:pPr>
                  <w:r>
                    <w:rPr>
                      <w:rFonts w:hint="eastAsia"/>
                      <w:szCs w:val="21"/>
                    </w:rPr>
                    <w:t>5</w:t>
                  </w:r>
                  <w:r>
                    <w:rPr>
                      <w:szCs w:val="21"/>
                    </w:rPr>
                    <w:t>0</w:t>
                  </w:r>
                </w:p>
              </w:tc>
            </w:tr>
          </w:tbl>
          <w:p>
            <w:pPr>
              <w:adjustRightInd w:val="0"/>
              <w:spacing w:line="360" w:lineRule="auto"/>
              <w:ind w:firstLine="480" w:firstLineChars="200"/>
              <w:rPr>
                <w:sz w:val="24"/>
              </w:rPr>
            </w:pPr>
            <w:r>
              <w:rPr>
                <w:rFonts w:hint="eastAsia"/>
                <w:sz w:val="24"/>
              </w:rPr>
              <w:t>由上表可知，项目建成投运后，距噪声源最近的光伏区场界外1m处的噪声贡献值为5</w:t>
            </w:r>
            <w:r>
              <w:rPr>
                <w:sz w:val="24"/>
              </w:rPr>
              <w:t>0</w:t>
            </w:r>
            <w:r>
              <w:rPr>
                <w:rFonts w:hint="eastAsia"/>
                <w:sz w:val="24"/>
              </w:rPr>
              <w:t>dB</w:t>
            </w:r>
            <w:r>
              <w:rPr>
                <w:rFonts w:hint="eastAsia" w:ascii="宋体" w:hAnsi="宋体"/>
                <w:sz w:val="24"/>
              </w:rPr>
              <w:t>(</w:t>
            </w:r>
            <w:r>
              <w:rPr>
                <w:rFonts w:hint="eastAsia"/>
                <w:sz w:val="24"/>
              </w:rPr>
              <w:t>A</w:t>
            </w:r>
            <w:r>
              <w:rPr>
                <w:rFonts w:hint="eastAsia" w:ascii="宋体" w:hAnsi="宋体"/>
                <w:sz w:val="24"/>
              </w:rPr>
              <w:t>)</w:t>
            </w:r>
            <w:r>
              <w:rPr>
                <w:rFonts w:hint="eastAsia"/>
                <w:sz w:val="24"/>
              </w:rPr>
              <w:t>，</w:t>
            </w:r>
            <w:r>
              <w:rPr>
                <w:sz w:val="24"/>
              </w:rPr>
              <w:t>满足《工业企业厂界环境噪声排放标准》（GB12348-2008）1类区</w:t>
            </w:r>
            <w:r>
              <w:rPr>
                <w:rFonts w:hint="eastAsia"/>
                <w:sz w:val="24"/>
              </w:rPr>
              <w:t>昼间</w:t>
            </w:r>
            <w:r>
              <w:rPr>
                <w:sz w:val="24"/>
              </w:rPr>
              <w:t>标准</w:t>
            </w:r>
            <w:r>
              <w:rPr>
                <w:rFonts w:hint="eastAsia"/>
                <w:sz w:val="24"/>
              </w:rPr>
              <w:t>要求。项目评价范围内无声环境保护目标，夜间不运行，项目不会</w:t>
            </w:r>
            <w:r>
              <w:rPr>
                <w:sz w:val="24"/>
              </w:rPr>
              <w:t>对</w:t>
            </w:r>
            <w:r>
              <w:rPr>
                <w:rFonts w:hint="eastAsia"/>
                <w:sz w:val="24"/>
              </w:rPr>
              <w:t>周边环境产生影响。</w:t>
            </w:r>
          </w:p>
          <w:p>
            <w:pPr>
              <w:adjustRightInd w:val="0"/>
              <w:spacing w:line="360" w:lineRule="auto"/>
              <w:ind w:firstLine="482" w:firstLineChars="200"/>
              <w:rPr>
                <w:b/>
                <w:bCs/>
                <w:sz w:val="24"/>
              </w:rPr>
            </w:pPr>
            <w:r>
              <w:rPr>
                <w:rFonts w:hint="eastAsia"/>
                <w:b/>
                <w:bCs/>
                <w:sz w:val="24"/>
              </w:rPr>
              <w:t>（</w:t>
            </w:r>
            <w:r>
              <w:rPr>
                <w:b/>
                <w:bCs/>
                <w:sz w:val="24"/>
              </w:rPr>
              <w:t>5</w:t>
            </w:r>
            <w:r>
              <w:rPr>
                <w:rFonts w:hint="eastAsia"/>
                <w:b/>
                <w:bCs/>
                <w:sz w:val="24"/>
              </w:rPr>
              <w:t>）固体废物</w:t>
            </w:r>
          </w:p>
          <w:p>
            <w:pPr>
              <w:adjustRightInd w:val="0"/>
              <w:spacing w:line="360" w:lineRule="auto"/>
              <w:ind w:firstLine="480" w:firstLineChars="200"/>
              <w:rPr>
                <w:bCs/>
                <w:sz w:val="24"/>
              </w:rPr>
            </w:pPr>
            <w:r>
              <w:rPr>
                <w:bCs/>
                <w:sz w:val="24"/>
              </w:rPr>
              <w:t>项目营运期固废包括废电池板、生活垃圾、污水处理设施</w:t>
            </w:r>
            <w:r>
              <w:rPr>
                <w:rFonts w:hint="eastAsia"/>
                <w:bCs/>
                <w:sz w:val="24"/>
              </w:rPr>
              <w:t>污</w:t>
            </w:r>
            <w:r>
              <w:rPr>
                <w:bCs/>
                <w:sz w:val="24"/>
              </w:rPr>
              <w:t>泥</w:t>
            </w:r>
            <w:r>
              <w:rPr>
                <w:rFonts w:hint="eastAsia"/>
                <w:bCs/>
                <w:sz w:val="24"/>
              </w:rPr>
              <w:t>、废矿物油、</w:t>
            </w:r>
            <w:r>
              <w:rPr>
                <w:rFonts w:hint="eastAsia" w:hAnsi="宋体"/>
                <w:sz w:val="24"/>
              </w:rPr>
              <w:t>废铅蓄电池等</w:t>
            </w:r>
            <w:r>
              <w:rPr>
                <w:bCs/>
                <w:sz w:val="24"/>
              </w:rPr>
              <w:t>。</w:t>
            </w:r>
          </w:p>
          <w:p>
            <w:pPr>
              <w:adjustRightInd w:val="0"/>
              <w:spacing w:line="360" w:lineRule="auto"/>
              <w:ind w:firstLine="480" w:firstLineChars="200"/>
              <w:rPr>
                <w:bCs/>
                <w:sz w:val="24"/>
              </w:rPr>
            </w:pPr>
            <w:r>
              <w:rPr>
                <w:rFonts w:hint="eastAsia" w:cs="宋体"/>
                <w:bCs/>
                <w:sz w:val="24"/>
              </w:rPr>
              <w:t>1）</w:t>
            </w:r>
            <w:r>
              <w:rPr>
                <w:bCs/>
                <w:sz w:val="24"/>
              </w:rPr>
              <w:t>废电池板</w:t>
            </w:r>
          </w:p>
          <w:p>
            <w:pPr>
              <w:adjustRightInd w:val="0"/>
              <w:spacing w:line="360" w:lineRule="auto"/>
              <w:ind w:firstLine="480" w:firstLineChars="200"/>
              <w:rPr>
                <w:bCs/>
                <w:sz w:val="24"/>
              </w:rPr>
            </w:pPr>
            <w:r>
              <w:rPr>
                <w:rFonts w:hint="eastAsia"/>
                <w:bCs/>
                <w:sz w:val="24"/>
              </w:rPr>
              <w:t>项目</w:t>
            </w:r>
            <w:r>
              <w:rPr>
                <w:bCs/>
                <w:sz w:val="24"/>
              </w:rPr>
              <w:t>运营期，电池板寿命达到使用年限，</w:t>
            </w:r>
            <w:r>
              <w:rPr>
                <w:rFonts w:hint="eastAsia"/>
                <w:bCs/>
                <w:sz w:val="24"/>
              </w:rPr>
              <w:t>会产生废电池板，</w:t>
            </w:r>
            <w:r>
              <w:rPr>
                <w:bCs/>
                <w:sz w:val="24"/>
              </w:rPr>
              <w:t>报废后建设单位对报废电池板进行收集，最终由专业的回收厂家收购</w:t>
            </w:r>
            <w:r>
              <w:rPr>
                <w:rFonts w:hint="eastAsia"/>
                <w:bCs/>
                <w:sz w:val="24"/>
              </w:rPr>
              <w:t>回收</w:t>
            </w:r>
            <w:r>
              <w:rPr>
                <w:bCs/>
                <w:sz w:val="24"/>
              </w:rPr>
              <w:t>处理。</w:t>
            </w:r>
          </w:p>
          <w:p>
            <w:pPr>
              <w:adjustRightInd w:val="0"/>
              <w:spacing w:line="360" w:lineRule="auto"/>
              <w:ind w:firstLine="480" w:firstLineChars="200"/>
              <w:rPr>
                <w:bCs/>
                <w:sz w:val="24"/>
              </w:rPr>
            </w:pPr>
            <w:r>
              <w:rPr>
                <w:bCs/>
                <w:sz w:val="24"/>
              </w:rPr>
              <w:t>根据《国家危险废物名录》</w:t>
            </w:r>
            <w:r>
              <w:rPr>
                <w:rFonts w:hint="eastAsia"/>
                <w:bCs/>
                <w:sz w:val="24"/>
              </w:rPr>
              <w:t>（2</w:t>
            </w:r>
            <w:r>
              <w:rPr>
                <w:bCs/>
                <w:sz w:val="24"/>
              </w:rPr>
              <w:t>021</w:t>
            </w:r>
            <w:r>
              <w:rPr>
                <w:rFonts w:hint="eastAsia"/>
                <w:bCs/>
                <w:sz w:val="24"/>
              </w:rPr>
              <w:t>版）</w:t>
            </w:r>
            <w:r>
              <w:rPr>
                <w:bCs/>
                <w:sz w:val="24"/>
              </w:rPr>
              <w:t>，太阳能电池板中不含名录中所列的危险废物。太阳能电池采用的材料是晶体硅，硅电池片所含主要化学成分有Si、P和B，硅电池中晶体Si纯度为6个9</w:t>
            </w:r>
            <w:r>
              <w:rPr>
                <w:rFonts w:ascii="宋体" w:hAnsi="宋体"/>
                <w:bCs/>
                <w:sz w:val="24"/>
              </w:rPr>
              <w:t>(</w:t>
            </w:r>
            <w:r>
              <w:rPr>
                <w:bCs/>
                <w:sz w:val="24"/>
              </w:rPr>
              <w:t>6N</w:t>
            </w:r>
            <w:r>
              <w:rPr>
                <w:rFonts w:hint="eastAsia"/>
                <w:bCs/>
                <w:sz w:val="24"/>
              </w:rPr>
              <w:t>）</w:t>
            </w:r>
            <w:r>
              <w:rPr>
                <w:bCs/>
                <w:sz w:val="24"/>
              </w:rPr>
              <w:t>以上的高纯硅材料，即纯度为99.9999</w:t>
            </w:r>
            <w:r>
              <w:rPr>
                <w:rFonts w:hint="eastAsia"/>
                <w:bCs/>
                <w:sz w:val="24"/>
              </w:rPr>
              <w:t>%</w:t>
            </w:r>
            <w:r>
              <w:rPr>
                <w:bCs/>
                <w:sz w:val="24"/>
              </w:rPr>
              <w:t>以上的硅材料。Si、P和B均以晶体形式存在，不具有腐蚀性、易燃性、毒性、反应性和感染性的危险特性。因此，本项目所使用的太阳能电池板报废后属一般工业固体废物，不属于危险废物。</w:t>
            </w:r>
          </w:p>
          <w:p>
            <w:pPr>
              <w:adjustRightInd w:val="0"/>
              <w:spacing w:line="360" w:lineRule="auto"/>
              <w:ind w:firstLine="480" w:firstLineChars="200"/>
              <w:rPr>
                <w:bCs/>
                <w:sz w:val="24"/>
              </w:rPr>
            </w:pPr>
            <w:r>
              <w:rPr>
                <w:rFonts w:hint="eastAsia"/>
                <w:bCs/>
                <w:sz w:val="24"/>
              </w:rPr>
              <w:t>2）</w:t>
            </w:r>
            <w:r>
              <w:rPr>
                <w:bCs/>
                <w:sz w:val="24"/>
              </w:rPr>
              <w:t>生活垃圾</w:t>
            </w:r>
          </w:p>
          <w:p>
            <w:pPr>
              <w:adjustRightInd w:val="0"/>
              <w:spacing w:line="360" w:lineRule="auto"/>
              <w:ind w:firstLine="480" w:firstLineChars="200"/>
              <w:rPr>
                <w:bCs/>
                <w:sz w:val="24"/>
              </w:rPr>
            </w:pPr>
            <w:r>
              <w:rPr>
                <w:rFonts w:hint="eastAsia"/>
                <w:bCs/>
                <w:sz w:val="24"/>
              </w:rPr>
              <w:t>项目</w:t>
            </w:r>
            <w:r>
              <w:rPr>
                <w:bCs/>
                <w:sz w:val="24"/>
              </w:rPr>
              <w:t>劳动定员为5人，均在项目内食宿，生活垃圾产生量以1kg/（人·d）计，则生活垃圾产生量约为5kg/d，年产生量为1.825t/a。项目产生的生活垃圾主要为平时工作人员用的生活废品，包括</w:t>
            </w:r>
            <w:r>
              <w:rPr>
                <w:rFonts w:hint="eastAsia"/>
                <w:bCs/>
                <w:sz w:val="24"/>
              </w:rPr>
              <w:t>厨房</w:t>
            </w:r>
            <w:r>
              <w:rPr>
                <w:bCs/>
                <w:sz w:val="24"/>
              </w:rPr>
              <w:t>菜叶、废纸、包装袋，项目内的生活垃圾分类收集后放入项目办公生活区的垃圾桶内，定期运至</w:t>
            </w:r>
            <w:r>
              <w:rPr>
                <w:rFonts w:hint="eastAsia"/>
                <w:bCs/>
                <w:sz w:val="24"/>
              </w:rPr>
              <w:t>附近</w:t>
            </w:r>
            <w:r>
              <w:rPr>
                <w:rFonts w:hint="eastAsia"/>
                <w:kern w:val="0"/>
                <w:sz w:val="24"/>
              </w:rPr>
              <w:t>村镇</w:t>
            </w:r>
            <w:r>
              <w:rPr>
                <w:kern w:val="0"/>
                <w:sz w:val="24"/>
              </w:rPr>
              <w:t>的垃圾收集点，由当地环卫部门处置</w:t>
            </w:r>
            <w:r>
              <w:rPr>
                <w:bCs/>
                <w:sz w:val="24"/>
              </w:rPr>
              <w:t>，处置率达100%。</w:t>
            </w:r>
          </w:p>
          <w:p>
            <w:pPr>
              <w:adjustRightInd w:val="0"/>
              <w:spacing w:line="360" w:lineRule="auto"/>
              <w:ind w:firstLine="480" w:firstLineChars="200"/>
              <w:rPr>
                <w:bCs/>
                <w:sz w:val="24"/>
              </w:rPr>
            </w:pPr>
            <w:r>
              <w:rPr>
                <w:rFonts w:hint="eastAsia" w:cs="宋体"/>
                <w:bCs/>
                <w:sz w:val="24"/>
              </w:rPr>
              <w:t>3）</w:t>
            </w:r>
            <w:r>
              <w:rPr>
                <w:bCs/>
                <w:sz w:val="24"/>
              </w:rPr>
              <w:t>污水处理设施</w:t>
            </w:r>
            <w:r>
              <w:rPr>
                <w:rFonts w:hint="eastAsia"/>
                <w:bCs/>
                <w:sz w:val="24"/>
              </w:rPr>
              <w:t>污</w:t>
            </w:r>
            <w:r>
              <w:rPr>
                <w:bCs/>
                <w:sz w:val="24"/>
              </w:rPr>
              <w:t>泥</w:t>
            </w:r>
          </w:p>
          <w:p>
            <w:pPr>
              <w:adjustRightInd w:val="0"/>
              <w:spacing w:line="360" w:lineRule="auto"/>
              <w:ind w:firstLine="480" w:firstLineChars="200"/>
              <w:rPr>
                <w:bCs/>
                <w:sz w:val="24"/>
              </w:rPr>
            </w:pPr>
            <w:r>
              <w:rPr>
                <w:bCs/>
                <w:sz w:val="24"/>
              </w:rPr>
              <w:t>生活</w:t>
            </w:r>
            <w:r>
              <w:rPr>
                <w:rFonts w:hint="eastAsia"/>
                <w:bCs/>
                <w:sz w:val="24"/>
              </w:rPr>
              <w:t>污</w:t>
            </w:r>
            <w:r>
              <w:rPr>
                <w:bCs/>
                <w:sz w:val="24"/>
              </w:rPr>
              <w:t>水处理过程中</w:t>
            </w:r>
            <w:r>
              <w:rPr>
                <w:rFonts w:hint="eastAsia"/>
                <w:bCs/>
                <w:sz w:val="24"/>
              </w:rPr>
              <w:t>会</w:t>
            </w:r>
            <w:r>
              <w:rPr>
                <w:bCs/>
                <w:sz w:val="24"/>
              </w:rPr>
              <w:t>产生少量的</w:t>
            </w:r>
            <w:r>
              <w:rPr>
                <w:rFonts w:hint="eastAsia"/>
                <w:bCs/>
                <w:sz w:val="24"/>
              </w:rPr>
              <w:t>污泥</w:t>
            </w:r>
            <w:r>
              <w:rPr>
                <w:bCs/>
                <w:sz w:val="24"/>
              </w:rPr>
              <w:t>，</w:t>
            </w:r>
            <w:r>
              <w:rPr>
                <w:rFonts w:hint="eastAsia"/>
                <w:bCs/>
                <w:sz w:val="24"/>
              </w:rPr>
              <w:t>年产生量约</w:t>
            </w:r>
            <w:r>
              <w:rPr>
                <w:bCs/>
                <w:sz w:val="24"/>
              </w:rPr>
              <w:t>1.0t/a</w:t>
            </w:r>
            <w:r>
              <w:rPr>
                <w:rFonts w:hint="eastAsia"/>
                <w:bCs/>
                <w:sz w:val="24"/>
              </w:rPr>
              <w:t>，污泥</w:t>
            </w:r>
            <w:r>
              <w:rPr>
                <w:bCs/>
                <w:sz w:val="24"/>
              </w:rPr>
              <w:t>中</w:t>
            </w:r>
            <w:r>
              <w:rPr>
                <w:rFonts w:hint="eastAsia"/>
                <w:bCs/>
                <w:sz w:val="24"/>
              </w:rPr>
              <w:t>主要含有有机物</w:t>
            </w:r>
            <w:r>
              <w:rPr>
                <w:bCs/>
                <w:sz w:val="24"/>
              </w:rPr>
              <w:t>，清掏</w:t>
            </w:r>
            <w:r>
              <w:rPr>
                <w:rFonts w:hint="eastAsia"/>
                <w:bCs/>
                <w:sz w:val="24"/>
              </w:rPr>
              <w:t>后用于电站周围植物施肥</w:t>
            </w:r>
            <w:r>
              <w:rPr>
                <w:bCs/>
                <w:sz w:val="24"/>
              </w:rPr>
              <w:t>。</w:t>
            </w:r>
          </w:p>
          <w:p>
            <w:pPr>
              <w:adjustRightInd w:val="0"/>
              <w:spacing w:line="360" w:lineRule="auto"/>
              <w:ind w:firstLine="480" w:firstLineChars="200"/>
              <w:rPr>
                <w:bCs/>
                <w:sz w:val="24"/>
              </w:rPr>
            </w:pPr>
            <w:r>
              <w:rPr>
                <w:rFonts w:hint="eastAsia"/>
                <w:bCs/>
                <w:sz w:val="24"/>
              </w:rPr>
              <w:t>4）废矿物油</w:t>
            </w:r>
          </w:p>
          <w:p>
            <w:pPr>
              <w:adjustRightInd w:val="0"/>
              <w:spacing w:line="360" w:lineRule="auto"/>
              <w:ind w:firstLine="480" w:firstLineChars="200"/>
              <w:rPr>
                <w:bCs/>
                <w:sz w:val="24"/>
              </w:rPr>
            </w:pPr>
            <w:r>
              <w:rPr>
                <w:rFonts w:hint="eastAsia"/>
                <w:bCs/>
                <w:sz w:val="24"/>
              </w:rPr>
              <w:t>根据《国家危险废物名录》（2021版），废变压器油类别为HW08废矿物油与含矿物油废物，废物代码为900-220-08。本项目在运营期间，变压器内的油不进行更换，也不会泄漏，因此正常情况下不会产生废变压器油。运营过程中变压器在事故状态下，会产生少量的废油。本项目共</w:t>
            </w:r>
            <w:r>
              <w:rPr>
                <w:bCs/>
                <w:sz w:val="24"/>
              </w:rPr>
              <w:t>6</w:t>
            </w:r>
            <w:r>
              <w:rPr>
                <w:rFonts w:hint="eastAsia"/>
                <w:bCs/>
                <w:sz w:val="24"/>
              </w:rPr>
              <w:t>个箱式变压器，每个箱式变压器内存储约</w:t>
            </w:r>
            <w:r>
              <w:rPr>
                <w:bCs/>
                <w:sz w:val="24"/>
              </w:rPr>
              <w:t>2</w:t>
            </w:r>
            <w:r>
              <w:rPr>
                <w:rFonts w:hint="eastAsia"/>
                <w:bCs/>
                <w:sz w:val="24"/>
              </w:rPr>
              <w:t>t变压器油，根据主体设计每个箱式变压器下设计</w:t>
            </w:r>
            <w:r>
              <w:rPr>
                <w:bCs/>
                <w:sz w:val="24"/>
              </w:rPr>
              <w:t>4</w:t>
            </w:r>
            <w:r>
              <w:rPr>
                <w:rFonts w:hint="eastAsia"/>
                <w:bCs/>
                <w:sz w:val="24"/>
              </w:rPr>
              <w:t>m</w:t>
            </w:r>
            <w:r>
              <w:rPr>
                <w:rFonts w:hint="eastAsia"/>
                <w:bCs/>
                <w:sz w:val="24"/>
                <w:vertAlign w:val="superscript"/>
              </w:rPr>
              <w:t>3</w:t>
            </w:r>
            <w:r>
              <w:rPr>
                <w:rFonts w:hint="eastAsia"/>
                <w:bCs/>
                <w:sz w:val="24"/>
              </w:rPr>
              <w:t>的事故油池，一旦发生事故排油，泄漏的变压器油直接排入箱变下方的事故油池，交有资质单位处置。</w:t>
            </w:r>
          </w:p>
          <w:p>
            <w:pPr>
              <w:adjustRightInd w:val="0"/>
              <w:spacing w:line="360" w:lineRule="auto"/>
              <w:ind w:firstLine="480" w:firstLineChars="200"/>
              <w:rPr>
                <w:bCs/>
                <w:sz w:val="24"/>
              </w:rPr>
            </w:pPr>
            <w:r>
              <w:rPr>
                <w:rFonts w:hint="eastAsia"/>
                <w:bCs/>
                <w:sz w:val="24"/>
              </w:rPr>
              <w:t>依据《火力发电厂与变电站设计防火标准》（GB50229-2019）中的规定“户外单台油量为1000kg以上的电气设备，应设置贮油或挡油设施，其容积宜按设备油量的20%设计，并能将事故油排至总事故贮油池。总事故贮油池的容量应按其接入的油量最大的一台设备确定，并设置油水分离装置。当不能满足上述要求时，应设置能容纳相应电气设备全部油量的贮油设施，并设置油水分离装置。贮油或挡油设施应大于设备外廓每边各1m”。根据目前国内已投运的变压器常规参数，本项目3</w:t>
            </w:r>
            <w:r>
              <w:rPr>
                <w:bCs/>
                <w:sz w:val="24"/>
              </w:rPr>
              <w:t>5</w:t>
            </w:r>
            <w:r>
              <w:rPr>
                <w:rFonts w:hint="eastAsia"/>
                <w:bCs/>
                <w:sz w:val="24"/>
              </w:rPr>
              <w:t>k</w:t>
            </w:r>
            <w:r>
              <w:rPr>
                <w:bCs/>
                <w:sz w:val="24"/>
              </w:rPr>
              <w:t>V</w:t>
            </w:r>
            <w:r>
              <w:rPr>
                <w:rFonts w:hint="eastAsia"/>
                <w:bCs/>
                <w:sz w:val="24"/>
              </w:rPr>
              <w:t>箱变最大油箱容量约为</w:t>
            </w:r>
            <w:r>
              <w:rPr>
                <w:bCs/>
                <w:sz w:val="24"/>
              </w:rPr>
              <w:t>2</w:t>
            </w:r>
            <w:r>
              <w:rPr>
                <w:rFonts w:hint="eastAsia"/>
                <w:bCs/>
                <w:sz w:val="24"/>
              </w:rPr>
              <w:t>t，变压器油密度为895kg/m</w:t>
            </w:r>
            <w:r>
              <w:rPr>
                <w:rFonts w:hint="eastAsia"/>
                <w:bCs/>
                <w:sz w:val="24"/>
                <w:vertAlign w:val="superscript"/>
              </w:rPr>
              <w:t>3</w:t>
            </w:r>
            <w:r>
              <w:rPr>
                <w:rFonts w:hint="eastAsia"/>
                <w:bCs/>
                <w:sz w:val="24"/>
              </w:rPr>
              <w:t>，3</w:t>
            </w:r>
            <w:r>
              <w:rPr>
                <w:bCs/>
                <w:sz w:val="24"/>
              </w:rPr>
              <w:t>5</w:t>
            </w:r>
            <w:r>
              <w:rPr>
                <w:rFonts w:hint="eastAsia"/>
                <w:bCs/>
                <w:sz w:val="24"/>
              </w:rPr>
              <w:t>k</w:t>
            </w:r>
            <w:r>
              <w:rPr>
                <w:bCs/>
                <w:sz w:val="24"/>
              </w:rPr>
              <w:t>V</w:t>
            </w:r>
            <w:r>
              <w:rPr>
                <w:rFonts w:hint="eastAsia"/>
                <w:bCs/>
                <w:sz w:val="24"/>
              </w:rPr>
              <w:t>箱变下方的事故油池设计容积至少为</w:t>
            </w:r>
            <w:r>
              <w:rPr>
                <w:bCs/>
                <w:sz w:val="24"/>
              </w:rPr>
              <w:t>2.3</w:t>
            </w:r>
            <w:r>
              <w:rPr>
                <w:rFonts w:hint="eastAsia"/>
                <w:bCs/>
                <w:sz w:val="24"/>
              </w:rPr>
              <w:t>m</w:t>
            </w:r>
            <w:r>
              <w:rPr>
                <w:rFonts w:hint="eastAsia"/>
                <w:bCs/>
                <w:sz w:val="24"/>
                <w:vertAlign w:val="superscript"/>
              </w:rPr>
              <w:t>3</w:t>
            </w:r>
            <w:r>
              <w:rPr>
                <w:rFonts w:hint="eastAsia"/>
                <w:bCs/>
                <w:sz w:val="24"/>
              </w:rPr>
              <w:t>。本工程3</w:t>
            </w:r>
            <w:r>
              <w:rPr>
                <w:bCs/>
                <w:sz w:val="24"/>
              </w:rPr>
              <w:t>5</w:t>
            </w:r>
            <w:r>
              <w:rPr>
                <w:rFonts w:hint="eastAsia"/>
                <w:bCs/>
                <w:sz w:val="24"/>
              </w:rPr>
              <w:t>k</w:t>
            </w:r>
            <w:r>
              <w:rPr>
                <w:bCs/>
                <w:sz w:val="24"/>
              </w:rPr>
              <w:t>V</w:t>
            </w:r>
            <w:r>
              <w:rPr>
                <w:rFonts w:hint="eastAsia"/>
                <w:bCs/>
                <w:sz w:val="24"/>
              </w:rPr>
              <w:t>箱变下方事故油池容积</w:t>
            </w:r>
            <w:r>
              <w:rPr>
                <w:bCs/>
                <w:sz w:val="24"/>
              </w:rPr>
              <w:t>4</w:t>
            </w:r>
            <w:r>
              <w:rPr>
                <w:rFonts w:hint="eastAsia"/>
                <w:bCs/>
                <w:sz w:val="24"/>
              </w:rPr>
              <w:t>m</w:t>
            </w:r>
            <w:r>
              <w:rPr>
                <w:rFonts w:hint="eastAsia"/>
                <w:bCs/>
                <w:sz w:val="24"/>
                <w:vertAlign w:val="superscript"/>
              </w:rPr>
              <w:t>3</w:t>
            </w:r>
            <w:r>
              <w:rPr>
                <w:rFonts w:hint="eastAsia"/>
                <w:bCs/>
                <w:sz w:val="24"/>
              </w:rPr>
              <w:t>。贮油设施均已满足标准中的容量要求，且能满足本项目箱变事故排油的需要。</w:t>
            </w:r>
          </w:p>
          <w:p>
            <w:pPr>
              <w:adjustRightInd w:val="0"/>
              <w:spacing w:line="360" w:lineRule="auto"/>
              <w:ind w:firstLine="480" w:firstLineChars="200"/>
              <w:rPr>
                <w:bCs/>
                <w:sz w:val="24"/>
              </w:rPr>
            </w:pPr>
            <w:r>
              <w:rPr>
                <w:rFonts w:hint="eastAsia"/>
                <w:bCs/>
                <w:sz w:val="24"/>
              </w:rPr>
              <w:t>变压器发生事故产生的废矿物油、含油废渣、含油手套等危险废物应采用带盖容器收集（约1</w:t>
            </w:r>
            <w:r>
              <w:rPr>
                <w:bCs/>
                <w:sz w:val="24"/>
              </w:rPr>
              <w:t>00</w:t>
            </w:r>
            <w:r>
              <w:rPr>
                <w:rFonts w:hint="eastAsia"/>
                <w:bCs/>
                <w:sz w:val="24"/>
              </w:rPr>
              <w:t>kg</w:t>
            </w:r>
            <w:r>
              <w:rPr>
                <w:bCs/>
                <w:sz w:val="24"/>
              </w:rPr>
              <w:t>/</w:t>
            </w:r>
            <w:r>
              <w:rPr>
                <w:rFonts w:hint="eastAsia"/>
                <w:bCs/>
                <w:sz w:val="24"/>
              </w:rPr>
              <w:t>次），暂存于本期新建的危废库预制舱中，定期交有资质单位处置。</w:t>
            </w:r>
          </w:p>
          <w:p>
            <w:pPr>
              <w:adjustRightInd w:val="0"/>
              <w:spacing w:line="360" w:lineRule="auto"/>
              <w:ind w:firstLine="480" w:firstLineChars="200"/>
              <w:rPr>
                <w:rFonts w:hAnsi="宋体"/>
                <w:sz w:val="24"/>
              </w:rPr>
            </w:pPr>
            <w:r>
              <w:rPr>
                <w:rFonts w:hAnsi="宋体"/>
                <w:sz w:val="24"/>
              </w:rPr>
              <w:t>5</w:t>
            </w:r>
            <w:r>
              <w:rPr>
                <w:rFonts w:hint="eastAsia" w:hAnsi="宋体"/>
                <w:sz w:val="24"/>
              </w:rPr>
              <w:t>）废蓄电池</w:t>
            </w:r>
          </w:p>
          <w:p>
            <w:pPr>
              <w:adjustRightInd w:val="0"/>
              <w:spacing w:line="360" w:lineRule="auto"/>
              <w:ind w:firstLine="480" w:firstLineChars="200"/>
              <w:rPr>
                <w:bCs/>
                <w:sz w:val="24"/>
              </w:rPr>
            </w:pPr>
            <w:r>
              <w:rPr>
                <w:rFonts w:hint="eastAsia"/>
                <w:bCs/>
                <w:sz w:val="24"/>
              </w:rPr>
              <w:t>蓄电池作为直流电源设备在变电站电力系统安全运行中起着重要的作用，为断路器分、合闸及二次回路中的继电保护、仪表和事故照明等提供能源。电站蓄电池主要采用免维护铅酸蓄电池，使用寿命较长，可达12年。根据《国家危险废物名录》（2021年版），废旧蓄电池属于危险废物，类别为HW31含铅废物，废物代码为900-052-31。当蓄电池容量不足80%时需对其进行更换，旧电池一般采取“以旧换新”模式由厂家回收妥善处置，不在站内储存。若无厂家回收，应放置在危废库预制舱暂存后，交有资质的单位处置。</w:t>
            </w:r>
          </w:p>
          <w:p>
            <w:pPr>
              <w:adjustRightInd w:val="0"/>
              <w:spacing w:line="360" w:lineRule="auto"/>
              <w:ind w:firstLine="480" w:firstLineChars="200"/>
              <w:rPr>
                <w:bCs/>
                <w:sz w:val="24"/>
              </w:rPr>
            </w:pPr>
            <w:r>
              <w:rPr>
                <w:bCs/>
                <w:sz w:val="24"/>
              </w:rPr>
              <w:t>6</w:t>
            </w:r>
            <w:r>
              <w:rPr>
                <w:rFonts w:hint="eastAsia"/>
                <w:bCs/>
                <w:sz w:val="24"/>
              </w:rPr>
              <w:t>）固体废物环境管理要求</w:t>
            </w:r>
          </w:p>
          <w:p>
            <w:pPr>
              <w:adjustRightInd w:val="0"/>
              <w:spacing w:line="360" w:lineRule="auto"/>
              <w:ind w:firstLine="480" w:firstLineChars="200"/>
              <w:rPr>
                <w:bCs/>
                <w:sz w:val="24"/>
              </w:rPr>
            </w:pPr>
            <w:r>
              <w:rPr>
                <w:rFonts w:hint="eastAsia" w:cs="宋体"/>
                <w:bCs/>
                <w:sz w:val="24"/>
              </w:rPr>
              <w:t>①</w:t>
            </w:r>
            <w:r>
              <w:rPr>
                <w:rFonts w:hint="eastAsia"/>
                <w:bCs/>
                <w:sz w:val="24"/>
              </w:rPr>
              <w:t>生活垃圾、污泥存放应做到防雨、防流失、覆盖。</w:t>
            </w:r>
          </w:p>
          <w:p>
            <w:pPr>
              <w:adjustRightInd w:val="0"/>
              <w:spacing w:line="360" w:lineRule="auto"/>
              <w:ind w:firstLine="480" w:firstLineChars="200"/>
              <w:rPr>
                <w:rFonts w:cs="宋体"/>
                <w:bCs/>
                <w:sz w:val="24"/>
              </w:rPr>
            </w:pPr>
            <w:r>
              <w:rPr>
                <w:rFonts w:hint="eastAsia" w:cs="宋体"/>
                <w:bCs/>
                <w:sz w:val="24"/>
              </w:rPr>
              <w:t>②本项目新建4</w:t>
            </w:r>
            <w:r>
              <w:rPr>
                <w:rFonts w:cs="宋体"/>
                <w:bCs/>
                <w:sz w:val="24"/>
              </w:rPr>
              <w:t>5</w:t>
            </w:r>
            <w:r>
              <w:rPr>
                <w:rFonts w:hint="eastAsia" w:cs="宋体"/>
                <w:bCs/>
                <w:sz w:val="24"/>
              </w:rPr>
              <w:t>m</w:t>
            </w:r>
            <w:r>
              <w:rPr>
                <w:rFonts w:cs="宋体"/>
                <w:bCs/>
                <w:sz w:val="24"/>
                <w:vertAlign w:val="superscript"/>
              </w:rPr>
              <w:t>2</w:t>
            </w:r>
            <w:r>
              <w:rPr>
                <w:rFonts w:hint="eastAsia" w:cs="宋体"/>
                <w:bCs/>
                <w:sz w:val="24"/>
              </w:rPr>
              <w:t>预制舱形式的</w:t>
            </w:r>
            <w:r>
              <w:rPr>
                <w:rFonts w:hint="eastAsia"/>
                <w:bCs/>
                <w:sz w:val="24"/>
              </w:rPr>
              <w:t>危险废物贮存库，应</w:t>
            </w:r>
            <w:r>
              <w:rPr>
                <w:rFonts w:hint="eastAsia"/>
                <w:sz w:val="24"/>
              </w:rPr>
              <w:t>能防风、防雨、防流失，</w:t>
            </w:r>
            <w:r>
              <w:rPr>
                <w:rFonts w:hint="eastAsia"/>
                <w:bCs/>
                <w:sz w:val="24"/>
              </w:rPr>
              <w:t>贮存库门口</w:t>
            </w:r>
            <w:r>
              <w:rPr>
                <w:rFonts w:hint="eastAsia" w:cs="宋体"/>
                <w:bCs/>
                <w:sz w:val="24"/>
              </w:rPr>
              <w:t>设置围挡，库内采用隔板分区贮存废矿物油及废蓄电池，严格按照《危险废物贮存污染控制标准》（GB18597-20</w:t>
            </w:r>
            <w:r>
              <w:rPr>
                <w:rFonts w:cs="宋体"/>
                <w:bCs/>
                <w:sz w:val="24"/>
              </w:rPr>
              <w:t>23</w:t>
            </w:r>
            <w:r>
              <w:rPr>
                <w:rFonts w:hint="eastAsia" w:cs="宋体"/>
                <w:bCs/>
                <w:sz w:val="24"/>
              </w:rPr>
              <w:t>）的有关要求进行设计，采用抗渗混凝土、高密度聚乙烯膜、钠基膨润土防水毯或其他防渗性能等效的材料，对地面、墙面裙角、围堰、隔板进行表面防渗处理，并配设醒目的警示标识。危险废物</w:t>
            </w:r>
            <w:r>
              <w:rPr>
                <w:rFonts w:hint="eastAsia"/>
                <w:bCs/>
                <w:sz w:val="24"/>
              </w:rPr>
              <w:t>定期</w:t>
            </w:r>
            <w:r>
              <w:rPr>
                <w:rFonts w:hint="eastAsia" w:cs="宋体"/>
                <w:bCs/>
                <w:sz w:val="24"/>
              </w:rPr>
              <w:t>委托具备相应危废处置资质的单位进行处置，其转移严格按照《危险废物转移管理办法》要求执行。配置人员对危险废物进行收集、暂存和保管。建立危险废物产生记录台账，定期检查自行贮存和处置的危险废物记录及相关证明材料，妥善保存危废转移联单及危废处置协议等相关资料。</w:t>
            </w:r>
          </w:p>
          <w:p>
            <w:pPr>
              <w:adjustRightInd w:val="0"/>
              <w:spacing w:line="360" w:lineRule="auto"/>
              <w:ind w:firstLine="482" w:firstLineChars="200"/>
              <w:rPr>
                <w:b/>
                <w:sz w:val="24"/>
              </w:rPr>
            </w:pPr>
            <w:r>
              <w:rPr>
                <w:b/>
                <w:sz w:val="24"/>
              </w:rPr>
              <w:t>（6）环境风险</w:t>
            </w:r>
            <w:r>
              <w:rPr>
                <w:rFonts w:hint="eastAsia"/>
                <w:b/>
                <w:sz w:val="24"/>
              </w:rPr>
              <w:t>分析</w:t>
            </w:r>
          </w:p>
          <w:p>
            <w:pPr>
              <w:adjustRightInd w:val="0"/>
              <w:spacing w:line="360" w:lineRule="auto"/>
              <w:ind w:firstLine="480" w:firstLineChars="200"/>
              <w:rPr>
                <w:sz w:val="24"/>
              </w:rPr>
            </w:pPr>
            <w:bookmarkStart w:id="53" w:name="_Toc129880761"/>
            <w:bookmarkStart w:id="54" w:name="_Toc129854117"/>
            <w:bookmarkStart w:id="55" w:name="_Toc476926933"/>
            <w:bookmarkStart w:id="56" w:name="_Toc466621401"/>
            <w:r>
              <w:rPr>
                <w:rFonts w:hint="eastAsia" w:cs="宋体"/>
                <w:sz w:val="24"/>
                <w:lang w:bidi="ar"/>
              </w:rPr>
              <w:t>环境风险评价的目的是分析和预测建设项目存在的潜在危险、有害因素，建设项目建设和运营期间可能发生的突发性事件或事故，引起有毒有害和易燃易爆等物质的泄漏，所造成的人身安全与环境影响和损害程度，提出合理可行的防范、应急与减缓措施，以使建设项目事故率、损失和环境影响达到可接受的水平。</w:t>
            </w:r>
            <w:r>
              <w:rPr>
                <w:sz w:val="24"/>
              </w:rPr>
              <w:t>本次评价根据《建设项目环境风险评价技术导则》（HJ169-2018）要求进行评价。</w:t>
            </w:r>
            <w:bookmarkEnd w:id="53"/>
            <w:bookmarkEnd w:id="54"/>
          </w:p>
          <w:bookmarkEnd w:id="55"/>
          <w:bookmarkEnd w:id="56"/>
          <w:p>
            <w:pPr>
              <w:adjustRightInd w:val="0"/>
              <w:spacing w:line="360" w:lineRule="auto"/>
              <w:ind w:firstLine="480"/>
              <w:rPr>
                <w:bCs/>
                <w:sz w:val="24"/>
              </w:rPr>
            </w:pPr>
            <w:r>
              <w:rPr>
                <w:rFonts w:hint="eastAsia"/>
                <w:bCs/>
                <w:sz w:val="24"/>
              </w:rPr>
              <w:t>1）风险调查</w:t>
            </w:r>
          </w:p>
          <w:p>
            <w:pPr>
              <w:pStyle w:val="42"/>
              <w:adjustRightInd w:val="0"/>
              <w:spacing w:after="0" w:line="360" w:lineRule="auto"/>
              <w:ind w:firstLine="480" w:firstLineChars="200"/>
              <w:rPr>
                <w:bCs/>
                <w:sz w:val="24"/>
              </w:rPr>
            </w:pPr>
            <w:r>
              <w:rPr>
                <w:rFonts w:hint="eastAsia"/>
                <w:sz w:val="24"/>
              </w:rPr>
              <w:t>本项目涉及的风险物质主要为变压器油及废蓄电池内的电解液（硫酸溶液），项目涉及的风险物质储存量具体详见下表</w:t>
            </w:r>
            <w:r>
              <w:rPr>
                <w:rFonts w:hint="eastAsia"/>
                <w:bCs/>
                <w:sz w:val="24"/>
              </w:rPr>
              <w:t>。</w:t>
            </w:r>
          </w:p>
          <w:p>
            <w:pPr>
              <w:adjustRightInd w:val="0"/>
              <w:jc w:val="center"/>
              <w:rPr>
                <w:b/>
                <w:szCs w:val="21"/>
              </w:rPr>
            </w:pPr>
          </w:p>
          <w:p>
            <w:pPr>
              <w:adjustRightInd w:val="0"/>
              <w:jc w:val="center"/>
              <w:rPr>
                <w:b/>
                <w:szCs w:val="21"/>
              </w:rPr>
            </w:pPr>
          </w:p>
          <w:p>
            <w:pPr>
              <w:adjustRightInd w:val="0"/>
              <w:jc w:val="center"/>
              <w:rPr>
                <w:b/>
                <w:szCs w:val="21"/>
              </w:rPr>
            </w:pPr>
            <w:r>
              <w:rPr>
                <w:rFonts w:hint="eastAsia"/>
                <w:b/>
                <w:szCs w:val="21"/>
              </w:rPr>
              <w:t>表4-</w:t>
            </w:r>
            <w:r>
              <w:rPr>
                <w:b/>
                <w:szCs w:val="21"/>
              </w:rPr>
              <w:t xml:space="preserve">6 </w:t>
            </w:r>
            <w:r>
              <w:rPr>
                <w:rFonts w:hint="eastAsia"/>
                <w:b/>
                <w:szCs w:val="21"/>
              </w:rPr>
              <w:t xml:space="preserve"> 项目涉及危险物质储存量一览表</w:t>
            </w:r>
          </w:p>
          <w:tbl>
            <w:tblPr>
              <w:tblStyle w:val="44"/>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21"/>
              <w:gridCol w:w="2126"/>
              <w:gridCol w:w="141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3" w:type="dxa"/>
                  <w:shd w:val="clear" w:color="auto" w:fill="auto"/>
                  <w:vAlign w:val="center"/>
                </w:tcPr>
                <w:p>
                  <w:pPr>
                    <w:pStyle w:val="42"/>
                    <w:adjustRightInd w:val="0"/>
                    <w:spacing w:after="0"/>
                    <w:ind w:firstLine="0" w:firstLineChars="0"/>
                    <w:jc w:val="center"/>
                    <w:rPr>
                      <w:b/>
                      <w:bCs/>
                      <w:szCs w:val="21"/>
                    </w:rPr>
                  </w:pPr>
                  <w:r>
                    <w:rPr>
                      <w:b/>
                      <w:bCs/>
                      <w:szCs w:val="21"/>
                    </w:rPr>
                    <w:t>名称</w:t>
                  </w:r>
                </w:p>
              </w:tc>
              <w:tc>
                <w:tcPr>
                  <w:tcW w:w="721" w:type="dxa"/>
                  <w:shd w:val="clear" w:color="auto" w:fill="auto"/>
                  <w:vAlign w:val="center"/>
                </w:tcPr>
                <w:p>
                  <w:pPr>
                    <w:pStyle w:val="42"/>
                    <w:adjustRightInd w:val="0"/>
                    <w:spacing w:after="0"/>
                    <w:ind w:firstLine="0" w:firstLineChars="0"/>
                    <w:jc w:val="center"/>
                    <w:rPr>
                      <w:b/>
                      <w:bCs/>
                      <w:szCs w:val="21"/>
                    </w:rPr>
                  </w:pPr>
                  <w:r>
                    <w:rPr>
                      <w:b/>
                      <w:bCs/>
                      <w:szCs w:val="21"/>
                    </w:rPr>
                    <w:t>形态</w:t>
                  </w:r>
                </w:p>
              </w:tc>
              <w:tc>
                <w:tcPr>
                  <w:tcW w:w="2126" w:type="dxa"/>
                  <w:shd w:val="clear" w:color="auto" w:fill="auto"/>
                  <w:vAlign w:val="center"/>
                </w:tcPr>
                <w:p>
                  <w:pPr>
                    <w:pStyle w:val="42"/>
                    <w:adjustRightInd w:val="0"/>
                    <w:spacing w:after="0"/>
                    <w:ind w:firstLine="0" w:firstLineChars="0"/>
                    <w:jc w:val="center"/>
                    <w:rPr>
                      <w:b/>
                      <w:bCs/>
                      <w:szCs w:val="21"/>
                    </w:rPr>
                  </w:pPr>
                  <w:r>
                    <w:rPr>
                      <w:b/>
                      <w:bCs/>
                      <w:szCs w:val="21"/>
                    </w:rPr>
                    <w:t>最大贮存量</w:t>
                  </w:r>
                </w:p>
              </w:tc>
              <w:tc>
                <w:tcPr>
                  <w:tcW w:w="1418" w:type="dxa"/>
                  <w:shd w:val="clear" w:color="auto" w:fill="auto"/>
                  <w:vAlign w:val="center"/>
                </w:tcPr>
                <w:p>
                  <w:pPr>
                    <w:pStyle w:val="42"/>
                    <w:adjustRightInd w:val="0"/>
                    <w:spacing w:after="0"/>
                    <w:ind w:firstLine="0" w:firstLineChars="0"/>
                    <w:jc w:val="center"/>
                    <w:rPr>
                      <w:b/>
                      <w:bCs/>
                      <w:szCs w:val="21"/>
                    </w:rPr>
                  </w:pPr>
                  <w:r>
                    <w:rPr>
                      <w:b/>
                      <w:bCs/>
                      <w:szCs w:val="21"/>
                    </w:rPr>
                    <w:t>贮存位置</w:t>
                  </w:r>
                </w:p>
              </w:tc>
              <w:tc>
                <w:tcPr>
                  <w:tcW w:w="2574" w:type="dxa"/>
                  <w:shd w:val="clear" w:color="auto" w:fill="auto"/>
                  <w:vAlign w:val="center"/>
                </w:tcPr>
                <w:p>
                  <w:pPr>
                    <w:pStyle w:val="42"/>
                    <w:adjustRightInd w:val="0"/>
                    <w:spacing w:after="0"/>
                    <w:ind w:firstLine="0" w:firstLineChars="0"/>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83" w:type="dxa"/>
                  <w:shd w:val="clear" w:color="auto" w:fill="auto"/>
                  <w:vAlign w:val="center"/>
                </w:tcPr>
                <w:p>
                  <w:pPr>
                    <w:pStyle w:val="42"/>
                    <w:adjustRightInd w:val="0"/>
                    <w:spacing w:after="0"/>
                    <w:ind w:firstLine="0" w:firstLineChars="0"/>
                    <w:jc w:val="center"/>
                    <w:rPr>
                      <w:b/>
                      <w:bCs/>
                      <w:szCs w:val="21"/>
                    </w:rPr>
                  </w:pPr>
                  <w:r>
                    <w:rPr>
                      <w:szCs w:val="21"/>
                    </w:rPr>
                    <w:t>变压器油</w:t>
                  </w:r>
                </w:p>
              </w:tc>
              <w:tc>
                <w:tcPr>
                  <w:tcW w:w="721" w:type="dxa"/>
                  <w:shd w:val="clear" w:color="auto" w:fill="auto"/>
                  <w:vAlign w:val="center"/>
                </w:tcPr>
                <w:p>
                  <w:pPr>
                    <w:pStyle w:val="42"/>
                    <w:adjustRightInd w:val="0"/>
                    <w:spacing w:after="0"/>
                    <w:ind w:firstLine="0" w:firstLineChars="0"/>
                    <w:jc w:val="center"/>
                    <w:rPr>
                      <w:b/>
                      <w:bCs/>
                      <w:szCs w:val="21"/>
                    </w:rPr>
                  </w:pPr>
                  <w:r>
                    <w:rPr>
                      <w:szCs w:val="21"/>
                    </w:rPr>
                    <w:t>液态</w:t>
                  </w:r>
                </w:p>
              </w:tc>
              <w:tc>
                <w:tcPr>
                  <w:tcW w:w="2126" w:type="dxa"/>
                  <w:shd w:val="clear" w:color="auto" w:fill="auto"/>
                  <w:vAlign w:val="center"/>
                </w:tcPr>
                <w:p>
                  <w:pPr>
                    <w:pStyle w:val="42"/>
                    <w:adjustRightInd w:val="0"/>
                    <w:spacing w:after="0"/>
                    <w:ind w:firstLine="0" w:firstLineChars="0"/>
                    <w:jc w:val="center"/>
                    <w:rPr>
                      <w:b/>
                      <w:bCs/>
                      <w:szCs w:val="21"/>
                    </w:rPr>
                  </w:pPr>
                  <w:r>
                    <w:rPr>
                      <w:szCs w:val="21"/>
                    </w:rPr>
                    <w:t>12</w:t>
                  </w:r>
                  <w:r>
                    <w:rPr>
                      <w:rFonts w:hint="eastAsia"/>
                      <w:szCs w:val="21"/>
                    </w:rPr>
                    <w:t>t</w:t>
                  </w:r>
                </w:p>
              </w:tc>
              <w:tc>
                <w:tcPr>
                  <w:tcW w:w="1418" w:type="dxa"/>
                  <w:shd w:val="clear" w:color="auto" w:fill="auto"/>
                  <w:vAlign w:val="center"/>
                </w:tcPr>
                <w:p>
                  <w:pPr>
                    <w:pStyle w:val="42"/>
                    <w:adjustRightInd w:val="0"/>
                    <w:spacing w:after="0"/>
                    <w:ind w:firstLine="0" w:firstLineChars="0"/>
                    <w:jc w:val="center"/>
                    <w:rPr>
                      <w:b/>
                      <w:bCs/>
                      <w:szCs w:val="21"/>
                    </w:rPr>
                  </w:pPr>
                  <w:r>
                    <w:rPr>
                      <w:rFonts w:hint="eastAsia"/>
                      <w:szCs w:val="21"/>
                    </w:rPr>
                    <w:t>变压器内</w:t>
                  </w:r>
                </w:p>
              </w:tc>
              <w:tc>
                <w:tcPr>
                  <w:tcW w:w="2574" w:type="dxa"/>
                  <w:shd w:val="clear" w:color="auto" w:fill="auto"/>
                  <w:vAlign w:val="center"/>
                </w:tcPr>
                <w:p>
                  <w:pPr>
                    <w:pStyle w:val="42"/>
                    <w:adjustRightInd w:val="0"/>
                    <w:spacing w:after="0"/>
                    <w:ind w:firstLine="0" w:firstLineChars="0"/>
                    <w:jc w:val="center"/>
                    <w:rPr>
                      <w:b/>
                      <w:bCs/>
                      <w:szCs w:val="21"/>
                    </w:rPr>
                  </w:pPr>
                  <w:r>
                    <w:rPr>
                      <w:szCs w:val="21"/>
                    </w:rPr>
                    <w:t>变压器设备厂家提供的变压器油重量。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83" w:type="dxa"/>
                  <w:shd w:val="clear" w:color="auto" w:fill="auto"/>
                  <w:vAlign w:val="center"/>
                </w:tcPr>
                <w:p>
                  <w:pPr>
                    <w:pStyle w:val="42"/>
                    <w:adjustRightInd w:val="0"/>
                    <w:spacing w:after="0"/>
                    <w:ind w:firstLine="0" w:firstLineChars="0"/>
                    <w:jc w:val="center"/>
                    <w:rPr>
                      <w:szCs w:val="21"/>
                    </w:rPr>
                  </w:pPr>
                  <w:r>
                    <w:rPr>
                      <w:rFonts w:hint="eastAsia"/>
                      <w:szCs w:val="21"/>
                    </w:rPr>
                    <w:t>硫酸</w:t>
                  </w:r>
                </w:p>
              </w:tc>
              <w:tc>
                <w:tcPr>
                  <w:tcW w:w="721" w:type="dxa"/>
                  <w:shd w:val="clear" w:color="auto" w:fill="auto"/>
                  <w:vAlign w:val="center"/>
                </w:tcPr>
                <w:p>
                  <w:pPr>
                    <w:pStyle w:val="42"/>
                    <w:adjustRightInd w:val="0"/>
                    <w:spacing w:after="0"/>
                    <w:ind w:firstLine="0" w:firstLineChars="0"/>
                    <w:jc w:val="center"/>
                    <w:rPr>
                      <w:szCs w:val="21"/>
                    </w:rPr>
                  </w:pPr>
                  <w:r>
                    <w:rPr>
                      <w:rFonts w:hint="eastAsia"/>
                      <w:szCs w:val="21"/>
                    </w:rPr>
                    <w:t>液体</w:t>
                  </w:r>
                </w:p>
              </w:tc>
              <w:tc>
                <w:tcPr>
                  <w:tcW w:w="2126" w:type="dxa"/>
                  <w:shd w:val="clear" w:color="auto" w:fill="auto"/>
                  <w:vAlign w:val="center"/>
                </w:tcPr>
                <w:p>
                  <w:pPr>
                    <w:pStyle w:val="42"/>
                    <w:adjustRightInd w:val="0"/>
                    <w:spacing w:after="0"/>
                    <w:ind w:firstLine="0" w:firstLineChars="0"/>
                    <w:jc w:val="center"/>
                    <w:rPr>
                      <w:szCs w:val="21"/>
                    </w:rPr>
                  </w:pPr>
                  <w:r>
                    <w:rPr>
                      <w:szCs w:val="21"/>
                    </w:rPr>
                    <w:t>100</w:t>
                  </w:r>
                  <w:r>
                    <w:rPr>
                      <w:rFonts w:hint="eastAsia"/>
                      <w:szCs w:val="21"/>
                    </w:rPr>
                    <w:t>kg</w:t>
                  </w:r>
                </w:p>
              </w:tc>
              <w:tc>
                <w:tcPr>
                  <w:tcW w:w="1418" w:type="dxa"/>
                  <w:shd w:val="clear" w:color="auto" w:fill="auto"/>
                  <w:vAlign w:val="center"/>
                </w:tcPr>
                <w:p>
                  <w:pPr>
                    <w:pStyle w:val="42"/>
                    <w:adjustRightInd w:val="0"/>
                    <w:spacing w:after="0"/>
                    <w:ind w:firstLine="0" w:firstLineChars="0"/>
                    <w:jc w:val="center"/>
                    <w:rPr>
                      <w:szCs w:val="21"/>
                    </w:rPr>
                  </w:pPr>
                  <w:r>
                    <w:rPr>
                      <w:rFonts w:hint="eastAsia"/>
                      <w:szCs w:val="21"/>
                    </w:rPr>
                    <w:t>蓄电池内</w:t>
                  </w:r>
                </w:p>
              </w:tc>
              <w:tc>
                <w:tcPr>
                  <w:tcW w:w="2574" w:type="dxa"/>
                  <w:shd w:val="clear" w:color="auto" w:fill="auto"/>
                  <w:vAlign w:val="center"/>
                </w:tcPr>
                <w:p>
                  <w:pPr>
                    <w:pStyle w:val="42"/>
                    <w:adjustRightInd w:val="0"/>
                    <w:spacing w:after="0"/>
                    <w:ind w:firstLine="0" w:firstLineChars="0"/>
                    <w:jc w:val="center"/>
                    <w:rPr>
                      <w:szCs w:val="21"/>
                    </w:rPr>
                  </w:pPr>
                </w:p>
              </w:tc>
            </w:tr>
          </w:tbl>
          <w:p>
            <w:pPr>
              <w:adjustRightInd w:val="0"/>
              <w:spacing w:line="360" w:lineRule="auto"/>
              <w:ind w:firstLine="480" w:firstLineChars="200"/>
              <w:rPr>
                <w:sz w:val="24"/>
              </w:rPr>
            </w:pPr>
            <w:r>
              <w:rPr>
                <w:rFonts w:hint="eastAsia"/>
                <w:sz w:val="24"/>
              </w:rPr>
              <w:t>2</w:t>
            </w:r>
            <w:r>
              <w:rPr>
                <w:sz w:val="24"/>
              </w:rPr>
              <w:t>）环境敏感目标概况</w:t>
            </w:r>
          </w:p>
          <w:p>
            <w:pPr>
              <w:adjustRightInd w:val="0"/>
              <w:spacing w:line="360" w:lineRule="auto"/>
              <w:ind w:firstLine="480" w:firstLineChars="200"/>
              <w:rPr>
                <w:sz w:val="24"/>
              </w:rPr>
            </w:pPr>
            <w:r>
              <w:rPr>
                <w:rFonts w:hint="eastAsia"/>
                <w:sz w:val="24"/>
              </w:rPr>
              <w:t>项目存在的风险物质发生泄漏或泄漏事故发生后燃烧、爆炸产生的次生污染物，可能对区域大气环境、地表水环境及地下水环境产生影响</w:t>
            </w:r>
            <w:r>
              <w:rPr>
                <w:rFonts w:hint="eastAsia"/>
                <w:snapToGrid w:val="0"/>
                <w:kern w:val="0"/>
                <w:sz w:val="24"/>
              </w:rPr>
              <w:t>。</w:t>
            </w:r>
          </w:p>
          <w:p>
            <w:pPr>
              <w:pStyle w:val="42"/>
              <w:adjustRightInd w:val="0"/>
              <w:spacing w:after="0" w:line="360" w:lineRule="auto"/>
              <w:ind w:firstLine="480" w:firstLineChars="200"/>
              <w:rPr>
                <w:sz w:val="24"/>
              </w:rPr>
            </w:pPr>
            <w:r>
              <w:rPr>
                <w:rFonts w:hint="eastAsia"/>
                <w:sz w:val="24"/>
              </w:rPr>
              <w:t>3）风险潜势初判及评价等级</w:t>
            </w:r>
          </w:p>
          <w:p>
            <w:pPr>
              <w:pStyle w:val="42"/>
              <w:adjustRightInd w:val="0"/>
              <w:spacing w:after="0" w:line="360" w:lineRule="auto"/>
              <w:ind w:firstLine="480" w:firstLineChars="200"/>
              <w:rPr>
                <w:b/>
                <w:bCs/>
                <w:szCs w:val="21"/>
              </w:rPr>
            </w:pPr>
            <w:r>
              <w:rPr>
                <w:sz w:val="24"/>
              </w:rPr>
              <w:t>根据《建设项目环境风险评价技术导则》（HJ169－2018），环境风险评价工作等级见</w:t>
            </w:r>
            <w:r>
              <w:rPr>
                <w:rFonts w:hint="eastAsia"/>
                <w:sz w:val="24"/>
              </w:rPr>
              <w:t>下表</w:t>
            </w:r>
            <w:r>
              <w:rPr>
                <w:sz w:val="24"/>
              </w:rPr>
              <w:t>。</w:t>
            </w:r>
          </w:p>
          <w:p>
            <w:pPr>
              <w:pStyle w:val="42"/>
              <w:adjustRightInd w:val="0"/>
              <w:spacing w:after="0"/>
              <w:ind w:firstLine="0" w:firstLineChars="0"/>
              <w:jc w:val="center"/>
              <w:rPr>
                <w:b/>
                <w:bCs/>
                <w:szCs w:val="21"/>
              </w:rPr>
            </w:pPr>
            <w:r>
              <w:rPr>
                <w:b/>
                <w:bCs/>
                <w:szCs w:val="21"/>
              </w:rPr>
              <w:t>表</w:t>
            </w:r>
            <w:r>
              <w:rPr>
                <w:rFonts w:hint="eastAsia"/>
                <w:b/>
                <w:bCs/>
                <w:szCs w:val="21"/>
              </w:rPr>
              <w:t>4</w:t>
            </w:r>
            <w:r>
              <w:rPr>
                <w:b/>
                <w:bCs/>
                <w:szCs w:val="21"/>
              </w:rPr>
              <w:t xml:space="preserve">-7 </w:t>
            </w:r>
            <w:r>
              <w:rPr>
                <w:rFonts w:hint="eastAsia"/>
                <w:b/>
                <w:bCs/>
                <w:szCs w:val="21"/>
              </w:rPr>
              <w:t xml:space="preserve"> </w:t>
            </w:r>
            <w:r>
              <w:rPr>
                <w:b/>
                <w:bCs/>
                <w:szCs w:val="21"/>
              </w:rPr>
              <w:t>评价工作等级划分</w:t>
            </w:r>
          </w:p>
          <w:tbl>
            <w:tblPr>
              <w:tblStyle w:val="44"/>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783"/>
              <w:gridCol w:w="1048"/>
              <w:gridCol w:w="1039"/>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9" w:type="dxa"/>
                  <w:vAlign w:val="center"/>
                </w:tcPr>
                <w:p>
                  <w:pPr>
                    <w:pStyle w:val="42"/>
                    <w:adjustRightInd w:val="0"/>
                    <w:spacing w:after="0"/>
                    <w:ind w:firstLine="0" w:firstLineChars="0"/>
                    <w:jc w:val="center"/>
                    <w:rPr>
                      <w:szCs w:val="21"/>
                    </w:rPr>
                  </w:pPr>
                  <w:r>
                    <w:rPr>
                      <w:szCs w:val="21"/>
                    </w:rPr>
                    <w:t>环境风险潜势</w:t>
                  </w:r>
                </w:p>
              </w:tc>
              <w:tc>
                <w:tcPr>
                  <w:tcW w:w="1783" w:type="dxa"/>
                  <w:vAlign w:val="center"/>
                </w:tcPr>
                <w:p>
                  <w:pPr>
                    <w:pStyle w:val="42"/>
                    <w:adjustRightInd w:val="0"/>
                    <w:spacing w:after="0"/>
                    <w:ind w:firstLine="0" w:firstLineChars="0"/>
                    <w:jc w:val="center"/>
                    <w:rPr>
                      <w:rFonts w:ascii="宋体" w:hAnsi="宋体"/>
                      <w:szCs w:val="21"/>
                    </w:rPr>
                  </w:pPr>
                  <w:r>
                    <w:rPr>
                      <w:rFonts w:ascii="宋体" w:hAnsi="宋体"/>
                      <w:szCs w:val="21"/>
                    </w:rPr>
                    <w:t>Ⅳ、Ⅳ</w:t>
                  </w:r>
                  <w:r>
                    <w:rPr>
                      <w:rFonts w:ascii="宋体" w:hAnsi="宋体"/>
                      <w:szCs w:val="21"/>
                      <w:vertAlign w:val="superscript"/>
                    </w:rPr>
                    <w:t>+</w:t>
                  </w:r>
                </w:p>
              </w:tc>
              <w:tc>
                <w:tcPr>
                  <w:tcW w:w="1048" w:type="dxa"/>
                  <w:vAlign w:val="center"/>
                </w:tcPr>
                <w:p>
                  <w:pPr>
                    <w:pStyle w:val="42"/>
                    <w:adjustRightInd w:val="0"/>
                    <w:spacing w:after="0"/>
                    <w:ind w:firstLine="0" w:firstLineChars="0"/>
                    <w:jc w:val="center"/>
                    <w:rPr>
                      <w:rFonts w:ascii="宋体" w:hAnsi="宋体"/>
                      <w:szCs w:val="21"/>
                    </w:rPr>
                  </w:pPr>
                  <w:r>
                    <w:rPr>
                      <w:rFonts w:ascii="宋体" w:hAnsi="宋体"/>
                      <w:szCs w:val="21"/>
                    </w:rPr>
                    <w:t>Ⅲ</w:t>
                  </w:r>
                </w:p>
              </w:tc>
              <w:tc>
                <w:tcPr>
                  <w:tcW w:w="1039" w:type="dxa"/>
                  <w:vAlign w:val="center"/>
                </w:tcPr>
                <w:p>
                  <w:pPr>
                    <w:pStyle w:val="42"/>
                    <w:adjustRightInd w:val="0"/>
                    <w:spacing w:after="0"/>
                    <w:ind w:firstLine="0" w:firstLineChars="0"/>
                    <w:jc w:val="center"/>
                    <w:rPr>
                      <w:rFonts w:ascii="宋体" w:hAnsi="宋体"/>
                      <w:szCs w:val="21"/>
                    </w:rPr>
                  </w:pPr>
                  <w:r>
                    <w:rPr>
                      <w:rFonts w:ascii="宋体" w:hAnsi="宋体"/>
                      <w:szCs w:val="21"/>
                    </w:rPr>
                    <w:t>Ⅱ</w:t>
                  </w:r>
                </w:p>
              </w:tc>
              <w:tc>
                <w:tcPr>
                  <w:tcW w:w="1978" w:type="dxa"/>
                  <w:vAlign w:val="center"/>
                </w:tcPr>
                <w:p>
                  <w:pPr>
                    <w:pStyle w:val="42"/>
                    <w:adjustRightInd w:val="0"/>
                    <w:spacing w:after="0"/>
                    <w:ind w:firstLine="0" w:firstLineChars="0"/>
                    <w:jc w:val="center"/>
                    <w:rPr>
                      <w:rFonts w:ascii="宋体" w:hAnsi="宋体"/>
                      <w:szCs w:val="21"/>
                    </w:rPr>
                  </w:pPr>
                  <w:r>
                    <w:rPr>
                      <w:rFonts w:ascii="宋体" w:hAnsi="宋体"/>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9" w:type="dxa"/>
                  <w:vAlign w:val="center"/>
                </w:tcPr>
                <w:p>
                  <w:pPr>
                    <w:pStyle w:val="42"/>
                    <w:adjustRightInd w:val="0"/>
                    <w:spacing w:after="0"/>
                    <w:ind w:firstLine="0" w:firstLineChars="0"/>
                    <w:jc w:val="center"/>
                    <w:rPr>
                      <w:szCs w:val="21"/>
                    </w:rPr>
                  </w:pPr>
                  <w:r>
                    <w:rPr>
                      <w:szCs w:val="21"/>
                    </w:rPr>
                    <w:t>评价工作等级</w:t>
                  </w:r>
                </w:p>
              </w:tc>
              <w:tc>
                <w:tcPr>
                  <w:tcW w:w="1783" w:type="dxa"/>
                  <w:vAlign w:val="center"/>
                </w:tcPr>
                <w:p>
                  <w:pPr>
                    <w:pStyle w:val="42"/>
                    <w:adjustRightInd w:val="0"/>
                    <w:spacing w:after="0"/>
                    <w:ind w:firstLine="0" w:firstLineChars="0"/>
                    <w:jc w:val="center"/>
                    <w:rPr>
                      <w:szCs w:val="21"/>
                    </w:rPr>
                  </w:pPr>
                  <w:r>
                    <w:rPr>
                      <w:szCs w:val="21"/>
                    </w:rPr>
                    <w:t>一</w:t>
                  </w:r>
                </w:p>
              </w:tc>
              <w:tc>
                <w:tcPr>
                  <w:tcW w:w="1048" w:type="dxa"/>
                  <w:vAlign w:val="center"/>
                </w:tcPr>
                <w:p>
                  <w:pPr>
                    <w:pStyle w:val="42"/>
                    <w:adjustRightInd w:val="0"/>
                    <w:spacing w:after="0"/>
                    <w:ind w:firstLine="0" w:firstLineChars="0"/>
                    <w:jc w:val="center"/>
                    <w:rPr>
                      <w:szCs w:val="21"/>
                    </w:rPr>
                  </w:pPr>
                  <w:r>
                    <w:rPr>
                      <w:szCs w:val="21"/>
                    </w:rPr>
                    <w:t>二</w:t>
                  </w:r>
                </w:p>
              </w:tc>
              <w:tc>
                <w:tcPr>
                  <w:tcW w:w="1039" w:type="dxa"/>
                  <w:vAlign w:val="center"/>
                </w:tcPr>
                <w:p>
                  <w:pPr>
                    <w:pStyle w:val="42"/>
                    <w:adjustRightInd w:val="0"/>
                    <w:spacing w:after="0"/>
                    <w:ind w:firstLine="0" w:firstLineChars="0"/>
                    <w:jc w:val="center"/>
                    <w:rPr>
                      <w:szCs w:val="21"/>
                    </w:rPr>
                  </w:pPr>
                  <w:r>
                    <w:rPr>
                      <w:szCs w:val="21"/>
                    </w:rPr>
                    <w:t>三</w:t>
                  </w:r>
                </w:p>
              </w:tc>
              <w:tc>
                <w:tcPr>
                  <w:tcW w:w="1978" w:type="dxa"/>
                  <w:vAlign w:val="center"/>
                </w:tcPr>
                <w:p>
                  <w:pPr>
                    <w:pStyle w:val="42"/>
                    <w:adjustRightInd w:val="0"/>
                    <w:spacing w:after="0"/>
                    <w:ind w:firstLine="0" w:firstLineChars="0"/>
                    <w:jc w:val="center"/>
                    <w:rPr>
                      <w:szCs w:val="21"/>
                    </w:rPr>
                  </w:pPr>
                  <w:r>
                    <w:rPr>
                      <w:szCs w:val="21"/>
                    </w:rPr>
                    <w:t>简单分析</w:t>
                  </w:r>
                  <w:r>
                    <w:rPr>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7" w:type="dxa"/>
                  <w:gridSpan w:val="5"/>
                </w:tcPr>
                <w:p>
                  <w:pPr>
                    <w:pStyle w:val="42"/>
                    <w:adjustRightInd w:val="0"/>
                    <w:spacing w:after="0"/>
                    <w:ind w:firstLine="0" w:firstLineChars="0"/>
                    <w:rPr>
                      <w:szCs w:val="21"/>
                    </w:rPr>
                  </w:pPr>
                  <w:r>
                    <w:rPr>
                      <w:szCs w:val="21"/>
                    </w:rPr>
                    <w:t>a 是相对于详细评价工作内容而言，在描述危险物质、环境影响途径、环境危害后果、风险防范措施等方面给出定性的说明</w:t>
                  </w:r>
                </w:p>
              </w:tc>
            </w:tr>
          </w:tbl>
          <w:p>
            <w:pPr>
              <w:adjustRightInd w:val="0"/>
              <w:spacing w:line="360" w:lineRule="auto"/>
              <w:ind w:firstLine="480" w:firstLineChars="200"/>
              <w:rPr>
                <w:sz w:val="24"/>
              </w:rPr>
            </w:pPr>
            <w:r>
              <w:rPr>
                <w:sz w:val="24"/>
              </w:rPr>
              <w:t>项目所涉及的每种危险物质在厂界内的最大存在总量与对应临界量的比值为Q，当只涉及一种危险物质时，计算该物质的总量与其临界量比值，当存在多种危险物质时，按下列公式计算</w:t>
            </w:r>
            <w:r>
              <w:rPr>
                <w:i/>
                <w:iCs/>
                <w:sz w:val="24"/>
              </w:rPr>
              <w:t>Q</w:t>
            </w:r>
            <w:r>
              <w:rPr>
                <w:sz w:val="24"/>
              </w:rPr>
              <w:t>值：</w:t>
            </w:r>
          </w:p>
          <w:p>
            <w:pPr>
              <w:adjustRightInd w:val="0"/>
              <w:spacing w:line="360" w:lineRule="auto"/>
              <w:jc w:val="center"/>
              <w:rPr>
                <w:i/>
                <w:sz w:val="24"/>
              </w:rPr>
            </w:pPr>
            <m:oMathPara>
              <m:oMath>
                <m:r>
                  <m:rPr>
                    <m:nor/>
                  </m:rPr>
                  <w:rPr>
                    <w:i/>
                    <w:sz w:val="24"/>
                  </w:rPr>
                  <m:t>Q</m:t>
                </m:r>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m:nor/>
                          </m:rPr>
                          <w:rPr>
                            <w:i/>
                            <w:iCs/>
                            <w:sz w:val="24"/>
                          </w:rPr>
                          <m:t>q</m:t>
                        </m:r>
                        <m:ctrlPr>
                          <w:rPr>
                            <w:rFonts w:ascii="Cambria Math" w:hAnsi="Cambria Math"/>
                            <w:i/>
                            <w:sz w:val="24"/>
                          </w:rPr>
                        </m:ctrlPr>
                      </m:e>
                      <m:sub>
                        <m:r>
                          <m:rPr>
                            <m:nor/>
                            <m:sty m:val="p"/>
                          </m:rPr>
                          <w:rPr>
                            <w:b w:val="0"/>
                            <w:i w:val="0"/>
                            <w:sz w:val="24"/>
                          </w:rPr>
                          <m:t>1</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m:nor/>
                          </m:rPr>
                          <w:rPr>
                            <w:i/>
                            <w:iCs/>
                            <w:sz w:val="24"/>
                          </w:rPr>
                          <m:t>Q</m:t>
                        </m:r>
                        <m:ctrlPr>
                          <w:rPr>
                            <w:rFonts w:ascii="Cambria Math" w:hAnsi="Cambria Math"/>
                            <w:i/>
                            <w:sz w:val="24"/>
                          </w:rPr>
                        </m:ctrlPr>
                      </m:e>
                      <m:sub>
                        <m:r>
                          <m:rPr>
                            <m:nor/>
                            <m:sty m:val="p"/>
                          </m:rPr>
                          <w:rPr>
                            <w:b w:val="0"/>
                            <w:i w:val="0"/>
                            <w:sz w:val="24"/>
                          </w:rPr>
                          <m:t>1</m:t>
                        </m:r>
                        <m:ctrlPr>
                          <w:rPr>
                            <w:rFonts w:ascii="Cambria Math" w:hAnsi="Cambria Math"/>
                            <w:i/>
                            <w:sz w:val="24"/>
                          </w:rPr>
                        </m:ctrlPr>
                      </m:sub>
                    </m:sSub>
                    <m:ctrlPr>
                      <w:rPr>
                        <w:rFonts w:ascii="Cambria Math" w:hAnsi="Cambria Math"/>
                        <w:i/>
                        <w:sz w:val="24"/>
                      </w:rPr>
                    </m:ctrlPr>
                  </m:den>
                </m:f>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m:nor/>
                          </m:rPr>
                          <w:rPr>
                            <w:i/>
                            <w:iCs/>
                            <w:sz w:val="24"/>
                          </w:rPr>
                          <m:t>q</m:t>
                        </m:r>
                        <m:ctrlPr>
                          <w:rPr>
                            <w:rFonts w:ascii="Cambria Math" w:hAnsi="Cambria Math"/>
                            <w:i/>
                            <w:sz w:val="24"/>
                          </w:rPr>
                        </m:ctrlPr>
                      </m:e>
                      <m:sub>
                        <m:r>
                          <m:rPr>
                            <m:nor/>
                            <m:sty m:val="p"/>
                          </m:rPr>
                          <w:rPr>
                            <w:b w:val="0"/>
                            <w:i w:val="0"/>
                            <w:sz w:val="24"/>
                          </w:rPr>
                          <m:t>2</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m:nor/>
                          </m:rPr>
                          <w:rPr>
                            <w:i/>
                            <w:iCs/>
                            <w:sz w:val="24"/>
                          </w:rPr>
                          <m:t>Q</m:t>
                        </m:r>
                        <m:ctrlPr>
                          <w:rPr>
                            <w:rFonts w:ascii="Cambria Math" w:hAnsi="Cambria Math"/>
                            <w:i/>
                            <w:sz w:val="24"/>
                          </w:rPr>
                        </m:ctrlPr>
                      </m:e>
                      <m:sub>
                        <m:r>
                          <m:rPr>
                            <m:nor/>
                            <m:sty m:val="p"/>
                          </m:rPr>
                          <w:rPr>
                            <w:b w:val="0"/>
                            <w:i w:val="0"/>
                            <w:sz w:val="24"/>
                          </w:rPr>
                          <m:t>2</m:t>
                        </m:r>
                        <m:ctrlPr>
                          <w:rPr>
                            <w:rFonts w:ascii="Cambria Math" w:hAnsi="Cambria Math"/>
                            <w:i/>
                            <w:sz w:val="24"/>
                          </w:rPr>
                        </m:ctrlPr>
                      </m:sub>
                    </m:sSub>
                    <m:ctrlPr>
                      <w:rPr>
                        <w:rFonts w:ascii="Cambria Math" w:hAnsi="Cambria Math"/>
                        <w:i/>
                        <w:sz w:val="24"/>
                      </w:rPr>
                    </m:ctrlPr>
                  </m:den>
                </m:f>
                <m:r>
                  <m:rPr/>
                  <w:rPr>
                    <w:rFonts w:ascii="Cambria Math" w:hAnsi="Cambria Math"/>
                    <w:sz w:val="24"/>
                  </w:rPr>
                  <m:t>+</m:t>
                </m:r>
                <m:r>
                  <m:rPr/>
                  <w:rPr>
                    <w:rFonts w:hint="eastAsia"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m:nor/>
                          </m:rPr>
                          <w:rPr>
                            <w:i/>
                            <w:iCs/>
                            <w:sz w:val="24"/>
                          </w:rPr>
                          <m:t>q</m:t>
                        </m:r>
                        <m:ctrlPr>
                          <w:rPr>
                            <w:rFonts w:ascii="Cambria Math" w:hAnsi="Cambria Math"/>
                            <w:i/>
                            <w:sz w:val="24"/>
                          </w:rPr>
                        </m:ctrlPr>
                      </m:e>
                      <m:sub>
                        <m:r>
                          <m:rPr>
                            <m:nor/>
                          </m:rPr>
                          <w:rPr>
                            <w:rFonts w:hint="eastAsia"/>
                            <w:i/>
                            <w:iCs/>
                            <w:sz w:val="24"/>
                          </w:rPr>
                          <m:t>n</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m:nor/>
                          </m:rPr>
                          <w:rPr>
                            <w:i/>
                            <w:iCs/>
                            <w:sz w:val="24"/>
                          </w:rPr>
                          <m:t>Q</m:t>
                        </m:r>
                        <m:ctrlPr>
                          <w:rPr>
                            <w:rFonts w:ascii="Cambria Math" w:hAnsi="Cambria Math"/>
                            <w:i/>
                            <w:sz w:val="24"/>
                          </w:rPr>
                        </m:ctrlPr>
                      </m:e>
                      <m:sub>
                        <m:r>
                          <m:rPr>
                            <m:nor/>
                          </m:rPr>
                          <w:rPr>
                            <w:rFonts w:hint="eastAsia"/>
                            <w:i/>
                            <w:iCs/>
                            <w:sz w:val="24"/>
                          </w:rPr>
                          <m:t>n</m:t>
                        </m:r>
                        <m:ctrlPr>
                          <w:rPr>
                            <w:rFonts w:ascii="Cambria Math" w:hAnsi="Cambria Math"/>
                            <w:i/>
                            <w:sz w:val="24"/>
                          </w:rPr>
                        </m:ctrlPr>
                      </m:sub>
                    </m:sSub>
                    <m:ctrlPr>
                      <w:rPr>
                        <w:rFonts w:ascii="Cambria Math" w:hAnsi="Cambria Math"/>
                        <w:i/>
                        <w:sz w:val="24"/>
                      </w:rPr>
                    </m:ctrlPr>
                  </m:den>
                </m:f>
              </m:oMath>
            </m:oMathPara>
          </w:p>
          <w:p>
            <w:pPr>
              <w:adjustRightInd w:val="0"/>
              <w:spacing w:line="360" w:lineRule="auto"/>
              <w:ind w:firstLine="480" w:firstLineChars="200"/>
              <w:rPr>
                <w:sz w:val="24"/>
              </w:rPr>
            </w:pPr>
            <w:r>
              <w:rPr>
                <w:sz w:val="24"/>
              </w:rPr>
              <w:t>式中：</w:t>
            </w:r>
            <w:r>
              <w:rPr>
                <w:i/>
                <w:iCs/>
                <w:sz w:val="24"/>
              </w:rPr>
              <w:t>q</w:t>
            </w:r>
            <w:r>
              <w:rPr>
                <w:sz w:val="24"/>
                <w:vertAlign w:val="subscript"/>
              </w:rPr>
              <w:t>1</w:t>
            </w:r>
            <w:r>
              <w:rPr>
                <w:sz w:val="24"/>
              </w:rPr>
              <w:t>，</w:t>
            </w:r>
            <w:r>
              <w:rPr>
                <w:i/>
                <w:iCs/>
                <w:sz w:val="24"/>
              </w:rPr>
              <w:t>q</w:t>
            </w:r>
            <w:r>
              <w:rPr>
                <w:sz w:val="24"/>
                <w:vertAlign w:val="subscript"/>
              </w:rPr>
              <w:t>2</w:t>
            </w:r>
            <w:r>
              <w:rPr>
                <w:sz w:val="24"/>
              </w:rPr>
              <w:t>，…</w:t>
            </w:r>
            <w:r>
              <w:rPr>
                <w:i/>
                <w:iCs/>
                <w:sz w:val="24"/>
              </w:rPr>
              <w:t>q</w:t>
            </w:r>
            <w:r>
              <w:rPr>
                <w:i/>
                <w:iCs/>
                <w:sz w:val="24"/>
                <w:vertAlign w:val="subscript"/>
              </w:rPr>
              <w:t>n</w:t>
            </w:r>
            <w:r>
              <w:rPr>
                <w:sz w:val="24"/>
              </w:rPr>
              <w:t>—每种危险物质的最大存在总量，t；</w:t>
            </w:r>
          </w:p>
          <w:p>
            <w:pPr>
              <w:adjustRightInd w:val="0"/>
              <w:spacing w:line="360" w:lineRule="auto"/>
              <w:ind w:firstLine="1200" w:firstLineChars="500"/>
              <w:rPr>
                <w:sz w:val="24"/>
              </w:rPr>
            </w:pPr>
            <w:r>
              <w:rPr>
                <w:i/>
                <w:iCs/>
                <w:sz w:val="24"/>
              </w:rPr>
              <w:t>Q</w:t>
            </w:r>
            <w:r>
              <w:rPr>
                <w:sz w:val="24"/>
                <w:vertAlign w:val="subscript"/>
              </w:rPr>
              <w:t>1</w:t>
            </w:r>
            <w:r>
              <w:rPr>
                <w:sz w:val="24"/>
              </w:rPr>
              <w:t>，</w:t>
            </w:r>
            <w:r>
              <w:rPr>
                <w:i/>
                <w:iCs/>
                <w:sz w:val="24"/>
              </w:rPr>
              <w:t>Q</w:t>
            </w:r>
            <w:r>
              <w:rPr>
                <w:sz w:val="24"/>
                <w:vertAlign w:val="subscript"/>
              </w:rPr>
              <w:t>2</w:t>
            </w:r>
            <w:r>
              <w:rPr>
                <w:sz w:val="24"/>
              </w:rPr>
              <w:t>，…</w:t>
            </w:r>
            <w:r>
              <w:rPr>
                <w:i/>
                <w:iCs/>
                <w:sz w:val="24"/>
              </w:rPr>
              <w:t>Q</w:t>
            </w:r>
            <w:r>
              <w:rPr>
                <w:i/>
                <w:iCs/>
                <w:sz w:val="24"/>
                <w:vertAlign w:val="subscript"/>
              </w:rPr>
              <w:t>n</w:t>
            </w:r>
            <w:r>
              <w:rPr>
                <w:sz w:val="24"/>
              </w:rPr>
              <w:t>—每种物质的临界量，t。</w:t>
            </w:r>
          </w:p>
          <w:p>
            <w:pPr>
              <w:adjustRightInd w:val="0"/>
              <w:spacing w:line="360" w:lineRule="auto"/>
              <w:ind w:firstLine="480" w:firstLineChars="200"/>
              <w:rPr>
                <w:sz w:val="24"/>
              </w:rPr>
            </w:pPr>
            <w:r>
              <w:rPr>
                <w:sz w:val="24"/>
              </w:rPr>
              <w:t>当</w:t>
            </w:r>
            <w:r>
              <w:rPr>
                <w:i/>
                <w:iCs/>
                <w:sz w:val="24"/>
              </w:rPr>
              <w:t>Q</w:t>
            </w:r>
            <w:r>
              <w:rPr>
                <w:sz w:val="24"/>
              </w:rPr>
              <w:t>＜1时，该项目环境风险潜势为</w:t>
            </w:r>
            <w:r>
              <w:rPr>
                <w:rFonts w:ascii="宋体" w:hAnsi="宋体"/>
                <w:sz w:val="24"/>
              </w:rPr>
              <w:t>Ⅰ</w:t>
            </w:r>
            <w:r>
              <w:rPr>
                <w:sz w:val="24"/>
              </w:rPr>
              <w:t>。</w:t>
            </w:r>
          </w:p>
          <w:p>
            <w:pPr>
              <w:adjustRightInd w:val="0"/>
              <w:spacing w:line="360" w:lineRule="auto"/>
              <w:ind w:firstLine="480" w:firstLineChars="200"/>
              <w:rPr>
                <w:sz w:val="24"/>
              </w:rPr>
            </w:pPr>
            <w:r>
              <w:rPr>
                <w:sz w:val="24"/>
              </w:rPr>
              <w:t>当</w:t>
            </w:r>
            <w:r>
              <w:rPr>
                <w:i/>
                <w:iCs/>
                <w:sz w:val="24"/>
              </w:rPr>
              <w:t>Q</w:t>
            </w:r>
            <w:r>
              <w:rPr>
                <w:rFonts w:hint="eastAsia"/>
                <w:sz w:val="24"/>
              </w:rPr>
              <w:t>≥</w:t>
            </w:r>
            <w:r>
              <w:rPr>
                <w:sz w:val="24"/>
              </w:rPr>
              <w:t>1时，将</w:t>
            </w:r>
            <w:r>
              <w:rPr>
                <w:i/>
                <w:iCs/>
                <w:sz w:val="24"/>
              </w:rPr>
              <w:t>Q</w:t>
            </w:r>
            <w:r>
              <w:rPr>
                <w:sz w:val="24"/>
              </w:rPr>
              <w:t>值划分为：（1）1</w:t>
            </w:r>
            <w:r>
              <w:rPr>
                <w:rFonts w:hint="eastAsia"/>
                <w:sz w:val="24"/>
              </w:rPr>
              <w:t>≤</w:t>
            </w:r>
            <w:r>
              <w:rPr>
                <w:i/>
                <w:iCs/>
                <w:sz w:val="24"/>
              </w:rPr>
              <w:t>Q</w:t>
            </w:r>
            <w:r>
              <w:rPr>
                <w:sz w:val="24"/>
              </w:rPr>
              <w:t>＜10；（2）10</w:t>
            </w:r>
            <w:r>
              <w:rPr>
                <w:rFonts w:hint="eastAsia"/>
                <w:sz w:val="24"/>
              </w:rPr>
              <w:t>≤</w:t>
            </w:r>
            <w:r>
              <w:rPr>
                <w:i/>
                <w:iCs/>
                <w:sz w:val="24"/>
              </w:rPr>
              <w:t>Q</w:t>
            </w:r>
            <w:r>
              <w:rPr>
                <w:sz w:val="24"/>
              </w:rPr>
              <w:t>＜100；（3）</w:t>
            </w:r>
            <w:r>
              <w:rPr>
                <w:i/>
                <w:iCs/>
                <w:sz w:val="24"/>
              </w:rPr>
              <w:t>Q</w:t>
            </w:r>
            <w:r>
              <w:rPr>
                <w:rFonts w:hint="eastAsia"/>
                <w:sz w:val="24"/>
              </w:rPr>
              <w:t>≥</w:t>
            </w:r>
            <w:r>
              <w:rPr>
                <w:sz w:val="24"/>
              </w:rPr>
              <w:t>100。</w:t>
            </w:r>
          </w:p>
          <w:p>
            <w:pPr>
              <w:adjustRightInd w:val="0"/>
              <w:spacing w:line="360" w:lineRule="auto"/>
              <w:ind w:firstLine="480" w:firstLineChars="200"/>
              <w:rPr>
                <w:sz w:val="24"/>
              </w:rPr>
            </w:pPr>
            <w:r>
              <w:rPr>
                <w:rFonts w:hint="eastAsia"/>
                <w:sz w:val="24"/>
              </w:rPr>
              <w:t>项目涉及的主要危险物质最大贮存量及临界量见下表：</w:t>
            </w:r>
          </w:p>
          <w:p>
            <w:pPr>
              <w:adjustRightInd w:val="0"/>
              <w:jc w:val="center"/>
              <w:rPr>
                <w:b/>
                <w:szCs w:val="21"/>
              </w:rPr>
            </w:pPr>
            <w:r>
              <w:rPr>
                <w:b/>
                <w:szCs w:val="21"/>
              </w:rPr>
              <w:t>表</w:t>
            </w:r>
            <w:r>
              <w:rPr>
                <w:rFonts w:hint="eastAsia"/>
                <w:b/>
                <w:szCs w:val="21"/>
              </w:rPr>
              <w:t>4</w:t>
            </w:r>
            <w:r>
              <w:rPr>
                <w:b/>
                <w:szCs w:val="21"/>
              </w:rPr>
              <w:t xml:space="preserve">-8 </w:t>
            </w:r>
            <w:r>
              <w:rPr>
                <w:rFonts w:hint="eastAsia"/>
                <w:b/>
                <w:szCs w:val="21"/>
              </w:rPr>
              <w:t xml:space="preserve"> </w:t>
            </w:r>
            <w:r>
              <w:rPr>
                <w:b/>
                <w:szCs w:val="21"/>
              </w:rPr>
              <w:t>项目危险物质储量及临界量一览表</w:t>
            </w:r>
          </w:p>
          <w:tbl>
            <w:tblPr>
              <w:tblStyle w:val="44"/>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268"/>
              <w:gridCol w:w="1843"/>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0" w:type="dxa"/>
                  <w:vAlign w:val="center"/>
                </w:tcPr>
                <w:p>
                  <w:pPr>
                    <w:adjustRightInd w:val="0"/>
                    <w:jc w:val="center"/>
                    <w:rPr>
                      <w:b/>
                      <w:szCs w:val="21"/>
                    </w:rPr>
                  </w:pPr>
                  <w:r>
                    <w:rPr>
                      <w:rFonts w:hint="eastAsia" w:cs="宋体"/>
                      <w:b/>
                      <w:szCs w:val="21"/>
                      <w:lang w:bidi="ar"/>
                    </w:rPr>
                    <w:t>物质名称</w:t>
                  </w:r>
                </w:p>
              </w:tc>
              <w:tc>
                <w:tcPr>
                  <w:tcW w:w="2268" w:type="dxa"/>
                  <w:vAlign w:val="center"/>
                </w:tcPr>
                <w:p>
                  <w:pPr>
                    <w:adjustRightInd w:val="0"/>
                    <w:jc w:val="center"/>
                    <w:rPr>
                      <w:b/>
                      <w:szCs w:val="21"/>
                    </w:rPr>
                  </w:pPr>
                  <w:r>
                    <w:rPr>
                      <w:b/>
                      <w:szCs w:val="21"/>
                    </w:rPr>
                    <w:t>储存量</w:t>
                  </w:r>
                </w:p>
                <w:p>
                  <w:pPr>
                    <w:adjustRightInd w:val="0"/>
                    <w:jc w:val="center"/>
                    <w:rPr>
                      <w:b/>
                      <w:szCs w:val="21"/>
                    </w:rPr>
                  </w:pPr>
                  <w:r>
                    <w:rPr>
                      <w:b/>
                      <w:szCs w:val="21"/>
                    </w:rPr>
                    <w:t>（最大存在总量）t</w:t>
                  </w:r>
                </w:p>
              </w:tc>
              <w:tc>
                <w:tcPr>
                  <w:tcW w:w="1843" w:type="dxa"/>
                  <w:vAlign w:val="center"/>
                </w:tcPr>
                <w:p>
                  <w:pPr>
                    <w:adjustRightInd w:val="0"/>
                    <w:jc w:val="center"/>
                    <w:rPr>
                      <w:b/>
                      <w:szCs w:val="21"/>
                    </w:rPr>
                  </w:pPr>
                  <w:r>
                    <w:rPr>
                      <w:b/>
                      <w:szCs w:val="21"/>
                    </w:rPr>
                    <w:t>临界量t</w:t>
                  </w:r>
                </w:p>
              </w:tc>
              <w:tc>
                <w:tcPr>
                  <w:tcW w:w="2081" w:type="dxa"/>
                  <w:vAlign w:val="center"/>
                </w:tcPr>
                <w:p>
                  <w:pPr>
                    <w:adjustRightInd w:val="0"/>
                    <w:jc w:val="center"/>
                    <w:rPr>
                      <w:b/>
                      <w:szCs w:val="21"/>
                    </w:rPr>
                  </w:pPr>
                  <w:r>
                    <w:rPr>
                      <w:rFonts w:hint="eastAsia"/>
                      <w:b/>
                      <w:szCs w:val="21"/>
                    </w:rPr>
                    <w:t>比值（Q）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0" w:type="dxa"/>
                  <w:vAlign w:val="center"/>
                </w:tcPr>
                <w:p>
                  <w:pPr>
                    <w:adjustRightInd w:val="0"/>
                    <w:jc w:val="center"/>
                    <w:rPr>
                      <w:szCs w:val="21"/>
                    </w:rPr>
                  </w:pPr>
                  <w:r>
                    <w:rPr>
                      <w:rFonts w:hint="eastAsia"/>
                      <w:szCs w:val="21"/>
                    </w:rPr>
                    <w:t>变压器油</w:t>
                  </w:r>
                </w:p>
              </w:tc>
              <w:tc>
                <w:tcPr>
                  <w:tcW w:w="2268" w:type="dxa"/>
                  <w:vAlign w:val="center"/>
                </w:tcPr>
                <w:p>
                  <w:pPr>
                    <w:adjustRightInd w:val="0"/>
                    <w:jc w:val="center"/>
                    <w:rPr>
                      <w:szCs w:val="21"/>
                    </w:rPr>
                  </w:pPr>
                  <w:r>
                    <w:rPr>
                      <w:szCs w:val="21"/>
                    </w:rPr>
                    <w:t>12</w:t>
                  </w:r>
                </w:p>
              </w:tc>
              <w:tc>
                <w:tcPr>
                  <w:tcW w:w="1843" w:type="dxa"/>
                  <w:vAlign w:val="center"/>
                </w:tcPr>
                <w:p>
                  <w:pPr>
                    <w:adjustRightInd w:val="0"/>
                    <w:jc w:val="center"/>
                    <w:rPr>
                      <w:szCs w:val="21"/>
                    </w:rPr>
                  </w:pPr>
                  <w:r>
                    <w:rPr>
                      <w:rFonts w:hint="eastAsia"/>
                      <w:szCs w:val="21"/>
                    </w:rPr>
                    <w:t>2500</w:t>
                  </w:r>
                </w:p>
              </w:tc>
              <w:tc>
                <w:tcPr>
                  <w:tcW w:w="2081" w:type="dxa"/>
                  <w:vAlign w:val="center"/>
                </w:tcPr>
                <w:p>
                  <w:pPr>
                    <w:adjustRightInd w:val="0"/>
                    <w:jc w:val="center"/>
                    <w:rPr>
                      <w:szCs w:val="21"/>
                    </w:rPr>
                  </w:pPr>
                  <w:r>
                    <w:rPr>
                      <w:rFonts w:hint="eastAsia"/>
                      <w:szCs w:val="21"/>
                    </w:rPr>
                    <w:t>0</w:t>
                  </w:r>
                  <w:r>
                    <w:rPr>
                      <w:szCs w:val="21"/>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30" w:type="dxa"/>
                  <w:vAlign w:val="center"/>
                </w:tcPr>
                <w:p>
                  <w:pPr>
                    <w:adjustRightInd w:val="0"/>
                    <w:jc w:val="center"/>
                    <w:rPr>
                      <w:szCs w:val="21"/>
                    </w:rPr>
                  </w:pPr>
                  <w:r>
                    <w:rPr>
                      <w:rFonts w:hint="eastAsia"/>
                      <w:szCs w:val="21"/>
                    </w:rPr>
                    <w:t>废蓄电池中的硫酸</w:t>
                  </w:r>
                </w:p>
              </w:tc>
              <w:tc>
                <w:tcPr>
                  <w:tcW w:w="2268" w:type="dxa"/>
                  <w:vAlign w:val="center"/>
                </w:tcPr>
                <w:p>
                  <w:pPr>
                    <w:adjustRightInd w:val="0"/>
                    <w:jc w:val="center"/>
                    <w:rPr>
                      <w:szCs w:val="21"/>
                    </w:rPr>
                  </w:pPr>
                  <w:r>
                    <w:rPr>
                      <w:rFonts w:hint="eastAsia"/>
                      <w:szCs w:val="21"/>
                    </w:rPr>
                    <w:t>0.</w:t>
                  </w:r>
                  <w:r>
                    <w:rPr>
                      <w:szCs w:val="21"/>
                    </w:rPr>
                    <w:t>1</w:t>
                  </w:r>
                </w:p>
              </w:tc>
              <w:tc>
                <w:tcPr>
                  <w:tcW w:w="1843" w:type="dxa"/>
                  <w:vAlign w:val="center"/>
                </w:tcPr>
                <w:p>
                  <w:pPr>
                    <w:adjustRightInd w:val="0"/>
                    <w:jc w:val="center"/>
                    <w:rPr>
                      <w:szCs w:val="21"/>
                    </w:rPr>
                  </w:pPr>
                  <w:r>
                    <w:rPr>
                      <w:rFonts w:hint="eastAsia"/>
                      <w:szCs w:val="21"/>
                    </w:rPr>
                    <w:t>1</w:t>
                  </w:r>
                  <w:r>
                    <w:rPr>
                      <w:szCs w:val="21"/>
                    </w:rPr>
                    <w:t>0</w:t>
                  </w:r>
                </w:p>
              </w:tc>
              <w:tc>
                <w:tcPr>
                  <w:tcW w:w="2081" w:type="dxa"/>
                  <w:vAlign w:val="center"/>
                </w:tcPr>
                <w:p>
                  <w:pPr>
                    <w:adjustRightInd w:val="0"/>
                    <w:jc w:val="center"/>
                    <w:rPr>
                      <w:szCs w:val="21"/>
                    </w:rPr>
                  </w:pPr>
                  <w:r>
                    <w:rPr>
                      <w:rFonts w:hint="eastAsia"/>
                      <w:szCs w:val="21"/>
                    </w:rPr>
                    <w:t>0</w:t>
                  </w:r>
                  <w:r>
                    <w:rPr>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41" w:type="dxa"/>
                  <w:gridSpan w:val="3"/>
                  <w:vAlign w:val="center"/>
                </w:tcPr>
                <w:p>
                  <w:pPr>
                    <w:adjustRightInd w:val="0"/>
                    <w:jc w:val="center"/>
                    <w:rPr>
                      <w:szCs w:val="21"/>
                    </w:rPr>
                  </w:pPr>
                  <w:r>
                    <w:rPr>
                      <w:rFonts w:hint="eastAsia" w:cs="宋体"/>
                      <w:szCs w:val="21"/>
                      <w:lang w:bidi="ar"/>
                    </w:rPr>
                    <w:t>项目</w:t>
                  </w:r>
                  <w:r>
                    <w:rPr>
                      <w:szCs w:val="21"/>
                      <w:lang w:bidi="ar"/>
                    </w:rPr>
                    <w:t>Q</w:t>
                  </w:r>
                  <w:r>
                    <w:rPr>
                      <w:rFonts w:hint="eastAsia" w:cs="宋体"/>
                      <w:szCs w:val="21"/>
                      <w:lang w:bidi="ar"/>
                    </w:rPr>
                    <w:t>值</w:t>
                  </w:r>
                  <w:r>
                    <w:rPr>
                      <w:szCs w:val="21"/>
                      <w:lang w:bidi="ar"/>
                    </w:rPr>
                    <w:t>Σ</w:t>
                  </w:r>
                </w:p>
              </w:tc>
              <w:tc>
                <w:tcPr>
                  <w:tcW w:w="2081" w:type="dxa"/>
                  <w:vAlign w:val="center"/>
                </w:tcPr>
                <w:p>
                  <w:pPr>
                    <w:adjustRightInd w:val="0"/>
                    <w:jc w:val="center"/>
                    <w:rPr>
                      <w:szCs w:val="21"/>
                    </w:rPr>
                  </w:pPr>
                  <w:r>
                    <w:rPr>
                      <w:rFonts w:hint="eastAsia"/>
                      <w:szCs w:val="21"/>
                    </w:rPr>
                    <w:t>0</w:t>
                  </w:r>
                  <w:r>
                    <w:rPr>
                      <w:szCs w:val="21"/>
                    </w:rPr>
                    <w:t>.0148</w:t>
                  </w:r>
                </w:p>
              </w:tc>
            </w:tr>
          </w:tbl>
          <w:p>
            <w:pPr>
              <w:adjustRightInd w:val="0"/>
              <w:spacing w:line="360" w:lineRule="auto"/>
              <w:ind w:firstLine="480" w:firstLineChars="200"/>
              <w:rPr>
                <w:sz w:val="24"/>
              </w:rPr>
            </w:pPr>
            <w:r>
              <w:rPr>
                <w:rFonts w:hint="eastAsia"/>
                <w:sz w:val="24"/>
              </w:rPr>
              <w:t>由上表可知，本项目危险物质与临界量的比值</w:t>
            </w:r>
            <w:r>
              <w:rPr>
                <w:rFonts w:hint="eastAsia"/>
                <w:i/>
                <w:iCs/>
                <w:sz w:val="24"/>
              </w:rPr>
              <w:t>Q</w:t>
            </w:r>
            <w:r>
              <w:rPr>
                <w:rFonts w:hint="eastAsia"/>
                <w:sz w:val="24"/>
              </w:rPr>
              <w:t>为0.</w:t>
            </w:r>
            <w:r>
              <w:rPr>
                <w:sz w:val="24"/>
              </w:rPr>
              <w:t>0148</w:t>
            </w:r>
            <w:r>
              <w:rPr>
                <w:rFonts w:hint="eastAsia"/>
                <w:sz w:val="24"/>
              </w:rPr>
              <w:t>。</w:t>
            </w:r>
            <w:r>
              <w:rPr>
                <w:i/>
                <w:iCs/>
                <w:sz w:val="24"/>
              </w:rPr>
              <w:t>Q</w:t>
            </w:r>
            <w:r>
              <w:rPr>
                <w:sz w:val="24"/>
              </w:rPr>
              <w:t>＜1</w:t>
            </w:r>
            <w:r>
              <w:rPr>
                <w:rFonts w:hint="eastAsia"/>
                <w:sz w:val="24"/>
              </w:rPr>
              <w:t>，</w:t>
            </w:r>
            <w:r>
              <w:rPr>
                <w:sz w:val="24"/>
              </w:rPr>
              <w:t>确定本项目环境风险潜势为</w:t>
            </w:r>
            <w:r>
              <w:rPr>
                <w:rFonts w:ascii="宋体" w:hAnsi="宋体"/>
                <w:sz w:val="24"/>
              </w:rPr>
              <w:t>Ⅰ</w:t>
            </w:r>
            <w:r>
              <w:rPr>
                <w:sz w:val="24"/>
              </w:rPr>
              <w:t>，环境风险评价工作等级为简单分析。</w:t>
            </w:r>
          </w:p>
          <w:p>
            <w:pPr>
              <w:adjustRightInd w:val="0"/>
              <w:spacing w:line="360" w:lineRule="auto"/>
              <w:ind w:firstLine="480" w:firstLineChars="200"/>
              <w:rPr>
                <w:bCs/>
                <w:sz w:val="24"/>
              </w:rPr>
            </w:pPr>
            <w:r>
              <w:rPr>
                <w:bCs/>
                <w:sz w:val="24"/>
              </w:rPr>
              <w:t>4）</w:t>
            </w:r>
            <w:r>
              <w:rPr>
                <w:rStyle w:val="76"/>
                <w:bCs/>
              </w:rPr>
              <w:t>环境风险识别</w:t>
            </w:r>
          </w:p>
          <w:p>
            <w:pPr>
              <w:adjustRightInd w:val="0"/>
              <w:spacing w:line="360" w:lineRule="auto"/>
              <w:ind w:firstLine="480" w:firstLineChars="200"/>
              <w:rPr>
                <w:b/>
                <w:bCs/>
                <w:szCs w:val="21"/>
              </w:rPr>
            </w:pPr>
            <w:r>
              <w:rPr>
                <w:rFonts w:hint="eastAsia"/>
                <w:sz w:val="24"/>
              </w:rPr>
              <w:t>根据项目涉及的主要危险物质的识别，可能产生的环境风险类型有变压器油、废蓄电池在使用、储运过程中若操作不当造成风险物质泄漏，项目发生上述环境风险事故后危险物质可能向环境转移的途径、可能影响的环境敏感目标情况详见下表。</w:t>
            </w:r>
          </w:p>
          <w:p>
            <w:pPr>
              <w:adjustRightInd w:val="0"/>
              <w:jc w:val="center"/>
              <w:rPr>
                <w:b/>
                <w:bCs/>
                <w:szCs w:val="21"/>
                <w:lang w:bidi="ar"/>
              </w:rPr>
            </w:pPr>
            <w:r>
              <w:rPr>
                <w:rFonts w:hint="eastAsia"/>
                <w:b/>
                <w:bCs/>
                <w:szCs w:val="21"/>
              </w:rPr>
              <w:t>表4-</w:t>
            </w:r>
            <w:r>
              <w:rPr>
                <w:b/>
                <w:bCs/>
                <w:szCs w:val="21"/>
              </w:rPr>
              <w:t xml:space="preserve">9  </w:t>
            </w:r>
            <w:r>
              <w:rPr>
                <w:rFonts w:hint="eastAsia"/>
                <w:b/>
                <w:bCs/>
                <w:szCs w:val="21"/>
              </w:rPr>
              <w:t>项目危险物质向环境转移途径识别表</w:t>
            </w:r>
          </w:p>
          <w:tbl>
            <w:tblPr>
              <w:tblStyle w:val="44"/>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03"/>
              <w:gridCol w:w="993"/>
              <w:gridCol w:w="411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dxa"/>
                  <w:shd w:val="clear" w:color="auto" w:fill="auto"/>
                  <w:vAlign w:val="center"/>
                </w:tcPr>
                <w:p>
                  <w:pPr>
                    <w:pStyle w:val="21"/>
                    <w:adjustRightInd w:val="0"/>
                    <w:snapToGrid/>
                    <w:spacing w:before="0" w:after="0" w:line="240" w:lineRule="auto"/>
                    <w:ind w:right="0"/>
                    <w:jc w:val="center"/>
                    <w:rPr>
                      <w:b/>
                      <w:bCs/>
                      <w:sz w:val="21"/>
                      <w:szCs w:val="21"/>
                    </w:rPr>
                  </w:pPr>
                  <w:r>
                    <w:rPr>
                      <w:rFonts w:hint="eastAsia"/>
                      <w:b/>
                      <w:bCs/>
                      <w:sz w:val="21"/>
                      <w:szCs w:val="21"/>
                    </w:rPr>
                    <w:t>序号</w:t>
                  </w:r>
                </w:p>
              </w:tc>
              <w:tc>
                <w:tcPr>
                  <w:tcW w:w="903" w:type="dxa"/>
                  <w:shd w:val="clear" w:color="auto" w:fill="auto"/>
                  <w:vAlign w:val="center"/>
                </w:tcPr>
                <w:p>
                  <w:pPr>
                    <w:pStyle w:val="21"/>
                    <w:adjustRightInd w:val="0"/>
                    <w:snapToGrid/>
                    <w:spacing w:before="0" w:after="0" w:line="240" w:lineRule="auto"/>
                    <w:ind w:right="0"/>
                    <w:jc w:val="center"/>
                    <w:rPr>
                      <w:b/>
                      <w:bCs/>
                      <w:sz w:val="21"/>
                      <w:szCs w:val="21"/>
                    </w:rPr>
                  </w:pPr>
                  <w:r>
                    <w:rPr>
                      <w:rFonts w:hint="eastAsia"/>
                      <w:b/>
                      <w:bCs/>
                      <w:sz w:val="21"/>
                      <w:szCs w:val="21"/>
                    </w:rPr>
                    <w:t>危险物质</w:t>
                  </w:r>
                </w:p>
              </w:tc>
              <w:tc>
                <w:tcPr>
                  <w:tcW w:w="993" w:type="dxa"/>
                  <w:shd w:val="clear" w:color="auto" w:fill="auto"/>
                  <w:vAlign w:val="center"/>
                </w:tcPr>
                <w:p>
                  <w:pPr>
                    <w:pStyle w:val="21"/>
                    <w:adjustRightInd w:val="0"/>
                    <w:snapToGrid/>
                    <w:spacing w:before="0" w:after="0" w:line="240" w:lineRule="auto"/>
                    <w:ind w:right="0"/>
                    <w:jc w:val="center"/>
                    <w:rPr>
                      <w:b/>
                      <w:bCs/>
                      <w:sz w:val="21"/>
                      <w:szCs w:val="21"/>
                    </w:rPr>
                  </w:pPr>
                  <w:r>
                    <w:rPr>
                      <w:rFonts w:hint="eastAsia"/>
                      <w:b/>
                      <w:bCs/>
                      <w:sz w:val="21"/>
                      <w:szCs w:val="21"/>
                    </w:rPr>
                    <w:t>环境风险类型</w:t>
                  </w:r>
                </w:p>
              </w:tc>
              <w:tc>
                <w:tcPr>
                  <w:tcW w:w="4110" w:type="dxa"/>
                  <w:shd w:val="clear" w:color="auto" w:fill="auto"/>
                  <w:vAlign w:val="center"/>
                </w:tcPr>
                <w:p>
                  <w:pPr>
                    <w:pStyle w:val="21"/>
                    <w:adjustRightInd w:val="0"/>
                    <w:snapToGrid/>
                    <w:spacing w:before="0" w:after="0" w:line="240" w:lineRule="auto"/>
                    <w:ind w:right="0"/>
                    <w:jc w:val="center"/>
                    <w:rPr>
                      <w:b/>
                      <w:bCs/>
                      <w:sz w:val="21"/>
                      <w:szCs w:val="21"/>
                    </w:rPr>
                  </w:pPr>
                  <w:r>
                    <w:rPr>
                      <w:rFonts w:hint="eastAsia"/>
                      <w:b/>
                      <w:bCs/>
                      <w:sz w:val="21"/>
                      <w:szCs w:val="21"/>
                    </w:rPr>
                    <w:t>影响环境的途径</w:t>
                  </w:r>
                </w:p>
              </w:tc>
              <w:tc>
                <w:tcPr>
                  <w:tcW w:w="1584" w:type="dxa"/>
                  <w:shd w:val="clear" w:color="auto" w:fill="auto"/>
                  <w:vAlign w:val="center"/>
                </w:tcPr>
                <w:p>
                  <w:pPr>
                    <w:pStyle w:val="21"/>
                    <w:adjustRightInd w:val="0"/>
                    <w:snapToGrid/>
                    <w:spacing w:before="0" w:after="0" w:line="240" w:lineRule="auto"/>
                    <w:ind w:right="0"/>
                    <w:jc w:val="center"/>
                    <w:rPr>
                      <w:b/>
                      <w:bCs/>
                      <w:sz w:val="21"/>
                      <w:szCs w:val="21"/>
                    </w:rPr>
                  </w:pPr>
                  <w:r>
                    <w:rPr>
                      <w:rFonts w:hint="eastAsia"/>
                      <w:b/>
                      <w:bCs/>
                      <w:sz w:val="21"/>
                      <w:szCs w:val="21"/>
                    </w:rPr>
                    <w:t>可能影响的环境敏感目标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dxa"/>
                  <w:shd w:val="clear" w:color="auto" w:fill="auto"/>
                  <w:vAlign w:val="center"/>
                </w:tcPr>
                <w:p>
                  <w:pPr>
                    <w:pStyle w:val="21"/>
                    <w:adjustRightInd w:val="0"/>
                    <w:snapToGrid/>
                    <w:spacing w:line="240" w:lineRule="auto"/>
                    <w:jc w:val="center"/>
                    <w:rPr>
                      <w:sz w:val="21"/>
                      <w:szCs w:val="21"/>
                    </w:rPr>
                  </w:pPr>
                  <w:r>
                    <w:rPr>
                      <w:rFonts w:hint="eastAsia"/>
                      <w:sz w:val="21"/>
                      <w:szCs w:val="21"/>
                    </w:rPr>
                    <w:t>1</w:t>
                  </w:r>
                </w:p>
              </w:tc>
              <w:tc>
                <w:tcPr>
                  <w:tcW w:w="903" w:type="dxa"/>
                  <w:shd w:val="clear" w:color="auto" w:fill="auto"/>
                  <w:vAlign w:val="center"/>
                </w:tcPr>
                <w:p>
                  <w:pPr>
                    <w:adjustRightInd w:val="0"/>
                    <w:jc w:val="center"/>
                    <w:rPr>
                      <w:szCs w:val="21"/>
                    </w:rPr>
                  </w:pPr>
                  <w:r>
                    <w:rPr>
                      <w:rFonts w:hint="eastAsia"/>
                      <w:szCs w:val="21"/>
                    </w:rPr>
                    <w:t>变压器油/废矿物油</w:t>
                  </w:r>
                </w:p>
              </w:tc>
              <w:tc>
                <w:tcPr>
                  <w:tcW w:w="993" w:type="dxa"/>
                  <w:shd w:val="clear" w:color="auto" w:fill="auto"/>
                  <w:vAlign w:val="center"/>
                </w:tcPr>
                <w:p>
                  <w:pPr>
                    <w:pStyle w:val="21"/>
                    <w:adjustRightInd w:val="0"/>
                    <w:snapToGrid/>
                    <w:spacing w:line="240" w:lineRule="auto"/>
                    <w:jc w:val="center"/>
                    <w:rPr>
                      <w:sz w:val="21"/>
                      <w:szCs w:val="21"/>
                    </w:rPr>
                  </w:pPr>
                  <w:r>
                    <w:rPr>
                      <w:rFonts w:hint="eastAsia"/>
                      <w:sz w:val="21"/>
                      <w:szCs w:val="21"/>
                    </w:rPr>
                    <w:t>泄漏</w:t>
                  </w:r>
                </w:p>
              </w:tc>
              <w:tc>
                <w:tcPr>
                  <w:tcW w:w="4110" w:type="dxa"/>
                  <w:shd w:val="clear" w:color="auto" w:fill="auto"/>
                  <w:vAlign w:val="center"/>
                </w:tcPr>
                <w:p>
                  <w:pPr>
                    <w:adjustRightInd w:val="0"/>
                    <w:jc w:val="left"/>
                    <w:rPr>
                      <w:szCs w:val="21"/>
                    </w:rPr>
                  </w:pPr>
                  <w:r>
                    <w:rPr>
                      <w:rFonts w:hint="eastAsia" w:ascii="宋体" w:hAnsi="宋体" w:cs="宋体"/>
                      <w:szCs w:val="21"/>
                    </w:rPr>
                    <w:t>①</w:t>
                  </w:r>
                  <w:r>
                    <w:rPr>
                      <w:rFonts w:hint="eastAsia"/>
                      <w:szCs w:val="21"/>
                    </w:rPr>
                    <w:t>泄漏后可能通过雨水管网进入附近水体，造成严重的水环境污染事故。</w:t>
                  </w:r>
                </w:p>
                <w:p>
                  <w:pPr>
                    <w:adjustRightInd w:val="0"/>
                    <w:jc w:val="left"/>
                    <w:rPr>
                      <w:szCs w:val="21"/>
                    </w:rPr>
                  </w:pPr>
                  <w:r>
                    <w:rPr>
                      <w:rFonts w:hint="eastAsia" w:ascii="宋体" w:hAnsi="宋体" w:cs="宋体"/>
                      <w:szCs w:val="21"/>
                    </w:rPr>
                    <w:t>②</w:t>
                  </w:r>
                  <w:r>
                    <w:rPr>
                      <w:rFonts w:hint="eastAsia"/>
                      <w:szCs w:val="21"/>
                    </w:rPr>
                    <w:t>泄漏后可能通过下渗进入地下水，造成地下水污染事故。</w:t>
                  </w:r>
                </w:p>
                <w:p>
                  <w:pPr>
                    <w:adjustRightInd w:val="0"/>
                    <w:jc w:val="left"/>
                    <w:rPr>
                      <w:szCs w:val="21"/>
                    </w:rPr>
                  </w:pPr>
                  <w:r>
                    <w:rPr>
                      <w:rFonts w:hint="eastAsia" w:ascii="宋体" w:hAnsi="宋体" w:cs="宋体"/>
                      <w:szCs w:val="21"/>
                    </w:rPr>
                    <w:t>③</w:t>
                  </w:r>
                  <w:r>
                    <w:rPr>
                      <w:rFonts w:hint="eastAsia"/>
                      <w:szCs w:val="21"/>
                    </w:rPr>
                    <w:t>泄漏后，发生火灾、爆炸所产生的大量液体挥发形成的蒸汽，以及次生污染物，将对周边大气产生较为严重的环境污染。</w:t>
                  </w:r>
                </w:p>
              </w:tc>
              <w:tc>
                <w:tcPr>
                  <w:tcW w:w="1584" w:type="dxa"/>
                  <w:shd w:val="clear" w:color="auto" w:fill="auto"/>
                  <w:vAlign w:val="center"/>
                </w:tcPr>
                <w:p>
                  <w:pPr>
                    <w:adjustRightInd w:val="0"/>
                    <w:jc w:val="center"/>
                    <w:rPr>
                      <w:szCs w:val="21"/>
                    </w:rPr>
                  </w:pPr>
                  <w:r>
                    <w:rPr>
                      <w:rFonts w:hint="eastAsia"/>
                      <w:szCs w:val="21"/>
                    </w:rPr>
                    <w:t>大气、地表水、地下水、土壤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dxa"/>
                  <w:shd w:val="clear" w:color="auto" w:fill="auto"/>
                  <w:vAlign w:val="center"/>
                </w:tcPr>
                <w:p>
                  <w:pPr>
                    <w:pStyle w:val="21"/>
                    <w:adjustRightInd w:val="0"/>
                    <w:snapToGrid/>
                    <w:spacing w:before="0" w:after="0" w:line="240" w:lineRule="auto"/>
                    <w:ind w:right="0"/>
                    <w:jc w:val="center"/>
                    <w:rPr>
                      <w:sz w:val="21"/>
                      <w:szCs w:val="21"/>
                    </w:rPr>
                  </w:pPr>
                  <w:r>
                    <w:rPr>
                      <w:rFonts w:hint="eastAsia"/>
                      <w:sz w:val="21"/>
                      <w:szCs w:val="21"/>
                    </w:rPr>
                    <w:t>2</w:t>
                  </w:r>
                </w:p>
              </w:tc>
              <w:tc>
                <w:tcPr>
                  <w:tcW w:w="903" w:type="dxa"/>
                  <w:shd w:val="clear" w:color="auto" w:fill="auto"/>
                  <w:vAlign w:val="center"/>
                </w:tcPr>
                <w:p>
                  <w:pPr>
                    <w:adjustRightInd w:val="0"/>
                    <w:jc w:val="center"/>
                    <w:rPr>
                      <w:szCs w:val="21"/>
                    </w:rPr>
                  </w:pPr>
                  <w:r>
                    <w:rPr>
                      <w:rFonts w:hint="eastAsia"/>
                      <w:szCs w:val="21"/>
                    </w:rPr>
                    <w:t>废蓄电池中的硫酸</w:t>
                  </w:r>
                </w:p>
              </w:tc>
              <w:tc>
                <w:tcPr>
                  <w:tcW w:w="993" w:type="dxa"/>
                  <w:shd w:val="clear" w:color="auto" w:fill="auto"/>
                  <w:vAlign w:val="center"/>
                </w:tcPr>
                <w:p>
                  <w:pPr>
                    <w:pStyle w:val="21"/>
                    <w:adjustRightInd w:val="0"/>
                    <w:snapToGrid/>
                    <w:spacing w:before="0" w:after="0" w:line="240" w:lineRule="auto"/>
                    <w:ind w:right="0"/>
                    <w:jc w:val="center"/>
                    <w:rPr>
                      <w:sz w:val="21"/>
                      <w:szCs w:val="21"/>
                    </w:rPr>
                  </w:pPr>
                  <w:r>
                    <w:rPr>
                      <w:rFonts w:hint="eastAsia"/>
                      <w:sz w:val="21"/>
                      <w:szCs w:val="21"/>
                    </w:rPr>
                    <w:t>泄漏</w:t>
                  </w:r>
                </w:p>
              </w:tc>
              <w:tc>
                <w:tcPr>
                  <w:tcW w:w="4110" w:type="dxa"/>
                  <w:shd w:val="clear" w:color="auto" w:fill="auto"/>
                  <w:vAlign w:val="center"/>
                </w:tcPr>
                <w:p>
                  <w:pPr>
                    <w:adjustRightInd w:val="0"/>
                    <w:rPr>
                      <w:szCs w:val="21"/>
                    </w:rPr>
                  </w:pPr>
                  <w:r>
                    <w:rPr>
                      <w:rFonts w:hint="eastAsia" w:ascii="宋体" w:hAnsi="宋体" w:cs="宋体"/>
                      <w:szCs w:val="21"/>
                    </w:rPr>
                    <w:t>①</w:t>
                  </w:r>
                  <w:r>
                    <w:rPr>
                      <w:rFonts w:hint="eastAsia"/>
                      <w:szCs w:val="21"/>
                    </w:rPr>
                    <w:t>泄漏后可能通过雨水管网进入附近水体，造成严重的水环境污染事故。</w:t>
                  </w:r>
                </w:p>
                <w:p>
                  <w:pPr>
                    <w:adjustRightInd w:val="0"/>
                    <w:rPr>
                      <w:rFonts w:ascii="宋体" w:hAnsi="宋体" w:cs="宋体"/>
                      <w:szCs w:val="21"/>
                    </w:rPr>
                  </w:pPr>
                  <w:r>
                    <w:rPr>
                      <w:rFonts w:hint="eastAsia" w:ascii="宋体" w:hAnsi="宋体" w:cs="宋体"/>
                      <w:szCs w:val="21"/>
                    </w:rPr>
                    <w:t>②</w:t>
                  </w:r>
                  <w:r>
                    <w:rPr>
                      <w:rFonts w:hint="eastAsia"/>
                      <w:szCs w:val="21"/>
                    </w:rPr>
                    <w:t>泄漏后可能通过下渗进入地下水，造成地下水污染事故。</w:t>
                  </w:r>
                </w:p>
              </w:tc>
              <w:tc>
                <w:tcPr>
                  <w:tcW w:w="1584" w:type="dxa"/>
                  <w:shd w:val="clear" w:color="auto" w:fill="auto"/>
                  <w:vAlign w:val="center"/>
                </w:tcPr>
                <w:p>
                  <w:pPr>
                    <w:adjustRightInd w:val="0"/>
                    <w:jc w:val="center"/>
                    <w:rPr>
                      <w:szCs w:val="21"/>
                    </w:rPr>
                  </w:pPr>
                  <w:r>
                    <w:rPr>
                      <w:rFonts w:hint="eastAsia"/>
                      <w:szCs w:val="21"/>
                    </w:rPr>
                    <w:t>大气、地表水、地下水、土壤</w:t>
                  </w:r>
                </w:p>
              </w:tc>
            </w:tr>
          </w:tbl>
          <w:p>
            <w:pPr>
              <w:spacing w:line="360" w:lineRule="auto"/>
              <w:ind w:firstLine="480" w:firstLineChars="200"/>
              <w:rPr>
                <w:sz w:val="24"/>
                <w:lang w:bidi="ar"/>
              </w:rPr>
            </w:pPr>
            <w:r>
              <w:rPr>
                <w:sz w:val="24"/>
                <w:lang w:bidi="ar"/>
              </w:rPr>
              <w:t>5）</w:t>
            </w:r>
            <w:r>
              <w:rPr>
                <w:rStyle w:val="76"/>
                <w:rFonts w:ascii="Times New Roman" w:hAnsi="Times New Roman"/>
              </w:rPr>
              <w:t>环境风险分析</w:t>
            </w:r>
          </w:p>
          <w:p>
            <w:pPr>
              <w:spacing w:line="360" w:lineRule="auto"/>
              <w:ind w:firstLine="480" w:firstLineChars="200"/>
              <w:rPr>
                <w:rStyle w:val="76"/>
                <w:rFonts w:ascii="Times New Roman" w:hAnsi="Times New Roman"/>
              </w:rPr>
            </w:pPr>
            <w:r>
              <w:rPr>
                <w:rStyle w:val="76"/>
                <w:rFonts w:hint="eastAsia" w:cs="宋体"/>
              </w:rPr>
              <w:t>①</w:t>
            </w:r>
            <w:r>
              <w:rPr>
                <w:rStyle w:val="76"/>
                <w:rFonts w:ascii="Times New Roman" w:hAnsi="Times New Roman"/>
              </w:rPr>
              <w:t>大气环境风险分析</w:t>
            </w:r>
          </w:p>
          <w:p>
            <w:pPr>
              <w:spacing w:line="360" w:lineRule="auto"/>
              <w:ind w:firstLine="480" w:firstLineChars="200"/>
              <w:rPr>
                <w:rStyle w:val="76"/>
                <w:rFonts w:ascii="Times New Roman" w:hAnsi="Times New Roman"/>
                <w:bCs/>
              </w:rPr>
            </w:pPr>
            <w:r>
              <w:rPr>
                <w:rStyle w:val="76"/>
                <w:rFonts w:ascii="Times New Roman" w:hAnsi="Times New Roman"/>
                <w:bCs/>
              </w:rPr>
              <w:t>变压器油在使用、储运过程中若操作不当或设备损坏造成物质泄漏，泄漏后遇火源或在高温（高于闪点）等特殊情况下，将引发火灾爆炸风险，将对周边大气产生较为严重的环境污染。由于主变中变压器油泄漏后直接进入事故油池存放，暴露在空气中的量较小。废矿物油贮存在容器中，放置在室内，通过加强巡检等措施后，可以及时发生泄漏，</w:t>
            </w:r>
            <w:r>
              <w:rPr>
                <w:sz w:val="24"/>
              </w:rPr>
              <w:t>切断泄漏源，并</w:t>
            </w:r>
            <w:r>
              <w:rPr>
                <w:rStyle w:val="76"/>
                <w:rFonts w:ascii="Times New Roman" w:hAnsi="Times New Roman"/>
                <w:bCs/>
              </w:rPr>
              <w:t>采用合适的材料收容泄漏物，在采取以上应急措施后，引起火灾爆炸的可能性较小。建设单位需强化禁火区域安全管理，严禁烟火，将生产、储存装置区域列为禁火区，区内加强火源管理，严禁吸烟。宿舍、办公室、休息室内严禁存放易燃易爆物品。在变压器、危险废物</w:t>
            </w:r>
            <w:r>
              <w:rPr>
                <w:rStyle w:val="76"/>
                <w:rFonts w:hint="eastAsia" w:ascii="Times New Roman" w:hAnsi="Times New Roman"/>
                <w:bCs/>
              </w:rPr>
              <w:t>贮存库</w:t>
            </w:r>
            <w:r>
              <w:rPr>
                <w:rStyle w:val="76"/>
                <w:rFonts w:ascii="Times New Roman" w:hAnsi="Times New Roman"/>
                <w:bCs/>
              </w:rPr>
              <w:t>附近，配置推车式泡沫灭火器及砂箱等灭火器材，设置室外消火栓。建设单位应认真落实风险防范措施，大气环境风险可控，对周边环境影响较小。</w:t>
            </w:r>
          </w:p>
          <w:p>
            <w:pPr>
              <w:spacing w:line="360" w:lineRule="auto"/>
              <w:ind w:firstLine="480" w:firstLineChars="200"/>
              <w:rPr>
                <w:rStyle w:val="76"/>
                <w:rFonts w:ascii="Times New Roman" w:hAnsi="Times New Roman"/>
              </w:rPr>
            </w:pPr>
            <w:r>
              <w:rPr>
                <w:rStyle w:val="76"/>
                <w:rFonts w:hint="eastAsia" w:cs="宋体"/>
              </w:rPr>
              <w:t>②</w:t>
            </w:r>
            <w:r>
              <w:rPr>
                <w:rStyle w:val="76"/>
                <w:rFonts w:ascii="Times New Roman" w:hAnsi="Times New Roman"/>
              </w:rPr>
              <w:t>地表水环境风险分析</w:t>
            </w:r>
          </w:p>
          <w:p>
            <w:pPr>
              <w:spacing w:line="360" w:lineRule="auto"/>
              <w:ind w:firstLine="480" w:firstLineChars="200"/>
              <w:rPr>
                <w:sz w:val="24"/>
              </w:rPr>
            </w:pPr>
            <w:r>
              <w:rPr>
                <w:rStyle w:val="76"/>
                <w:rFonts w:ascii="Times New Roman" w:hAnsi="Times New Roman"/>
                <w:bCs/>
              </w:rPr>
              <w:t>若因</w:t>
            </w:r>
            <w:r>
              <w:rPr>
                <w:sz w:val="24"/>
              </w:rPr>
              <w:t>管理不当或设备损坏导致变压器油</w:t>
            </w:r>
            <w:r>
              <w:rPr>
                <w:rFonts w:hint="eastAsia"/>
                <w:sz w:val="24"/>
              </w:rPr>
              <w:t>、废蓄电池</w:t>
            </w:r>
            <w:r>
              <w:rPr>
                <w:sz w:val="24"/>
              </w:rPr>
              <w:t>发生泄漏，在雨天时可能随地表径流一起进入地表水，对地表水造成污染。由于项目变压器下方设有</w:t>
            </w:r>
            <w:r>
              <w:rPr>
                <w:rFonts w:hint="eastAsia"/>
                <w:sz w:val="24"/>
              </w:rPr>
              <w:t>事故油池</w:t>
            </w:r>
            <w:r>
              <w:rPr>
                <w:sz w:val="24"/>
              </w:rPr>
              <w:t>，若变压器发生泄漏后，事故变压油将全部进入事故油池，事故油池已按要求采取了防渗措施，经事故油池收集的变压油最终交有资质的单位处理。危废库预制舱设置有围堰，</w:t>
            </w:r>
            <w:r>
              <w:rPr>
                <w:rStyle w:val="76"/>
                <w:rFonts w:ascii="Times New Roman" w:hAnsi="Times New Roman"/>
                <w:bCs/>
              </w:rPr>
              <w:t>若确实发生了</w:t>
            </w:r>
            <w:r>
              <w:rPr>
                <w:sz w:val="24"/>
              </w:rPr>
              <w:t>泄漏事故，及时切断泄漏源，封闭现场，采用</w:t>
            </w:r>
            <w:r>
              <w:rPr>
                <w:rStyle w:val="76"/>
                <w:rFonts w:ascii="Times New Roman" w:hAnsi="Times New Roman"/>
                <w:bCs/>
              </w:rPr>
              <w:t>合适的材料收容泄漏物</w:t>
            </w:r>
            <w:r>
              <w:rPr>
                <w:sz w:val="24"/>
              </w:rPr>
              <w:t>。</w:t>
            </w:r>
            <w:r>
              <w:rPr>
                <w:rStyle w:val="76"/>
                <w:rFonts w:ascii="Times New Roman" w:hAnsi="Times New Roman"/>
                <w:bCs/>
              </w:rPr>
              <w:t>通过及时采取应急措施处理后，</w:t>
            </w:r>
            <w:r>
              <w:rPr>
                <w:sz w:val="24"/>
              </w:rPr>
              <w:t>变压器油、废</w:t>
            </w:r>
            <w:r>
              <w:rPr>
                <w:rFonts w:hint="eastAsia"/>
                <w:sz w:val="24"/>
              </w:rPr>
              <w:t>蓄电池电解液</w:t>
            </w:r>
            <w:r>
              <w:rPr>
                <w:sz w:val="24"/>
              </w:rPr>
              <w:t>不会随地表径流一起进入地表水，</w:t>
            </w:r>
            <w:r>
              <w:rPr>
                <w:rStyle w:val="76"/>
                <w:rFonts w:ascii="Times New Roman" w:hAnsi="Times New Roman"/>
                <w:bCs/>
              </w:rPr>
              <w:t>对地表水影响不大，</w:t>
            </w:r>
            <w:r>
              <w:rPr>
                <w:sz w:val="24"/>
              </w:rPr>
              <w:t>地表水环境风险可控</w:t>
            </w:r>
            <w:r>
              <w:rPr>
                <w:rStyle w:val="76"/>
                <w:rFonts w:ascii="Times New Roman" w:hAnsi="Times New Roman"/>
                <w:bCs/>
              </w:rPr>
              <w:t>。</w:t>
            </w:r>
          </w:p>
          <w:p>
            <w:pPr>
              <w:spacing w:line="360" w:lineRule="auto"/>
              <w:ind w:firstLine="480" w:firstLineChars="200"/>
              <w:rPr>
                <w:rStyle w:val="76"/>
                <w:rFonts w:ascii="Times New Roman" w:hAnsi="Times New Roman"/>
                <w:bCs/>
              </w:rPr>
            </w:pPr>
            <w:r>
              <w:rPr>
                <w:rFonts w:hint="eastAsia" w:ascii="宋体" w:hAnsi="宋体" w:cs="宋体"/>
                <w:bCs/>
                <w:sz w:val="24"/>
              </w:rPr>
              <w:t>③</w:t>
            </w:r>
            <w:r>
              <w:rPr>
                <w:bCs/>
                <w:sz w:val="24"/>
              </w:rPr>
              <w:t>地下水、土壤环境风险分析</w:t>
            </w:r>
          </w:p>
          <w:p>
            <w:pPr>
              <w:spacing w:line="360" w:lineRule="auto"/>
              <w:ind w:firstLine="480" w:firstLineChars="200"/>
              <w:rPr>
                <w:sz w:val="24"/>
              </w:rPr>
            </w:pPr>
            <w:r>
              <w:rPr>
                <w:sz w:val="24"/>
              </w:rPr>
              <w:t>若事故油池及危废库预制舱设置的防渗层破裂或失效，变压器油、废</w:t>
            </w:r>
            <w:r>
              <w:rPr>
                <w:rFonts w:hint="eastAsia"/>
                <w:sz w:val="24"/>
              </w:rPr>
              <w:t>蓄电池电解液</w:t>
            </w:r>
            <w:r>
              <w:rPr>
                <w:sz w:val="24"/>
              </w:rPr>
              <w:t>下渗后可能对地下水及土壤造成污染，导致泄漏主要原因为：防渗材料不良或施工不当引起防渗层失效；基础不均匀沉降引起的地面破裂；人为破坏引起防渗层失效。项目在基建期根据环评要求及</w:t>
            </w:r>
            <w:r>
              <w:rPr>
                <w:rStyle w:val="76"/>
                <w:rFonts w:ascii="Times New Roman" w:hAnsi="Times New Roman"/>
              </w:rPr>
              <w:t>设计规范的要求</w:t>
            </w:r>
            <w:r>
              <w:rPr>
                <w:sz w:val="24"/>
              </w:rPr>
              <w:t>严格做好分区防渗工程，且提高工程质量，运营期加强监管的基础上，则地下水环境风险可控。</w:t>
            </w:r>
          </w:p>
          <w:p>
            <w:pPr>
              <w:spacing w:line="360" w:lineRule="auto"/>
              <w:ind w:firstLine="480" w:firstLineChars="200"/>
              <w:rPr>
                <w:rStyle w:val="76"/>
                <w:rFonts w:ascii="Times New Roman" w:hAnsi="Times New Roman"/>
                <w:bCs/>
              </w:rPr>
            </w:pPr>
            <w:r>
              <w:rPr>
                <w:rStyle w:val="76"/>
                <w:rFonts w:ascii="Times New Roman" w:hAnsi="Times New Roman"/>
                <w:bCs/>
              </w:rPr>
              <w:t>6）环境风险防范措施及应急要求</w:t>
            </w:r>
          </w:p>
          <w:p>
            <w:pPr>
              <w:spacing w:line="360" w:lineRule="auto"/>
              <w:ind w:firstLine="480" w:firstLineChars="200"/>
              <w:rPr>
                <w:rStyle w:val="76"/>
                <w:rFonts w:ascii="Times New Roman" w:hAnsi="Times New Roman"/>
              </w:rPr>
            </w:pPr>
            <w:r>
              <w:rPr>
                <w:rStyle w:val="76"/>
                <w:rFonts w:hint="eastAsia" w:cs="宋体"/>
              </w:rPr>
              <w:t>①</w:t>
            </w:r>
            <w:r>
              <w:rPr>
                <w:rStyle w:val="76"/>
                <w:rFonts w:ascii="Times New Roman" w:hAnsi="Times New Roman"/>
              </w:rPr>
              <w:t>环境风险防范措施</w:t>
            </w:r>
          </w:p>
          <w:p>
            <w:pPr>
              <w:spacing w:line="360" w:lineRule="auto"/>
              <w:ind w:firstLine="480" w:firstLineChars="200"/>
              <w:rPr>
                <w:sz w:val="24"/>
              </w:rPr>
            </w:pPr>
            <w:r>
              <w:rPr>
                <w:sz w:val="24"/>
              </w:rPr>
              <w:t>A.每台35kV箱式变下方设置事故油池（共6个），单个容积为4m</w:t>
            </w:r>
            <w:r>
              <w:rPr>
                <w:sz w:val="24"/>
                <w:vertAlign w:val="superscript"/>
              </w:rPr>
              <w:t>3</w:t>
            </w:r>
            <w:r>
              <w:rPr>
                <w:sz w:val="24"/>
              </w:rPr>
              <w:t>。</w:t>
            </w:r>
          </w:p>
          <w:p>
            <w:pPr>
              <w:spacing w:line="360" w:lineRule="auto"/>
              <w:ind w:firstLine="480" w:firstLineChars="200"/>
              <w:rPr>
                <w:sz w:val="24"/>
              </w:rPr>
            </w:pPr>
            <w:r>
              <w:rPr>
                <w:color w:val="000000" w:themeColor="text1"/>
                <w:sz w:val="24"/>
                <w14:textFill>
                  <w14:solidFill>
                    <w14:schemeClr w14:val="tx1"/>
                  </w14:solidFill>
                </w14:textFill>
              </w:rPr>
              <w:t>B.严格做好分</w:t>
            </w:r>
            <w:r>
              <w:rPr>
                <w:sz w:val="24"/>
              </w:rPr>
              <w:t>区防渗工程，事故油池应当按照《危险废物贮存污染控制标准》（GB18597-2023）要求建设，进行基础防渗处理，防渗层为至少1m厚黏土层（渗透系数不大于10</w:t>
            </w:r>
            <w:r>
              <w:rPr>
                <w:sz w:val="24"/>
                <w:vertAlign w:val="superscript"/>
              </w:rPr>
              <w:t>-7</w:t>
            </w:r>
            <w:r>
              <w:rPr>
                <w:sz w:val="24"/>
              </w:rPr>
              <w:t>cm/s），或至少2mm厚高密度聚乙烯膜等人工防渗材料（渗透系数不大于10</w:t>
            </w:r>
            <w:r>
              <w:rPr>
                <w:sz w:val="24"/>
                <w:vertAlign w:val="superscript"/>
              </w:rPr>
              <w:t>-10</w:t>
            </w:r>
            <w:r>
              <w:rPr>
                <w:sz w:val="24"/>
              </w:rPr>
              <w:t>cm/s），或其他防渗性能等效的材料。施工期加强工程监理和环境监理，提高防渗工程质量，做好照片、录像以及相关文字说明等存档资料。</w:t>
            </w:r>
          </w:p>
          <w:p>
            <w:pPr>
              <w:spacing w:line="360" w:lineRule="auto"/>
              <w:ind w:firstLine="480" w:firstLineChars="200"/>
              <w:rPr>
                <w:sz w:val="24"/>
                <w:lang w:val="zh-CN"/>
              </w:rPr>
            </w:pPr>
            <w:r>
              <w:rPr>
                <w:sz w:val="24"/>
              </w:rPr>
              <w:t>C.</w:t>
            </w:r>
            <w:r>
              <w:rPr>
                <w:sz w:val="24"/>
                <w:lang w:val="zh-CN"/>
              </w:rPr>
              <w:t>运营期定期检查</w:t>
            </w:r>
            <w:r>
              <w:rPr>
                <w:sz w:val="24"/>
              </w:rPr>
              <w:t>各储存设施</w:t>
            </w:r>
            <w:r>
              <w:rPr>
                <w:sz w:val="24"/>
                <w:lang w:val="zh-CN"/>
              </w:rPr>
              <w:t>，避免出现泄漏等不良情况。</w:t>
            </w:r>
          </w:p>
          <w:p>
            <w:pPr>
              <w:spacing w:line="360" w:lineRule="auto"/>
              <w:ind w:firstLine="480" w:firstLineChars="200"/>
              <w:rPr>
                <w:sz w:val="24"/>
              </w:rPr>
            </w:pPr>
            <w:r>
              <w:rPr>
                <w:sz w:val="24"/>
              </w:rPr>
              <w:t>D.危险废物的贮存严格按照《危险废物贮存污染控制标准》（GB18597-2023）和《危险废物收集、贮存、运输技术规范》（HJ2025-2012）的相关要求执行。</w:t>
            </w:r>
          </w:p>
          <w:p>
            <w:pPr>
              <w:spacing w:line="360" w:lineRule="auto"/>
              <w:ind w:firstLine="480" w:firstLineChars="200"/>
              <w:rPr>
                <w:bCs/>
                <w:sz w:val="24"/>
              </w:rPr>
            </w:pPr>
            <w:r>
              <w:rPr>
                <w:sz w:val="24"/>
              </w:rPr>
              <w:t>E.加强对操作人员的岗位培训，建立健全的环保管理机制和各项环保规章制度，落实岗位环保责任制，加强环境风险防范工作，防止事故排放导致环境问题。</w:t>
            </w:r>
          </w:p>
          <w:p>
            <w:pPr>
              <w:spacing w:line="360" w:lineRule="auto"/>
              <w:ind w:firstLine="480" w:firstLineChars="200"/>
              <w:rPr>
                <w:bCs/>
                <w:sz w:val="24"/>
              </w:rPr>
            </w:pPr>
            <w:bookmarkStart w:id="57" w:name="_Toc129880762"/>
            <w:bookmarkStart w:id="58" w:name="_Toc129854118"/>
            <w:r>
              <w:rPr>
                <w:rFonts w:hint="eastAsia" w:ascii="宋体" w:hAnsi="宋体" w:cs="宋体"/>
                <w:bCs/>
                <w:sz w:val="24"/>
              </w:rPr>
              <w:t>②</w:t>
            </w:r>
            <w:r>
              <w:rPr>
                <w:bCs/>
                <w:sz w:val="24"/>
              </w:rPr>
              <w:t>突发环境风险事件应急预案</w:t>
            </w:r>
            <w:bookmarkEnd w:id="57"/>
            <w:bookmarkEnd w:id="58"/>
          </w:p>
          <w:p>
            <w:pPr>
              <w:spacing w:line="360" w:lineRule="auto"/>
              <w:ind w:firstLine="480" w:firstLineChars="200"/>
              <w:rPr>
                <w:sz w:val="24"/>
              </w:rPr>
            </w:pPr>
            <w:r>
              <w:rPr>
                <w:color w:val="000000" w:themeColor="text1"/>
                <w:sz w:val="24"/>
                <w14:textFill>
                  <w14:solidFill>
                    <w14:schemeClr w14:val="tx1"/>
                  </w14:solidFill>
                </w14:textFill>
              </w:rPr>
              <w:t>针对本项目可能发生的突发事故，为了将风险事故率降低到最小，建设单位应编制突发环境事件应急预案并报生态环境局备案。建设单位应严格按照《企业突发环境事件风险分级方法》（HJ941-2018）、《企业突发环境事件应急预案编制指南》和《企业突发环境事件风险评估指南（试行）》开展应急预案的编制工作，包括环境风险评估报告、环境应急资源调查报告和突发环境事件应急预案三个报告</w:t>
            </w:r>
            <w:r>
              <w:rPr>
                <w:sz w:val="24"/>
              </w:rPr>
              <w:t>。</w:t>
            </w:r>
          </w:p>
          <w:p>
            <w:pPr>
              <w:spacing w:line="360" w:lineRule="auto"/>
              <w:ind w:firstLine="480" w:firstLineChars="200"/>
              <w:rPr>
                <w:rStyle w:val="76"/>
                <w:rFonts w:ascii="Times New Roman" w:hAnsi="Times New Roman"/>
                <w:b/>
                <w:bCs/>
              </w:rPr>
            </w:pPr>
            <w:bookmarkStart w:id="59" w:name="_Toc129854119"/>
            <w:bookmarkStart w:id="60" w:name="_Toc129880763"/>
            <w:r>
              <w:rPr>
                <w:rStyle w:val="76"/>
                <w:rFonts w:ascii="Times New Roman" w:hAnsi="Times New Roman"/>
              </w:rPr>
              <w:t>7）环境风险分析结论</w:t>
            </w:r>
            <w:bookmarkEnd w:id="59"/>
            <w:bookmarkEnd w:id="60"/>
          </w:p>
          <w:p>
            <w:pPr>
              <w:spacing w:line="360" w:lineRule="auto"/>
              <w:ind w:firstLine="480" w:firstLineChars="200"/>
              <w:rPr>
                <w:rStyle w:val="77"/>
                <w:bCs/>
                <w:sz w:val="24"/>
              </w:rPr>
            </w:pPr>
            <w:r>
              <w:rPr>
                <w:rStyle w:val="77"/>
                <w:bCs/>
                <w:sz w:val="24"/>
              </w:rPr>
              <w:t>项目环境风险主要为油品的泄漏和燃烧爆炸产生的次生污染物对环境的影响，只要建设单位按照本报告提出的环境管理措施实施，项目环境风险影响范围较小，环境风险可接受。</w:t>
            </w:r>
          </w:p>
          <w:p>
            <w:pPr>
              <w:spacing w:line="360" w:lineRule="auto"/>
              <w:ind w:firstLine="482" w:firstLineChars="200"/>
              <w:rPr>
                <w:b/>
                <w:bCs/>
                <w:color w:val="000000"/>
                <w:sz w:val="24"/>
              </w:rPr>
            </w:pPr>
            <w:r>
              <w:rPr>
                <w:b/>
                <w:bCs/>
                <w:color w:val="000000"/>
                <w:sz w:val="24"/>
              </w:rPr>
              <w:t>（7）退役期环境影响分析</w:t>
            </w:r>
          </w:p>
          <w:p>
            <w:pPr>
              <w:spacing w:line="360" w:lineRule="auto"/>
              <w:ind w:firstLine="480" w:firstLineChars="200"/>
              <w:rPr>
                <w:sz w:val="24"/>
              </w:rPr>
            </w:pPr>
            <w:r>
              <w:rPr>
                <w:color w:val="000000"/>
                <w:sz w:val="24"/>
              </w:rPr>
              <w:t>退役后，对建构物进行拆除，光伏区电池组件、支架、变压器、电缆电线等由供货厂家回收处理；拆除的砖、废钢筋等材料出售给回收站；不能回收的建筑垃圾运至当地政府指定建筑垃圾填埋场进行处理；对拆除的空地进行覆土绿化，恢复植被。采取上述措施，退役后生态环境得到恢复，对生态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680" w:type="dxa"/>
            <w:vAlign w:val="center"/>
          </w:tcPr>
          <w:p>
            <w:pPr>
              <w:pStyle w:val="38"/>
              <w:adjustRightInd w:val="0"/>
              <w:spacing w:before="0" w:beforeAutospacing="0" w:after="0" w:afterAutospacing="0"/>
              <w:jc w:val="center"/>
              <w:rPr>
                <w:rFonts w:cs="宋体"/>
                <w:bCs/>
                <w:sz w:val="21"/>
                <w:szCs w:val="21"/>
              </w:rPr>
            </w:pPr>
            <w:r>
              <w:rPr>
                <w:rFonts w:hint="eastAsia" w:cs="宋体"/>
                <w:bCs/>
                <w:sz w:val="21"/>
                <w:szCs w:val="21"/>
              </w:rPr>
              <w:t>选址选线环境合理性分析</w:t>
            </w:r>
          </w:p>
        </w:tc>
        <w:tc>
          <w:tcPr>
            <w:tcW w:w="8391" w:type="dxa"/>
          </w:tcPr>
          <w:p>
            <w:pPr>
              <w:pStyle w:val="82"/>
              <w:adjustRightInd w:val="0"/>
              <w:ind w:firstLine="0" w:firstLineChars="0"/>
              <w:rPr>
                <w:rFonts w:ascii="Times New Roman" w:hAnsi="Times New Roman" w:eastAsia="宋体" w:cs="Times New Roman"/>
                <w:b/>
                <w:bCs/>
                <w:szCs w:val="24"/>
              </w:rPr>
            </w:pPr>
            <w:r>
              <w:rPr>
                <w:rFonts w:ascii="Times New Roman" w:hAnsi="Times New Roman" w:eastAsia="宋体" w:cs="Times New Roman"/>
                <w:b/>
                <w:bCs/>
                <w:szCs w:val="24"/>
              </w:rPr>
              <w:t>1、工程选址合理性分析</w:t>
            </w:r>
          </w:p>
          <w:p>
            <w:pPr>
              <w:pStyle w:val="82"/>
              <w:adjustRightInd w:val="0"/>
              <w:jc w:val="both"/>
              <w:rPr>
                <w:rFonts w:ascii="Times New Roman" w:hAnsi="Times New Roman" w:eastAsia="宋体" w:cs="Times New Roman"/>
                <w:szCs w:val="24"/>
              </w:rPr>
            </w:pPr>
            <w:r>
              <w:rPr>
                <w:rFonts w:ascii="Times New Roman" w:hAnsi="Times New Roman" w:eastAsia="宋体" w:cs="Times New Roman"/>
                <w:szCs w:val="24"/>
              </w:rPr>
              <w:t>项目已经取得了</w:t>
            </w:r>
            <w:r>
              <w:rPr>
                <w:rFonts w:hint="eastAsia" w:ascii="Times New Roman" w:hAnsi="Times New Roman" w:eastAsia="宋体" w:cs="Times New Roman"/>
                <w:szCs w:val="24"/>
              </w:rPr>
              <w:t>寻甸</w:t>
            </w:r>
            <w:r>
              <w:rPr>
                <w:rFonts w:ascii="Times New Roman" w:hAnsi="Times New Roman" w:eastAsia="宋体" w:cs="Times New Roman"/>
                <w:szCs w:val="24"/>
              </w:rPr>
              <w:t>县发展和改革局备案证，</w:t>
            </w:r>
            <w:r>
              <w:rPr>
                <w:rFonts w:hint="eastAsia" w:ascii="Times New Roman" w:hAnsi="Times New Roman" w:eastAsia="宋体" w:cs="Times New Roman"/>
                <w:szCs w:val="24"/>
              </w:rPr>
              <w:t>寻甸</w:t>
            </w:r>
            <w:r>
              <w:rPr>
                <w:rFonts w:ascii="Times New Roman" w:hAnsi="Times New Roman" w:eastAsia="宋体" w:cs="Times New Roman"/>
                <w:szCs w:val="24"/>
              </w:rPr>
              <w:t>县自然资源局</w:t>
            </w:r>
            <w:r>
              <w:rPr>
                <w:rFonts w:hint="eastAsia" w:ascii="Times New Roman" w:hAnsi="Times New Roman" w:eastAsia="宋体" w:cs="Times New Roman"/>
                <w:szCs w:val="24"/>
              </w:rPr>
              <w:t>同意项目选址</w:t>
            </w:r>
            <w:r>
              <w:rPr>
                <w:rFonts w:ascii="Times New Roman" w:hAnsi="Times New Roman" w:eastAsia="宋体" w:cs="Times New Roman"/>
                <w:szCs w:val="24"/>
              </w:rPr>
              <w:t>的意见，</w:t>
            </w:r>
            <w:r>
              <w:rPr>
                <w:rFonts w:hint="eastAsia" w:ascii="Times New Roman" w:hAnsi="Times New Roman" w:eastAsia="宋体" w:cs="Times New Roman"/>
                <w:szCs w:val="24"/>
              </w:rPr>
              <w:t>寻甸</w:t>
            </w:r>
            <w:r>
              <w:rPr>
                <w:rFonts w:ascii="Times New Roman" w:hAnsi="Times New Roman" w:eastAsia="宋体" w:cs="Times New Roman"/>
                <w:szCs w:val="24"/>
              </w:rPr>
              <w:t>县林业和草原局、</w:t>
            </w:r>
            <w:r>
              <w:rPr>
                <w:rFonts w:hint="eastAsia" w:ascii="Times New Roman" w:hAnsi="Times New Roman" w:eastAsia="宋体" w:cs="Times New Roman"/>
                <w:szCs w:val="24"/>
              </w:rPr>
              <w:t>寻甸</w:t>
            </w:r>
            <w:r>
              <w:rPr>
                <w:rFonts w:ascii="Times New Roman" w:hAnsi="Times New Roman" w:eastAsia="宋体" w:cs="Times New Roman"/>
                <w:szCs w:val="24"/>
              </w:rPr>
              <w:t>县水务局关于本项目的选址意见。各局意见见附件。</w:t>
            </w:r>
          </w:p>
          <w:p>
            <w:pPr>
              <w:pStyle w:val="82"/>
              <w:adjustRightInd w:val="0"/>
              <w:jc w:val="both"/>
              <w:rPr>
                <w:rFonts w:ascii="Times New Roman" w:hAnsi="Times New Roman" w:eastAsia="宋体" w:cs="Times New Roman"/>
                <w:szCs w:val="24"/>
              </w:rPr>
            </w:pPr>
            <w:r>
              <w:rPr>
                <w:rFonts w:ascii="Times New Roman" w:hAnsi="Times New Roman" w:eastAsia="宋体" w:cs="Times New Roman"/>
                <w:szCs w:val="24"/>
              </w:rPr>
              <w:t>项目选址充分考虑了国家和云南省相关用地政策、规划、环保要求，项目选址避让了公益林、基本农田、天然林、乔木林地、有林地、疏林地、未成林造林地、采伐迹地、火烧迹地、覆盖度高于50%的灌木林地，</w:t>
            </w:r>
            <w:r>
              <w:rPr>
                <w:rFonts w:hint="eastAsia" w:ascii="Times New Roman" w:hAnsi="Times New Roman" w:eastAsia="宋体" w:cs="Times New Roman"/>
                <w:szCs w:val="24"/>
              </w:rPr>
              <w:t>不涉及</w:t>
            </w:r>
            <w:r>
              <w:rPr>
                <w:rFonts w:ascii="Times New Roman" w:hAnsi="Times New Roman" w:eastAsia="宋体" w:cs="Times New Roman"/>
                <w:szCs w:val="24"/>
              </w:rPr>
              <w:t>自然保护区、水源保护区、生态保护红线、风景名胜区等环境敏感区，使用的土地类型为其他</w:t>
            </w:r>
            <w:r>
              <w:rPr>
                <w:rFonts w:hint="eastAsia" w:ascii="Times New Roman" w:hAnsi="Times New Roman" w:eastAsia="宋体" w:cs="Times New Roman"/>
                <w:szCs w:val="24"/>
              </w:rPr>
              <w:t>林</w:t>
            </w:r>
            <w:r>
              <w:rPr>
                <w:rFonts w:ascii="Times New Roman" w:hAnsi="Times New Roman" w:eastAsia="宋体" w:cs="Times New Roman"/>
                <w:szCs w:val="24"/>
              </w:rPr>
              <w:t>地、</w:t>
            </w:r>
            <w:r>
              <w:rPr>
                <w:rFonts w:hint="eastAsia" w:ascii="Times New Roman" w:hAnsi="Times New Roman" w:eastAsia="宋体" w:cs="Times New Roman"/>
                <w:szCs w:val="24"/>
              </w:rPr>
              <w:t>裸土</w:t>
            </w:r>
            <w:r>
              <w:rPr>
                <w:rFonts w:ascii="Times New Roman" w:hAnsi="Times New Roman" w:eastAsia="宋体" w:cs="Times New Roman"/>
                <w:szCs w:val="24"/>
              </w:rPr>
              <w:t>地，为可供土地。项目占地区域无珍稀濒危动植物，用地区植被覆盖率较低，大多为</w:t>
            </w:r>
            <w:r>
              <w:rPr>
                <w:rFonts w:hint="eastAsia" w:ascii="Times New Roman" w:hAnsi="Times New Roman" w:eastAsia="宋体" w:cs="Times New Roman"/>
                <w:szCs w:val="24"/>
              </w:rPr>
              <w:t>荒草坡及裸土</w:t>
            </w:r>
            <w:r>
              <w:rPr>
                <w:rFonts w:ascii="Times New Roman" w:hAnsi="Times New Roman" w:eastAsia="宋体" w:cs="Times New Roman"/>
                <w:szCs w:val="24"/>
              </w:rPr>
              <w:t>地，为劣质地，生态环境不敏感。项目建设产生的污染物很少，均得到有效管控，对周围环境影响小。</w:t>
            </w:r>
          </w:p>
          <w:p>
            <w:pPr>
              <w:pStyle w:val="82"/>
              <w:adjustRightInd w:val="0"/>
              <w:jc w:val="both"/>
              <w:rPr>
                <w:rFonts w:ascii="Times New Roman" w:hAnsi="Times New Roman" w:eastAsia="宋体" w:cs="Times New Roman"/>
                <w:szCs w:val="24"/>
              </w:rPr>
            </w:pPr>
            <w:r>
              <w:rPr>
                <w:rFonts w:ascii="Times New Roman" w:hAnsi="Times New Roman" w:eastAsia="宋体" w:cs="Times New Roman"/>
                <w:szCs w:val="24"/>
              </w:rPr>
              <w:t>项目建设符合国家能源产业发展战略，符合我省新能源发展政策，能促进当地经济发展，有利于节能减排，是落实国家实施碳达峰、碳中和目标的具体工程。因此项目建设选址合理。</w:t>
            </w:r>
          </w:p>
          <w:p>
            <w:pPr>
              <w:adjustRightInd w:val="0"/>
              <w:spacing w:line="360" w:lineRule="auto"/>
              <w:rPr>
                <w:b/>
                <w:bCs/>
                <w:sz w:val="24"/>
              </w:rPr>
            </w:pPr>
            <w:r>
              <w:rPr>
                <w:b/>
                <w:bCs/>
                <w:sz w:val="24"/>
              </w:rPr>
              <w:t>2</w:t>
            </w:r>
            <w:r>
              <w:rPr>
                <w:rFonts w:hint="eastAsia"/>
                <w:b/>
                <w:bCs/>
                <w:sz w:val="24"/>
              </w:rPr>
              <w:t>、施工“三场”选址合理性分析</w:t>
            </w:r>
          </w:p>
          <w:p>
            <w:pPr>
              <w:adjustRightInd w:val="0"/>
              <w:spacing w:line="360" w:lineRule="auto"/>
              <w:ind w:firstLine="480" w:firstLineChars="200"/>
              <w:rPr>
                <w:sz w:val="24"/>
              </w:rPr>
            </w:pPr>
            <w:r>
              <w:rPr>
                <w:rFonts w:hint="eastAsia"/>
                <w:sz w:val="24"/>
              </w:rPr>
              <w:t>根据施工需要，本工程设置临时施工场地、表土堆场。</w:t>
            </w:r>
          </w:p>
          <w:p>
            <w:pPr>
              <w:adjustRightInd w:val="0"/>
              <w:spacing w:line="360" w:lineRule="auto"/>
              <w:ind w:firstLine="482" w:firstLineChars="200"/>
              <w:rPr>
                <w:b/>
                <w:bCs/>
                <w:sz w:val="24"/>
              </w:rPr>
            </w:pPr>
            <w:r>
              <w:rPr>
                <w:rFonts w:hint="eastAsia"/>
                <w:b/>
                <w:bCs/>
                <w:sz w:val="24"/>
              </w:rPr>
              <w:t>（</w:t>
            </w:r>
            <w:r>
              <w:rPr>
                <w:b/>
                <w:bCs/>
                <w:sz w:val="24"/>
              </w:rPr>
              <w:t>1</w:t>
            </w:r>
            <w:r>
              <w:rPr>
                <w:rFonts w:hint="eastAsia"/>
                <w:b/>
                <w:bCs/>
                <w:sz w:val="24"/>
              </w:rPr>
              <w:t>）选址情况</w:t>
            </w:r>
          </w:p>
          <w:p>
            <w:pPr>
              <w:adjustRightInd w:val="0"/>
              <w:spacing w:line="360" w:lineRule="auto"/>
              <w:ind w:firstLine="480" w:firstLineChars="200"/>
              <w:rPr>
                <w:sz w:val="24"/>
              </w:rPr>
            </w:pPr>
            <w:r>
              <w:rPr>
                <w:rFonts w:hint="eastAsia"/>
                <w:sz w:val="24"/>
              </w:rPr>
              <w:t>1）临时施工场地：本工程临时施工场地有现场办公区1个，布置在南部地块；材料加工场2个，南、北地块各一个；材料仓库2个，南、北地块各一个。用于施工材料堆放、加工及人员办公，占地面积共3</w:t>
            </w:r>
            <w:r>
              <w:rPr>
                <w:sz w:val="24"/>
              </w:rPr>
              <w:t>200</w:t>
            </w:r>
            <w:r>
              <w:rPr>
                <w:rFonts w:hint="eastAsia"/>
                <w:sz w:val="24"/>
              </w:rPr>
              <w:t>m</w:t>
            </w:r>
            <w:r>
              <w:rPr>
                <w:sz w:val="24"/>
                <w:vertAlign w:val="superscript"/>
              </w:rPr>
              <w:t>2</w:t>
            </w:r>
            <w:r>
              <w:rPr>
                <w:rFonts w:hint="eastAsia"/>
                <w:sz w:val="24"/>
              </w:rPr>
              <w:t>。均设置在光伏电站征地范围内，地势平坦植被稀少的区域。</w:t>
            </w:r>
          </w:p>
          <w:p>
            <w:pPr>
              <w:adjustRightInd w:val="0"/>
              <w:spacing w:line="360" w:lineRule="auto"/>
              <w:ind w:firstLine="480" w:firstLineChars="200"/>
              <w:rPr>
                <w:sz w:val="24"/>
              </w:rPr>
            </w:pPr>
            <w:r>
              <w:rPr>
                <w:rFonts w:hint="eastAsia"/>
                <w:sz w:val="24"/>
              </w:rPr>
              <w:t>2）表土堆场：对场区道路、临时施工场地、开关站占用到土地进行表土剥离。根据水保方案，</w:t>
            </w:r>
            <w:r>
              <w:rPr>
                <w:sz w:val="24"/>
              </w:rPr>
              <w:t>共规划3</w:t>
            </w:r>
            <w:r>
              <w:rPr>
                <w:rFonts w:hint="eastAsia"/>
                <w:sz w:val="24"/>
              </w:rPr>
              <w:t>个临时表土堆场</w:t>
            </w:r>
            <w:r>
              <w:rPr>
                <w:sz w:val="24"/>
              </w:rPr>
              <w:t>，</w:t>
            </w:r>
            <w:r>
              <w:rPr>
                <w:rFonts w:hint="eastAsia"/>
                <w:sz w:val="24"/>
              </w:rPr>
              <w:t>开关站区域1个，南、北地块各1个，表土</w:t>
            </w:r>
            <w:r>
              <w:rPr>
                <w:sz w:val="24"/>
              </w:rPr>
              <w:t>堆场总占地6000m</w:t>
            </w:r>
            <w:r>
              <w:rPr>
                <w:sz w:val="24"/>
                <w:vertAlign w:val="superscript"/>
              </w:rPr>
              <w:t>2</w:t>
            </w:r>
            <w:r>
              <w:rPr>
                <w:rFonts w:hint="eastAsia"/>
                <w:sz w:val="24"/>
              </w:rPr>
              <w:t>，最大</w:t>
            </w:r>
            <w:r>
              <w:rPr>
                <w:sz w:val="24"/>
              </w:rPr>
              <w:t>堆放表土</w:t>
            </w:r>
            <w:r>
              <w:rPr>
                <w:rFonts w:hint="eastAsia"/>
                <w:sz w:val="24"/>
              </w:rPr>
              <w:t>高度</w:t>
            </w:r>
            <w:r>
              <w:rPr>
                <w:sz w:val="24"/>
              </w:rPr>
              <w:t>3m</w:t>
            </w:r>
            <w:r>
              <w:rPr>
                <w:rFonts w:hint="eastAsia"/>
                <w:sz w:val="24"/>
              </w:rPr>
              <w:t>，可堆存</w:t>
            </w:r>
            <w:r>
              <w:rPr>
                <w:sz w:val="24"/>
              </w:rPr>
              <w:t>表土容量1.3万m</w:t>
            </w:r>
            <w:r>
              <w:rPr>
                <w:sz w:val="24"/>
                <w:vertAlign w:val="superscript"/>
              </w:rPr>
              <w:t>3</w:t>
            </w:r>
            <w:r>
              <w:rPr>
                <w:rFonts w:hint="eastAsia"/>
                <w:sz w:val="24"/>
              </w:rPr>
              <w:t>（松方），</w:t>
            </w:r>
            <w:r>
              <w:rPr>
                <w:sz w:val="24"/>
              </w:rPr>
              <w:t>实际</w:t>
            </w:r>
            <w:r>
              <w:rPr>
                <w:rFonts w:hint="eastAsia"/>
                <w:sz w:val="24"/>
              </w:rPr>
              <w:t>堆存</w:t>
            </w:r>
            <w:r>
              <w:rPr>
                <w:sz w:val="24"/>
              </w:rPr>
              <w:t>表土量1.23万m</w:t>
            </w:r>
            <w:r>
              <w:rPr>
                <w:sz w:val="24"/>
                <w:vertAlign w:val="superscript"/>
              </w:rPr>
              <w:t>3</w:t>
            </w:r>
            <w:r>
              <w:rPr>
                <w:rFonts w:hint="eastAsia"/>
                <w:sz w:val="24"/>
              </w:rPr>
              <w:t>（松方）。均利用光伏方阵区面积，选择荒草地或裸露地表处，主动避让林木，不影响主体工程施工，且紧邻场内道路一侧，不产生二次搬运。</w:t>
            </w:r>
          </w:p>
          <w:p>
            <w:pPr>
              <w:adjustRightInd w:val="0"/>
              <w:spacing w:line="360" w:lineRule="auto"/>
              <w:ind w:firstLine="482" w:firstLineChars="200"/>
              <w:rPr>
                <w:b/>
                <w:bCs/>
                <w:sz w:val="24"/>
              </w:rPr>
            </w:pPr>
            <w:r>
              <w:rPr>
                <w:rFonts w:hint="eastAsia"/>
                <w:b/>
                <w:bCs/>
                <w:sz w:val="24"/>
              </w:rPr>
              <w:t>（</w:t>
            </w:r>
            <w:r>
              <w:rPr>
                <w:b/>
                <w:bCs/>
                <w:sz w:val="24"/>
              </w:rPr>
              <w:t>2</w:t>
            </w:r>
            <w:r>
              <w:rPr>
                <w:rFonts w:hint="eastAsia"/>
                <w:b/>
                <w:bCs/>
                <w:sz w:val="24"/>
              </w:rPr>
              <w:t>）环境影响分析</w:t>
            </w:r>
          </w:p>
          <w:p>
            <w:pPr>
              <w:adjustRightInd w:val="0"/>
              <w:spacing w:line="360" w:lineRule="auto"/>
              <w:ind w:firstLine="480" w:firstLineChars="200"/>
              <w:rPr>
                <w:sz w:val="24"/>
              </w:rPr>
            </w:pPr>
            <w:r>
              <w:rPr>
                <w:rFonts w:hint="eastAsia"/>
                <w:sz w:val="24"/>
              </w:rPr>
              <w:t>项目施工期“三场”的设置在一定程度上占用原有土地，对占地进行场地平整，将减少地表附着物，加剧水土流失，表土运输、堆放会产生噪声及扬尘，经采取相应措施后，不会对周边环境造成大的影响。</w:t>
            </w:r>
          </w:p>
          <w:p>
            <w:pPr>
              <w:adjustRightInd w:val="0"/>
              <w:spacing w:line="360" w:lineRule="auto"/>
              <w:ind w:firstLine="482" w:firstLineChars="200"/>
              <w:rPr>
                <w:b/>
                <w:bCs/>
                <w:sz w:val="24"/>
              </w:rPr>
            </w:pPr>
            <w:r>
              <w:rPr>
                <w:rFonts w:hint="eastAsia"/>
                <w:b/>
                <w:bCs/>
                <w:sz w:val="24"/>
              </w:rPr>
              <w:t>（3）拟采取的环保措施</w:t>
            </w:r>
          </w:p>
          <w:p>
            <w:pPr>
              <w:adjustRightInd w:val="0"/>
              <w:spacing w:line="360" w:lineRule="auto"/>
              <w:ind w:firstLine="480" w:firstLineChars="200"/>
              <w:rPr>
                <w:sz w:val="24"/>
              </w:rPr>
            </w:pPr>
            <w:r>
              <w:rPr>
                <w:rFonts w:hint="eastAsia"/>
                <w:sz w:val="24"/>
              </w:rPr>
              <w:t>1）对“三场”占地区域进行定期洒水，减少干燥天气扬尘产生量。</w:t>
            </w:r>
          </w:p>
          <w:p>
            <w:pPr>
              <w:adjustRightInd w:val="0"/>
              <w:spacing w:line="360" w:lineRule="auto"/>
              <w:ind w:firstLine="480" w:firstLineChars="200"/>
              <w:rPr>
                <w:sz w:val="24"/>
              </w:rPr>
            </w:pPr>
            <w:r>
              <w:rPr>
                <w:rFonts w:hint="eastAsia"/>
                <w:sz w:val="24"/>
              </w:rPr>
              <w:t>2）对“三场”区域进行篷布遮挡，减少扬尘产生及水土流失。</w:t>
            </w:r>
          </w:p>
          <w:p>
            <w:pPr>
              <w:adjustRightInd w:val="0"/>
              <w:spacing w:line="360" w:lineRule="auto"/>
              <w:ind w:firstLine="480" w:firstLineChars="200"/>
              <w:rPr>
                <w:sz w:val="24"/>
              </w:rPr>
            </w:pPr>
            <w:r>
              <w:rPr>
                <w:rFonts w:hint="eastAsia"/>
                <w:sz w:val="24"/>
              </w:rPr>
              <w:t>3）表土堆场四周设置临时拦挡及截排水沟，有效预防雨天造成水土流失。</w:t>
            </w:r>
          </w:p>
          <w:p>
            <w:pPr>
              <w:adjustRightInd w:val="0"/>
              <w:spacing w:line="360" w:lineRule="auto"/>
              <w:ind w:firstLine="480" w:firstLineChars="200"/>
              <w:rPr>
                <w:sz w:val="24"/>
              </w:rPr>
            </w:pPr>
            <w:r>
              <w:rPr>
                <w:rFonts w:hint="eastAsia"/>
                <w:sz w:val="24"/>
              </w:rPr>
              <w:t>4）施工结束后，及时拆除施工设施，并进行植草绿化或恢复原有植被，尽量选择当地常见树种进行绿化。</w:t>
            </w:r>
          </w:p>
          <w:p>
            <w:pPr>
              <w:adjustRightInd w:val="0"/>
              <w:spacing w:line="360" w:lineRule="auto"/>
              <w:ind w:firstLine="480" w:firstLineChars="200"/>
              <w:rPr>
                <w:szCs w:val="21"/>
              </w:rPr>
            </w:pPr>
            <w:r>
              <w:rPr>
                <w:rFonts w:hint="eastAsia"/>
                <w:sz w:val="24"/>
              </w:rPr>
              <w:t>项目“三场”在施工期只要严格按照上述要求执行，对环境的影响在可接受范围内，临时施工场地的选址是合理的。</w:t>
            </w:r>
          </w:p>
          <w:p>
            <w:pPr>
              <w:adjustRightInd w:val="0"/>
              <w:ind w:firstLine="420" w:firstLineChars="200"/>
              <w:rPr>
                <w:szCs w:val="21"/>
              </w:rPr>
            </w:pPr>
          </w:p>
          <w:p>
            <w:pPr>
              <w:adjustRightInd w:val="0"/>
              <w:ind w:firstLine="420" w:firstLineChars="200"/>
              <w:rPr>
                <w:szCs w:val="21"/>
              </w:rPr>
            </w:pPr>
          </w:p>
          <w:p>
            <w:pPr>
              <w:adjustRightInd w:val="0"/>
              <w:ind w:firstLine="420" w:firstLineChars="200"/>
              <w:rPr>
                <w:szCs w:val="21"/>
              </w:rPr>
            </w:pPr>
          </w:p>
          <w:p>
            <w:pPr>
              <w:adjustRightInd w:val="0"/>
              <w:ind w:firstLine="420" w:firstLineChars="200"/>
              <w:rPr>
                <w:szCs w:val="21"/>
              </w:rPr>
            </w:pPr>
          </w:p>
          <w:p>
            <w:pPr>
              <w:adjustRightInd w:val="0"/>
              <w:ind w:firstLine="420" w:firstLineChars="200"/>
              <w:rPr>
                <w:szCs w:val="21"/>
              </w:rPr>
            </w:pPr>
          </w:p>
          <w:p>
            <w:pPr>
              <w:adjustRightInd w:val="0"/>
              <w:ind w:firstLine="420" w:firstLineChars="200"/>
              <w:rPr>
                <w:szCs w:val="21"/>
              </w:rPr>
            </w:pPr>
          </w:p>
        </w:tc>
      </w:tr>
    </w:tbl>
    <w:p>
      <w:pPr>
        <w:pStyle w:val="38"/>
        <w:adjustRightInd w:val="0"/>
        <w:spacing w:before="0" w:beforeAutospacing="0" w:after="0" w:afterAutospacing="0"/>
        <w:rPr>
          <w:rFonts w:ascii="黑体" w:hAnsi="黑体" w:eastAsia="黑体"/>
          <w:snapToGrid w:val="0"/>
          <w:sz w:val="18"/>
          <w:szCs w:val="18"/>
        </w:rPr>
        <w:sectPr>
          <w:pgSz w:w="11906" w:h="16838"/>
          <w:pgMar w:top="1531" w:right="1531" w:bottom="1531" w:left="1531" w:header="851" w:footer="1077" w:gutter="0"/>
          <w:cols w:space="720" w:num="1"/>
          <w:docGrid w:linePitch="335" w:charSpace="0"/>
        </w:sectPr>
      </w:pPr>
    </w:p>
    <w:p>
      <w:pPr>
        <w:pStyle w:val="38"/>
        <w:adjustRightInd w:val="0"/>
        <w:spacing w:before="0" w:beforeAutospacing="0" w:after="240" w:afterLines="100" w:afterAutospacing="0"/>
        <w:jc w:val="center"/>
        <w:outlineLvl w:val="0"/>
        <w:rPr>
          <w:rFonts w:ascii="黑体" w:hAnsi="黑体" w:eastAsia="黑体"/>
          <w:snapToGrid w:val="0"/>
          <w:sz w:val="30"/>
          <w:szCs w:val="30"/>
        </w:rPr>
      </w:pPr>
      <w:bookmarkStart w:id="61" w:name="_Toc140704264"/>
      <w:bookmarkStart w:id="62" w:name="_Toc129880764"/>
      <w:bookmarkStart w:id="63" w:name="_Toc129854120"/>
      <w:r>
        <w:rPr>
          <w:rFonts w:hint="eastAsia" w:ascii="黑体" w:hAnsi="黑体" w:eastAsia="黑体"/>
          <w:snapToGrid w:val="0"/>
          <w:sz w:val="30"/>
          <w:szCs w:val="30"/>
        </w:rPr>
        <w:t>五、主要生态环境保护措施</w:t>
      </w:r>
      <w:bookmarkEnd w:id="61"/>
      <w:bookmarkEnd w:id="62"/>
      <w:bookmarkEnd w:id="63"/>
    </w:p>
    <w:tbl>
      <w:tblPr>
        <w:tblStyle w:val="4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Mar>
              <w:left w:w="28" w:type="dxa"/>
              <w:right w:w="28" w:type="dxa"/>
            </w:tcMar>
            <w:vAlign w:val="center"/>
          </w:tcPr>
          <w:p>
            <w:pPr>
              <w:adjustRightInd w:val="0"/>
              <w:jc w:val="center"/>
              <w:rPr>
                <w:rFonts w:ascii="宋体" w:hAnsi="宋体"/>
                <w:bCs/>
                <w:szCs w:val="21"/>
              </w:rPr>
            </w:pPr>
            <w:r>
              <w:rPr>
                <w:rFonts w:hint="eastAsia" w:ascii="宋体" w:hAnsi="宋体" w:cs="宋体"/>
                <w:bCs/>
                <w:szCs w:val="21"/>
              </w:rPr>
              <w:t>施工期生态环境保护措施</w:t>
            </w:r>
          </w:p>
        </w:tc>
        <w:tc>
          <w:tcPr>
            <w:tcW w:w="8391" w:type="dxa"/>
          </w:tcPr>
          <w:p>
            <w:pPr>
              <w:adjustRightInd w:val="0"/>
              <w:spacing w:line="360" w:lineRule="auto"/>
              <w:rPr>
                <w:rFonts w:cs="宋体"/>
                <w:b/>
                <w:bCs/>
                <w:sz w:val="24"/>
              </w:rPr>
            </w:pPr>
            <w:r>
              <w:rPr>
                <w:rFonts w:cs="宋体"/>
                <w:b/>
                <w:bCs/>
                <w:sz w:val="24"/>
              </w:rPr>
              <w:t>1</w:t>
            </w:r>
            <w:r>
              <w:rPr>
                <w:rFonts w:hint="eastAsia" w:cs="宋体"/>
                <w:b/>
                <w:bCs/>
                <w:sz w:val="24"/>
              </w:rPr>
              <w:t>、施工期生态环境保护措施</w:t>
            </w:r>
          </w:p>
          <w:p>
            <w:pPr>
              <w:adjustRightInd w:val="0"/>
              <w:spacing w:line="360" w:lineRule="auto"/>
              <w:ind w:firstLine="480" w:firstLineChars="200"/>
              <w:rPr>
                <w:rFonts w:cs="宋体"/>
                <w:sz w:val="24"/>
              </w:rPr>
            </w:pPr>
            <w:r>
              <w:rPr>
                <w:rFonts w:hint="eastAsia" w:cs="宋体"/>
                <w:sz w:val="24"/>
              </w:rPr>
              <w:t>（1）施工中合理、有序的安排施工时间、组织施工方式，优化施工和设计，禁止超计划占地，尽可能少占用植被，尽最大可能保留原有植被、植物，少挖填方，多保留现有的生态群落和生境类型，从源头上减少对植被的破坏。</w:t>
            </w:r>
          </w:p>
          <w:p>
            <w:pPr>
              <w:adjustRightInd w:val="0"/>
              <w:spacing w:line="360" w:lineRule="auto"/>
              <w:ind w:firstLine="480" w:firstLineChars="200"/>
              <w:rPr>
                <w:rFonts w:cs="宋体"/>
                <w:sz w:val="24"/>
              </w:rPr>
            </w:pPr>
            <w:r>
              <w:rPr>
                <w:rFonts w:hint="eastAsia" w:cs="宋体"/>
                <w:sz w:val="24"/>
              </w:rPr>
              <w:t>（2）施工过程中注意保护好表层土壤，加强施工管理，对施工场地实施植被恢复。应督促施工单位及时拆除临时建筑，清理和平整场地，光伏方阵除桩基用地外，严禁硬化地面、破坏耕作层，严禁抛荒、撂荒。</w:t>
            </w:r>
          </w:p>
          <w:p>
            <w:pPr>
              <w:adjustRightInd w:val="0"/>
              <w:spacing w:line="360" w:lineRule="auto"/>
              <w:ind w:firstLine="480" w:firstLineChars="200"/>
              <w:rPr>
                <w:rFonts w:cs="宋体"/>
                <w:sz w:val="24"/>
              </w:rPr>
            </w:pPr>
            <w:r>
              <w:rPr>
                <w:rFonts w:hint="eastAsia" w:cs="宋体"/>
                <w:sz w:val="24"/>
              </w:rPr>
              <w:t>（</w:t>
            </w:r>
            <w:r>
              <w:rPr>
                <w:rFonts w:cs="宋体"/>
                <w:sz w:val="24"/>
              </w:rPr>
              <w:t>3</w:t>
            </w:r>
            <w:r>
              <w:rPr>
                <w:rFonts w:hint="eastAsia" w:cs="宋体"/>
                <w:sz w:val="24"/>
              </w:rPr>
              <w:t>）施工期剥离的表土用于施工迹地的恢复，</w:t>
            </w:r>
            <w:r>
              <w:rPr>
                <w:rFonts w:hint="eastAsia"/>
                <w:sz w:val="24"/>
              </w:rPr>
              <w:t>在不影响光伏项目运营安全的前提下，科学制定绿化方案，适度补植补种乡土树种、草种，</w:t>
            </w:r>
            <w:r>
              <w:rPr>
                <w:rFonts w:hint="eastAsia" w:cs="宋体"/>
                <w:sz w:val="24"/>
              </w:rPr>
              <w:t>并且注意灌草的合理搭配。</w:t>
            </w:r>
          </w:p>
          <w:p>
            <w:pPr>
              <w:adjustRightInd w:val="0"/>
              <w:spacing w:line="360" w:lineRule="auto"/>
              <w:ind w:firstLine="480" w:firstLineChars="200"/>
              <w:rPr>
                <w:rFonts w:cs="宋体"/>
                <w:sz w:val="24"/>
              </w:rPr>
            </w:pPr>
            <w:r>
              <w:rPr>
                <w:rFonts w:hint="eastAsia" w:cs="宋体"/>
                <w:sz w:val="24"/>
              </w:rPr>
              <w:t>（</w:t>
            </w:r>
            <w:r>
              <w:rPr>
                <w:rFonts w:cs="宋体"/>
                <w:sz w:val="24"/>
              </w:rPr>
              <w:t>4</w:t>
            </w:r>
            <w:r>
              <w:rPr>
                <w:rFonts w:hint="eastAsia" w:cs="宋体"/>
                <w:sz w:val="24"/>
              </w:rPr>
              <w:t>）加强场内道路边坡防护措施，严格执行工程水土保持方案中提出的水保措施。</w:t>
            </w:r>
          </w:p>
          <w:p>
            <w:pPr>
              <w:adjustRightInd w:val="0"/>
              <w:spacing w:line="360" w:lineRule="auto"/>
              <w:ind w:firstLine="480" w:firstLineChars="200"/>
              <w:rPr>
                <w:rFonts w:cs="宋体"/>
                <w:sz w:val="24"/>
              </w:rPr>
            </w:pPr>
            <w:r>
              <w:rPr>
                <w:rFonts w:hint="eastAsia" w:cs="宋体"/>
                <w:sz w:val="24"/>
              </w:rPr>
              <w:t>（</w:t>
            </w:r>
            <w:r>
              <w:rPr>
                <w:rFonts w:cs="宋体"/>
                <w:sz w:val="24"/>
              </w:rPr>
              <w:t>5</w:t>
            </w:r>
            <w:r>
              <w:rPr>
                <w:rFonts w:hint="eastAsia" w:cs="宋体"/>
                <w:sz w:val="24"/>
              </w:rPr>
              <w:t>）施工活动保证在征地红线范围内进行，禁止超计划占用土地和破坏植被，禁止施工人员违法砍伐树木，禁止到非施工区活动，减少地表扰动。优化施工道路设计，尽量收缩边坡，优化线形，少占土地，场内外道路除利用的乡村道路，其他新建道路应根据项目运行后的使用功能合理制定恢复措施。</w:t>
            </w:r>
          </w:p>
          <w:p>
            <w:pPr>
              <w:adjustRightInd w:val="0"/>
              <w:spacing w:line="360" w:lineRule="auto"/>
              <w:ind w:firstLine="480" w:firstLineChars="200"/>
              <w:rPr>
                <w:rFonts w:cs="宋体"/>
                <w:sz w:val="24"/>
              </w:rPr>
            </w:pPr>
            <w:r>
              <w:rPr>
                <w:rFonts w:hint="eastAsia" w:cs="宋体"/>
                <w:sz w:val="24"/>
              </w:rPr>
              <w:t>（</w:t>
            </w:r>
            <w:r>
              <w:rPr>
                <w:rFonts w:cs="宋体"/>
                <w:sz w:val="24"/>
              </w:rPr>
              <w:t>6</w:t>
            </w:r>
            <w:r>
              <w:rPr>
                <w:rFonts w:hint="eastAsia" w:cs="宋体"/>
                <w:sz w:val="24"/>
              </w:rPr>
              <w:t>）加强施工期的用火管理，防止火灾的发生；与当地林业部门加强配合，加强巡护，防止破坏大型植被的行为发生。</w:t>
            </w:r>
          </w:p>
          <w:p>
            <w:pPr>
              <w:adjustRightInd w:val="0"/>
              <w:spacing w:line="360" w:lineRule="auto"/>
              <w:ind w:firstLine="480" w:firstLineChars="200"/>
              <w:rPr>
                <w:sz w:val="24"/>
              </w:rPr>
            </w:pPr>
            <w:r>
              <w:rPr>
                <w:rFonts w:hint="eastAsia" w:cs="宋体"/>
                <w:sz w:val="24"/>
              </w:rPr>
              <w:t>（</w:t>
            </w:r>
            <w:r>
              <w:rPr>
                <w:rFonts w:cs="宋体"/>
                <w:sz w:val="24"/>
              </w:rPr>
              <w:t>7</w:t>
            </w:r>
            <w:r>
              <w:rPr>
                <w:rFonts w:hint="eastAsia" w:cs="宋体"/>
                <w:sz w:val="24"/>
              </w:rPr>
              <w:t>）</w:t>
            </w:r>
            <w:r>
              <w:rPr>
                <w:rFonts w:hint="eastAsia"/>
                <w:sz w:val="24"/>
              </w:rPr>
              <w:t>严格执行光伏用地文件的要求，光伏支架最低点应高于灌木高度1米以上，每列光伏板南北方向应合理设置净间距，并采取有效水土保持措施，确保灌木覆盖度等生长状态不低于之前水平。</w:t>
            </w:r>
          </w:p>
          <w:p>
            <w:pPr>
              <w:adjustRightInd w:val="0"/>
              <w:spacing w:line="360" w:lineRule="auto"/>
              <w:ind w:firstLine="480" w:firstLineChars="200"/>
              <w:rPr>
                <w:sz w:val="24"/>
              </w:rPr>
            </w:pPr>
            <w:r>
              <w:rPr>
                <w:rFonts w:hint="eastAsia"/>
                <w:sz w:val="24"/>
              </w:rPr>
              <w:t>（8）在工程开工建设前及施工过程中，应进行宣传培训教育，提高施工人员环保意识，遵守《中华人民共和国野生动物保护法》《中华人民共和国野生植物保护条例》等相关法律法规文件要求，禁止以下行为：剥损树皮、攀树折枝；借用树干做支撑物或者倚树搭棚；在树上刻划、敲钉、悬挂或者缠绕物品；损坏树木的支撑、围护设施等相关保护设施；捕猎野生动物，人为破坏洞穴、巢穴、捡拾鸟蛋等行为；避免对项目区内野生动植物产生额外的影响。</w:t>
            </w:r>
          </w:p>
          <w:p>
            <w:pPr>
              <w:adjustRightInd w:val="0"/>
              <w:spacing w:line="360" w:lineRule="auto"/>
              <w:rPr>
                <w:rFonts w:cs="宋体"/>
                <w:b/>
                <w:sz w:val="24"/>
              </w:rPr>
            </w:pPr>
            <w:r>
              <w:rPr>
                <w:rFonts w:cs="宋体"/>
                <w:b/>
                <w:sz w:val="24"/>
              </w:rPr>
              <w:t>2</w:t>
            </w:r>
            <w:r>
              <w:rPr>
                <w:rFonts w:hint="eastAsia" w:cs="宋体"/>
                <w:b/>
                <w:sz w:val="24"/>
              </w:rPr>
              <w:t>、施工期大气环境保护措施</w:t>
            </w:r>
          </w:p>
          <w:p>
            <w:pPr>
              <w:adjustRightInd w:val="0"/>
              <w:spacing w:line="360" w:lineRule="auto"/>
              <w:ind w:firstLine="480" w:firstLineChars="200"/>
              <w:rPr>
                <w:rFonts w:cs="宋体"/>
                <w:sz w:val="24"/>
              </w:rPr>
            </w:pPr>
            <w:r>
              <w:rPr>
                <w:rFonts w:hint="eastAsia" w:cs="宋体"/>
                <w:sz w:val="24"/>
              </w:rPr>
              <w:t>（1）配置1辆洒水车，对施工场地进行洒水降尘，洒水次数根据天气状况而定，施工土方开挖、搬运，应避免在大风天气时进行。</w:t>
            </w:r>
          </w:p>
          <w:p>
            <w:pPr>
              <w:adjustRightInd w:val="0"/>
              <w:spacing w:line="360" w:lineRule="auto"/>
              <w:ind w:firstLine="480" w:firstLineChars="200"/>
              <w:rPr>
                <w:rFonts w:cs="宋体"/>
                <w:sz w:val="24"/>
              </w:rPr>
            </w:pPr>
            <w:r>
              <w:rPr>
                <w:rFonts w:hint="eastAsia" w:cs="宋体"/>
                <w:sz w:val="24"/>
              </w:rPr>
              <w:t>（</w:t>
            </w:r>
            <w:r>
              <w:rPr>
                <w:rFonts w:cs="宋体"/>
                <w:sz w:val="24"/>
              </w:rPr>
              <w:t>2</w:t>
            </w:r>
            <w:r>
              <w:rPr>
                <w:rFonts w:hint="eastAsia" w:cs="宋体"/>
                <w:sz w:val="24"/>
              </w:rPr>
              <w:t>）加强施工现场运输车辆管理。运输的车辆必须车身整洁，装载车厢完好，装载货物堆码整齐，运输建筑材料及建筑垃圾的车辆加盖篷布以减少洒落，不得污染道路。</w:t>
            </w:r>
          </w:p>
          <w:p>
            <w:pPr>
              <w:adjustRightInd w:val="0"/>
              <w:spacing w:line="360" w:lineRule="auto"/>
              <w:ind w:firstLine="480" w:firstLineChars="200"/>
              <w:rPr>
                <w:rFonts w:cs="宋体"/>
                <w:sz w:val="24"/>
              </w:rPr>
            </w:pPr>
            <w:r>
              <w:rPr>
                <w:rFonts w:hint="eastAsia" w:cs="宋体"/>
                <w:sz w:val="24"/>
              </w:rPr>
              <w:t>（</w:t>
            </w:r>
            <w:r>
              <w:rPr>
                <w:rFonts w:cs="宋体"/>
                <w:sz w:val="24"/>
              </w:rPr>
              <w:t>3</w:t>
            </w:r>
            <w:r>
              <w:rPr>
                <w:rFonts w:hint="eastAsia" w:cs="宋体"/>
                <w:sz w:val="24"/>
              </w:rPr>
              <w:t>）对粉状粒料堆应采取防尘布或网遮盖、洒水降尘、袋装等措施，减少由于风力引起的扬尘。</w:t>
            </w:r>
          </w:p>
          <w:p>
            <w:pPr>
              <w:adjustRightInd w:val="0"/>
              <w:spacing w:line="360" w:lineRule="auto"/>
              <w:ind w:firstLine="480" w:firstLineChars="200"/>
              <w:rPr>
                <w:rFonts w:cs="宋体"/>
                <w:sz w:val="24"/>
              </w:rPr>
            </w:pPr>
            <w:r>
              <w:rPr>
                <w:rFonts w:hint="eastAsia" w:cs="宋体"/>
                <w:sz w:val="24"/>
              </w:rPr>
              <w:t>（</w:t>
            </w:r>
            <w:r>
              <w:rPr>
                <w:rFonts w:cs="宋体"/>
                <w:sz w:val="24"/>
              </w:rPr>
              <w:t>4</w:t>
            </w:r>
            <w:r>
              <w:rPr>
                <w:rFonts w:hint="eastAsia" w:cs="宋体"/>
                <w:sz w:val="24"/>
              </w:rPr>
              <w:t>）施工场地内车辆应采取低速行驶，道路保持清洁，裸露场地采取洒水降尘措施。</w:t>
            </w:r>
          </w:p>
          <w:p>
            <w:pPr>
              <w:adjustRightInd w:val="0"/>
              <w:spacing w:line="360" w:lineRule="auto"/>
              <w:ind w:firstLine="480" w:firstLineChars="200"/>
              <w:rPr>
                <w:rFonts w:cs="宋体"/>
                <w:sz w:val="24"/>
              </w:rPr>
            </w:pPr>
            <w:r>
              <w:rPr>
                <w:rFonts w:hint="eastAsia" w:cs="宋体"/>
                <w:sz w:val="24"/>
              </w:rPr>
              <w:t>（</w:t>
            </w:r>
            <w:r>
              <w:rPr>
                <w:rFonts w:cs="宋体"/>
                <w:sz w:val="24"/>
              </w:rPr>
              <w:t>5</w:t>
            </w:r>
            <w:r>
              <w:rPr>
                <w:rFonts w:hint="eastAsia" w:cs="宋体"/>
                <w:sz w:val="24"/>
              </w:rPr>
              <w:t>）对建筑垃圾及弃土应及时处理、清运，以减少占地，防止粉尘污染。</w:t>
            </w:r>
          </w:p>
          <w:p>
            <w:pPr>
              <w:adjustRightInd w:val="0"/>
              <w:spacing w:line="360" w:lineRule="auto"/>
              <w:ind w:firstLine="480" w:firstLineChars="200"/>
              <w:rPr>
                <w:sz w:val="24"/>
              </w:rPr>
            </w:pPr>
            <w:r>
              <w:rPr>
                <w:rFonts w:hint="eastAsia" w:cs="宋体"/>
                <w:sz w:val="24"/>
              </w:rPr>
              <w:t>（</w:t>
            </w:r>
            <w:r>
              <w:rPr>
                <w:rFonts w:cs="宋体"/>
                <w:sz w:val="24"/>
              </w:rPr>
              <w:t>6</w:t>
            </w:r>
            <w:r>
              <w:rPr>
                <w:rFonts w:hint="eastAsia" w:cs="宋体"/>
                <w:sz w:val="24"/>
              </w:rPr>
              <w:t>）在施工场地上设置专人负责弃土、建筑垃圾、建筑材料的处置、清运和堆放，临时堆放场地应远离居民区。在距居民点较近一侧实施桩基基础开挖等扬尘较大的施工工艺时，设置挡板以减少扬尘对居民点的影响。</w:t>
            </w:r>
          </w:p>
          <w:p>
            <w:pPr>
              <w:adjustRightInd w:val="0"/>
              <w:spacing w:line="360" w:lineRule="auto"/>
              <w:rPr>
                <w:b/>
                <w:bCs/>
                <w:sz w:val="24"/>
              </w:rPr>
            </w:pPr>
            <w:r>
              <w:rPr>
                <w:b/>
                <w:bCs/>
                <w:sz w:val="24"/>
              </w:rPr>
              <w:t>3</w:t>
            </w:r>
            <w:r>
              <w:rPr>
                <w:rFonts w:hint="eastAsia"/>
                <w:b/>
                <w:bCs/>
                <w:sz w:val="24"/>
              </w:rPr>
              <w:t>、施工期地表水环境保护措施</w:t>
            </w:r>
          </w:p>
          <w:p>
            <w:pPr>
              <w:adjustRightInd w:val="0"/>
              <w:spacing w:line="360" w:lineRule="auto"/>
              <w:ind w:firstLine="480" w:firstLineChars="200"/>
              <w:rPr>
                <w:sz w:val="24"/>
              </w:rPr>
            </w:pPr>
            <w:r>
              <w:rPr>
                <w:rFonts w:hint="eastAsia"/>
                <w:sz w:val="24"/>
              </w:rPr>
              <w:t>（1）在施工场地内设置临时导流沟和沉淀池对施工废水进行沉淀处理，处理后的废水回用于洒水抑尘、工程养护和其它施工环节，严禁外排。</w:t>
            </w:r>
          </w:p>
          <w:p>
            <w:pPr>
              <w:adjustRightInd w:val="0"/>
              <w:spacing w:line="360" w:lineRule="auto"/>
              <w:ind w:firstLine="480" w:firstLineChars="200"/>
              <w:rPr>
                <w:sz w:val="24"/>
              </w:rPr>
            </w:pPr>
            <w:r>
              <w:rPr>
                <w:rFonts w:hint="eastAsia"/>
                <w:sz w:val="24"/>
              </w:rPr>
              <w:t>（2）光伏区和道路区在地势低处设置排水沟，排水沟末端设置沉淀池，根据项目实际建设情况进行个数设置。雨水经沉淀后再外排，减轻对地表水体的影响。</w:t>
            </w:r>
          </w:p>
          <w:p>
            <w:pPr>
              <w:adjustRightInd w:val="0"/>
              <w:spacing w:line="360" w:lineRule="auto"/>
              <w:ind w:firstLine="480" w:firstLineChars="200"/>
              <w:rPr>
                <w:sz w:val="24"/>
              </w:rPr>
            </w:pPr>
            <w:r>
              <w:rPr>
                <w:rFonts w:hint="eastAsia"/>
                <w:sz w:val="24"/>
              </w:rPr>
              <w:t>（3）加强管理，做好机械的日常维修保养，杜绝跑、冒、滴、漏现象。另外，雨天应对各类机械、粉状物料进行遮盖防雨。</w:t>
            </w:r>
          </w:p>
          <w:p>
            <w:pPr>
              <w:adjustRightInd w:val="0"/>
              <w:spacing w:line="360" w:lineRule="auto"/>
              <w:ind w:firstLine="480" w:firstLineChars="200"/>
              <w:rPr>
                <w:sz w:val="24"/>
              </w:rPr>
            </w:pPr>
            <w:r>
              <w:rPr>
                <w:rFonts w:hint="eastAsia"/>
                <w:sz w:val="24"/>
              </w:rPr>
              <w:t>（4）节约用水，减少施工废水的产生，且尽量避免雨季土石方施工，暴雨期间停止地基开挖等扰动地表类的施工。禁止任何施工废水排入周边地表水。</w:t>
            </w:r>
          </w:p>
          <w:p>
            <w:pPr>
              <w:adjustRightInd w:val="0"/>
              <w:spacing w:line="360" w:lineRule="auto"/>
              <w:rPr>
                <w:b/>
                <w:bCs/>
                <w:sz w:val="24"/>
              </w:rPr>
            </w:pPr>
            <w:r>
              <w:rPr>
                <w:b/>
                <w:bCs/>
                <w:sz w:val="24"/>
              </w:rPr>
              <w:t>4</w:t>
            </w:r>
            <w:r>
              <w:rPr>
                <w:rFonts w:hint="eastAsia"/>
                <w:b/>
                <w:bCs/>
                <w:sz w:val="24"/>
              </w:rPr>
              <w:t>、施工期声环境保护措施</w:t>
            </w:r>
          </w:p>
          <w:p>
            <w:pPr>
              <w:adjustRightInd w:val="0"/>
              <w:spacing w:line="360" w:lineRule="auto"/>
              <w:ind w:firstLine="480" w:firstLineChars="200"/>
              <w:rPr>
                <w:sz w:val="24"/>
              </w:rPr>
            </w:pPr>
            <w:r>
              <w:rPr>
                <w:rFonts w:hint="eastAsia"/>
                <w:sz w:val="24"/>
              </w:rPr>
              <w:t>（1）合理安排施工时间，避免夜间施工，施工场界噪声应符合《建筑施工场界环境噪声排放标准》（GB12523-2011）标准。</w:t>
            </w:r>
          </w:p>
          <w:p>
            <w:pPr>
              <w:adjustRightInd w:val="0"/>
              <w:spacing w:line="360" w:lineRule="auto"/>
              <w:ind w:firstLine="480" w:firstLineChars="200"/>
              <w:rPr>
                <w:sz w:val="24"/>
              </w:rPr>
            </w:pPr>
            <w:r>
              <w:rPr>
                <w:rFonts w:hint="eastAsia"/>
                <w:sz w:val="24"/>
              </w:rPr>
              <w:t>（2）尽量采用低噪声施工机械，工程施工所用的施工机械设备应事先对其常规工作状态下的噪声进行测量，超过国家标准的机械应禁止入场施工。</w:t>
            </w:r>
          </w:p>
          <w:p>
            <w:pPr>
              <w:adjustRightInd w:val="0"/>
              <w:spacing w:line="360" w:lineRule="auto"/>
              <w:ind w:firstLine="480" w:firstLineChars="200"/>
              <w:rPr>
                <w:sz w:val="24"/>
              </w:rPr>
            </w:pPr>
            <w:r>
              <w:rPr>
                <w:rFonts w:hint="eastAsia"/>
                <w:sz w:val="24"/>
              </w:rPr>
              <w:t>（3）对强噪声设备进行一定的隔声及减振处理，在不影响施工情况下将噪声设备尽量不集中安排，固定的机械设备尽量入棚操作。</w:t>
            </w:r>
          </w:p>
          <w:p>
            <w:pPr>
              <w:adjustRightInd w:val="0"/>
              <w:spacing w:line="360" w:lineRule="auto"/>
              <w:ind w:firstLine="480" w:firstLineChars="200"/>
              <w:rPr>
                <w:sz w:val="24"/>
              </w:rPr>
            </w:pPr>
            <w:r>
              <w:rPr>
                <w:rFonts w:hint="eastAsia"/>
                <w:sz w:val="24"/>
              </w:rPr>
              <w:t>（4）对施工机械进行维护，减小施工机械的施工噪声，同时施工单位应设专人对设备进行定期保养和维护。</w:t>
            </w:r>
          </w:p>
          <w:p>
            <w:pPr>
              <w:adjustRightInd w:val="0"/>
              <w:spacing w:line="360" w:lineRule="auto"/>
              <w:ind w:firstLine="480" w:firstLineChars="200"/>
              <w:rPr>
                <w:sz w:val="24"/>
              </w:rPr>
            </w:pPr>
            <w:r>
              <w:rPr>
                <w:rFonts w:hint="eastAsia"/>
                <w:sz w:val="24"/>
              </w:rPr>
              <w:t>（5）运输过程中的车辆应尽量避免在夜间运输，限制车速，进出场区、经过居民点时严禁鸣笛，做到文明行车。</w:t>
            </w:r>
          </w:p>
          <w:p>
            <w:pPr>
              <w:adjustRightInd w:val="0"/>
              <w:spacing w:line="360" w:lineRule="auto"/>
              <w:ind w:firstLine="480" w:firstLineChars="200"/>
              <w:rPr>
                <w:sz w:val="24"/>
              </w:rPr>
            </w:pPr>
            <w:r>
              <w:rPr>
                <w:rFonts w:hint="eastAsia"/>
                <w:sz w:val="24"/>
              </w:rPr>
              <w:t>（6）在进行物料运输时，应合理安排运输时间，经过居民点时应低速、禁鸣。</w:t>
            </w:r>
          </w:p>
          <w:p>
            <w:pPr>
              <w:adjustRightInd w:val="0"/>
              <w:spacing w:line="360" w:lineRule="auto"/>
              <w:ind w:firstLine="480" w:firstLineChars="200"/>
              <w:rPr>
                <w:rFonts w:cs="宋体"/>
                <w:sz w:val="24"/>
              </w:rPr>
            </w:pPr>
            <w:r>
              <w:rPr>
                <w:rFonts w:hint="eastAsia"/>
                <w:sz w:val="24"/>
              </w:rPr>
              <w:t>（</w:t>
            </w:r>
            <w:r>
              <w:rPr>
                <w:sz w:val="24"/>
              </w:rPr>
              <w:t>7</w:t>
            </w:r>
            <w:r>
              <w:rPr>
                <w:rFonts w:hint="eastAsia"/>
                <w:sz w:val="24"/>
              </w:rPr>
              <w:t>）施工期间建设单位应与施工方签订环境管理责任书，具体落实施工期噪声防治措施，并且加强与周围可能受影响单位的沟通，减轻对声环境的不利影响</w:t>
            </w:r>
            <w:r>
              <w:rPr>
                <w:rFonts w:hint="eastAsia" w:cs="宋体"/>
                <w:sz w:val="24"/>
              </w:rPr>
              <w:t>。</w:t>
            </w:r>
          </w:p>
          <w:p>
            <w:pPr>
              <w:adjustRightInd w:val="0"/>
              <w:spacing w:line="360" w:lineRule="auto"/>
              <w:rPr>
                <w:rFonts w:cs="宋体"/>
                <w:b/>
                <w:bCs/>
                <w:sz w:val="24"/>
              </w:rPr>
            </w:pPr>
            <w:r>
              <w:rPr>
                <w:rFonts w:cs="宋体"/>
                <w:b/>
                <w:bCs/>
                <w:sz w:val="24"/>
              </w:rPr>
              <w:t>5</w:t>
            </w:r>
            <w:r>
              <w:rPr>
                <w:rFonts w:hint="eastAsia" w:cs="宋体"/>
                <w:b/>
                <w:bCs/>
                <w:sz w:val="24"/>
              </w:rPr>
              <w:t>、固体废物</w:t>
            </w:r>
          </w:p>
          <w:p>
            <w:pPr>
              <w:adjustRightInd w:val="0"/>
              <w:spacing w:line="360" w:lineRule="auto"/>
              <w:ind w:firstLine="480" w:firstLineChars="200"/>
              <w:rPr>
                <w:rFonts w:cs="宋体"/>
                <w:sz w:val="24"/>
              </w:rPr>
            </w:pPr>
            <w:r>
              <w:rPr>
                <w:rFonts w:hint="eastAsia" w:cs="宋体"/>
                <w:sz w:val="24"/>
              </w:rPr>
              <w:t>（1）项目产生的土石方全部在场地内回填，禁止乱弃渣。</w:t>
            </w:r>
          </w:p>
          <w:p>
            <w:pPr>
              <w:adjustRightInd w:val="0"/>
              <w:spacing w:line="360" w:lineRule="auto"/>
              <w:ind w:firstLine="480" w:firstLineChars="200"/>
              <w:rPr>
                <w:rFonts w:cs="宋体"/>
                <w:sz w:val="24"/>
              </w:rPr>
            </w:pPr>
            <w:r>
              <w:rPr>
                <w:rFonts w:hint="eastAsia" w:cs="宋体"/>
                <w:sz w:val="24"/>
              </w:rPr>
              <w:t>（2）建筑垃圾应分类收集，能利用部分外售收购商进行回收利用，不可回收部分委托有资质单位清运至政府部门指定的场所进行处置。禁止乱堆乱倒。</w:t>
            </w:r>
          </w:p>
          <w:p>
            <w:pPr>
              <w:adjustRightInd w:val="0"/>
              <w:spacing w:line="360" w:lineRule="auto"/>
              <w:ind w:firstLine="480" w:firstLineChars="200"/>
              <w:rPr>
                <w:rFonts w:cs="宋体"/>
                <w:sz w:val="24"/>
              </w:rPr>
            </w:pPr>
            <w:r>
              <w:rPr>
                <w:rFonts w:hint="eastAsia" w:cs="宋体"/>
                <w:sz w:val="24"/>
              </w:rPr>
              <w:t>（3）施工过程中损坏的太阳能电池板在项目区内暂存，施工完成后交由厂家回收处理。</w:t>
            </w:r>
          </w:p>
          <w:p>
            <w:pPr>
              <w:adjustRightInd w:val="0"/>
              <w:spacing w:line="360" w:lineRule="auto"/>
              <w:ind w:firstLine="480" w:firstLineChars="200"/>
              <w:rPr>
                <w:rFonts w:cs="宋体"/>
                <w:sz w:val="24"/>
              </w:rPr>
            </w:pPr>
            <w:r>
              <w:rPr>
                <w:rFonts w:hint="eastAsia" w:cs="宋体"/>
                <w:sz w:val="24"/>
              </w:rPr>
              <w:t>（4）车辆运输散体物时，必须密封、包扎、覆盖、不得沿途撒漏。</w:t>
            </w:r>
          </w:p>
          <w:p>
            <w:pPr>
              <w:adjustRightInd w:val="0"/>
              <w:spacing w:line="360" w:lineRule="auto"/>
              <w:ind w:firstLine="480" w:firstLineChars="200"/>
              <w:rPr>
                <w:rFonts w:cs="宋体"/>
                <w:sz w:val="24"/>
              </w:rPr>
            </w:pPr>
            <w:r>
              <w:rPr>
                <w:rFonts w:hint="eastAsia" w:cs="宋体"/>
                <w:sz w:val="24"/>
              </w:rPr>
              <w:t>（</w:t>
            </w:r>
            <w:r>
              <w:rPr>
                <w:rFonts w:cs="宋体"/>
                <w:sz w:val="24"/>
              </w:rPr>
              <w:t>5</w:t>
            </w:r>
            <w:r>
              <w:rPr>
                <w:rFonts w:hint="eastAsia" w:cs="宋体"/>
                <w:sz w:val="24"/>
              </w:rPr>
              <w:t>）施工人员产生的生活垃圾分类收集，运至当地乡镇设置的垃圾收集池，由当地环卫部门定期清运妥善处置。</w:t>
            </w:r>
          </w:p>
          <w:p>
            <w:pPr>
              <w:adjustRightInd w:val="0"/>
              <w:spacing w:line="360" w:lineRule="auto"/>
              <w:ind w:firstLine="480" w:firstLineChars="200"/>
              <w:rPr>
                <w:rFonts w:cs="宋体"/>
                <w:sz w:val="24"/>
              </w:rPr>
            </w:pPr>
            <w:r>
              <w:rPr>
                <w:rFonts w:hint="eastAsia" w:cs="宋体"/>
                <w:sz w:val="24"/>
              </w:rPr>
              <w:t>（</w:t>
            </w:r>
            <w:r>
              <w:rPr>
                <w:rFonts w:cs="宋体"/>
                <w:sz w:val="24"/>
              </w:rPr>
              <w:t>6</w:t>
            </w:r>
            <w:r>
              <w:rPr>
                <w:rFonts w:hint="eastAsia" w:cs="宋体"/>
                <w:sz w:val="24"/>
              </w:rPr>
              <w:t>）</w:t>
            </w:r>
            <w:r>
              <w:rPr>
                <w:sz w:val="24"/>
              </w:rPr>
              <w:t>项目</w:t>
            </w:r>
            <w:r>
              <w:rPr>
                <w:rFonts w:hint="eastAsia"/>
                <w:sz w:val="24"/>
              </w:rPr>
              <w:t>施工旱厕</w:t>
            </w:r>
            <w:r>
              <w:rPr>
                <w:sz w:val="24"/>
              </w:rPr>
              <w:t>产生的粪便</w:t>
            </w:r>
            <w:r>
              <w:rPr>
                <w:rFonts w:hint="eastAsia"/>
                <w:sz w:val="24"/>
              </w:rPr>
              <w:t>定期委托周边村民</w:t>
            </w:r>
            <w:r>
              <w:rPr>
                <w:sz w:val="24"/>
              </w:rPr>
              <w:t>清掏</w:t>
            </w:r>
            <w:r>
              <w:rPr>
                <w:rFonts w:hint="eastAsia"/>
                <w:sz w:val="24"/>
              </w:rPr>
              <w:t>用于绿化施肥。</w:t>
            </w:r>
          </w:p>
          <w:p>
            <w:pPr>
              <w:adjustRightInd w:val="0"/>
              <w:spacing w:line="360" w:lineRule="auto"/>
              <w:ind w:firstLine="480" w:firstLineChars="200"/>
              <w:rPr>
                <w:rFonts w:cs="宋体"/>
                <w:sz w:val="24"/>
              </w:rPr>
            </w:pPr>
            <w:r>
              <w:rPr>
                <w:rFonts w:hint="eastAsia" w:cs="宋体"/>
                <w:sz w:val="24"/>
              </w:rPr>
              <w:t>（</w:t>
            </w:r>
            <w:r>
              <w:rPr>
                <w:rFonts w:cs="宋体"/>
                <w:sz w:val="24"/>
              </w:rPr>
              <w:t>7</w:t>
            </w:r>
            <w:r>
              <w:rPr>
                <w:rFonts w:hint="eastAsia" w:cs="宋体"/>
                <w:sz w:val="24"/>
              </w:rPr>
              <w:t>）项目临时堆场应选择在</w:t>
            </w:r>
            <w:r>
              <w:rPr>
                <w:rFonts w:cs="宋体"/>
                <w:sz w:val="24"/>
              </w:rPr>
              <w:t>项目用地范围内，严禁新增占地，</w:t>
            </w:r>
            <w:r>
              <w:rPr>
                <w:rFonts w:hint="eastAsia" w:cs="宋体"/>
                <w:sz w:val="24"/>
              </w:rPr>
              <w:t>堆场应</w:t>
            </w:r>
            <w:r>
              <w:rPr>
                <w:rFonts w:cs="宋体"/>
                <w:sz w:val="24"/>
              </w:rPr>
              <w:t>远离</w:t>
            </w:r>
            <w:r>
              <w:rPr>
                <w:rFonts w:hint="eastAsia" w:cs="宋体"/>
                <w:sz w:val="24"/>
              </w:rPr>
              <w:t>河道</w:t>
            </w:r>
            <w:r>
              <w:rPr>
                <w:rFonts w:cs="宋体"/>
                <w:sz w:val="24"/>
              </w:rPr>
              <w:t>，并进行覆盖和</w:t>
            </w:r>
            <w:r>
              <w:rPr>
                <w:rFonts w:hint="eastAsia" w:cs="宋体"/>
                <w:sz w:val="24"/>
              </w:rPr>
              <w:t>拦挡。</w:t>
            </w:r>
            <w:r>
              <w:rPr>
                <w:rFonts w:cs="宋体"/>
                <w:sz w:val="24"/>
              </w:rPr>
              <w:t>堆存时间较长</w:t>
            </w:r>
            <w:r>
              <w:rPr>
                <w:rFonts w:hint="eastAsia" w:cs="宋体"/>
                <w:sz w:val="24"/>
              </w:rPr>
              <w:t>时</w:t>
            </w:r>
            <w:r>
              <w:rPr>
                <w:rFonts w:cs="宋体"/>
                <w:sz w:val="24"/>
              </w:rPr>
              <w:t>，</w:t>
            </w:r>
            <w:r>
              <w:rPr>
                <w:rFonts w:hint="eastAsia" w:cs="宋体"/>
                <w:sz w:val="24"/>
              </w:rPr>
              <w:t>应在</w:t>
            </w:r>
            <w:r>
              <w:rPr>
                <w:rFonts w:cs="宋体"/>
                <w:sz w:val="24"/>
              </w:rPr>
              <w:t>堆土期间新增临时撒草措施。临时</w:t>
            </w:r>
            <w:r>
              <w:rPr>
                <w:rFonts w:hint="eastAsia" w:cs="宋体"/>
                <w:sz w:val="24"/>
              </w:rPr>
              <w:t>堆</w:t>
            </w:r>
            <w:r>
              <w:rPr>
                <w:rFonts w:cs="宋体"/>
                <w:sz w:val="24"/>
              </w:rPr>
              <w:t>土</w:t>
            </w:r>
            <w:r>
              <w:rPr>
                <w:rFonts w:hint="eastAsia" w:cs="宋体"/>
                <w:sz w:val="24"/>
              </w:rPr>
              <w:t>清理</w:t>
            </w:r>
            <w:r>
              <w:rPr>
                <w:rFonts w:cs="宋体"/>
                <w:sz w:val="24"/>
              </w:rPr>
              <w:t>后应对临时堆场覆土</w:t>
            </w:r>
            <w:r>
              <w:rPr>
                <w:rFonts w:hint="eastAsia" w:cs="宋体"/>
                <w:sz w:val="24"/>
              </w:rPr>
              <w:t>绿化处理。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Mar>
              <w:left w:w="28" w:type="dxa"/>
              <w:right w:w="28" w:type="dxa"/>
            </w:tcMar>
            <w:vAlign w:val="center"/>
          </w:tcPr>
          <w:p>
            <w:pPr>
              <w:adjustRightInd w:val="0"/>
              <w:jc w:val="center"/>
              <w:rPr>
                <w:rFonts w:ascii="宋体" w:hAnsi="宋体" w:cs="宋体"/>
                <w:bCs/>
                <w:szCs w:val="21"/>
              </w:rPr>
            </w:pPr>
            <w:r>
              <w:rPr>
                <w:rFonts w:hint="eastAsia" w:ascii="宋体" w:hAnsi="宋体" w:cs="宋体"/>
                <w:bCs/>
                <w:szCs w:val="21"/>
              </w:rPr>
              <w:t>运营期生态环境保护措施</w:t>
            </w:r>
          </w:p>
        </w:tc>
        <w:tc>
          <w:tcPr>
            <w:tcW w:w="8391" w:type="dxa"/>
          </w:tcPr>
          <w:p>
            <w:pPr>
              <w:adjustRightInd w:val="0"/>
              <w:spacing w:line="360" w:lineRule="auto"/>
              <w:rPr>
                <w:b/>
                <w:bCs/>
                <w:sz w:val="24"/>
              </w:rPr>
            </w:pPr>
            <w:r>
              <w:rPr>
                <w:b/>
                <w:bCs/>
                <w:sz w:val="24"/>
              </w:rPr>
              <w:t>1</w:t>
            </w:r>
            <w:r>
              <w:rPr>
                <w:rFonts w:hint="eastAsia"/>
                <w:b/>
                <w:bCs/>
                <w:sz w:val="24"/>
              </w:rPr>
              <w:t>、运营期生态环境保护措施</w:t>
            </w:r>
          </w:p>
          <w:p>
            <w:pPr>
              <w:adjustRightInd w:val="0"/>
              <w:spacing w:line="360" w:lineRule="auto"/>
              <w:ind w:firstLine="480" w:firstLineChars="200"/>
              <w:rPr>
                <w:sz w:val="24"/>
              </w:rPr>
            </w:pPr>
            <w:r>
              <w:rPr>
                <w:rFonts w:hint="eastAsia"/>
                <w:sz w:val="24"/>
              </w:rPr>
              <w:t>（</w:t>
            </w:r>
            <w:r>
              <w:rPr>
                <w:sz w:val="24"/>
              </w:rPr>
              <w:t>1</w:t>
            </w:r>
            <w:r>
              <w:rPr>
                <w:rFonts w:hint="eastAsia"/>
                <w:sz w:val="24"/>
              </w:rPr>
              <w:t>）项目区内未设计建设的空地区域，不得破坏原有植被和损毁地表，建设单位可在不影响光伏项目运营安全的前提下，科学制定绿化方案，适度补植补种乡土树种、草种。植被恢复采用的树种、草种及恢复规模严格按本项目《水土保持方案》执行。</w:t>
            </w:r>
          </w:p>
          <w:p>
            <w:pPr>
              <w:adjustRightInd w:val="0"/>
              <w:spacing w:line="360" w:lineRule="auto"/>
              <w:ind w:firstLine="480" w:firstLineChars="200"/>
              <w:rPr>
                <w:sz w:val="24"/>
              </w:rPr>
            </w:pPr>
            <w:r>
              <w:rPr>
                <w:rFonts w:hint="eastAsia"/>
                <w:sz w:val="24"/>
              </w:rPr>
              <w:t>（</w:t>
            </w:r>
            <w:r>
              <w:rPr>
                <w:sz w:val="24"/>
              </w:rPr>
              <w:t>2</w:t>
            </w:r>
            <w:r>
              <w:rPr>
                <w:rFonts w:hint="eastAsia"/>
                <w:sz w:val="24"/>
              </w:rPr>
              <w:t>）运营阶段严守用地红线，不得随意改变光伏组件阵列用地用途，禁止违法扩容、增加用地及破坏项目用地范围外的植被。</w:t>
            </w:r>
          </w:p>
          <w:p>
            <w:pPr>
              <w:adjustRightInd w:val="0"/>
              <w:spacing w:line="360" w:lineRule="auto"/>
              <w:ind w:firstLine="480" w:firstLineChars="200"/>
              <w:rPr>
                <w:sz w:val="24"/>
              </w:rPr>
            </w:pPr>
            <w:r>
              <w:rPr>
                <w:rFonts w:hint="eastAsia"/>
                <w:sz w:val="24"/>
              </w:rPr>
              <w:t>（</w:t>
            </w:r>
            <w:r>
              <w:rPr>
                <w:sz w:val="24"/>
              </w:rPr>
              <w:t>3</w:t>
            </w:r>
            <w:r>
              <w:rPr>
                <w:rFonts w:hint="eastAsia"/>
                <w:sz w:val="24"/>
              </w:rPr>
              <w:t>）保护当地的野生动物，禁止人为捕杀，禁止引入外来有害生物。</w:t>
            </w:r>
          </w:p>
          <w:p>
            <w:pPr>
              <w:adjustRightInd w:val="0"/>
              <w:spacing w:line="360" w:lineRule="auto"/>
              <w:ind w:firstLine="480" w:firstLineChars="200"/>
              <w:rPr>
                <w:sz w:val="24"/>
              </w:rPr>
            </w:pPr>
            <w:r>
              <w:rPr>
                <w:rFonts w:hint="eastAsia"/>
                <w:sz w:val="24"/>
              </w:rPr>
              <w:t>（</w:t>
            </w:r>
            <w:r>
              <w:rPr>
                <w:sz w:val="24"/>
              </w:rPr>
              <w:t>4</w:t>
            </w:r>
            <w:r>
              <w:rPr>
                <w:rFonts w:hint="eastAsia"/>
                <w:sz w:val="24"/>
              </w:rPr>
              <w:t>）光伏周围建设好截排水沟，空闲地多种植本地树种，减少区域水土流失。</w:t>
            </w:r>
          </w:p>
          <w:p>
            <w:pPr>
              <w:adjustRightInd w:val="0"/>
              <w:spacing w:line="360" w:lineRule="auto"/>
              <w:ind w:firstLine="480" w:firstLineChars="200"/>
              <w:rPr>
                <w:sz w:val="24"/>
              </w:rPr>
            </w:pPr>
            <w:r>
              <w:rPr>
                <w:rFonts w:hint="eastAsia"/>
                <w:sz w:val="24"/>
              </w:rPr>
              <w:t>（</w:t>
            </w:r>
            <w:r>
              <w:rPr>
                <w:sz w:val="24"/>
              </w:rPr>
              <w:t>5</w:t>
            </w:r>
            <w:r>
              <w:rPr>
                <w:rFonts w:hint="eastAsia"/>
                <w:sz w:val="24"/>
              </w:rPr>
              <w:t>）建设单位要做好项目区的森林草原防火工作，重点加强项目运营、检修期间的野外火源管理，落实森林草原防火管护人员和措施。</w:t>
            </w:r>
          </w:p>
          <w:p>
            <w:pPr>
              <w:adjustRightInd w:val="0"/>
              <w:spacing w:line="360" w:lineRule="auto"/>
              <w:ind w:firstLine="480" w:firstLineChars="200"/>
              <w:rPr>
                <w:sz w:val="24"/>
              </w:rPr>
            </w:pPr>
            <w:r>
              <w:rPr>
                <w:rFonts w:hint="eastAsia"/>
                <w:sz w:val="24"/>
              </w:rPr>
              <w:t>（</w:t>
            </w:r>
            <w:r>
              <w:rPr>
                <w:sz w:val="24"/>
              </w:rPr>
              <w:t>6</w:t>
            </w:r>
            <w:r>
              <w:rPr>
                <w:rFonts w:hint="eastAsia"/>
                <w:sz w:val="24"/>
              </w:rPr>
              <w:t>）在满足正常运营的同时，须保证电池组件阵列下方不得改变林草地用途，不得裸露地表、硬化或作其他用途。</w:t>
            </w:r>
          </w:p>
          <w:p>
            <w:pPr>
              <w:adjustRightInd w:val="0"/>
              <w:spacing w:line="360" w:lineRule="auto"/>
              <w:rPr>
                <w:rFonts w:cs="宋体"/>
                <w:b/>
                <w:sz w:val="24"/>
              </w:rPr>
            </w:pPr>
            <w:r>
              <w:rPr>
                <w:rFonts w:cs="宋体"/>
                <w:b/>
                <w:sz w:val="24"/>
              </w:rPr>
              <w:t>2</w:t>
            </w:r>
            <w:r>
              <w:rPr>
                <w:rFonts w:hint="eastAsia" w:cs="宋体"/>
                <w:b/>
                <w:sz w:val="24"/>
              </w:rPr>
              <w:t>、运营期大气环境保护措施</w:t>
            </w:r>
          </w:p>
          <w:p>
            <w:pPr>
              <w:adjustRightInd w:val="0"/>
              <w:spacing w:line="360" w:lineRule="auto"/>
              <w:ind w:firstLine="480" w:firstLineChars="200"/>
              <w:rPr>
                <w:kern w:val="0"/>
                <w:sz w:val="24"/>
              </w:rPr>
            </w:pPr>
            <w:r>
              <w:rPr>
                <w:rFonts w:hint="eastAsia"/>
                <w:sz w:val="24"/>
              </w:rPr>
              <w:t>（1）开关站内</w:t>
            </w:r>
            <w:r>
              <w:rPr>
                <w:sz w:val="24"/>
              </w:rPr>
              <w:t>使用清洁能源，</w:t>
            </w:r>
            <w:r>
              <w:rPr>
                <w:rFonts w:hint="eastAsia"/>
                <w:kern w:val="0"/>
                <w:sz w:val="24"/>
              </w:rPr>
              <w:t>厨房</w:t>
            </w:r>
            <w:r>
              <w:rPr>
                <w:kern w:val="0"/>
                <w:sz w:val="24"/>
              </w:rPr>
              <w:t>油烟采用</w:t>
            </w:r>
            <w:r>
              <w:rPr>
                <w:rFonts w:hint="eastAsia"/>
                <w:kern w:val="0"/>
                <w:sz w:val="24"/>
              </w:rPr>
              <w:t>1套</w:t>
            </w:r>
            <w:r>
              <w:rPr>
                <w:kern w:val="0"/>
                <w:sz w:val="24"/>
              </w:rPr>
              <w:t>油烟净化设备</w:t>
            </w:r>
            <w:r>
              <w:rPr>
                <w:rFonts w:hint="eastAsia"/>
                <w:kern w:val="0"/>
                <w:sz w:val="24"/>
              </w:rPr>
              <w:t>处理后，通过高于屋顶1.5m的排气装置排放。</w:t>
            </w:r>
          </w:p>
          <w:p>
            <w:pPr>
              <w:adjustRightInd w:val="0"/>
              <w:spacing w:line="360" w:lineRule="auto"/>
              <w:ind w:firstLine="480" w:firstLineChars="200"/>
              <w:rPr>
                <w:kern w:val="0"/>
                <w:sz w:val="24"/>
              </w:rPr>
            </w:pPr>
            <w:r>
              <w:rPr>
                <w:rFonts w:hint="eastAsia"/>
                <w:kern w:val="0"/>
                <w:sz w:val="24"/>
              </w:rPr>
              <w:t>（2）</w:t>
            </w:r>
            <w:r>
              <w:rPr>
                <w:kern w:val="0"/>
                <w:sz w:val="24"/>
              </w:rPr>
              <w:t>保持</w:t>
            </w:r>
            <w:r>
              <w:rPr>
                <w:rFonts w:hint="eastAsia"/>
                <w:kern w:val="0"/>
                <w:sz w:val="24"/>
              </w:rPr>
              <w:t>项目</w:t>
            </w:r>
            <w:r>
              <w:rPr>
                <w:kern w:val="0"/>
                <w:sz w:val="24"/>
              </w:rPr>
              <w:t>区内环境卫生，减少运营期地面扬尘和飘散物对环境空气质量的影响</w:t>
            </w:r>
            <w:r>
              <w:rPr>
                <w:rFonts w:hint="eastAsia"/>
                <w:kern w:val="0"/>
                <w:sz w:val="24"/>
              </w:rPr>
              <w:t>，项目</w:t>
            </w:r>
            <w:r>
              <w:rPr>
                <w:kern w:val="0"/>
                <w:sz w:val="24"/>
              </w:rPr>
              <w:t>区</w:t>
            </w:r>
            <w:r>
              <w:rPr>
                <w:rFonts w:hint="eastAsia"/>
                <w:kern w:val="0"/>
                <w:sz w:val="24"/>
              </w:rPr>
              <w:t>生活</w:t>
            </w:r>
            <w:r>
              <w:rPr>
                <w:kern w:val="0"/>
                <w:sz w:val="24"/>
              </w:rPr>
              <w:t>垃圾及时清运并对垃圾</w:t>
            </w:r>
            <w:r>
              <w:rPr>
                <w:rFonts w:hint="eastAsia"/>
                <w:kern w:val="0"/>
                <w:sz w:val="24"/>
              </w:rPr>
              <w:t>收集点</w:t>
            </w:r>
            <w:r>
              <w:rPr>
                <w:kern w:val="0"/>
                <w:sz w:val="24"/>
              </w:rPr>
              <w:t>经常进行清扫。</w:t>
            </w:r>
          </w:p>
          <w:p>
            <w:pPr>
              <w:adjustRightInd w:val="0"/>
              <w:spacing w:line="360" w:lineRule="auto"/>
              <w:rPr>
                <w:rFonts w:cs="宋体"/>
                <w:b/>
                <w:sz w:val="24"/>
              </w:rPr>
            </w:pPr>
            <w:r>
              <w:rPr>
                <w:rFonts w:cs="宋体"/>
                <w:b/>
                <w:sz w:val="24"/>
              </w:rPr>
              <w:t>3</w:t>
            </w:r>
            <w:r>
              <w:rPr>
                <w:rFonts w:hint="eastAsia" w:cs="宋体"/>
                <w:b/>
                <w:sz w:val="24"/>
              </w:rPr>
              <w:t>、运营期地表水环境保护措施</w:t>
            </w:r>
          </w:p>
          <w:p>
            <w:pPr>
              <w:adjustRightInd w:val="0"/>
              <w:spacing w:line="360" w:lineRule="auto"/>
              <w:ind w:firstLine="480" w:firstLineChars="200"/>
              <w:rPr>
                <w:rFonts w:cs="宋体"/>
                <w:bCs/>
                <w:sz w:val="24"/>
              </w:rPr>
            </w:pPr>
            <w:r>
              <w:rPr>
                <w:rFonts w:hint="eastAsia" w:cs="宋体"/>
                <w:bCs/>
                <w:sz w:val="24"/>
              </w:rPr>
              <w:t>（1）开关站内实行雨污分流，站内厨房废水经1个1</w:t>
            </w:r>
            <w:r>
              <w:rPr>
                <w:rFonts w:cs="宋体"/>
                <w:bCs/>
                <w:sz w:val="24"/>
              </w:rPr>
              <w:t>m</w:t>
            </w:r>
            <w:r>
              <w:rPr>
                <w:rFonts w:cs="宋体"/>
                <w:bCs/>
                <w:sz w:val="24"/>
                <w:vertAlign w:val="superscript"/>
              </w:rPr>
              <w:t>3</w:t>
            </w:r>
            <w:r>
              <w:rPr>
                <w:rFonts w:hint="eastAsia" w:cs="宋体"/>
                <w:bCs/>
                <w:sz w:val="24"/>
              </w:rPr>
              <w:t>隔油池隔油后，连同其它生活污水经1个</w:t>
            </w:r>
            <w:r>
              <w:rPr>
                <w:rFonts w:cs="宋体"/>
                <w:bCs/>
                <w:sz w:val="24"/>
              </w:rPr>
              <w:t>5m</w:t>
            </w:r>
            <w:r>
              <w:rPr>
                <w:rFonts w:cs="宋体"/>
                <w:bCs/>
                <w:sz w:val="24"/>
                <w:vertAlign w:val="superscript"/>
              </w:rPr>
              <w:t>3</w:t>
            </w:r>
            <w:r>
              <w:rPr>
                <w:rFonts w:hint="eastAsia" w:cs="宋体"/>
                <w:bCs/>
                <w:sz w:val="24"/>
              </w:rPr>
              <w:t>化粪池预处理后，进入1座规模为</w:t>
            </w:r>
            <w:r>
              <w:rPr>
                <w:rFonts w:cs="宋体"/>
                <w:bCs/>
                <w:sz w:val="24"/>
              </w:rPr>
              <w:t>3m</w:t>
            </w:r>
            <w:r>
              <w:rPr>
                <w:rFonts w:cs="宋体"/>
                <w:bCs/>
                <w:sz w:val="24"/>
                <w:vertAlign w:val="superscript"/>
              </w:rPr>
              <w:t>3</w:t>
            </w:r>
            <w:r>
              <w:rPr>
                <w:rFonts w:cs="宋体"/>
                <w:bCs/>
                <w:sz w:val="24"/>
              </w:rPr>
              <w:t>/d</w:t>
            </w:r>
            <w:r>
              <w:rPr>
                <w:rFonts w:hint="eastAsia" w:cs="宋体"/>
                <w:bCs/>
                <w:sz w:val="24"/>
              </w:rPr>
              <w:t>的一体化污水处理站处理达到</w:t>
            </w:r>
            <w:r>
              <w:rPr>
                <w:rFonts w:cs="宋体"/>
                <w:bCs/>
                <w:sz w:val="24"/>
              </w:rPr>
              <w:t>《城市污水再生利用 城市杂用水水质》</w:t>
            </w:r>
            <w:r>
              <w:rPr>
                <w:rFonts w:hint="eastAsia" w:cs="宋体"/>
                <w:bCs/>
                <w:sz w:val="24"/>
              </w:rPr>
              <w:t>（</w:t>
            </w:r>
            <w:r>
              <w:rPr>
                <w:rFonts w:cs="宋体"/>
                <w:bCs/>
                <w:sz w:val="24"/>
              </w:rPr>
              <w:t>GB/T18920-20</w:t>
            </w:r>
            <w:r>
              <w:rPr>
                <w:rFonts w:hint="eastAsia" w:cs="宋体"/>
                <w:bCs/>
                <w:sz w:val="24"/>
              </w:rPr>
              <w:t>20）</w:t>
            </w:r>
            <w:r>
              <w:rPr>
                <w:rFonts w:cs="宋体"/>
                <w:bCs/>
                <w:sz w:val="24"/>
              </w:rPr>
              <w:t>中绿化标准后</w:t>
            </w:r>
            <w:r>
              <w:rPr>
                <w:rFonts w:hint="eastAsia" w:cs="宋体"/>
                <w:bCs/>
                <w:sz w:val="24"/>
              </w:rPr>
              <w:t>全部</w:t>
            </w:r>
            <w:r>
              <w:rPr>
                <w:rFonts w:cs="宋体"/>
                <w:bCs/>
                <w:sz w:val="24"/>
              </w:rPr>
              <w:t>回用于</w:t>
            </w:r>
            <w:r>
              <w:rPr>
                <w:rFonts w:hint="eastAsia" w:cs="宋体"/>
                <w:bCs/>
                <w:sz w:val="24"/>
              </w:rPr>
              <w:t>开关站周边</w:t>
            </w:r>
            <w:r>
              <w:rPr>
                <w:rFonts w:cs="宋体"/>
                <w:bCs/>
                <w:sz w:val="24"/>
              </w:rPr>
              <w:t>绿化，</w:t>
            </w:r>
            <w:r>
              <w:rPr>
                <w:rFonts w:hint="eastAsia" w:cs="宋体"/>
                <w:bCs/>
                <w:sz w:val="24"/>
              </w:rPr>
              <w:t>雨天暂存在1个1</w:t>
            </w:r>
            <w:r>
              <w:rPr>
                <w:rFonts w:cs="宋体"/>
                <w:bCs/>
                <w:sz w:val="24"/>
              </w:rPr>
              <w:t>0m</w:t>
            </w:r>
            <w:r>
              <w:rPr>
                <w:rFonts w:cs="宋体"/>
                <w:bCs/>
                <w:sz w:val="24"/>
                <w:vertAlign w:val="superscript"/>
              </w:rPr>
              <w:t>3</w:t>
            </w:r>
            <w:r>
              <w:rPr>
                <w:rFonts w:hint="eastAsia" w:cs="宋体"/>
                <w:bCs/>
                <w:sz w:val="24"/>
              </w:rPr>
              <w:t>的中水暂存池内，</w:t>
            </w:r>
            <w:r>
              <w:rPr>
                <w:rFonts w:cs="宋体"/>
                <w:bCs/>
                <w:sz w:val="24"/>
              </w:rPr>
              <w:t>不外排。</w:t>
            </w:r>
          </w:p>
          <w:p>
            <w:pPr>
              <w:adjustRightInd w:val="0"/>
              <w:spacing w:line="360" w:lineRule="auto"/>
              <w:ind w:firstLine="480" w:firstLineChars="200"/>
              <w:rPr>
                <w:rFonts w:cs="宋体"/>
                <w:bCs/>
                <w:sz w:val="24"/>
              </w:rPr>
            </w:pPr>
            <w:r>
              <w:rPr>
                <w:rFonts w:hint="eastAsia" w:cs="宋体"/>
                <w:bCs/>
                <w:sz w:val="24"/>
              </w:rPr>
              <w:t>（2）太阳能</w:t>
            </w:r>
            <w:r>
              <w:rPr>
                <w:rFonts w:cs="宋体"/>
                <w:bCs/>
                <w:sz w:val="24"/>
              </w:rPr>
              <w:t>电池板尽</w:t>
            </w:r>
            <w:r>
              <w:rPr>
                <w:rFonts w:hint="eastAsia" w:cs="宋体"/>
                <w:bCs/>
                <w:sz w:val="24"/>
              </w:rPr>
              <w:t>量</w:t>
            </w:r>
            <w:r>
              <w:rPr>
                <w:rFonts w:cs="宋体"/>
                <w:bCs/>
                <w:sz w:val="24"/>
              </w:rPr>
              <w:t>在旱季进行清洗，产生的清洗废水全部回用于场区绿化，不外排。</w:t>
            </w:r>
          </w:p>
          <w:p>
            <w:pPr>
              <w:adjustRightInd w:val="0"/>
              <w:spacing w:line="360" w:lineRule="auto"/>
              <w:ind w:firstLine="480" w:firstLineChars="200"/>
              <w:rPr>
                <w:rFonts w:cs="宋体"/>
                <w:bCs/>
                <w:sz w:val="24"/>
              </w:rPr>
            </w:pPr>
            <w:r>
              <w:rPr>
                <w:rFonts w:cs="宋体"/>
                <w:bCs/>
                <w:sz w:val="24"/>
              </w:rPr>
              <w:t>（</w:t>
            </w:r>
            <w:r>
              <w:rPr>
                <w:rFonts w:hint="eastAsia" w:cs="宋体"/>
                <w:bCs/>
                <w:sz w:val="24"/>
              </w:rPr>
              <w:t>3</w:t>
            </w:r>
            <w:r>
              <w:rPr>
                <w:rFonts w:cs="宋体"/>
                <w:bCs/>
                <w:sz w:val="24"/>
              </w:rPr>
              <w:t>）应定期对化粪池、隔油池进行清掏</w:t>
            </w:r>
            <w:r>
              <w:rPr>
                <w:rFonts w:hint="eastAsia" w:cs="宋体"/>
                <w:bCs/>
                <w:sz w:val="24"/>
              </w:rPr>
              <w:t>，</w:t>
            </w:r>
            <w:r>
              <w:rPr>
                <w:rFonts w:cs="宋体"/>
                <w:bCs/>
                <w:sz w:val="24"/>
              </w:rPr>
              <w:t>定期检修</w:t>
            </w:r>
            <w:r>
              <w:rPr>
                <w:rFonts w:hint="eastAsia" w:cs="宋体"/>
                <w:bCs/>
                <w:sz w:val="24"/>
              </w:rPr>
              <w:t>污水</w:t>
            </w:r>
            <w:r>
              <w:rPr>
                <w:rFonts w:cs="宋体"/>
                <w:bCs/>
                <w:sz w:val="24"/>
              </w:rPr>
              <w:t>处理设施，建立污水处理设施管理制度，以保障污水处理设施的处理效果</w:t>
            </w:r>
            <w:r>
              <w:rPr>
                <w:rFonts w:hint="eastAsia" w:cs="宋体"/>
                <w:bCs/>
                <w:sz w:val="24"/>
              </w:rPr>
              <w:t>。</w:t>
            </w:r>
          </w:p>
          <w:p>
            <w:pPr>
              <w:adjustRightInd w:val="0"/>
              <w:spacing w:line="360" w:lineRule="auto"/>
              <w:rPr>
                <w:b/>
                <w:bCs/>
                <w:sz w:val="24"/>
              </w:rPr>
            </w:pPr>
            <w:r>
              <w:rPr>
                <w:b/>
                <w:bCs/>
                <w:sz w:val="24"/>
              </w:rPr>
              <w:t>4</w:t>
            </w:r>
            <w:r>
              <w:rPr>
                <w:rFonts w:hint="eastAsia"/>
                <w:b/>
                <w:bCs/>
                <w:sz w:val="24"/>
              </w:rPr>
              <w:t>、运营期声环境保护措施</w:t>
            </w:r>
          </w:p>
          <w:p>
            <w:pPr>
              <w:adjustRightInd w:val="0"/>
              <w:spacing w:line="360" w:lineRule="auto"/>
              <w:ind w:firstLine="480" w:firstLineChars="200"/>
              <w:rPr>
                <w:sz w:val="24"/>
              </w:rPr>
            </w:pPr>
            <w:r>
              <w:rPr>
                <w:rFonts w:hint="eastAsia"/>
                <w:sz w:val="24"/>
              </w:rPr>
              <w:t>（1）选用低噪声设备，从声源处降低噪声强度。</w:t>
            </w:r>
          </w:p>
          <w:p>
            <w:pPr>
              <w:adjustRightInd w:val="0"/>
              <w:spacing w:line="360" w:lineRule="auto"/>
              <w:ind w:firstLine="480" w:firstLineChars="200"/>
              <w:rPr>
                <w:sz w:val="24"/>
              </w:rPr>
            </w:pPr>
            <w:r>
              <w:rPr>
                <w:rFonts w:hint="eastAsia"/>
                <w:sz w:val="24"/>
              </w:rPr>
              <w:t>（2）在噪声传播途径上，采取措施加以控制，尽可能将高噪声设备设置在密闭房间内。</w:t>
            </w:r>
          </w:p>
          <w:p>
            <w:pPr>
              <w:adjustRightInd w:val="0"/>
              <w:spacing w:line="360" w:lineRule="auto"/>
              <w:ind w:firstLine="480" w:firstLineChars="200"/>
              <w:rPr>
                <w:sz w:val="24"/>
              </w:rPr>
            </w:pPr>
            <w:r>
              <w:rPr>
                <w:rFonts w:hint="eastAsia"/>
                <w:sz w:val="24"/>
              </w:rPr>
              <w:t>（3）加强运营管理，加强设备维护，确保设备处于良好的运转状态，杜绝因设备不正常运转时产生的高噪声现象。</w:t>
            </w:r>
          </w:p>
          <w:p>
            <w:pPr>
              <w:adjustRightInd w:val="0"/>
              <w:spacing w:line="360" w:lineRule="auto"/>
              <w:rPr>
                <w:b/>
                <w:bCs/>
                <w:sz w:val="24"/>
              </w:rPr>
            </w:pPr>
            <w:r>
              <w:rPr>
                <w:b/>
                <w:bCs/>
                <w:sz w:val="24"/>
              </w:rPr>
              <w:t>5</w:t>
            </w:r>
            <w:r>
              <w:rPr>
                <w:rFonts w:hint="eastAsia"/>
                <w:b/>
                <w:bCs/>
                <w:sz w:val="24"/>
              </w:rPr>
              <w:t>、固体废物污染防治措施</w:t>
            </w:r>
          </w:p>
          <w:p>
            <w:pPr>
              <w:adjustRightInd w:val="0"/>
              <w:spacing w:line="360" w:lineRule="auto"/>
              <w:ind w:firstLine="480"/>
              <w:rPr>
                <w:sz w:val="24"/>
              </w:rPr>
            </w:pPr>
            <w:r>
              <w:rPr>
                <w:rFonts w:hint="eastAsia"/>
                <w:sz w:val="24"/>
              </w:rPr>
              <w:t>（1）生活垃圾</w:t>
            </w:r>
            <w:r>
              <w:rPr>
                <w:bCs/>
                <w:sz w:val="24"/>
              </w:rPr>
              <w:t>定期</w:t>
            </w:r>
            <w:r>
              <w:rPr>
                <w:rFonts w:hint="eastAsia"/>
                <w:bCs/>
                <w:sz w:val="24"/>
              </w:rPr>
              <w:t>清</w:t>
            </w:r>
            <w:r>
              <w:rPr>
                <w:bCs/>
                <w:sz w:val="24"/>
              </w:rPr>
              <w:t>运至</w:t>
            </w:r>
            <w:r>
              <w:rPr>
                <w:rFonts w:hint="eastAsia"/>
                <w:kern w:val="0"/>
                <w:sz w:val="24"/>
              </w:rPr>
              <w:t>村</w:t>
            </w:r>
            <w:r>
              <w:rPr>
                <w:kern w:val="0"/>
                <w:sz w:val="24"/>
              </w:rPr>
              <w:t>镇垃圾收集点，由当地环卫部门处置</w:t>
            </w:r>
            <w:r>
              <w:rPr>
                <w:rFonts w:hint="eastAsia"/>
                <w:sz w:val="24"/>
              </w:rPr>
              <w:t>。</w:t>
            </w:r>
          </w:p>
          <w:p>
            <w:pPr>
              <w:adjustRightInd w:val="0"/>
              <w:spacing w:line="360" w:lineRule="auto"/>
              <w:ind w:firstLine="480" w:firstLineChars="200"/>
              <w:rPr>
                <w:sz w:val="24"/>
              </w:rPr>
            </w:pPr>
            <w:r>
              <w:rPr>
                <w:sz w:val="24"/>
              </w:rPr>
              <w:t>（</w:t>
            </w:r>
            <w:r>
              <w:rPr>
                <w:rFonts w:hint="eastAsia"/>
                <w:sz w:val="24"/>
              </w:rPr>
              <w:t>2</w:t>
            </w:r>
            <w:r>
              <w:rPr>
                <w:sz w:val="24"/>
              </w:rPr>
              <w:t>）</w:t>
            </w:r>
            <w:r>
              <w:rPr>
                <w:rFonts w:hint="eastAsia"/>
                <w:sz w:val="24"/>
              </w:rPr>
              <w:t>废</w:t>
            </w:r>
            <w:r>
              <w:rPr>
                <w:sz w:val="24"/>
              </w:rPr>
              <w:t>电池板统一作返厂</w:t>
            </w:r>
            <w:r>
              <w:rPr>
                <w:rFonts w:hint="eastAsia"/>
                <w:sz w:val="24"/>
              </w:rPr>
              <w:t>回收</w:t>
            </w:r>
            <w:r>
              <w:rPr>
                <w:sz w:val="24"/>
              </w:rPr>
              <w:t>处理</w:t>
            </w:r>
            <w:r>
              <w:rPr>
                <w:rFonts w:hint="eastAsia"/>
                <w:sz w:val="24"/>
              </w:rPr>
              <w:t>，</w:t>
            </w:r>
            <w:r>
              <w:rPr>
                <w:sz w:val="24"/>
              </w:rPr>
              <w:t>不</w:t>
            </w:r>
            <w:r>
              <w:rPr>
                <w:rFonts w:hint="eastAsia"/>
                <w:sz w:val="24"/>
              </w:rPr>
              <w:t>得</w:t>
            </w:r>
            <w:r>
              <w:rPr>
                <w:sz w:val="24"/>
              </w:rPr>
              <w:t>随意堆放</w:t>
            </w:r>
            <w:r>
              <w:rPr>
                <w:rFonts w:hint="eastAsia"/>
                <w:sz w:val="24"/>
              </w:rPr>
              <w:t>处置和外卖收购商。</w:t>
            </w:r>
          </w:p>
          <w:p>
            <w:pPr>
              <w:adjustRightInd w:val="0"/>
              <w:spacing w:line="360" w:lineRule="auto"/>
              <w:ind w:firstLine="480" w:firstLineChars="200"/>
              <w:rPr>
                <w:bCs/>
                <w:sz w:val="24"/>
              </w:rPr>
            </w:pPr>
            <w:r>
              <w:rPr>
                <w:rFonts w:hint="eastAsia"/>
                <w:sz w:val="24"/>
              </w:rPr>
              <w:t>（3）废矿物油、废铅蓄电池属于危险废物，</w:t>
            </w:r>
            <w:r>
              <w:rPr>
                <w:rFonts w:hint="eastAsia"/>
                <w:bCs/>
                <w:sz w:val="24"/>
              </w:rPr>
              <w:t>收集于专用容器内，在危废库预制舱暂存，定期交有资质单位处置。</w:t>
            </w:r>
          </w:p>
          <w:p>
            <w:pPr>
              <w:adjustRightInd w:val="0"/>
              <w:spacing w:line="360" w:lineRule="auto"/>
              <w:ind w:firstLine="480" w:firstLineChars="200"/>
              <w:rPr>
                <w:sz w:val="24"/>
              </w:rPr>
            </w:pPr>
            <w:r>
              <w:rPr>
                <w:rFonts w:hint="eastAsia"/>
                <w:sz w:val="24"/>
              </w:rPr>
              <w:t>（4）污水处理站污泥</w:t>
            </w:r>
            <w:r>
              <w:rPr>
                <w:sz w:val="24"/>
              </w:rPr>
              <w:t>清掏</w:t>
            </w:r>
            <w:r>
              <w:rPr>
                <w:rFonts w:hint="eastAsia"/>
                <w:sz w:val="24"/>
              </w:rPr>
              <w:t>后用于电站周围植物施肥</w:t>
            </w:r>
            <w:r>
              <w:rPr>
                <w:sz w:val="24"/>
              </w:rPr>
              <w:t>。</w:t>
            </w:r>
          </w:p>
          <w:p>
            <w:pPr>
              <w:adjustRightInd w:val="0"/>
              <w:spacing w:line="360" w:lineRule="auto"/>
              <w:ind w:firstLine="480" w:firstLineChars="200"/>
              <w:rPr>
                <w:rFonts w:cs="宋体"/>
                <w:bCs/>
                <w:sz w:val="24"/>
              </w:rPr>
            </w:pPr>
            <w:r>
              <w:rPr>
                <w:rFonts w:hint="eastAsia"/>
                <w:sz w:val="24"/>
              </w:rPr>
              <w:t>（5）危险废物环境管理要求：</w:t>
            </w:r>
            <w:r>
              <w:rPr>
                <w:rFonts w:hint="eastAsia" w:cs="宋体"/>
                <w:bCs/>
                <w:sz w:val="24"/>
              </w:rPr>
              <w:t>本项目新建4</w:t>
            </w:r>
            <w:r>
              <w:rPr>
                <w:rFonts w:cs="宋体"/>
                <w:bCs/>
                <w:sz w:val="24"/>
              </w:rPr>
              <w:t>5</w:t>
            </w:r>
            <w:r>
              <w:rPr>
                <w:rFonts w:hint="eastAsia" w:cs="宋体"/>
                <w:bCs/>
                <w:sz w:val="24"/>
              </w:rPr>
              <w:t>m</w:t>
            </w:r>
            <w:r>
              <w:rPr>
                <w:rFonts w:cs="宋体"/>
                <w:bCs/>
                <w:sz w:val="24"/>
                <w:vertAlign w:val="superscript"/>
              </w:rPr>
              <w:t>2</w:t>
            </w:r>
            <w:r>
              <w:rPr>
                <w:rFonts w:hint="eastAsia" w:cs="宋体"/>
                <w:bCs/>
                <w:sz w:val="24"/>
              </w:rPr>
              <w:t>预制舱形式的</w:t>
            </w:r>
            <w:r>
              <w:rPr>
                <w:rFonts w:hint="eastAsia"/>
                <w:bCs/>
                <w:sz w:val="24"/>
              </w:rPr>
              <w:t>危险废物贮存库，应</w:t>
            </w:r>
            <w:r>
              <w:rPr>
                <w:rFonts w:hint="eastAsia"/>
                <w:sz w:val="24"/>
              </w:rPr>
              <w:t>能防风、防雨、防流失，</w:t>
            </w:r>
            <w:r>
              <w:rPr>
                <w:rFonts w:hint="eastAsia"/>
                <w:bCs/>
                <w:sz w:val="24"/>
              </w:rPr>
              <w:t>贮存库门口</w:t>
            </w:r>
            <w:r>
              <w:rPr>
                <w:rFonts w:hint="eastAsia" w:cs="宋体"/>
                <w:bCs/>
                <w:sz w:val="24"/>
              </w:rPr>
              <w:t>设置围挡，库内采用隔板分区贮存废矿物油及废蓄电池，严格按照《危险废物贮存污染控制标准》（GB18597-20</w:t>
            </w:r>
            <w:r>
              <w:rPr>
                <w:rFonts w:cs="宋体"/>
                <w:bCs/>
                <w:sz w:val="24"/>
              </w:rPr>
              <w:t>23</w:t>
            </w:r>
            <w:r>
              <w:rPr>
                <w:rFonts w:hint="eastAsia" w:cs="宋体"/>
                <w:bCs/>
                <w:sz w:val="24"/>
              </w:rPr>
              <w:t>）的有关要求进行设计，采用抗渗混凝土、高密度聚乙烯膜、钠基膨润土防水毯或其他防渗性能等效的材料，对地面、墙面裙角、围堰、隔板进行表面防渗处理，并配设醒目的警示标识。危险废物</w:t>
            </w:r>
            <w:r>
              <w:rPr>
                <w:rFonts w:hint="eastAsia"/>
                <w:bCs/>
                <w:sz w:val="24"/>
              </w:rPr>
              <w:t>定期</w:t>
            </w:r>
            <w:r>
              <w:rPr>
                <w:rFonts w:hint="eastAsia" w:cs="宋体"/>
                <w:bCs/>
                <w:sz w:val="24"/>
              </w:rPr>
              <w:t>委托具备相应危废处置资质的单位进行处置，其转移严格按照《危险废物转移管理办法》要求执行。配置人员对危险废物进行收集、暂存和保管。建立危险废物产生记录台账，定期检查自行贮存和处置的危险废物记录及相关证明材料，妥善保存危废转移联单及危废处置协议等相关资料。</w:t>
            </w:r>
          </w:p>
          <w:p>
            <w:pPr>
              <w:adjustRightInd w:val="0"/>
              <w:spacing w:line="360" w:lineRule="auto"/>
              <w:rPr>
                <w:rFonts w:cs="宋体"/>
                <w:b/>
                <w:sz w:val="24"/>
              </w:rPr>
            </w:pPr>
            <w:r>
              <w:rPr>
                <w:rFonts w:cs="宋体"/>
                <w:b/>
                <w:sz w:val="24"/>
              </w:rPr>
              <w:t>6</w:t>
            </w:r>
            <w:r>
              <w:rPr>
                <w:rFonts w:hint="eastAsia" w:cs="宋体"/>
                <w:b/>
                <w:sz w:val="24"/>
              </w:rPr>
              <w:t>、环境风险防范措施</w:t>
            </w:r>
          </w:p>
          <w:p>
            <w:pPr>
              <w:adjustRightInd w:val="0"/>
              <w:spacing w:line="360" w:lineRule="auto"/>
              <w:ind w:firstLine="480" w:firstLineChars="200"/>
              <w:rPr>
                <w:sz w:val="24"/>
              </w:rPr>
            </w:pPr>
            <w:r>
              <w:rPr>
                <w:rFonts w:hint="eastAsia"/>
                <w:sz w:val="24"/>
              </w:rPr>
              <w:t>（1）</w:t>
            </w:r>
            <w:r>
              <w:rPr>
                <w:sz w:val="24"/>
              </w:rPr>
              <w:t>每台35kV箱式变下方设置事故油池（共6个），单个容积为4m</w:t>
            </w:r>
            <w:r>
              <w:rPr>
                <w:sz w:val="24"/>
                <w:vertAlign w:val="superscript"/>
              </w:rPr>
              <w:t>3</w:t>
            </w:r>
            <w:r>
              <w:rPr>
                <w:sz w:val="24"/>
              </w:rPr>
              <w:t>。</w:t>
            </w:r>
          </w:p>
          <w:p>
            <w:pPr>
              <w:adjustRightInd w:val="0"/>
              <w:spacing w:line="360" w:lineRule="auto"/>
              <w:ind w:firstLine="480" w:firstLineChars="200"/>
              <w:textAlignment w:val="baseline"/>
              <w:rPr>
                <w:sz w:val="24"/>
              </w:rPr>
            </w:pPr>
            <w:r>
              <w:rPr>
                <w:rFonts w:hint="eastAsia"/>
                <w:sz w:val="24"/>
              </w:rPr>
              <w:t>（2）</w:t>
            </w:r>
            <w:r>
              <w:rPr>
                <w:sz w:val="24"/>
              </w:rPr>
              <w:t>严格做好分区防渗工程，</w:t>
            </w:r>
            <w:r>
              <w:rPr>
                <w:rFonts w:hint="eastAsia"/>
                <w:sz w:val="24"/>
              </w:rPr>
              <w:t>事故油池当按照《危险废物贮存污染控制标准》（GB18597-2023）要求建设，进行基础防渗处理</w:t>
            </w:r>
            <w:r>
              <w:rPr>
                <w:sz w:val="24"/>
              </w:rPr>
              <w:t>，</w:t>
            </w:r>
            <w:r>
              <w:rPr>
                <w:rFonts w:hint="eastAsia"/>
                <w:sz w:val="24"/>
              </w:rPr>
              <w:t>防渗层为至少1m厚黏土层（渗透系数不大于10</w:t>
            </w:r>
            <w:r>
              <w:rPr>
                <w:rFonts w:hint="eastAsia"/>
                <w:sz w:val="24"/>
                <w:vertAlign w:val="superscript"/>
              </w:rPr>
              <w:t>-7</w:t>
            </w:r>
            <w:r>
              <w:rPr>
                <w:rFonts w:hint="eastAsia"/>
                <w:sz w:val="24"/>
              </w:rPr>
              <w:t>cm/s），或至少2mm厚高密度聚乙烯膜等人工防渗材料（渗透系数不大于10</w:t>
            </w:r>
            <w:r>
              <w:rPr>
                <w:rFonts w:hint="eastAsia"/>
                <w:sz w:val="24"/>
                <w:vertAlign w:val="superscript"/>
              </w:rPr>
              <w:t>-10</w:t>
            </w:r>
            <w:r>
              <w:rPr>
                <w:rFonts w:hint="eastAsia"/>
                <w:sz w:val="24"/>
              </w:rPr>
              <w:t>cm/s），或其他防渗性能等效的材料。</w:t>
            </w:r>
            <w:r>
              <w:rPr>
                <w:sz w:val="24"/>
              </w:rPr>
              <w:t>施工期加强工程监理和环境监理，提高防渗工程质量，做好照片、录像以及相关文字说明等存档资料。</w:t>
            </w:r>
          </w:p>
          <w:p>
            <w:pPr>
              <w:adjustRightInd w:val="0"/>
              <w:spacing w:line="360" w:lineRule="auto"/>
              <w:ind w:firstLine="480" w:firstLineChars="200"/>
              <w:textAlignment w:val="baseline"/>
              <w:rPr>
                <w:sz w:val="24"/>
                <w:lang w:val="zh-CN"/>
              </w:rPr>
            </w:pPr>
            <w:r>
              <w:rPr>
                <w:rFonts w:hint="eastAsia"/>
                <w:sz w:val="24"/>
              </w:rPr>
              <w:t>（3）</w:t>
            </w:r>
            <w:r>
              <w:rPr>
                <w:sz w:val="24"/>
                <w:lang w:val="zh-CN"/>
              </w:rPr>
              <w:t>运营</w:t>
            </w:r>
            <w:r>
              <w:rPr>
                <w:rFonts w:hint="eastAsia"/>
                <w:sz w:val="24"/>
                <w:lang w:val="zh-CN"/>
              </w:rPr>
              <w:t>期</w:t>
            </w:r>
            <w:r>
              <w:rPr>
                <w:sz w:val="24"/>
                <w:lang w:val="zh-CN"/>
              </w:rPr>
              <w:t>定期检查</w:t>
            </w:r>
            <w:r>
              <w:rPr>
                <w:rFonts w:hint="eastAsia"/>
                <w:sz w:val="24"/>
              </w:rPr>
              <w:t>各储存设施</w:t>
            </w:r>
            <w:r>
              <w:rPr>
                <w:sz w:val="24"/>
                <w:lang w:val="zh-CN"/>
              </w:rPr>
              <w:t>，避免出现泄漏等不良情况</w:t>
            </w:r>
            <w:r>
              <w:rPr>
                <w:rFonts w:hint="eastAsia"/>
                <w:sz w:val="24"/>
                <w:lang w:val="zh-CN"/>
              </w:rPr>
              <w:t>。</w:t>
            </w:r>
          </w:p>
          <w:p>
            <w:pPr>
              <w:pStyle w:val="75"/>
              <w:adjustRightInd w:val="0"/>
              <w:ind w:firstLine="470"/>
              <w:jc w:val="both"/>
              <w:rPr>
                <w:szCs w:val="24"/>
              </w:rPr>
            </w:pPr>
            <w:r>
              <w:rPr>
                <w:rFonts w:hint="eastAsia"/>
                <w:szCs w:val="24"/>
              </w:rPr>
              <w:t>（4）危险废物的贮存严格按照《危险废物贮存污染控制标准》（GB18597-20</w:t>
            </w:r>
            <w:r>
              <w:rPr>
                <w:szCs w:val="24"/>
              </w:rPr>
              <w:t>23</w:t>
            </w:r>
            <w:r>
              <w:rPr>
                <w:rFonts w:hint="eastAsia"/>
                <w:szCs w:val="24"/>
              </w:rPr>
              <w:t>）和《危险废物收集、贮存、运输技术规范》（HJ2025-2012）的相关要求执行。</w:t>
            </w:r>
          </w:p>
          <w:p>
            <w:pPr>
              <w:adjustRightInd w:val="0"/>
              <w:spacing w:line="360" w:lineRule="auto"/>
              <w:ind w:firstLine="480"/>
              <w:rPr>
                <w:sz w:val="24"/>
              </w:rPr>
            </w:pPr>
            <w:r>
              <w:rPr>
                <w:rFonts w:hint="eastAsia"/>
                <w:sz w:val="24"/>
              </w:rPr>
              <w:t>（5）</w:t>
            </w:r>
            <w:r>
              <w:rPr>
                <w:sz w:val="24"/>
              </w:rPr>
              <w:t>加强对操作人员的岗位培训，建立健全的环保管理机制和各项环保规章制度，落实岗位环保责任制，加强环境风险防范工作，防止事故排放导致环境问题。</w:t>
            </w:r>
          </w:p>
          <w:p>
            <w:pPr>
              <w:adjustRightInd w:val="0"/>
              <w:spacing w:line="360" w:lineRule="auto"/>
              <w:ind w:firstLine="480"/>
              <w:rPr>
                <w:bCs/>
                <w:sz w:val="24"/>
              </w:rPr>
            </w:pPr>
            <w:r>
              <w:rPr>
                <w:rFonts w:hint="eastAsia"/>
                <w:sz w:val="24"/>
              </w:rPr>
              <w:t>（6）针对本项目可能发生的突发事故，为了将风险事故率降低到最小，建设单位应编制突发环境事件应急预案并报生态环境局备案。</w:t>
            </w:r>
          </w:p>
          <w:p>
            <w:pPr>
              <w:adjustRightInd w:val="0"/>
              <w:spacing w:line="360" w:lineRule="auto"/>
              <w:rPr>
                <w:b/>
                <w:sz w:val="24"/>
                <w:szCs w:val="22"/>
              </w:rPr>
            </w:pPr>
            <w:r>
              <w:rPr>
                <w:b/>
                <w:sz w:val="24"/>
                <w:szCs w:val="22"/>
              </w:rPr>
              <w:t>7</w:t>
            </w:r>
            <w:r>
              <w:rPr>
                <w:rFonts w:hint="eastAsia"/>
                <w:b/>
                <w:sz w:val="24"/>
                <w:szCs w:val="22"/>
              </w:rPr>
              <w:t>、环境管理</w:t>
            </w:r>
          </w:p>
          <w:p>
            <w:pPr>
              <w:widowControl/>
              <w:adjustRightInd w:val="0"/>
              <w:spacing w:line="360" w:lineRule="auto"/>
              <w:ind w:firstLine="480" w:firstLineChars="200"/>
              <w:rPr>
                <w:sz w:val="24"/>
              </w:rPr>
            </w:pPr>
            <w:r>
              <w:rPr>
                <w:sz w:val="24"/>
              </w:rPr>
              <w:t>工程建设单位应组建工程环境保护管理机构，</w:t>
            </w:r>
            <w:r>
              <w:rPr>
                <w:rFonts w:hint="eastAsia"/>
                <w:sz w:val="24"/>
              </w:rPr>
              <w:t>建立环境管理制度，保障环保资金的投入，</w:t>
            </w:r>
            <w:r>
              <w:rPr>
                <w:sz w:val="24"/>
              </w:rPr>
              <w:t>全面领导整个工程施工过程的环境保护工作，认真落实本工程的各项环境保护措施、环境监测计划，保障工程建设和运营符合环保要求。</w:t>
            </w:r>
          </w:p>
          <w:p>
            <w:pPr>
              <w:widowControl/>
              <w:adjustRightInd w:val="0"/>
              <w:spacing w:line="360" w:lineRule="auto"/>
              <w:ind w:firstLine="480" w:firstLineChars="200"/>
              <w:rPr>
                <w:rStyle w:val="77"/>
                <w:sz w:val="24"/>
              </w:rPr>
            </w:pPr>
            <w:r>
              <w:rPr>
                <w:rFonts w:hint="eastAsia"/>
                <w:sz w:val="24"/>
              </w:rPr>
              <w:t>建设单位应组织开展施工期的环境监理工作，将环境监理纳入工程监理一并实施，环境监理内容不限于环评报告和环评批复要求的内容，还包括可研和初设环保篇章等中的环保措施内容，以减少施工期对周围生态环境的影响。</w:t>
            </w:r>
          </w:p>
          <w:p>
            <w:pPr>
              <w:adjustRightInd w:val="0"/>
              <w:spacing w:line="360" w:lineRule="auto"/>
              <w:ind w:firstLine="482" w:firstLineChars="200"/>
              <w:rPr>
                <w:b/>
                <w:sz w:val="24"/>
              </w:rPr>
            </w:pPr>
            <w:r>
              <w:rPr>
                <w:rFonts w:hint="eastAsia"/>
                <w:b/>
                <w:sz w:val="24"/>
              </w:rPr>
              <w:t>（1）监测计划</w:t>
            </w:r>
          </w:p>
          <w:p>
            <w:pPr>
              <w:adjustRightInd w:val="0"/>
              <w:spacing w:line="360" w:lineRule="auto"/>
              <w:ind w:firstLine="480" w:firstLineChars="200"/>
              <w:rPr>
                <w:kern w:val="0"/>
                <w:sz w:val="24"/>
              </w:rPr>
            </w:pPr>
            <w:r>
              <w:rPr>
                <w:rFonts w:hint="eastAsia"/>
                <w:bCs/>
                <w:sz w:val="24"/>
              </w:rPr>
              <w:t>施工期间噪声、扬尘等对周边居民点影响轻微，运营后电池组件清洗废水回用绿化灌溉，不外排，固废能妥善处置，设备噪声对周围环境影响较小，故本次评价未制订施工期环境监测计划，运营期仅制订厂界噪声及回用中水监测计划，</w:t>
            </w:r>
            <w:r>
              <w:rPr>
                <w:kern w:val="0"/>
                <w:sz w:val="24"/>
              </w:rPr>
              <w:t>详见</w:t>
            </w:r>
            <w:r>
              <w:rPr>
                <w:rFonts w:hint="eastAsia"/>
                <w:kern w:val="0"/>
                <w:sz w:val="24"/>
              </w:rPr>
              <w:t>下表</w:t>
            </w:r>
            <w:r>
              <w:rPr>
                <w:kern w:val="0"/>
                <w:sz w:val="24"/>
              </w:rPr>
              <w:t>。</w:t>
            </w:r>
          </w:p>
          <w:p>
            <w:pPr>
              <w:adjustRightInd w:val="0"/>
              <w:jc w:val="center"/>
              <w:rPr>
                <w:b/>
                <w:bCs/>
                <w:szCs w:val="18"/>
              </w:rPr>
            </w:pPr>
            <w:r>
              <w:rPr>
                <w:b/>
                <w:bCs/>
                <w:szCs w:val="18"/>
              </w:rPr>
              <w:t>表5-1 环境监测计划表</w:t>
            </w:r>
          </w:p>
          <w:tbl>
            <w:tblPr>
              <w:tblStyle w:val="44"/>
              <w:tblW w:w="81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20"/>
              <w:gridCol w:w="616"/>
              <w:gridCol w:w="2074"/>
              <w:gridCol w:w="2410"/>
              <w:gridCol w:w="1671"/>
              <w:gridCol w:w="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720" w:type="dxa"/>
                  <w:vAlign w:val="center"/>
                </w:tcPr>
                <w:p>
                  <w:pPr>
                    <w:adjustRightInd w:val="0"/>
                    <w:jc w:val="center"/>
                    <w:rPr>
                      <w:b/>
                      <w:bCs/>
                    </w:rPr>
                  </w:pPr>
                  <w:r>
                    <w:rPr>
                      <w:b/>
                      <w:bCs/>
                    </w:rPr>
                    <w:t>时期</w:t>
                  </w:r>
                </w:p>
              </w:tc>
              <w:tc>
                <w:tcPr>
                  <w:tcW w:w="616" w:type="dxa"/>
                  <w:vAlign w:val="center"/>
                </w:tcPr>
                <w:p>
                  <w:pPr>
                    <w:adjustRightInd w:val="0"/>
                    <w:jc w:val="center"/>
                    <w:rPr>
                      <w:b/>
                      <w:bCs/>
                    </w:rPr>
                  </w:pPr>
                  <w:r>
                    <w:rPr>
                      <w:b/>
                      <w:bCs/>
                    </w:rPr>
                    <w:t>监测要素</w:t>
                  </w:r>
                </w:p>
              </w:tc>
              <w:tc>
                <w:tcPr>
                  <w:tcW w:w="2074" w:type="dxa"/>
                  <w:vAlign w:val="center"/>
                </w:tcPr>
                <w:p>
                  <w:pPr>
                    <w:adjustRightInd w:val="0"/>
                    <w:jc w:val="center"/>
                    <w:rPr>
                      <w:b/>
                      <w:bCs/>
                    </w:rPr>
                  </w:pPr>
                  <w:r>
                    <w:rPr>
                      <w:b/>
                      <w:bCs/>
                    </w:rPr>
                    <w:t>监测点</w:t>
                  </w:r>
                </w:p>
              </w:tc>
              <w:tc>
                <w:tcPr>
                  <w:tcW w:w="2410" w:type="dxa"/>
                  <w:vAlign w:val="center"/>
                </w:tcPr>
                <w:p>
                  <w:pPr>
                    <w:adjustRightInd w:val="0"/>
                    <w:jc w:val="center"/>
                    <w:rPr>
                      <w:b/>
                      <w:bCs/>
                    </w:rPr>
                  </w:pPr>
                  <w:r>
                    <w:rPr>
                      <w:b/>
                      <w:bCs/>
                    </w:rPr>
                    <w:t>监测</w:t>
                  </w:r>
                  <w:r>
                    <w:rPr>
                      <w:rFonts w:hint="eastAsia"/>
                      <w:b/>
                      <w:bCs/>
                    </w:rPr>
                    <w:t>因子</w:t>
                  </w:r>
                </w:p>
              </w:tc>
              <w:tc>
                <w:tcPr>
                  <w:tcW w:w="1671" w:type="dxa"/>
                  <w:vAlign w:val="center"/>
                </w:tcPr>
                <w:p>
                  <w:pPr>
                    <w:adjustRightInd w:val="0"/>
                    <w:jc w:val="center"/>
                    <w:rPr>
                      <w:b/>
                      <w:bCs/>
                    </w:rPr>
                  </w:pPr>
                  <w:r>
                    <w:rPr>
                      <w:b/>
                      <w:bCs/>
                    </w:rPr>
                    <w:t>监测频率</w:t>
                  </w:r>
                </w:p>
              </w:tc>
              <w:tc>
                <w:tcPr>
                  <w:tcW w:w="697" w:type="dxa"/>
                  <w:vAlign w:val="center"/>
                </w:tcPr>
                <w:p>
                  <w:pPr>
                    <w:adjustRightInd w:val="0"/>
                    <w:jc w:val="center"/>
                    <w:rPr>
                      <w:b/>
                      <w:bCs/>
                    </w:rPr>
                  </w:pPr>
                  <w:r>
                    <w:rPr>
                      <w:b/>
                      <w:bCs/>
                    </w:rPr>
                    <w:t>监测方法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720" w:type="dxa"/>
                  <w:vMerge w:val="restart"/>
                  <w:vAlign w:val="center"/>
                </w:tcPr>
                <w:p>
                  <w:pPr>
                    <w:adjustRightInd w:val="0"/>
                    <w:jc w:val="center"/>
                  </w:pPr>
                  <w:r>
                    <w:t>运营期</w:t>
                  </w:r>
                </w:p>
              </w:tc>
              <w:tc>
                <w:tcPr>
                  <w:tcW w:w="616" w:type="dxa"/>
                  <w:vAlign w:val="center"/>
                </w:tcPr>
                <w:p>
                  <w:pPr>
                    <w:adjustRightInd w:val="0"/>
                    <w:jc w:val="center"/>
                  </w:pPr>
                  <w:r>
                    <w:rPr>
                      <w:rFonts w:hint="eastAsia"/>
                    </w:rPr>
                    <w:t>废水</w:t>
                  </w:r>
                </w:p>
              </w:tc>
              <w:tc>
                <w:tcPr>
                  <w:tcW w:w="2074" w:type="dxa"/>
                  <w:vAlign w:val="center"/>
                </w:tcPr>
                <w:p>
                  <w:pPr>
                    <w:adjustRightInd w:val="0"/>
                    <w:jc w:val="center"/>
                  </w:pPr>
                  <w:r>
                    <w:rPr>
                      <w:rFonts w:hint="eastAsia"/>
                    </w:rPr>
                    <w:t>污水处理设施出水口</w:t>
                  </w:r>
                </w:p>
              </w:tc>
              <w:tc>
                <w:tcPr>
                  <w:tcW w:w="2410" w:type="dxa"/>
                  <w:vAlign w:val="center"/>
                </w:tcPr>
                <w:p>
                  <w:pPr>
                    <w:adjustRightInd w:val="0"/>
                    <w:jc w:val="center"/>
                  </w:pPr>
                  <w:r>
                    <w:rPr>
                      <w:rFonts w:hint="eastAsia"/>
                      <w:szCs w:val="21"/>
                    </w:rPr>
                    <w:t>p</w:t>
                  </w:r>
                  <w:r>
                    <w:rPr>
                      <w:szCs w:val="21"/>
                    </w:rPr>
                    <w:t>H</w:t>
                  </w:r>
                  <w:r>
                    <w:rPr>
                      <w:rFonts w:hint="eastAsia"/>
                      <w:szCs w:val="21"/>
                    </w:rPr>
                    <w:t>、色度、嗅、溶解性总固体、B</w:t>
                  </w:r>
                  <w:r>
                    <w:rPr>
                      <w:szCs w:val="21"/>
                    </w:rPr>
                    <w:t>OD</w:t>
                  </w:r>
                  <w:r>
                    <w:rPr>
                      <w:szCs w:val="21"/>
                      <w:vertAlign w:val="subscript"/>
                    </w:rPr>
                    <w:t>5</w:t>
                  </w:r>
                  <w:r>
                    <w:rPr>
                      <w:rFonts w:hint="eastAsia"/>
                      <w:szCs w:val="21"/>
                    </w:rPr>
                    <w:t>、氨氮、溶解氧、阴离子表面活性剂、大肠埃希氏菌、总氯</w:t>
                  </w:r>
                </w:p>
              </w:tc>
              <w:tc>
                <w:tcPr>
                  <w:tcW w:w="1671" w:type="dxa"/>
                  <w:vAlign w:val="center"/>
                </w:tcPr>
                <w:p>
                  <w:pPr>
                    <w:adjustRightInd w:val="0"/>
                    <w:jc w:val="center"/>
                  </w:pPr>
                  <w:r>
                    <w:rPr>
                      <w:szCs w:val="21"/>
                      <w:lang w:val="zh-CN"/>
                    </w:rPr>
                    <w:t>工程正式投产运行后验收时监测一次</w:t>
                  </w:r>
                  <w:r>
                    <w:rPr>
                      <w:rFonts w:hint="eastAsia"/>
                      <w:szCs w:val="21"/>
                      <w:lang w:val="zh-CN"/>
                    </w:rPr>
                    <w:t>，</w:t>
                  </w:r>
                  <w:r>
                    <w:rPr>
                      <w:szCs w:val="21"/>
                      <w:lang w:val="zh-CN"/>
                    </w:rPr>
                    <w:t>后期</w:t>
                  </w:r>
                  <w:r>
                    <w:rPr>
                      <w:rFonts w:hint="eastAsia"/>
                    </w:rPr>
                    <w:t>每年1次</w:t>
                  </w:r>
                </w:p>
              </w:tc>
              <w:tc>
                <w:tcPr>
                  <w:tcW w:w="697" w:type="dxa"/>
                  <w:vMerge w:val="restart"/>
                  <w:vAlign w:val="center"/>
                </w:tcPr>
                <w:p>
                  <w:pPr>
                    <w:adjustRightInd w:val="0"/>
                    <w:jc w:val="center"/>
                  </w:pPr>
                  <w:r>
                    <w:rPr>
                      <w:rFonts w:hint="eastAsia"/>
                    </w:rPr>
                    <w:t>按国家标准进行监测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0" w:hRule="atLeast"/>
                <w:jc w:val="center"/>
              </w:trPr>
              <w:tc>
                <w:tcPr>
                  <w:tcW w:w="720" w:type="dxa"/>
                  <w:vMerge w:val="continue"/>
                  <w:vAlign w:val="center"/>
                </w:tcPr>
                <w:p>
                  <w:pPr>
                    <w:adjustRightInd w:val="0"/>
                    <w:jc w:val="center"/>
                  </w:pPr>
                </w:p>
              </w:tc>
              <w:tc>
                <w:tcPr>
                  <w:tcW w:w="616" w:type="dxa"/>
                  <w:vAlign w:val="center"/>
                </w:tcPr>
                <w:p>
                  <w:pPr>
                    <w:adjustRightInd w:val="0"/>
                    <w:jc w:val="center"/>
                  </w:pPr>
                  <w:r>
                    <w:t>噪声</w:t>
                  </w:r>
                </w:p>
              </w:tc>
              <w:tc>
                <w:tcPr>
                  <w:tcW w:w="2074" w:type="dxa"/>
                  <w:vAlign w:val="center"/>
                </w:tcPr>
                <w:p>
                  <w:pPr>
                    <w:adjustRightInd w:val="0"/>
                  </w:pPr>
                  <w:r>
                    <w:rPr>
                      <w:rFonts w:hint="eastAsia"/>
                    </w:rPr>
                    <w:t>光伏厂</w:t>
                  </w:r>
                  <w:r>
                    <w:t>界</w:t>
                  </w:r>
                  <w:r>
                    <w:rPr>
                      <w:rFonts w:hint="eastAsia"/>
                    </w:rPr>
                    <w:t>四周靠近噪声源的围栏外1m处各设1个监测点</w:t>
                  </w:r>
                </w:p>
              </w:tc>
              <w:tc>
                <w:tcPr>
                  <w:tcW w:w="2410" w:type="dxa"/>
                  <w:vAlign w:val="center"/>
                </w:tcPr>
                <w:p>
                  <w:pPr>
                    <w:adjustRightInd w:val="0"/>
                    <w:jc w:val="center"/>
                    <w:rPr>
                      <w:szCs w:val="21"/>
                    </w:rPr>
                  </w:pPr>
                  <w:r>
                    <w:rPr>
                      <w:rFonts w:hint="eastAsia"/>
                      <w:szCs w:val="21"/>
                    </w:rPr>
                    <w:t>等效连续A声级</w:t>
                  </w:r>
                </w:p>
              </w:tc>
              <w:tc>
                <w:tcPr>
                  <w:tcW w:w="1671" w:type="dxa"/>
                  <w:vAlign w:val="center"/>
                </w:tcPr>
                <w:p>
                  <w:pPr>
                    <w:adjustRightInd w:val="0"/>
                    <w:jc w:val="center"/>
                  </w:pPr>
                  <w:r>
                    <w:rPr>
                      <w:szCs w:val="21"/>
                      <w:lang w:val="zh-CN"/>
                    </w:rPr>
                    <w:t>工程正式投产运行后验收时监测一次</w:t>
                  </w:r>
                  <w:r>
                    <w:rPr>
                      <w:rFonts w:hint="eastAsia"/>
                      <w:szCs w:val="21"/>
                      <w:lang w:val="zh-CN"/>
                    </w:rPr>
                    <w:t>，</w:t>
                  </w:r>
                  <w:r>
                    <w:rPr>
                      <w:szCs w:val="21"/>
                      <w:lang w:val="zh-CN"/>
                    </w:rPr>
                    <w:t>后期</w:t>
                  </w:r>
                  <w:r>
                    <w:rPr>
                      <w:rFonts w:hint="eastAsia"/>
                      <w:szCs w:val="21"/>
                      <w:lang w:val="zh-CN"/>
                    </w:rPr>
                    <w:t>针对工程</w:t>
                  </w:r>
                  <w:r>
                    <w:rPr>
                      <w:szCs w:val="21"/>
                      <w:lang w:val="zh-CN"/>
                    </w:rPr>
                    <w:t>变化或投诉情况进行监测</w:t>
                  </w:r>
                </w:p>
              </w:tc>
              <w:tc>
                <w:tcPr>
                  <w:tcW w:w="697" w:type="dxa"/>
                  <w:vMerge w:val="continue"/>
                  <w:vAlign w:val="center"/>
                </w:tcPr>
                <w:p>
                  <w:pPr>
                    <w:adjustRightInd w:val="0"/>
                    <w:jc w:val="center"/>
                  </w:pPr>
                </w:p>
              </w:tc>
            </w:tr>
          </w:tbl>
          <w:p>
            <w:pPr>
              <w:adjustRightInd w:val="0"/>
              <w:spacing w:line="360" w:lineRule="auto"/>
              <w:ind w:firstLine="482" w:firstLineChars="200"/>
              <w:rPr>
                <w:b/>
              </w:rPr>
            </w:pPr>
            <w:r>
              <w:rPr>
                <w:rFonts w:hint="eastAsia" w:cs="宋体"/>
                <w:b/>
                <w:sz w:val="24"/>
              </w:rPr>
              <w:t>（2）</w:t>
            </w:r>
            <w:r>
              <w:rPr>
                <w:rFonts w:hint="eastAsia"/>
                <w:b/>
                <w:sz w:val="24"/>
              </w:rPr>
              <w:t>施工监理</w:t>
            </w:r>
          </w:p>
          <w:p>
            <w:pPr>
              <w:adjustRightInd w:val="0"/>
              <w:spacing w:line="360" w:lineRule="auto"/>
              <w:ind w:firstLine="480" w:firstLineChars="200"/>
              <w:rPr>
                <w:sz w:val="24"/>
              </w:rPr>
            </w:pPr>
            <w:r>
              <w:rPr>
                <w:rFonts w:hint="eastAsia"/>
                <w:sz w:val="24"/>
              </w:rPr>
              <w:t>项目施工期环境监理计划见表5-2</w:t>
            </w:r>
            <w:r>
              <w:rPr>
                <w:sz w:val="24"/>
              </w:rPr>
              <w:t>。</w:t>
            </w:r>
          </w:p>
          <w:p>
            <w:pPr>
              <w:jc w:val="center"/>
              <w:rPr>
                <w:b/>
              </w:rPr>
            </w:pPr>
            <w:r>
              <w:rPr>
                <w:b/>
              </w:rPr>
              <w:t>表</w:t>
            </w:r>
            <w:r>
              <w:rPr>
                <w:rFonts w:hint="eastAsia"/>
                <w:b/>
              </w:rPr>
              <w:t>5-2</w:t>
            </w:r>
            <w:r>
              <w:rPr>
                <w:b/>
              </w:rPr>
              <w:t xml:space="preserve">   环境监理计划</w:t>
            </w:r>
            <w:r>
              <w:rPr>
                <w:rFonts w:hint="eastAsia"/>
                <w:b/>
              </w:rPr>
              <w:t>一览</w:t>
            </w:r>
            <w:r>
              <w:rPr>
                <w:b/>
              </w:rPr>
              <w:t>表</w:t>
            </w:r>
          </w:p>
          <w:tbl>
            <w:tblPr>
              <w:tblStyle w:val="44"/>
              <w:tblW w:w="8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2952"/>
              <w:gridCol w:w="1881"/>
              <w:gridCol w:w="1757"/>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65" w:type="dxa"/>
                  <w:vAlign w:val="center"/>
                </w:tcPr>
                <w:p>
                  <w:pPr>
                    <w:adjustRightInd w:val="0"/>
                    <w:jc w:val="center"/>
                    <w:rPr>
                      <w:b/>
                    </w:rPr>
                  </w:pPr>
                  <w:r>
                    <w:rPr>
                      <w:b/>
                    </w:rPr>
                    <w:t>环境</w:t>
                  </w:r>
                </w:p>
                <w:p>
                  <w:pPr>
                    <w:adjustRightInd w:val="0"/>
                    <w:jc w:val="center"/>
                    <w:rPr>
                      <w:b/>
                    </w:rPr>
                  </w:pPr>
                  <w:r>
                    <w:rPr>
                      <w:b/>
                    </w:rPr>
                    <w:t>问题</w:t>
                  </w:r>
                </w:p>
              </w:tc>
              <w:tc>
                <w:tcPr>
                  <w:tcW w:w="2952" w:type="dxa"/>
                  <w:vAlign w:val="center"/>
                </w:tcPr>
                <w:p>
                  <w:pPr>
                    <w:adjustRightInd w:val="0"/>
                    <w:jc w:val="center"/>
                    <w:rPr>
                      <w:b/>
                    </w:rPr>
                  </w:pPr>
                  <w:r>
                    <w:rPr>
                      <w:b/>
                    </w:rPr>
                    <w:t>环保措施要求</w:t>
                  </w:r>
                </w:p>
              </w:tc>
              <w:tc>
                <w:tcPr>
                  <w:tcW w:w="1881" w:type="dxa"/>
                  <w:vAlign w:val="center"/>
                </w:tcPr>
                <w:p>
                  <w:pPr>
                    <w:adjustRightInd w:val="0"/>
                    <w:jc w:val="center"/>
                    <w:rPr>
                      <w:b/>
                    </w:rPr>
                  </w:pPr>
                  <w:r>
                    <w:rPr>
                      <w:b/>
                    </w:rPr>
                    <w:t>预期效果</w:t>
                  </w:r>
                </w:p>
              </w:tc>
              <w:tc>
                <w:tcPr>
                  <w:tcW w:w="1757" w:type="dxa"/>
                  <w:vAlign w:val="center"/>
                </w:tcPr>
                <w:p>
                  <w:pPr>
                    <w:adjustRightInd w:val="0"/>
                    <w:jc w:val="center"/>
                    <w:rPr>
                      <w:b/>
                    </w:rPr>
                  </w:pPr>
                  <w:r>
                    <w:rPr>
                      <w:b/>
                    </w:rPr>
                    <w:t>目标</w:t>
                  </w:r>
                </w:p>
              </w:tc>
              <w:tc>
                <w:tcPr>
                  <w:tcW w:w="884" w:type="dxa"/>
                  <w:vAlign w:val="center"/>
                </w:tcPr>
                <w:p>
                  <w:pPr>
                    <w:adjustRightInd w:val="0"/>
                    <w:jc w:val="center"/>
                    <w:rPr>
                      <w:b/>
                    </w:rPr>
                  </w:pPr>
                  <w:r>
                    <w:rPr>
                      <w:b/>
                    </w:rPr>
                    <w:t>执行单位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65" w:type="dxa"/>
                  <w:vAlign w:val="center"/>
                </w:tcPr>
                <w:p>
                  <w:pPr>
                    <w:adjustRightInd w:val="0"/>
                    <w:jc w:val="center"/>
                  </w:pPr>
                  <w:r>
                    <w:t>废气</w:t>
                  </w:r>
                </w:p>
                <w:p>
                  <w:pPr>
                    <w:adjustRightInd w:val="0"/>
                    <w:jc w:val="center"/>
                  </w:pPr>
                  <w:r>
                    <w:t>污染</w:t>
                  </w:r>
                </w:p>
              </w:tc>
              <w:tc>
                <w:tcPr>
                  <w:tcW w:w="2952" w:type="dxa"/>
                  <w:vAlign w:val="center"/>
                </w:tcPr>
                <w:p>
                  <w:pPr>
                    <w:adjustRightInd w:val="0"/>
                    <w:jc w:val="center"/>
                  </w:pPr>
                  <w:r>
                    <w:t>施工现场洒水降尘，车辆限速、限载和设备维护，合理安排施工时间。</w:t>
                  </w:r>
                </w:p>
              </w:tc>
              <w:tc>
                <w:tcPr>
                  <w:tcW w:w="1881" w:type="dxa"/>
                  <w:vAlign w:val="center"/>
                </w:tcPr>
                <w:p>
                  <w:pPr>
                    <w:adjustRightInd w:val="0"/>
                    <w:jc w:val="center"/>
                  </w:pPr>
                  <w:r>
                    <w:t>一定程度上减少扬尘的产生，减少燃油尾气量。</w:t>
                  </w:r>
                </w:p>
              </w:tc>
              <w:tc>
                <w:tcPr>
                  <w:tcW w:w="1757" w:type="dxa"/>
                  <w:vAlign w:val="center"/>
                </w:tcPr>
                <w:p>
                  <w:pPr>
                    <w:adjustRightInd w:val="0"/>
                    <w:jc w:val="center"/>
                  </w:pPr>
                  <w:r>
                    <w:t>降低施工期扬尘、机械设备燃油尾气对环境保护目标的影响。</w:t>
                  </w:r>
                </w:p>
              </w:tc>
              <w:tc>
                <w:tcPr>
                  <w:tcW w:w="884" w:type="dxa"/>
                  <w:vAlign w:val="center"/>
                </w:tcPr>
                <w:p>
                  <w:pPr>
                    <w:adjustRightInd w:val="0"/>
                    <w:jc w:val="center"/>
                  </w:pPr>
                  <w:r>
                    <w:rPr>
                      <w:rFonts w:hint="eastAsia"/>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65" w:type="dxa"/>
                  <w:vMerge w:val="restart"/>
                  <w:vAlign w:val="center"/>
                </w:tcPr>
                <w:p>
                  <w:pPr>
                    <w:adjustRightInd w:val="0"/>
                    <w:jc w:val="center"/>
                  </w:pPr>
                  <w:r>
                    <w:t>废水</w:t>
                  </w:r>
                </w:p>
                <w:p>
                  <w:pPr>
                    <w:adjustRightInd w:val="0"/>
                    <w:jc w:val="center"/>
                  </w:pPr>
                  <w:r>
                    <w:t>影响</w:t>
                  </w:r>
                </w:p>
              </w:tc>
              <w:tc>
                <w:tcPr>
                  <w:tcW w:w="2952" w:type="dxa"/>
                  <w:vAlign w:val="center"/>
                </w:tcPr>
                <w:p>
                  <w:pPr>
                    <w:adjustRightInd w:val="0"/>
                    <w:jc w:val="center"/>
                  </w:pPr>
                  <w:r>
                    <w:t>施工废水设沉淀池收集沉淀后回用于施工过程及洒水降尘</w:t>
                  </w:r>
                </w:p>
              </w:tc>
              <w:tc>
                <w:tcPr>
                  <w:tcW w:w="1881" w:type="dxa"/>
                  <w:vAlign w:val="center"/>
                </w:tcPr>
                <w:p>
                  <w:pPr>
                    <w:adjustRightInd w:val="0"/>
                    <w:jc w:val="center"/>
                  </w:pPr>
                  <w:r>
                    <w:t>废水不外排</w:t>
                  </w:r>
                </w:p>
              </w:tc>
              <w:tc>
                <w:tcPr>
                  <w:tcW w:w="1757" w:type="dxa"/>
                  <w:vMerge w:val="restart"/>
                  <w:vAlign w:val="center"/>
                </w:tcPr>
                <w:p>
                  <w:pPr>
                    <w:adjustRightInd w:val="0"/>
                    <w:jc w:val="center"/>
                  </w:pPr>
                  <w:r>
                    <w:t>防止施工废水进入</w:t>
                  </w:r>
                  <w:r>
                    <w:rPr>
                      <w:rFonts w:hint="eastAsia"/>
                    </w:rPr>
                    <w:t>周边地表水</w:t>
                  </w:r>
                </w:p>
              </w:tc>
              <w:tc>
                <w:tcPr>
                  <w:tcW w:w="884" w:type="dxa"/>
                  <w:vMerge w:val="restart"/>
                  <w:vAlign w:val="center"/>
                </w:tcPr>
                <w:p>
                  <w:pPr>
                    <w:adjustRightInd w:val="0"/>
                    <w:jc w:val="center"/>
                  </w:pPr>
                  <w: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65" w:type="dxa"/>
                  <w:vMerge w:val="continue"/>
                  <w:vAlign w:val="center"/>
                </w:tcPr>
                <w:p>
                  <w:pPr>
                    <w:adjustRightInd w:val="0"/>
                    <w:jc w:val="center"/>
                  </w:pPr>
                </w:p>
              </w:tc>
              <w:tc>
                <w:tcPr>
                  <w:tcW w:w="2952" w:type="dxa"/>
                  <w:tcBorders>
                    <w:bottom w:val="single" w:color="000000" w:sz="4" w:space="0"/>
                  </w:tcBorders>
                  <w:vAlign w:val="center"/>
                </w:tcPr>
                <w:p>
                  <w:pPr>
                    <w:adjustRightInd w:val="0"/>
                    <w:jc w:val="center"/>
                  </w:pPr>
                  <w:r>
                    <w:t>生活废水沉淀后回用于场地降尘。</w:t>
                  </w:r>
                </w:p>
              </w:tc>
              <w:tc>
                <w:tcPr>
                  <w:tcW w:w="1881" w:type="dxa"/>
                  <w:tcBorders>
                    <w:bottom w:val="single" w:color="000000" w:sz="4" w:space="0"/>
                  </w:tcBorders>
                  <w:vAlign w:val="center"/>
                </w:tcPr>
                <w:p>
                  <w:pPr>
                    <w:adjustRightInd w:val="0"/>
                    <w:jc w:val="center"/>
                  </w:pPr>
                  <w:r>
                    <w:t>废水不外排</w:t>
                  </w:r>
                </w:p>
              </w:tc>
              <w:tc>
                <w:tcPr>
                  <w:tcW w:w="1757" w:type="dxa"/>
                  <w:vMerge w:val="continue"/>
                  <w:vAlign w:val="center"/>
                </w:tcPr>
                <w:p>
                  <w:pPr>
                    <w:adjustRightInd w:val="0"/>
                    <w:jc w:val="center"/>
                  </w:pPr>
                </w:p>
              </w:tc>
              <w:tc>
                <w:tcPr>
                  <w:tcW w:w="884" w:type="dxa"/>
                  <w:vMerge w:val="continue"/>
                  <w:vAlign w:val="center"/>
                </w:tcPr>
                <w:p>
                  <w:pPr>
                    <w:adjustRightInd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65" w:type="dxa"/>
                  <w:vAlign w:val="center"/>
                </w:tcPr>
                <w:p>
                  <w:pPr>
                    <w:adjustRightInd w:val="0"/>
                    <w:jc w:val="center"/>
                  </w:pPr>
                  <w:r>
                    <w:t>噪声</w:t>
                  </w:r>
                </w:p>
                <w:p>
                  <w:pPr>
                    <w:adjustRightInd w:val="0"/>
                    <w:jc w:val="center"/>
                  </w:pPr>
                  <w:r>
                    <w:t>影响</w:t>
                  </w:r>
                </w:p>
              </w:tc>
              <w:tc>
                <w:tcPr>
                  <w:tcW w:w="2952" w:type="dxa"/>
                  <w:tcBorders>
                    <w:bottom w:val="single" w:color="000000" w:sz="4" w:space="0"/>
                  </w:tcBorders>
                  <w:vAlign w:val="center"/>
                </w:tcPr>
                <w:p>
                  <w:pPr>
                    <w:autoSpaceDE w:val="0"/>
                    <w:autoSpaceDN w:val="0"/>
                    <w:adjustRightInd w:val="0"/>
                    <w:jc w:val="center"/>
                  </w:pPr>
                  <w:r>
                    <w:t>选择低噪声设备；运输车辆</w:t>
                  </w:r>
                  <w:r>
                    <w:rPr>
                      <w:rFonts w:hint="eastAsia"/>
                    </w:rPr>
                    <w:t>经过周边村庄</w:t>
                  </w:r>
                  <w:r>
                    <w:t>禁止鸣笛，对噪声大设备进行减震，禁止夜间施工。</w:t>
                  </w:r>
                </w:p>
              </w:tc>
              <w:tc>
                <w:tcPr>
                  <w:tcW w:w="1881" w:type="dxa"/>
                  <w:tcBorders>
                    <w:bottom w:val="single" w:color="000000" w:sz="4" w:space="0"/>
                  </w:tcBorders>
                  <w:vAlign w:val="center"/>
                </w:tcPr>
                <w:p>
                  <w:pPr>
                    <w:adjustRightInd w:val="0"/>
                    <w:jc w:val="center"/>
                  </w:pPr>
                  <w:r>
                    <w:t>噪声排放达到《建筑施工场界环境噪声排放标准》</w:t>
                  </w:r>
                  <w:r>
                    <w:rPr>
                      <w:rFonts w:hint="eastAsia"/>
                    </w:rPr>
                    <w:t>（</w:t>
                  </w:r>
                  <w:r>
                    <w:t>GB12523-2011</w:t>
                  </w:r>
                  <w:r>
                    <w:rPr>
                      <w:rFonts w:hint="eastAsia"/>
                    </w:rPr>
                    <w:t>）</w:t>
                  </w:r>
                  <w:r>
                    <w:t>标准</w:t>
                  </w:r>
                </w:p>
              </w:tc>
              <w:tc>
                <w:tcPr>
                  <w:tcW w:w="1757" w:type="dxa"/>
                  <w:vAlign w:val="center"/>
                </w:tcPr>
                <w:p>
                  <w:pPr>
                    <w:adjustRightInd w:val="0"/>
                    <w:jc w:val="center"/>
                  </w:pPr>
                  <w:r>
                    <w:t>降低施工期噪声对环境保护目标的影响</w:t>
                  </w:r>
                </w:p>
              </w:tc>
              <w:tc>
                <w:tcPr>
                  <w:tcW w:w="884" w:type="dxa"/>
                  <w:vAlign w:val="center"/>
                </w:tcPr>
                <w:p>
                  <w:pPr>
                    <w:adjustRightInd w:val="0"/>
                    <w:jc w:val="center"/>
                  </w:pPr>
                  <w: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65" w:type="dxa"/>
                  <w:vAlign w:val="center"/>
                </w:tcPr>
                <w:p>
                  <w:pPr>
                    <w:adjustRightInd w:val="0"/>
                    <w:jc w:val="center"/>
                  </w:pPr>
                  <w:r>
                    <w:t>固废</w:t>
                  </w:r>
                </w:p>
                <w:p>
                  <w:pPr>
                    <w:adjustRightInd w:val="0"/>
                    <w:jc w:val="center"/>
                  </w:pPr>
                  <w:r>
                    <w:t>影响</w:t>
                  </w:r>
                </w:p>
              </w:tc>
              <w:tc>
                <w:tcPr>
                  <w:tcW w:w="2952" w:type="dxa"/>
                  <w:vAlign w:val="center"/>
                </w:tcPr>
                <w:p>
                  <w:pPr>
                    <w:adjustRightInd w:val="0"/>
                    <w:jc w:val="center"/>
                  </w:pPr>
                  <w:r>
                    <w:t>开挖土石方于施工现场临时堆存，用篷布覆盖，及时回填；建筑垃圾，</w:t>
                  </w:r>
                  <w:r>
                    <w:rPr>
                      <w:bCs/>
                    </w:rPr>
                    <w:t>能回收利用的回收利用，不能回收的</w:t>
                  </w:r>
                  <w:r>
                    <w:rPr>
                      <w:rFonts w:hint="eastAsia"/>
                      <w:bCs/>
                    </w:rPr>
                    <w:t>运至政府指定地点处置</w:t>
                  </w:r>
                  <w:r>
                    <w:rPr>
                      <w:bCs/>
                    </w:rPr>
                    <w:t>。</w:t>
                  </w:r>
                </w:p>
              </w:tc>
              <w:tc>
                <w:tcPr>
                  <w:tcW w:w="1881" w:type="dxa"/>
                  <w:vAlign w:val="center"/>
                </w:tcPr>
                <w:p>
                  <w:pPr>
                    <w:adjustRightInd w:val="0"/>
                    <w:jc w:val="center"/>
                  </w:pPr>
                  <w:r>
                    <w:t>处置率100%</w:t>
                  </w:r>
                </w:p>
              </w:tc>
              <w:tc>
                <w:tcPr>
                  <w:tcW w:w="1757" w:type="dxa"/>
                  <w:vAlign w:val="center"/>
                </w:tcPr>
                <w:p>
                  <w:pPr>
                    <w:adjustRightInd w:val="0"/>
                    <w:jc w:val="center"/>
                  </w:pPr>
                  <w:r>
                    <w:t>防治水土流失，保持环境整洁</w:t>
                  </w:r>
                </w:p>
              </w:tc>
              <w:tc>
                <w:tcPr>
                  <w:tcW w:w="884" w:type="dxa"/>
                  <w:vAlign w:val="center"/>
                </w:tcPr>
                <w:p>
                  <w:pPr>
                    <w:adjustRightInd w:val="0"/>
                    <w:jc w:val="center"/>
                  </w:pPr>
                  <w: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65" w:type="dxa"/>
                  <w:vAlign w:val="center"/>
                </w:tcPr>
                <w:p>
                  <w:pPr>
                    <w:adjustRightInd w:val="0"/>
                    <w:jc w:val="center"/>
                  </w:pPr>
                  <w:r>
                    <w:t>生态保护</w:t>
                  </w:r>
                </w:p>
              </w:tc>
              <w:tc>
                <w:tcPr>
                  <w:tcW w:w="2952" w:type="dxa"/>
                  <w:vAlign w:val="center"/>
                </w:tcPr>
                <w:p>
                  <w:pPr>
                    <w:adjustRightInd w:val="0"/>
                    <w:jc w:val="center"/>
                  </w:pPr>
                  <w:r>
                    <w:t>禁止破坏项目规划范围外的植被。加强施工管理，</w:t>
                  </w:r>
                </w:p>
              </w:tc>
              <w:tc>
                <w:tcPr>
                  <w:tcW w:w="1881" w:type="dxa"/>
                  <w:vAlign w:val="center"/>
                </w:tcPr>
                <w:p>
                  <w:pPr>
                    <w:adjustRightInd w:val="0"/>
                    <w:jc w:val="center"/>
                  </w:pPr>
                  <w:r>
                    <w:t>减小施工期对生态环境的影响</w:t>
                  </w:r>
                </w:p>
              </w:tc>
              <w:tc>
                <w:tcPr>
                  <w:tcW w:w="1757" w:type="dxa"/>
                  <w:vAlign w:val="center"/>
                </w:tcPr>
                <w:p>
                  <w:pPr>
                    <w:adjustRightInd w:val="0"/>
                    <w:jc w:val="center"/>
                  </w:pPr>
                  <w:r>
                    <w:t>将施工期生态环境影响降至最低</w:t>
                  </w:r>
                </w:p>
              </w:tc>
              <w:tc>
                <w:tcPr>
                  <w:tcW w:w="884" w:type="dxa"/>
                  <w:vAlign w:val="center"/>
                </w:tcPr>
                <w:p>
                  <w:pPr>
                    <w:adjustRightInd w:val="0"/>
                    <w:jc w:val="center"/>
                  </w:pPr>
                  <w:r>
                    <w:t>监理单位</w:t>
                  </w:r>
                </w:p>
              </w:tc>
            </w:tr>
          </w:tbl>
          <w:p>
            <w:pPr>
              <w:adjustRightInd w:val="0"/>
              <w:spacing w:line="360" w:lineRule="auto"/>
              <w:rPr>
                <w:rFonts w:cs="宋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680" w:type="dxa"/>
            <w:vAlign w:val="center"/>
          </w:tcPr>
          <w:p>
            <w:pPr>
              <w:adjustRightInd w:val="0"/>
              <w:jc w:val="center"/>
              <w:rPr>
                <w:rFonts w:ascii="宋体" w:hAnsi="宋体" w:cs="宋体"/>
                <w:bCs/>
                <w:szCs w:val="21"/>
              </w:rPr>
            </w:pPr>
            <w:r>
              <w:rPr>
                <w:rFonts w:hint="eastAsia" w:ascii="宋体" w:hAnsi="宋体"/>
                <w:bCs/>
                <w:szCs w:val="21"/>
              </w:rPr>
              <w:t>其他</w:t>
            </w:r>
          </w:p>
        </w:tc>
        <w:tc>
          <w:tcPr>
            <w:tcW w:w="8391" w:type="dxa"/>
            <w:vAlign w:val="center"/>
          </w:tcPr>
          <w:p>
            <w:pPr>
              <w:adjustRightInd w:val="0"/>
              <w:spacing w:line="360" w:lineRule="auto"/>
              <w:rPr>
                <w:b/>
                <w:spacing w:val="10"/>
                <w:sz w:val="24"/>
              </w:rPr>
            </w:pPr>
            <w:r>
              <w:rPr>
                <w:b/>
                <w:spacing w:val="10"/>
                <w:sz w:val="24"/>
              </w:rPr>
              <w:t>1、服务期满后若不再发电的环境恢复措施：</w:t>
            </w:r>
          </w:p>
          <w:p>
            <w:pPr>
              <w:adjustRightInd w:val="0"/>
              <w:spacing w:line="360" w:lineRule="auto"/>
              <w:ind w:firstLine="520" w:firstLineChars="200"/>
              <w:rPr>
                <w:bCs/>
                <w:spacing w:val="10"/>
                <w:sz w:val="24"/>
              </w:rPr>
            </w:pPr>
            <w:r>
              <w:rPr>
                <w:bCs/>
                <w:spacing w:val="10"/>
                <w:sz w:val="24"/>
              </w:rPr>
              <w:t>（1）掘除硬化地面基础，对场地进行植被恢复；拆除过程中应尽量减小对土地的扰动，对于项目场区原绿化土地应保留。</w:t>
            </w:r>
          </w:p>
          <w:p>
            <w:pPr>
              <w:adjustRightInd w:val="0"/>
              <w:spacing w:line="360" w:lineRule="auto"/>
              <w:ind w:firstLine="520" w:firstLineChars="200"/>
              <w:rPr>
                <w:bCs/>
                <w:spacing w:val="10"/>
                <w:sz w:val="24"/>
              </w:rPr>
            </w:pPr>
            <w:r>
              <w:rPr>
                <w:bCs/>
                <w:spacing w:val="10"/>
                <w:sz w:val="24"/>
              </w:rPr>
              <w:t>（2）掘除光伏方阵区混凝土的基础部分场地应进行恢复，覆土厚度30cm，并将光伏方阵区侵蚀沟和低洼区域填土、平整，恢复后的场地进行洒水和压实，以固结地表，防止产生扬尘和对土壤的风蚀，对于少量不能进行植被恢复的区域，进行平整压实，以减轻水土流失。光伏电站在服务期满后，要严格采取固废处置及生态恢复的环保措施，确保无遗留环保问题。</w:t>
            </w:r>
          </w:p>
          <w:p>
            <w:pPr>
              <w:adjustRightInd w:val="0"/>
              <w:spacing w:line="360" w:lineRule="auto"/>
              <w:rPr>
                <w:b/>
                <w:spacing w:val="10"/>
                <w:sz w:val="24"/>
              </w:rPr>
            </w:pPr>
            <w:r>
              <w:rPr>
                <w:b/>
                <w:spacing w:val="10"/>
                <w:sz w:val="24"/>
              </w:rPr>
              <w:t>2、服务期满后若需继续发电的措施：</w:t>
            </w:r>
          </w:p>
          <w:p>
            <w:pPr>
              <w:adjustRightInd w:val="0"/>
              <w:spacing w:line="360" w:lineRule="auto"/>
              <w:ind w:firstLine="520" w:firstLineChars="200"/>
              <w:rPr>
                <w:bCs/>
                <w:spacing w:val="10"/>
                <w:sz w:val="24"/>
              </w:rPr>
            </w:pPr>
            <w:r>
              <w:rPr>
                <w:bCs/>
                <w:spacing w:val="10"/>
                <w:sz w:val="24"/>
              </w:rPr>
              <w:t>进行检修</w:t>
            </w:r>
            <w:r>
              <w:rPr>
                <w:rFonts w:hint="eastAsia"/>
                <w:bCs/>
                <w:spacing w:val="10"/>
                <w:sz w:val="24"/>
              </w:rPr>
              <w:t>更换</w:t>
            </w:r>
            <w:r>
              <w:rPr>
                <w:bCs/>
                <w:spacing w:val="10"/>
                <w:sz w:val="24"/>
              </w:rPr>
              <w:t>各个设备部件，检修产生的固体废物按运营期产生的固废处理方式处理。</w:t>
            </w:r>
          </w:p>
          <w:p>
            <w:pPr>
              <w:adjustRightInd w:val="0"/>
              <w:spacing w:line="360" w:lineRule="auto"/>
              <w:rPr>
                <w:b/>
                <w:spacing w:val="10"/>
                <w:sz w:val="24"/>
              </w:rPr>
            </w:pPr>
            <w:r>
              <w:rPr>
                <w:b/>
                <w:spacing w:val="10"/>
                <w:sz w:val="24"/>
              </w:rPr>
              <w:t>3、服务期满后的监督管理要求：</w:t>
            </w:r>
          </w:p>
          <w:p>
            <w:pPr>
              <w:adjustRightInd w:val="0"/>
              <w:spacing w:line="360" w:lineRule="auto"/>
              <w:ind w:firstLine="520" w:firstLineChars="200"/>
              <w:rPr>
                <w:rFonts w:ascii="宋体" w:hAnsi="宋体" w:cs="宋体"/>
                <w:bCs/>
                <w:szCs w:val="21"/>
              </w:rPr>
            </w:pPr>
            <w:r>
              <w:rPr>
                <w:bCs/>
                <w:spacing w:val="10"/>
                <w:sz w:val="24"/>
              </w:rPr>
              <w:t>服务期满后需加强对固体废物的监督管理，严禁随意丢弃；做好生态恢复工作，维护工程区生态环境质量，协助地方政府部门做好工程用地后续处置相关事宜。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680" w:type="dxa"/>
            <w:vAlign w:val="center"/>
          </w:tcPr>
          <w:p>
            <w:pPr>
              <w:adjustRightInd w:val="0"/>
              <w:jc w:val="center"/>
              <w:rPr>
                <w:rFonts w:ascii="宋体" w:hAnsi="宋体" w:cs="宋体"/>
                <w:bCs/>
                <w:szCs w:val="21"/>
              </w:rPr>
            </w:pPr>
            <w:r>
              <w:rPr>
                <w:rFonts w:hint="eastAsia" w:ascii="宋体" w:hAnsi="宋体"/>
                <w:bCs/>
                <w:szCs w:val="21"/>
              </w:rPr>
              <w:t>环保投资</w:t>
            </w:r>
          </w:p>
        </w:tc>
        <w:tc>
          <w:tcPr>
            <w:tcW w:w="8391" w:type="dxa"/>
          </w:tcPr>
          <w:p>
            <w:pPr>
              <w:adjustRightInd w:val="0"/>
              <w:spacing w:line="360" w:lineRule="auto"/>
              <w:ind w:firstLine="480" w:firstLineChars="200"/>
              <w:rPr>
                <w:sz w:val="24"/>
              </w:rPr>
            </w:pPr>
            <w:r>
              <w:rPr>
                <w:rFonts w:hint="eastAsia"/>
                <w:sz w:val="24"/>
              </w:rPr>
              <w:t>本项目总投资</w:t>
            </w:r>
            <w:r>
              <w:rPr>
                <w:sz w:val="24"/>
              </w:rPr>
              <w:t>10428</w:t>
            </w:r>
            <w:r>
              <w:rPr>
                <w:rFonts w:hint="eastAsia"/>
                <w:sz w:val="24"/>
              </w:rPr>
              <w:t>万元，其中环保投资约为</w:t>
            </w:r>
            <w:r>
              <w:rPr>
                <w:sz w:val="24"/>
              </w:rPr>
              <w:t>70.7</w:t>
            </w:r>
            <w:r>
              <w:rPr>
                <w:rFonts w:hint="eastAsia"/>
                <w:sz w:val="24"/>
              </w:rPr>
              <w:t>万元，占总投资的</w:t>
            </w:r>
            <w:r>
              <w:rPr>
                <w:sz w:val="24"/>
              </w:rPr>
              <w:t>0.68</w:t>
            </w:r>
            <w:r>
              <w:rPr>
                <w:rFonts w:hint="eastAsia"/>
                <w:sz w:val="24"/>
              </w:rPr>
              <w:t>%。项目环保投资分项估算见下表。</w:t>
            </w:r>
          </w:p>
          <w:p>
            <w:pPr>
              <w:adjustRightInd w:val="0"/>
              <w:jc w:val="center"/>
              <w:rPr>
                <w:b/>
                <w:szCs w:val="21"/>
              </w:rPr>
            </w:pPr>
            <w:r>
              <w:rPr>
                <w:rFonts w:hint="eastAsia"/>
                <w:b/>
                <w:szCs w:val="21"/>
              </w:rPr>
              <w:t>表</w:t>
            </w:r>
            <w:r>
              <w:rPr>
                <w:b/>
                <w:szCs w:val="21"/>
              </w:rPr>
              <w:t>5-3</w:t>
            </w:r>
            <w:r>
              <w:rPr>
                <w:rFonts w:hint="eastAsia"/>
                <w:b/>
                <w:szCs w:val="21"/>
              </w:rPr>
              <w:t xml:space="preserve">  环保投资估算  （单位：万元）</w:t>
            </w:r>
          </w:p>
          <w:tbl>
            <w:tblPr>
              <w:tblStyle w:val="44"/>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41"/>
              <w:gridCol w:w="3909"/>
              <w:gridCol w:w="141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adjustRightInd w:val="0"/>
                    <w:jc w:val="center"/>
                    <w:rPr>
                      <w:b/>
                      <w:bCs/>
                      <w:szCs w:val="21"/>
                    </w:rPr>
                  </w:pPr>
                  <w:r>
                    <w:rPr>
                      <w:b/>
                      <w:bCs/>
                      <w:szCs w:val="21"/>
                    </w:rPr>
                    <w:t>时段</w:t>
                  </w:r>
                </w:p>
              </w:tc>
              <w:tc>
                <w:tcPr>
                  <w:tcW w:w="841" w:type="dxa"/>
                  <w:vAlign w:val="center"/>
                </w:tcPr>
                <w:p>
                  <w:pPr>
                    <w:adjustRightInd w:val="0"/>
                    <w:jc w:val="center"/>
                    <w:rPr>
                      <w:b/>
                      <w:bCs/>
                      <w:szCs w:val="21"/>
                    </w:rPr>
                  </w:pPr>
                  <w:r>
                    <w:rPr>
                      <w:b/>
                      <w:bCs/>
                      <w:szCs w:val="21"/>
                    </w:rPr>
                    <w:t>项目</w:t>
                  </w:r>
                </w:p>
              </w:tc>
              <w:tc>
                <w:tcPr>
                  <w:tcW w:w="3909" w:type="dxa"/>
                  <w:vAlign w:val="center"/>
                </w:tcPr>
                <w:p>
                  <w:pPr>
                    <w:adjustRightInd w:val="0"/>
                    <w:jc w:val="center"/>
                    <w:rPr>
                      <w:b/>
                      <w:bCs/>
                      <w:szCs w:val="21"/>
                    </w:rPr>
                  </w:pPr>
                  <w:r>
                    <w:rPr>
                      <w:b/>
                      <w:bCs/>
                      <w:szCs w:val="21"/>
                    </w:rPr>
                    <w:t>环保设施</w:t>
                  </w:r>
                </w:p>
              </w:tc>
              <w:tc>
                <w:tcPr>
                  <w:tcW w:w="1417" w:type="dxa"/>
                  <w:vAlign w:val="center"/>
                </w:tcPr>
                <w:p>
                  <w:pPr>
                    <w:adjustRightInd w:val="0"/>
                    <w:jc w:val="center"/>
                    <w:rPr>
                      <w:b/>
                      <w:bCs/>
                      <w:szCs w:val="21"/>
                    </w:rPr>
                  </w:pPr>
                  <w:r>
                    <w:rPr>
                      <w:rFonts w:hint="eastAsia"/>
                      <w:b/>
                      <w:bCs/>
                      <w:szCs w:val="21"/>
                    </w:rPr>
                    <w:t>环保</w:t>
                  </w:r>
                  <w:r>
                    <w:rPr>
                      <w:b/>
                      <w:bCs/>
                      <w:szCs w:val="21"/>
                    </w:rPr>
                    <w:t>投资</w:t>
                  </w:r>
                </w:p>
              </w:tc>
              <w:tc>
                <w:tcPr>
                  <w:tcW w:w="1316" w:type="dxa"/>
                  <w:vAlign w:val="center"/>
                </w:tcPr>
                <w:p>
                  <w:pPr>
                    <w:adjustRightInd w:val="0"/>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adjustRightInd w:val="0"/>
                    <w:jc w:val="center"/>
                    <w:rPr>
                      <w:szCs w:val="21"/>
                    </w:rPr>
                  </w:pPr>
                  <w:r>
                    <w:rPr>
                      <w:szCs w:val="21"/>
                    </w:rPr>
                    <w:t>施工期</w:t>
                  </w:r>
                </w:p>
              </w:tc>
              <w:tc>
                <w:tcPr>
                  <w:tcW w:w="841" w:type="dxa"/>
                  <w:vMerge w:val="restart"/>
                  <w:vAlign w:val="center"/>
                </w:tcPr>
                <w:p>
                  <w:pPr>
                    <w:adjustRightInd w:val="0"/>
                    <w:jc w:val="center"/>
                    <w:rPr>
                      <w:szCs w:val="21"/>
                    </w:rPr>
                  </w:pPr>
                  <w:r>
                    <w:rPr>
                      <w:szCs w:val="21"/>
                    </w:rPr>
                    <w:t>废水</w:t>
                  </w:r>
                </w:p>
              </w:tc>
              <w:tc>
                <w:tcPr>
                  <w:tcW w:w="3909" w:type="dxa"/>
                  <w:vAlign w:val="center"/>
                </w:tcPr>
                <w:p>
                  <w:pPr>
                    <w:adjustRightInd w:val="0"/>
                    <w:jc w:val="center"/>
                    <w:rPr>
                      <w:szCs w:val="21"/>
                    </w:rPr>
                  </w:pPr>
                  <w:r>
                    <w:rPr>
                      <w:rFonts w:hint="eastAsia"/>
                      <w:szCs w:val="21"/>
                    </w:rPr>
                    <w:t>排水沟末端设置废水沉淀池，若干</w:t>
                  </w:r>
                </w:p>
              </w:tc>
              <w:tc>
                <w:tcPr>
                  <w:tcW w:w="1417" w:type="dxa"/>
                  <w:vAlign w:val="center"/>
                </w:tcPr>
                <w:p>
                  <w:pPr>
                    <w:adjustRightInd w:val="0"/>
                    <w:jc w:val="center"/>
                    <w:rPr>
                      <w:szCs w:val="21"/>
                    </w:rPr>
                  </w:pPr>
                  <w:r>
                    <w:rPr>
                      <w:szCs w:val="21"/>
                    </w:rPr>
                    <w:t>1.5</w:t>
                  </w:r>
                </w:p>
              </w:tc>
              <w:tc>
                <w:tcPr>
                  <w:tcW w:w="1316" w:type="dxa"/>
                  <w:vAlign w:val="center"/>
                </w:tcPr>
                <w:p>
                  <w:pPr>
                    <w:adjustRightInd w:val="0"/>
                    <w:jc w:val="center"/>
                    <w:rPr>
                      <w:szCs w:val="21"/>
                    </w:rPr>
                  </w:pPr>
                  <w:r>
                    <w:rPr>
                      <w:rFonts w:hint="eastAsia"/>
                      <w:szCs w:val="21"/>
                    </w:rPr>
                    <w:t>3m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截排水沟</w:t>
                  </w:r>
                </w:p>
              </w:tc>
              <w:tc>
                <w:tcPr>
                  <w:tcW w:w="1417" w:type="dxa"/>
                  <w:vAlign w:val="center"/>
                </w:tcPr>
                <w:p>
                  <w:pPr>
                    <w:adjustRightInd w:val="0"/>
                    <w:jc w:val="center"/>
                    <w:rPr>
                      <w:szCs w:val="21"/>
                    </w:rPr>
                  </w:pPr>
                  <w:r>
                    <w:rPr>
                      <w:szCs w:val="21"/>
                    </w:rPr>
                    <w:t>3</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restart"/>
                  <w:vAlign w:val="center"/>
                </w:tcPr>
                <w:p>
                  <w:pPr>
                    <w:adjustRightInd w:val="0"/>
                    <w:jc w:val="center"/>
                    <w:rPr>
                      <w:szCs w:val="21"/>
                    </w:rPr>
                  </w:pPr>
                  <w:r>
                    <w:rPr>
                      <w:szCs w:val="21"/>
                    </w:rPr>
                    <w:t>废气</w:t>
                  </w:r>
                </w:p>
              </w:tc>
              <w:tc>
                <w:tcPr>
                  <w:tcW w:w="3909" w:type="dxa"/>
                  <w:vAlign w:val="center"/>
                </w:tcPr>
                <w:p>
                  <w:pPr>
                    <w:adjustRightInd w:val="0"/>
                    <w:jc w:val="center"/>
                    <w:rPr>
                      <w:szCs w:val="21"/>
                    </w:rPr>
                  </w:pPr>
                  <w:r>
                    <w:rPr>
                      <w:szCs w:val="21"/>
                    </w:rPr>
                    <w:t>临时堆土场、料场遮盖</w:t>
                  </w:r>
                  <w:r>
                    <w:rPr>
                      <w:rFonts w:hint="eastAsia"/>
                      <w:szCs w:val="21"/>
                    </w:rPr>
                    <w:t>、</w:t>
                  </w:r>
                  <w:r>
                    <w:rPr>
                      <w:szCs w:val="21"/>
                    </w:rPr>
                    <w:t>拦挡</w:t>
                  </w:r>
                </w:p>
              </w:tc>
              <w:tc>
                <w:tcPr>
                  <w:tcW w:w="1417" w:type="dxa"/>
                  <w:vAlign w:val="center"/>
                </w:tcPr>
                <w:p>
                  <w:pPr>
                    <w:adjustRightInd w:val="0"/>
                    <w:jc w:val="center"/>
                    <w:rPr>
                      <w:szCs w:val="21"/>
                    </w:rPr>
                  </w:pPr>
                  <w:r>
                    <w:rPr>
                      <w:szCs w:val="21"/>
                    </w:rPr>
                    <w:t>2</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洒水车1辆</w:t>
                  </w:r>
                </w:p>
              </w:tc>
              <w:tc>
                <w:tcPr>
                  <w:tcW w:w="1417" w:type="dxa"/>
                  <w:vAlign w:val="center"/>
                </w:tcPr>
                <w:p>
                  <w:pPr>
                    <w:adjustRightInd w:val="0"/>
                    <w:jc w:val="center"/>
                    <w:rPr>
                      <w:szCs w:val="21"/>
                    </w:rPr>
                  </w:pPr>
                  <w:r>
                    <w:rPr>
                      <w:rFonts w:hint="eastAsia"/>
                      <w:szCs w:val="21"/>
                    </w:rPr>
                    <w:t>2</w:t>
                  </w:r>
                  <w:r>
                    <w:rPr>
                      <w:szCs w:val="21"/>
                    </w:rPr>
                    <w:t>0</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道</w:t>
                  </w:r>
                  <w:r>
                    <w:rPr>
                      <w:szCs w:val="21"/>
                    </w:rPr>
                    <w:t>路硬化</w:t>
                  </w:r>
                </w:p>
              </w:tc>
              <w:tc>
                <w:tcPr>
                  <w:tcW w:w="1417" w:type="dxa"/>
                  <w:vAlign w:val="center"/>
                </w:tcPr>
                <w:p>
                  <w:pPr>
                    <w:adjustRightInd w:val="0"/>
                    <w:jc w:val="center"/>
                    <w:rPr>
                      <w:szCs w:val="21"/>
                    </w:rPr>
                  </w:pPr>
                  <w:r>
                    <w:rPr>
                      <w:szCs w:val="21"/>
                    </w:rPr>
                    <w:t>4</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restart"/>
                  <w:vAlign w:val="center"/>
                </w:tcPr>
                <w:p>
                  <w:pPr>
                    <w:adjustRightInd w:val="0"/>
                    <w:jc w:val="center"/>
                    <w:rPr>
                      <w:szCs w:val="21"/>
                    </w:rPr>
                  </w:pPr>
                  <w:r>
                    <w:rPr>
                      <w:szCs w:val="21"/>
                    </w:rPr>
                    <w:t>固废</w:t>
                  </w:r>
                </w:p>
              </w:tc>
              <w:tc>
                <w:tcPr>
                  <w:tcW w:w="3909" w:type="dxa"/>
                  <w:vAlign w:val="center"/>
                </w:tcPr>
                <w:p>
                  <w:pPr>
                    <w:adjustRightInd w:val="0"/>
                    <w:jc w:val="center"/>
                    <w:rPr>
                      <w:szCs w:val="21"/>
                    </w:rPr>
                  </w:pPr>
                  <w:r>
                    <w:rPr>
                      <w:rFonts w:hint="eastAsia"/>
                      <w:bCs/>
                      <w:szCs w:val="21"/>
                    </w:rPr>
                    <w:t>垃圾收集桶</w:t>
                  </w:r>
                </w:p>
              </w:tc>
              <w:tc>
                <w:tcPr>
                  <w:tcW w:w="1417" w:type="dxa"/>
                  <w:vAlign w:val="center"/>
                </w:tcPr>
                <w:p>
                  <w:pPr>
                    <w:adjustRightInd w:val="0"/>
                    <w:jc w:val="center"/>
                    <w:rPr>
                      <w:szCs w:val="21"/>
                      <w:highlight w:val="magenta"/>
                    </w:rPr>
                  </w:pPr>
                  <w:r>
                    <w:rPr>
                      <w:szCs w:val="21"/>
                    </w:rPr>
                    <w:t>0.1</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szCs w:val="21"/>
                    </w:rPr>
                    <w:t>建筑及生活垃圾清运</w:t>
                  </w:r>
                </w:p>
              </w:tc>
              <w:tc>
                <w:tcPr>
                  <w:tcW w:w="1417" w:type="dxa"/>
                  <w:vAlign w:val="center"/>
                </w:tcPr>
                <w:p>
                  <w:pPr>
                    <w:adjustRightInd w:val="0"/>
                    <w:jc w:val="center"/>
                    <w:rPr>
                      <w:szCs w:val="21"/>
                    </w:rPr>
                  </w:pPr>
                  <w:r>
                    <w:rPr>
                      <w:szCs w:val="21"/>
                    </w:rPr>
                    <w:t>5</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旱厕</w:t>
                  </w:r>
                </w:p>
              </w:tc>
              <w:tc>
                <w:tcPr>
                  <w:tcW w:w="1417" w:type="dxa"/>
                  <w:vAlign w:val="center"/>
                </w:tcPr>
                <w:p>
                  <w:pPr>
                    <w:adjustRightInd w:val="0"/>
                    <w:jc w:val="center"/>
                    <w:rPr>
                      <w:szCs w:val="21"/>
                    </w:rPr>
                  </w:pPr>
                  <w:r>
                    <w:rPr>
                      <w:szCs w:val="21"/>
                    </w:rPr>
                    <w:t>1.5</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Align w:val="center"/>
                </w:tcPr>
                <w:p>
                  <w:pPr>
                    <w:adjustRightInd w:val="0"/>
                    <w:jc w:val="center"/>
                    <w:rPr>
                      <w:szCs w:val="21"/>
                    </w:rPr>
                  </w:pPr>
                  <w:r>
                    <w:rPr>
                      <w:rFonts w:hint="eastAsia"/>
                      <w:szCs w:val="21"/>
                    </w:rPr>
                    <w:t>噪声</w:t>
                  </w:r>
                </w:p>
              </w:tc>
              <w:tc>
                <w:tcPr>
                  <w:tcW w:w="3909" w:type="dxa"/>
                  <w:vAlign w:val="center"/>
                </w:tcPr>
                <w:p>
                  <w:pPr>
                    <w:adjustRightInd w:val="0"/>
                    <w:jc w:val="center"/>
                    <w:rPr>
                      <w:szCs w:val="21"/>
                    </w:rPr>
                  </w:pPr>
                  <w:r>
                    <w:rPr>
                      <w:rFonts w:hint="eastAsia"/>
                      <w:szCs w:val="21"/>
                    </w:rPr>
                    <w:t>加强维护</w:t>
                  </w:r>
                </w:p>
              </w:tc>
              <w:tc>
                <w:tcPr>
                  <w:tcW w:w="1417" w:type="dxa"/>
                  <w:vAlign w:val="center"/>
                </w:tcPr>
                <w:p>
                  <w:pPr>
                    <w:adjustRightInd w:val="0"/>
                    <w:jc w:val="center"/>
                    <w:rPr>
                      <w:szCs w:val="21"/>
                    </w:rPr>
                  </w:pPr>
                  <w:r>
                    <w:rPr>
                      <w:szCs w:val="21"/>
                    </w:rPr>
                    <w:t>1</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adjustRightInd w:val="0"/>
                    <w:jc w:val="center"/>
                    <w:rPr>
                      <w:szCs w:val="21"/>
                    </w:rPr>
                  </w:pPr>
                  <w:r>
                    <w:rPr>
                      <w:szCs w:val="21"/>
                    </w:rPr>
                    <w:t>运营期</w:t>
                  </w:r>
                </w:p>
              </w:tc>
              <w:tc>
                <w:tcPr>
                  <w:tcW w:w="841" w:type="dxa"/>
                  <w:vMerge w:val="restart"/>
                  <w:vAlign w:val="center"/>
                </w:tcPr>
                <w:p>
                  <w:pPr>
                    <w:adjustRightInd w:val="0"/>
                    <w:jc w:val="center"/>
                    <w:rPr>
                      <w:szCs w:val="21"/>
                    </w:rPr>
                  </w:pPr>
                  <w:r>
                    <w:rPr>
                      <w:szCs w:val="21"/>
                    </w:rPr>
                    <w:t>废水</w:t>
                  </w:r>
                </w:p>
              </w:tc>
              <w:tc>
                <w:tcPr>
                  <w:tcW w:w="3909" w:type="dxa"/>
                  <w:vAlign w:val="center"/>
                </w:tcPr>
                <w:p>
                  <w:pPr>
                    <w:adjustRightInd w:val="0"/>
                    <w:jc w:val="center"/>
                    <w:rPr>
                      <w:szCs w:val="21"/>
                    </w:rPr>
                  </w:pPr>
                  <w:r>
                    <w:rPr>
                      <w:kern w:val="0"/>
                      <w:szCs w:val="21"/>
                    </w:rPr>
                    <w:t>雨、污分流管网</w:t>
                  </w:r>
                </w:p>
              </w:tc>
              <w:tc>
                <w:tcPr>
                  <w:tcW w:w="1417" w:type="dxa"/>
                  <w:vAlign w:val="center"/>
                </w:tcPr>
                <w:p>
                  <w:pPr>
                    <w:adjustRightInd w:val="0"/>
                    <w:jc w:val="center"/>
                    <w:rPr>
                      <w:szCs w:val="21"/>
                    </w:rPr>
                  </w:pPr>
                  <w:r>
                    <w:rPr>
                      <w:szCs w:val="21"/>
                    </w:rPr>
                    <w:t>3</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kern w:val="0"/>
                      <w:szCs w:val="21"/>
                    </w:rPr>
                  </w:pPr>
                  <w:r>
                    <w:rPr>
                      <w:szCs w:val="21"/>
                    </w:rPr>
                    <w:t>化粪池1座</w:t>
                  </w:r>
                </w:p>
              </w:tc>
              <w:tc>
                <w:tcPr>
                  <w:tcW w:w="1417" w:type="dxa"/>
                  <w:vAlign w:val="center"/>
                </w:tcPr>
                <w:p>
                  <w:pPr>
                    <w:adjustRightInd w:val="0"/>
                    <w:jc w:val="center"/>
                    <w:rPr>
                      <w:szCs w:val="21"/>
                    </w:rPr>
                  </w:pPr>
                  <w:r>
                    <w:rPr>
                      <w:szCs w:val="21"/>
                    </w:rPr>
                    <w:t>0.5</w:t>
                  </w:r>
                </w:p>
              </w:tc>
              <w:tc>
                <w:tcPr>
                  <w:tcW w:w="1316" w:type="dxa"/>
                  <w:vAlign w:val="center"/>
                </w:tcPr>
                <w:p>
                  <w:pPr>
                    <w:adjustRightInd w:val="0"/>
                    <w:jc w:val="center"/>
                    <w:rPr>
                      <w:szCs w:val="21"/>
                    </w:rPr>
                  </w:pPr>
                  <w:r>
                    <w:rPr>
                      <w:szCs w:val="21"/>
                    </w:rPr>
                    <w:t>5</w:t>
                  </w:r>
                  <w:r>
                    <w:rPr>
                      <w:rFonts w:hint="eastAsia"/>
                      <w:szCs w:val="21"/>
                    </w:rPr>
                    <w:t>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隔油池1座</w:t>
                  </w:r>
                </w:p>
              </w:tc>
              <w:tc>
                <w:tcPr>
                  <w:tcW w:w="1417" w:type="dxa"/>
                  <w:vAlign w:val="center"/>
                </w:tcPr>
                <w:p>
                  <w:pPr>
                    <w:adjustRightInd w:val="0"/>
                    <w:jc w:val="center"/>
                    <w:rPr>
                      <w:szCs w:val="21"/>
                    </w:rPr>
                  </w:pPr>
                  <w:r>
                    <w:rPr>
                      <w:szCs w:val="21"/>
                    </w:rPr>
                    <w:t>0.5</w:t>
                  </w:r>
                </w:p>
              </w:tc>
              <w:tc>
                <w:tcPr>
                  <w:tcW w:w="1316" w:type="dxa"/>
                  <w:vAlign w:val="center"/>
                </w:tcPr>
                <w:p>
                  <w:pPr>
                    <w:adjustRightInd w:val="0"/>
                    <w:jc w:val="center"/>
                    <w:rPr>
                      <w:szCs w:val="21"/>
                    </w:rPr>
                  </w:pPr>
                  <w:r>
                    <w:rPr>
                      <w:rFonts w:hint="eastAsia"/>
                      <w:szCs w:val="21"/>
                    </w:rPr>
                    <w:t>1m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污水处理站1座</w:t>
                  </w:r>
                </w:p>
              </w:tc>
              <w:tc>
                <w:tcPr>
                  <w:tcW w:w="1417" w:type="dxa"/>
                  <w:vAlign w:val="center"/>
                </w:tcPr>
                <w:p>
                  <w:pPr>
                    <w:adjustRightInd w:val="0"/>
                    <w:jc w:val="center"/>
                    <w:rPr>
                      <w:szCs w:val="21"/>
                    </w:rPr>
                  </w:pPr>
                  <w:r>
                    <w:rPr>
                      <w:szCs w:val="21"/>
                    </w:rPr>
                    <w:t>7</w:t>
                  </w:r>
                </w:p>
              </w:tc>
              <w:tc>
                <w:tcPr>
                  <w:tcW w:w="1316" w:type="dxa"/>
                  <w:vAlign w:val="center"/>
                </w:tcPr>
                <w:p>
                  <w:pPr>
                    <w:adjustRightInd w:val="0"/>
                    <w:jc w:val="center"/>
                    <w:rPr>
                      <w:szCs w:val="21"/>
                    </w:rPr>
                  </w:pPr>
                  <w:r>
                    <w:rPr>
                      <w:rFonts w:hint="eastAsia"/>
                      <w:szCs w:val="21"/>
                    </w:rPr>
                    <w:t>3m</w:t>
                  </w:r>
                  <w:r>
                    <w:rPr>
                      <w:szCs w:val="21"/>
                      <w:vertAlign w:val="superscript"/>
                    </w:rPr>
                    <w:t>3</w:t>
                  </w:r>
                  <w:r>
                    <w:rPr>
                      <w:szCs w:val="21"/>
                    </w:rPr>
                    <w:t>/</w:t>
                  </w:r>
                  <w:r>
                    <w:rPr>
                      <w:rFonts w:hint="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szCs w:val="21"/>
                    </w:rPr>
                    <w:t>中水回用</w:t>
                  </w:r>
                  <w:r>
                    <w:rPr>
                      <w:rFonts w:hint="eastAsia"/>
                      <w:szCs w:val="21"/>
                    </w:rPr>
                    <w:t>池</w:t>
                  </w:r>
                </w:p>
              </w:tc>
              <w:tc>
                <w:tcPr>
                  <w:tcW w:w="1417" w:type="dxa"/>
                  <w:vAlign w:val="center"/>
                </w:tcPr>
                <w:p>
                  <w:pPr>
                    <w:adjustRightInd w:val="0"/>
                    <w:jc w:val="center"/>
                    <w:rPr>
                      <w:szCs w:val="21"/>
                    </w:rPr>
                  </w:pPr>
                  <w:r>
                    <w:rPr>
                      <w:szCs w:val="21"/>
                    </w:rPr>
                    <w:t>2</w:t>
                  </w:r>
                </w:p>
              </w:tc>
              <w:tc>
                <w:tcPr>
                  <w:tcW w:w="1316" w:type="dxa"/>
                  <w:vAlign w:val="center"/>
                </w:tcPr>
                <w:p>
                  <w:pPr>
                    <w:adjustRightInd w:val="0"/>
                    <w:jc w:val="center"/>
                    <w:rPr>
                      <w:szCs w:val="21"/>
                    </w:rPr>
                  </w:pPr>
                  <w:r>
                    <w:rPr>
                      <w:szCs w:val="21"/>
                    </w:rPr>
                    <w:t>10</w:t>
                  </w:r>
                  <w:r>
                    <w:rPr>
                      <w:rFonts w:hint="eastAsia"/>
                      <w:szCs w:val="21"/>
                    </w:rPr>
                    <w:t>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Align w:val="center"/>
                </w:tcPr>
                <w:p>
                  <w:pPr>
                    <w:adjustRightInd w:val="0"/>
                    <w:jc w:val="center"/>
                    <w:rPr>
                      <w:szCs w:val="21"/>
                    </w:rPr>
                  </w:pPr>
                  <w:r>
                    <w:rPr>
                      <w:szCs w:val="21"/>
                    </w:rPr>
                    <w:t>噪声</w:t>
                  </w:r>
                </w:p>
              </w:tc>
              <w:tc>
                <w:tcPr>
                  <w:tcW w:w="3909" w:type="dxa"/>
                  <w:vAlign w:val="center"/>
                </w:tcPr>
                <w:p>
                  <w:pPr>
                    <w:adjustRightInd w:val="0"/>
                    <w:jc w:val="center"/>
                    <w:rPr>
                      <w:szCs w:val="21"/>
                    </w:rPr>
                  </w:pPr>
                  <w:r>
                    <w:rPr>
                      <w:kern w:val="0"/>
                      <w:szCs w:val="21"/>
                    </w:rPr>
                    <w:t>设备隔声，水泵、变压器减振装置，风机消声器等</w:t>
                  </w:r>
                </w:p>
              </w:tc>
              <w:tc>
                <w:tcPr>
                  <w:tcW w:w="1417" w:type="dxa"/>
                  <w:vAlign w:val="center"/>
                </w:tcPr>
                <w:p>
                  <w:pPr>
                    <w:adjustRightInd w:val="0"/>
                    <w:jc w:val="center"/>
                    <w:rPr>
                      <w:szCs w:val="21"/>
                    </w:rPr>
                  </w:pPr>
                  <w:r>
                    <w:rPr>
                      <w:szCs w:val="21"/>
                    </w:rPr>
                    <w:t>0.5</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restart"/>
                  <w:vAlign w:val="center"/>
                </w:tcPr>
                <w:p>
                  <w:pPr>
                    <w:adjustRightInd w:val="0"/>
                    <w:jc w:val="center"/>
                    <w:rPr>
                      <w:szCs w:val="21"/>
                    </w:rPr>
                  </w:pPr>
                  <w:r>
                    <w:rPr>
                      <w:szCs w:val="21"/>
                    </w:rPr>
                    <w:t>固废</w:t>
                  </w:r>
                </w:p>
              </w:tc>
              <w:tc>
                <w:tcPr>
                  <w:tcW w:w="3909" w:type="dxa"/>
                  <w:vAlign w:val="center"/>
                </w:tcPr>
                <w:p>
                  <w:pPr>
                    <w:adjustRightInd w:val="0"/>
                    <w:jc w:val="center"/>
                    <w:rPr>
                      <w:szCs w:val="21"/>
                    </w:rPr>
                  </w:pPr>
                  <w:r>
                    <w:rPr>
                      <w:szCs w:val="21"/>
                    </w:rPr>
                    <w:t>生活垃圾收集</w:t>
                  </w:r>
                  <w:r>
                    <w:rPr>
                      <w:rFonts w:hint="eastAsia"/>
                      <w:szCs w:val="21"/>
                    </w:rPr>
                    <w:t>桶</w:t>
                  </w:r>
                </w:p>
              </w:tc>
              <w:tc>
                <w:tcPr>
                  <w:tcW w:w="1417" w:type="dxa"/>
                  <w:vAlign w:val="center"/>
                </w:tcPr>
                <w:p>
                  <w:pPr>
                    <w:adjustRightInd w:val="0"/>
                    <w:jc w:val="center"/>
                    <w:rPr>
                      <w:szCs w:val="21"/>
                    </w:rPr>
                  </w:pPr>
                  <w:r>
                    <w:rPr>
                      <w:szCs w:val="21"/>
                    </w:rPr>
                    <w:t>0.1</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事故油池（</w:t>
                  </w:r>
                  <w:r>
                    <w:rPr>
                      <w:szCs w:val="21"/>
                    </w:rPr>
                    <w:t>6</w:t>
                  </w:r>
                  <w:r>
                    <w:rPr>
                      <w:rFonts w:hint="eastAsia"/>
                      <w:szCs w:val="21"/>
                    </w:rPr>
                    <w:t>个）</w:t>
                  </w:r>
                </w:p>
              </w:tc>
              <w:tc>
                <w:tcPr>
                  <w:tcW w:w="1417" w:type="dxa"/>
                  <w:vAlign w:val="center"/>
                </w:tcPr>
                <w:p>
                  <w:pPr>
                    <w:adjustRightInd w:val="0"/>
                    <w:jc w:val="center"/>
                    <w:rPr>
                      <w:szCs w:val="21"/>
                    </w:rPr>
                  </w:pPr>
                  <w:r>
                    <w:rPr>
                      <w:szCs w:val="21"/>
                    </w:rPr>
                    <w:t>4</w:t>
                  </w:r>
                </w:p>
              </w:tc>
              <w:tc>
                <w:tcPr>
                  <w:tcW w:w="1316" w:type="dxa"/>
                  <w:vAlign w:val="center"/>
                </w:tcPr>
                <w:p>
                  <w:pPr>
                    <w:adjustRightInd w:val="0"/>
                    <w:jc w:val="center"/>
                    <w:rPr>
                      <w:szCs w:val="21"/>
                    </w:rPr>
                  </w:pPr>
                  <w:r>
                    <w:rPr>
                      <w:szCs w:val="21"/>
                    </w:rPr>
                    <w:t>4</w:t>
                  </w:r>
                  <w:r>
                    <w:rPr>
                      <w:rFonts w:hint="eastAsia"/>
                      <w:szCs w:val="21"/>
                    </w:rPr>
                    <w:t>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Merge w:val="continue"/>
                  <w:vAlign w:val="center"/>
                </w:tcPr>
                <w:p>
                  <w:pPr>
                    <w:adjustRightInd w:val="0"/>
                    <w:jc w:val="center"/>
                    <w:rPr>
                      <w:szCs w:val="21"/>
                    </w:rPr>
                  </w:pPr>
                </w:p>
              </w:tc>
              <w:tc>
                <w:tcPr>
                  <w:tcW w:w="3909" w:type="dxa"/>
                  <w:vAlign w:val="center"/>
                </w:tcPr>
                <w:p>
                  <w:pPr>
                    <w:adjustRightInd w:val="0"/>
                    <w:jc w:val="center"/>
                    <w:rPr>
                      <w:szCs w:val="21"/>
                    </w:rPr>
                  </w:pPr>
                  <w:r>
                    <w:rPr>
                      <w:rFonts w:hint="eastAsia"/>
                      <w:szCs w:val="21"/>
                    </w:rPr>
                    <w:t>危废库预制舱1间</w:t>
                  </w:r>
                </w:p>
              </w:tc>
              <w:tc>
                <w:tcPr>
                  <w:tcW w:w="1417" w:type="dxa"/>
                  <w:vAlign w:val="center"/>
                </w:tcPr>
                <w:p>
                  <w:pPr>
                    <w:adjustRightInd w:val="0"/>
                    <w:jc w:val="center"/>
                    <w:rPr>
                      <w:szCs w:val="21"/>
                    </w:rPr>
                  </w:pPr>
                  <w:r>
                    <w:rPr>
                      <w:szCs w:val="21"/>
                    </w:rPr>
                    <w:t>8</w:t>
                  </w:r>
                </w:p>
              </w:tc>
              <w:tc>
                <w:tcPr>
                  <w:tcW w:w="1316" w:type="dxa"/>
                  <w:vAlign w:val="center"/>
                </w:tcPr>
                <w:p>
                  <w:pPr>
                    <w:adjustRightInd w:val="0"/>
                    <w:jc w:val="center"/>
                    <w:rPr>
                      <w:szCs w:val="21"/>
                    </w:rPr>
                  </w:pPr>
                  <w:r>
                    <w:rPr>
                      <w:rFonts w:hint="eastAsia"/>
                      <w:szCs w:val="21"/>
                    </w:rPr>
                    <w:t>预制舱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Align w:val="center"/>
                </w:tcPr>
                <w:p>
                  <w:pPr>
                    <w:adjustRightInd w:val="0"/>
                    <w:jc w:val="center"/>
                    <w:rPr>
                      <w:szCs w:val="21"/>
                    </w:rPr>
                  </w:pPr>
                  <w:r>
                    <w:rPr>
                      <w:rFonts w:hint="eastAsia"/>
                      <w:szCs w:val="21"/>
                    </w:rPr>
                    <w:t>风险防控</w:t>
                  </w:r>
                </w:p>
              </w:tc>
              <w:tc>
                <w:tcPr>
                  <w:tcW w:w="3909" w:type="dxa"/>
                  <w:vAlign w:val="center"/>
                </w:tcPr>
                <w:p>
                  <w:pPr>
                    <w:adjustRightInd w:val="0"/>
                    <w:jc w:val="center"/>
                    <w:rPr>
                      <w:szCs w:val="21"/>
                    </w:rPr>
                  </w:pPr>
                  <w:r>
                    <w:rPr>
                      <w:szCs w:val="21"/>
                    </w:rPr>
                    <w:t>危废库预制舱</w:t>
                  </w:r>
                  <w:r>
                    <w:rPr>
                      <w:rFonts w:hint="eastAsia"/>
                      <w:szCs w:val="21"/>
                    </w:rPr>
                    <w:t>、事故油池、化粪池、污水站防渗工程</w:t>
                  </w:r>
                </w:p>
              </w:tc>
              <w:tc>
                <w:tcPr>
                  <w:tcW w:w="1417" w:type="dxa"/>
                  <w:vAlign w:val="center"/>
                </w:tcPr>
                <w:p>
                  <w:pPr>
                    <w:adjustRightInd w:val="0"/>
                    <w:jc w:val="center"/>
                    <w:rPr>
                      <w:szCs w:val="21"/>
                    </w:rPr>
                  </w:pPr>
                  <w:r>
                    <w:rPr>
                      <w:szCs w:val="21"/>
                    </w:rPr>
                    <w:t>5</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adjustRightInd w:val="0"/>
                    <w:jc w:val="center"/>
                    <w:rPr>
                      <w:szCs w:val="21"/>
                    </w:rPr>
                  </w:pPr>
                </w:p>
              </w:tc>
              <w:tc>
                <w:tcPr>
                  <w:tcW w:w="841" w:type="dxa"/>
                  <w:vAlign w:val="center"/>
                </w:tcPr>
                <w:p>
                  <w:pPr>
                    <w:adjustRightInd w:val="0"/>
                    <w:jc w:val="center"/>
                    <w:rPr>
                      <w:szCs w:val="21"/>
                    </w:rPr>
                  </w:pPr>
                  <w:r>
                    <w:rPr>
                      <w:szCs w:val="21"/>
                    </w:rPr>
                    <w:t>绿化</w:t>
                  </w:r>
                </w:p>
              </w:tc>
              <w:tc>
                <w:tcPr>
                  <w:tcW w:w="3909" w:type="dxa"/>
                  <w:vAlign w:val="center"/>
                </w:tcPr>
                <w:p>
                  <w:pPr>
                    <w:adjustRightInd w:val="0"/>
                    <w:jc w:val="center"/>
                    <w:rPr>
                      <w:szCs w:val="21"/>
                    </w:rPr>
                  </w:pPr>
                  <w:r>
                    <w:rPr>
                      <w:rFonts w:hint="eastAsia"/>
                      <w:szCs w:val="21"/>
                    </w:rPr>
                    <w:t>站内</w:t>
                  </w:r>
                  <w:r>
                    <w:rPr>
                      <w:szCs w:val="21"/>
                    </w:rPr>
                    <w:t>绿化200</w:t>
                  </w:r>
                  <w:r>
                    <w:rPr>
                      <w:rFonts w:hint="eastAsia"/>
                      <w:szCs w:val="21"/>
                    </w:rPr>
                    <w:t>m</w:t>
                  </w:r>
                  <w:r>
                    <w:rPr>
                      <w:szCs w:val="21"/>
                      <w:vertAlign w:val="superscript"/>
                    </w:rPr>
                    <w:t>2</w:t>
                  </w:r>
                </w:p>
              </w:tc>
              <w:tc>
                <w:tcPr>
                  <w:tcW w:w="1417" w:type="dxa"/>
                  <w:vAlign w:val="center"/>
                </w:tcPr>
                <w:p>
                  <w:pPr>
                    <w:adjustRightInd w:val="0"/>
                    <w:jc w:val="center"/>
                    <w:rPr>
                      <w:szCs w:val="21"/>
                    </w:rPr>
                  </w:pPr>
                  <w:r>
                    <w:rPr>
                      <w:szCs w:val="21"/>
                    </w:rPr>
                    <w:t>2</w:t>
                  </w:r>
                </w:p>
              </w:tc>
              <w:tc>
                <w:tcPr>
                  <w:tcW w:w="1316" w:type="dxa"/>
                  <w:vAlign w:val="center"/>
                </w:tcPr>
                <w:p>
                  <w:pPr>
                    <w:adjustRightIn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adjustRightInd w:val="0"/>
                    <w:jc w:val="center"/>
                    <w:rPr>
                      <w:szCs w:val="21"/>
                    </w:rPr>
                  </w:pPr>
                  <w:r>
                    <w:rPr>
                      <w:szCs w:val="21"/>
                    </w:rPr>
                    <w:t>水土保持</w:t>
                  </w:r>
                </w:p>
              </w:tc>
              <w:tc>
                <w:tcPr>
                  <w:tcW w:w="4750" w:type="dxa"/>
                  <w:gridSpan w:val="2"/>
                  <w:vAlign w:val="center"/>
                </w:tcPr>
                <w:p>
                  <w:pPr>
                    <w:adjustRightInd w:val="0"/>
                    <w:jc w:val="center"/>
                    <w:rPr>
                      <w:szCs w:val="21"/>
                    </w:rPr>
                  </w:pPr>
                  <w:r>
                    <w:rPr>
                      <w:szCs w:val="21"/>
                    </w:rPr>
                    <w:t>工程措施、植物措施、临时措施等</w:t>
                  </w:r>
                </w:p>
              </w:tc>
              <w:tc>
                <w:tcPr>
                  <w:tcW w:w="1417" w:type="dxa"/>
                  <w:vAlign w:val="center"/>
                </w:tcPr>
                <w:p>
                  <w:pPr>
                    <w:adjustRightInd w:val="0"/>
                    <w:jc w:val="center"/>
                    <w:rPr>
                      <w:szCs w:val="21"/>
                    </w:rPr>
                  </w:pPr>
                  <w:r>
                    <w:rPr>
                      <w:szCs w:val="21"/>
                    </w:rPr>
                    <w:t>/</w:t>
                  </w:r>
                </w:p>
              </w:tc>
              <w:tc>
                <w:tcPr>
                  <w:tcW w:w="1316" w:type="dxa"/>
                  <w:vAlign w:val="center"/>
                </w:tcPr>
                <w:p>
                  <w:pPr>
                    <w:adjustRightInd w:val="0"/>
                    <w:jc w:val="center"/>
                    <w:rPr>
                      <w:szCs w:val="21"/>
                    </w:rPr>
                  </w:pPr>
                  <w:r>
                    <w:rPr>
                      <w:rFonts w:hint="eastAsia"/>
                      <w:szCs w:val="21"/>
                    </w:rPr>
                    <w:t>计入水土保持工程费用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adjustRightInd w:val="0"/>
                    <w:jc w:val="center"/>
                    <w:rPr>
                      <w:szCs w:val="21"/>
                    </w:rPr>
                  </w:pPr>
                  <w:r>
                    <w:rPr>
                      <w:szCs w:val="21"/>
                    </w:rPr>
                    <w:t>合计</w:t>
                  </w:r>
                </w:p>
              </w:tc>
              <w:tc>
                <w:tcPr>
                  <w:tcW w:w="4750" w:type="dxa"/>
                  <w:gridSpan w:val="2"/>
                  <w:vAlign w:val="center"/>
                </w:tcPr>
                <w:p>
                  <w:pPr>
                    <w:adjustRightInd w:val="0"/>
                    <w:jc w:val="center"/>
                    <w:rPr>
                      <w:szCs w:val="21"/>
                    </w:rPr>
                  </w:pPr>
                </w:p>
              </w:tc>
              <w:tc>
                <w:tcPr>
                  <w:tcW w:w="1417" w:type="dxa"/>
                  <w:vAlign w:val="center"/>
                </w:tcPr>
                <w:p>
                  <w:pPr>
                    <w:adjustRightInd w:val="0"/>
                    <w:jc w:val="center"/>
                    <w:rPr>
                      <w:szCs w:val="21"/>
                    </w:rPr>
                  </w:pPr>
                  <w:r>
                    <w:rPr>
                      <w:szCs w:val="21"/>
                    </w:rPr>
                    <w:t>70.7</w:t>
                  </w:r>
                </w:p>
              </w:tc>
              <w:tc>
                <w:tcPr>
                  <w:tcW w:w="1316" w:type="dxa"/>
                  <w:vAlign w:val="center"/>
                </w:tcPr>
                <w:p>
                  <w:pPr>
                    <w:adjustRightInd w:val="0"/>
                    <w:jc w:val="center"/>
                    <w:rPr>
                      <w:szCs w:val="21"/>
                    </w:rPr>
                  </w:pPr>
                </w:p>
              </w:tc>
            </w:tr>
          </w:tbl>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p>
            <w:pPr>
              <w:adjustRightInd w:val="0"/>
              <w:rPr>
                <w:rFonts w:ascii="宋体" w:hAnsi="宋体" w:cs="宋体"/>
                <w:bCs/>
                <w:szCs w:val="21"/>
              </w:rPr>
            </w:pPr>
          </w:p>
        </w:tc>
      </w:tr>
    </w:tbl>
    <w:p>
      <w:pPr>
        <w:adjustRightInd w:val="0"/>
        <w:sectPr>
          <w:pgSz w:w="11907" w:h="16840"/>
          <w:pgMar w:top="1531" w:right="1531" w:bottom="1531" w:left="1531" w:header="851" w:footer="1077" w:gutter="0"/>
          <w:cols w:space="720" w:num="1"/>
          <w:docGrid w:linePitch="335" w:charSpace="0"/>
        </w:sectPr>
      </w:pPr>
    </w:p>
    <w:p>
      <w:pPr>
        <w:pStyle w:val="38"/>
        <w:adjustRightInd w:val="0"/>
        <w:spacing w:before="0" w:beforeAutospacing="0" w:after="240" w:afterLines="100" w:afterAutospacing="0"/>
        <w:jc w:val="center"/>
        <w:outlineLvl w:val="0"/>
        <w:rPr>
          <w:rFonts w:ascii="黑体" w:hAnsi="黑体" w:eastAsia="黑体"/>
          <w:snapToGrid w:val="0"/>
          <w:sz w:val="30"/>
          <w:szCs w:val="30"/>
        </w:rPr>
      </w:pPr>
      <w:bookmarkStart w:id="64" w:name="_Toc129880765"/>
      <w:bookmarkStart w:id="65" w:name="_Toc129854121"/>
      <w:bookmarkStart w:id="66" w:name="_Toc140704265"/>
      <w:r>
        <w:rPr>
          <w:rFonts w:hint="eastAsia" w:ascii="黑体" w:hAnsi="黑体" w:eastAsia="黑体"/>
          <w:snapToGrid w:val="0"/>
          <w:sz w:val="30"/>
          <w:szCs w:val="30"/>
        </w:rPr>
        <w:t>六、生态环境保护措施监督检查清单</w:t>
      </w:r>
      <w:bookmarkEnd w:id="64"/>
      <w:bookmarkEnd w:id="65"/>
      <w:bookmarkEnd w:id="66"/>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676"/>
        <w:gridCol w:w="1314"/>
        <w:gridCol w:w="2676"/>
        <w:gridCol w:w="1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Merge w:val="restart"/>
            <w:tcBorders>
              <w:tl2br w:val="single" w:color="auto" w:sz="4" w:space="0"/>
            </w:tcBorders>
          </w:tcPr>
          <w:p>
            <w:pPr>
              <w:pStyle w:val="38"/>
              <w:adjustRightInd w:val="0"/>
              <w:spacing w:before="72" w:beforeLines="30" w:beforeAutospacing="0" w:after="0" w:afterAutospacing="0"/>
              <w:jc w:val="center"/>
              <w:rPr>
                <w:rFonts w:ascii="黑体" w:hAnsi="黑体" w:eastAsia="黑体" w:cs="宋体"/>
                <w:sz w:val="21"/>
                <w:szCs w:val="21"/>
              </w:rPr>
            </w:pPr>
            <w:bookmarkStart w:id="67" w:name="_Hlk90977964"/>
            <w:r>
              <w:rPr>
                <w:rFonts w:hint="eastAsia" w:ascii="黑体" w:hAnsi="黑体" w:eastAsia="黑体" w:cs="宋体"/>
                <w:sz w:val="21"/>
                <w:szCs w:val="21"/>
              </w:rPr>
              <w:t xml:space="preserve">  内容</w:t>
            </w:r>
          </w:p>
          <w:p>
            <w:pPr>
              <w:pStyle w:val="38"/>
              <w:adjustRightInd w:val="0"/>
              <w:spacing w:before="0" w:beforeAutospacing="0" w:after="0" w:afterAutospacing="0"/>
              <w:rPr>
                <w:rFonts w:ascii="黑体" w:hAnsi="黑体" w:eastAsia="黑体" w:cs="宋体"/>
                <w:sz w:val="21"/>
                <w:szCs w:val="21"/>
              </w:rPr>
            </w:pPr>
          </w:p>
          <w:p>
            <w:pPr>
              <w:pStyle w:val="38"/>
              <w:adjustRightInd w:val="0"/>
              <w:spacing w:before="0" w:beforeAutospacing="0" w:after="0" w:afterAutospacing="0"/>
              <w:rPr>
                <w:rFonts w:ascii="黑体" w:hAnsi="黑体" w:eastAsia="黑体" w:cs="宋体"/>
                <w:sz w:val="21"/>
                <w:szCs w:val="21"/>
              </w:rPr>
            </w:pPr>
          </w:p>
          <w:p>
            <w:pPr>
              <w:pStyle w:val="38"/>
              <w:adjustRightInd w:val="0"/>
              <w:spacing w:before="0" w:beforeAutospacing="0" w:after="0" w:afterAutospacing="0"/>
              <w:rPr>
                <w:rFonts w:ascii="黑体" w:hAnsi="黑体" w:eastAsia="黑体" w:cs="宋体"/>
                <w:sz w:val="21"/>
                <w:szCs w:val="21"/>
              </w:rPr>
            </w:pPr>
            <w:r>
              <w:rPr>
                <w:rFonts w:hint="eastAsia" w:ascii="黑体" w:hAnsi="黑体" w:eastAsia="黑体" w:cs="宋体"/>
                <w:sz w:val="21"/>
                <w:szCs w:val="21"/>
              </w:rPr>
              <w:t>要素</w:t>
            </w:r>
          </w:p>
        </w:tc>
        <w:tc>
          <w:tcPr>
            <w:tcW w:w="3990" w:type="dxa"/>
            <w:gridSpan w:val="2"/>
            <w:vAlign w:val="center"/>
          </w:tcPr>
          <w:p>
            <w:pPr>
              <w:pStyle w:val="38"/>
              <w:adjustRightInd w:val="0"/>
              <w:spacing w:before="0" w:beforeAutospacing="0" w:after="0" w:afterAutospacing="0"/>
              <w:jc w:val="center"/>
              <w:rPr>
                <w:rFonts w:ascii="黑体" w:hAnsi="黑体" w:eastAsia="黑体" w:cs="宋体"/>
                <w:sz w:val="21"/>
                <w:szCs w:val="21"/>
              </w:rPr>
            </w:pPr>
            <w:r>
              <w:rPr>
                <w:rFonts w:hint="eastAsia" w:ascii="黑体" w:hAnsi="黑体" w:eastAsia="黑体" w:cs="宋体"/>
                <w:sz w:val="21"/>
                <w:szCs w:val="21"/>
              </w:rPr>
              <w:t>施工期</w:t>
            </w:r>
          </w:p>
        </w:tc>
        <w:tc>
          <w:tcPr>
            <w:tcW w:w="4176" w:type="dxa"/>
            <w:gridSpan w:val="2"/>
            <w:vAlign w:val="center"/>
          </w:tcPr>
          <w:p>
            <w:pPr>
              <w:pStyle w:val="38"/>
              <w:adjustRightInd w:val="0"/>
              <w:spacing w:before="0" w:beforeAutospacing="0" w:after="0" w:afterAutospacing="0"/>
              <w:jc w:val="center"/>
              <w:rPr>
                <w:rFonts w:ascii="黑体" w:hAnsi="黑体" w:eastAsia="黑体" w:cs="宋体"/>
                <w:sz w:val="21"/>
                <w:szCs w:val="21"/>
              </w:rPr>
            </w:pPr>
            <w:r>
              <w:rPr>
                <w:rFonts w:hint="eastAsia" w:ascii="黑体" w:hAnsi="黑体" w:eastAsia="黑体" w:cs="宋体"/>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Merge w:val="continue"/>
          </w:tcPr>
          <w:p>
            <w:pPr>
              <w:pStyle w:val="38"/>
              <w:adjustRightInd w:val="0"/>
              <w:spacing w:before="0" w:beforeAutospacing="0" w:after="0" w:afterAutospacing="0"/>
              <w:ind w:firstLine="840"/>
              <w:jc w:val="center"/>
              <w:rPr>
                <w:rFonts w:ascii="黑体" w:hAnsi="黑体" w:eastAsia="黑体" w:cs="宋体"/>
                <w:sz w:val="21"/>
                <w:szCs w:val="21"/>
              </w:rPr>
            </w:pPr>
          </w:p>
        </w:tc>
        <w:tc>
          <w:tcPr>
            <w:tcW w:w="2676" w:type="dxa"/>
            <w:vAlign w:val="center"/>
          </w:tcPr>
          <w:p>
            <w:pPr>
              <w:pStyle w:val="38"/>
              <w:adjustRightInd w:val="0"/>
              <w:spacing w:before="0" w:beforeAutospacing="0" w:after="0" w:afterAutospacing="0"/>
              <w:jc w:val="center"/>
              <w:rPr>
                <w:rFonts w:ascii="黑体" w:hAnsi="黑体" w:eastAsia="黑体" w:cs="宋体"/>
                <w:sz w:val="21"/>
                <w:szCs w:val="21"/>
              </w:rPr>
            </w:pPr>
            <w:r>
              <w:rPr>
                <w:rFonts w:hint="eastAsia" w:ascii="黑体" w:hAnsi="黑体" w:eastAsia="黑体" w:cs="宋体"/>
                <w:sz w:val="21"/>
                <w:szCs w:val="21"/>
              </w:rPr>
              <w:t>环境保护措施</w:t>
            </w:r>
          </w:p>
        </w:tc>
        <w:tc>
          <w:tcPr>
            <w:tcW w:w="1314" w:type="dxa"/>
            <w:vAlign w:val="center"/>
          </w:tcPr>
          <w:p>
            <w:pPr>
              <w:pStyle w:val="38"/>
              <w:adjustRightInd w:val="0"/>
              <w:spacing w:before="0" w:beforeAutospacing="0" w:after="0" w:afterAutospacing="0"/>
              <w:jc w:val="center"/>
              <w:rPr>
                <w:rFonts w:ascii="黑体" w:hAnsi="黑体" w:eastAsia="黑体" w:cs="宋体"/>
                <w:sz w:val="21"/>
                <w:szCs w:val="21"/>
              </w:rPr>
            </w:pPr>
            <w:r>
              <w:rPr>
                <w:rFonts w:hint="eastAsia" w:ascii="黑体" w:hAnsi="黑体" w:eastAsia="黑体" w:cs="宋体"/>
                <w:sz w:val="21"/>
                <w:szCs w:val="21"/>
              </w:rPr>
              <w:t>验收要求</w:t>
            </w:r>
          </w:p>
        </w:tc>
        <w:tc>
          <w:tcPr>
            <w:tcW w:w="2676" w:type="dxa"/>
            <w:vAlign w:val="center"/>
          </w:tcPr>
          <w:p>
            <w:pPr>
              <w:pStyle w:val="38"/>
              <w:adjustRightInd w:val="0"/>
              <w:spacing w:before="0" w:beforeAutospacing="0" w:after="0" w:afterAutospacing="0"/>
              <w:jc w:val="center"/>
              <w:rPr>
                <w:rFonts w:ascii="黑体" w:hAnsi="黑体" w:eastAsia="黑体" w:cs="宋体"/>
                <w:sz w:val="21"/>
                <w:szCs w:val="21"/>
              </w:rPr>
            </w:pPr>
            <w:r>
              <w:rPr>
                <w:rFonts w:hint="eastAsia" w:ascii="黑体" w:hAnsi="黑体" w:eastAsia="黑体" w:cs="宋体"/>
                <w:sz w:val="21"/>
                <w:szCs w:val="21"/>
              </w:rPr>
              <w:t>环境保护措施</w:t>
            </w:r>
          </w:p>
        </w:tc>
        <w:tc>
          <w:tcPr>
            <w:tcW w:w="1500" w:type="dxa"/>
            <w:vAlign w:val="center"/>
          </w:tcPr>
          <w:p>
            <w:pPr>
              <w:pStyle w:val="38"/>
              <w:adjustRightInd w:val="0"/>
              <w:spacing w:before="0" w:beforeAutospacing="0" w:after="0" w:afterAutospacing="0"/>
              <w:jc w:val="center"/>
              <w:rPr>
                <w:rFonts w:ascii="黑体" w:hAnsi="黑体" w:eastAsia="黑体" w:cs="宋体"/>
                <w:sz w:val="21"/>
                <w:szCs w:val="21"/>
              </w:rPr>
            </w:pPr>
            <w:r>
              <w:rPr>
                <w:rFonts w:hint="eastAsia" w:ascii="黑体" w:hAnsi="黑体" w:eastAsia="黑体" w:cs="宋体"/>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陆生生态</w:t>
            </w:r>
          </w:p>
        </w:tc>
        <w:tc>
          <w:tcPr>
            <w:tcW w:w="2676" w:type="dxa"/>
            <w:vAlign w:val="center"/>
          </w:tcPr>
          <w:p>
            <w:pPr>
              <w:adjustRightInd w:val="0"/>
              <w:rPr>
                <w:rFonts w:cs="宋体"/>
                <w:szCs w:val="21"/>
              </w:rPr>
            </w:pPr>
            <w:r>
              <w:rPr>
                <w:rFonts w:hint="eastAsia" w:cs="宋体"/>
                <w:szCs w:val="21"/>
              </w:rPr>
              <w:t>1、施工中合理、有序的安排施工时间、组织施工方式，优化施工和设计，禁止超计划占地，尽可能少占用植被，从源头上减少对植被的破坏；</w:t>
            </w:r>
          </w:p>
          <w:p>
            <w:pPr>
              <w:adjustRightInd w:val="0"/>
              <w:rPr>
                <w:rFonts w:cs="宋体"/>
                <w:szCs w:val="21"/>
              </w:rPr>
            </w:pPr>
            <w:r>
              <w:rPr>
                <w:rFonts w:cs="宋体"/>
                <w:szCs w:val="21"/>
              </w:rPr>
              <w:t>2</w:t>
            </w:r>
            <w:r>
              <w:rPr>
                <w:rFonts w:hint="eastAsia" w:cs="宋体"/>
                <w:szCs w:val="21"/>
              </w:rPr>
              <w:t>、施工期间应尽最大可能保留原有植被、植物，少挖填方，多保留现有的生态群落和生境类型；</w:t>
            </w:r>
          </w:p>
          <w:p>
            <w:pPr>
              <w:adjustRightInd w:val="0"/>
              <w:rPr>
                <w:rFonts w:cs="宋体"/>
                <w:szCs w:val="21"/>
              </w:rPr>
            </w:pPr>
            <w:r>
              <w:rPr>
                <w:rFonts w:hint="eastAsia" w:cs="宋体"/>
                <w:szCs w:val="21"/>
              </w:rPr>
              <w:t>3、施工产生的剥离表土禁止向边坡下方弃置，应运至指定的表土临时堆存场进行堆放，后期用于绿化覆土，严禁乱堆乱放占压植被；</w:t>
            </w:r>
          </w:p>
          <w:p>
            <w:pPr>
              <w:adjustRightInd w:val="0"/>
              <w:rPr>
                <w:rFonts w:cs="宋体"/>
                <w:szCs w:val="21"/>
              </w:rPr>
            </w:pPr>
            <w:r>
              <w:rPr>
                <w:rFonts w:hint="eastAsia" w:cs="宋体"/>
                <w:szCs w:val="21"/>
              </w:rPr>
              <w:t>4、施工结束后用于施工迹地的恢复。对于植物物种的选取，应以乡土树种为主，并且注意灌草的合理搭配。电池方阵下种植喜阴植物。</w:t>
            </w:r>
          </w:p>
          <w:p>
            <w:pPr>
              <w:adjustRightInd w:val="0"/>
              <w:rPr>
                <w:rFonts w:cs="宋体"/>
                <w:szCs w:val="21"/>
              </w:rPr>
            </w:pPr>
            <w:r>
              <w:rPr>
                <w:rFonts w:hint="eastAsia" w:cs="宋体"/>
                <w:szCs w:val="21"/>
              </w:rPr>
              <w:t>5、加强对工程施工的管理。施工中应自觉保护周围环境、不乱砍伐、狩猎。</w:t>
            </w:r>
          </w:p>
        </w:tc>
        <w:tc>
          <w:tcPr>
            <w:tcW w:w="1314" w:type="dxa"/>
            <w:vAlign w:val="center"/>
          </w:tcPr>
          <w:p>
            <w:pPr>
              <w:adjustRightInd w:val="0"/>
              <w:rPr>
                <w:rFonts w:cs="宋体"/>
                <w:szCs w:val="21"/>
              </w:rPr>
            </w:pPr>
            <w:r>
              <w:rPr>
                <w:rFonts w:hint="eastAsia"/>
              </w:rPr>
              <w:t>减少对生态环境的影响，使生态环境改善。</w:t>
            </w:r>
          </w:p>
        </w:tc>
        <w:tc>
          <w:tcPr>
            <w:tcW w:w="2676" w:type="dxa"/>
            <w:vAlign w:val="center"/>
          </w:tcPr>
          <w:p>
            <w:pPr>
              <w:adjustRightInd w:val="0"/>
              <w:rPr>
                <w:szCs w:val="21"/>
              </w:rPr>
            </w:pPr>
            <w:r>
              <w:rPr>
                <w:rFonts w:hint="eastAsia"/>
                <w:szCs w:val="21"/>
              </w:rPr>
              <w:t>1、对太阳能电池板、开关站、场内道路、箱变等场所周围空地进行人工绿化</w:t>
            </w:r>
            <w:r>
              <w:rPr>
                <w:szCs w:val="21"/>
              </w:rPr>
              <w:t>。</w:t>
            </w:r>
          </w:p>
          <w:p>
            <w:pPr>
              <w:adjustRightInd w:val="0"/>
              <w:rPr>
                <w:rFonts w:cs="宋体"/>
                <w:szCs w:val="21"/>
              </w:rPr>
            </w:pPr>
            <w:r>
              <w:rPr>
                <w:rFonts w:hint="eastAsia"/>
                <w:szCs w:val="21"/>
              </w:rPr>
              <w:t>2、保护当地的野生动植物，禁止人为捕杀、砍伐，禁止引入外来有害生物。</w:t>
            </w:r>
          </w:p>
        </w:tc>
        <w:tc>
          <w:tcPr>
            <w:tcW w:w="1500" w:type="dxa"/>
            <w:vAlign w:val="center"/>
          </w:tcPr>
          <w:p>
            <w:pPr>
              <w:adjustRightInd w:val="0"/>
              <w:rPr>
                <w:rFonts w:cs="宋体"/>
                <w:szCs w:val="21"/>
              </w:rPr>
            </w:pPr>
            <w:r>
              <w:rPr>
                <w:rFonts w:hint="eastAsia"/>
                <w:szCs w:val="21"/>
              </w:rPr>
              <w:t>施工迹地全部绿化，水土流失得到有效控制，</w:t>
            </w:r>
            <w:r>
              <w:rPr>
                <w:szCs w:val="21"/>
              </w:rPr>
              <w:t>植被得以恢复。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06" w:type="dxa"/>
            <w:vAlign w:val="center"/>
          </w:tcPr>
          <w:p>
            <w:pPr>
              <w:adjustRightInd w:val="0"/>
              <w:jc w:val="center"/>
              <w:rPr>
                <w:rFonts w:cs="宋体"/>
                <w:szCs w:val="21"/>
              </w:rPr>
            </w:pPr>
            <w:r>
              <w:rPr>
                <w:rFonts w:hint="eastAsia" w:cs="宋体"/>
                <w:szCs w:val="21"/>
              </w:rPr>
              <w:t>地表水环境</w:t>
            </w:r>
          </w:p>
        </w:tc>
        <w:tc>
          <w:tcPr>
            <w:tcW w:w="2676" w:type="dxa"/>
            <w:vAlign w:val="center"/>
          </w:tcPr>
          <w:p>
            <w:pPr>
              <w:adjustRightInd w:val="0"/>
              <w:rPr>
                <w:rFonts w:cs="宋体"/>
                <w:szCs w:val="21"/>
              </w:rPr>
            </w:pPr>
            <w:r>
              <w:rPr>
                <w:rFonts w:hint="eastAsia" w:cs="宋体"/>
                <w:szCs w:val="21"/>
              </w:rPr>
              <w:t>1、施工场地内设置沉淀池，将废水收集沉淀处理后，回用于混凝土拌和及施工场地洒水降尘，不外排。</w:t>
            </w:r>
          </w:p>
          <w:p>
            <w:pPr>
              <w:adjustRightInd w:val="0"/>
              <w:rPr>
                <w:rFonts w:cs="宋体"/>
                <w:szCs w:val="21"/>
              </w:rPr>
            </w:pPr>
            <w:r>
              <w:rPr>
                <w:rFonts w:hint="eastAsia" w:cs="宋体"/>
                <w:szCs w:val="21"/>
              </w:rPr>
              <w:t>2、生活污水中粪便污水进入旱厕，委托附近居民定期清运作为农家肥使用；其余生活污水进入生活区内设置的简易沉淀池，经沉淀处理后回用于施工场地内洒水降尘等，不外排。</w:t>
            </w:r>
          </w:p>
        </w:tc>
        <w:tc>
          <w:tcPr>
            <w:tcW w:w="1314" w:type="dxa"/>
            <w:vAlign w:val="center"/>
          </w:tcPr>
          <w:p>
            <w:pPr>
              <w:adjustRightInd w:val="0"/>
              <w:rPr>
                <w:rFonts w:cs="宋体"/>
                <w:szCs w:val="21"/>
              </w:rPr>
            </w:pPr>
            <w:r>
              <w:rPr>
                <w:szCs w:val="21"/>
              </w:rPr>
              <w:t>施工废水无外排痕迹</w:t>
            </w:r>
            <w:r>
              <w:rPr>
                <w:rFonts w:hint="eastAsia"/>
                <w:szCs w:val="21"/>
              </w:rPr>
              <w:t>。</w:t>
            </w:r>
          </w:p>
        </w:tc>
        <w:tc>
          <w:tcPr>
            <w:tcW w:w="2676" w:type="dxa"/>
            <w:vAlign w:val="center"/>
          </w:tcPr>
          <w:p>
            <w:pPr>
              <w:adjustRightInd w:val="0"/>
              <w:rPr>
                <w:rFonts w:cs="宋体"/>
                <w:szCs w:val="21"/>
              </w:rPr>
            </w:pPr>
            <w:r>
              <w:rPr>
                <w:rFonts w:hint="eastAsia" w:cs="宋体"/>
                <w:szCs w:val="21"/>
              </w:rPr>
              <w:t>1、开关站内实行雨污分流，站内厨房废水经隔油池隔油后，连同其它生活污水经化粪池预处理后，进污水处理站处理达标后全部回用于开关站周边绿化，雨天暂存在中水暂存池内，不外排。</w:t>
            </w:r>
          </w:p>
          <w:p>
            <w:pPr>
              <w:adjustRightInd w:val="0"/>
              <w:rPr>
                <w:rFonts w:cs="宋体"/>
                <w:szCs w:val="21"/>
              </w:rPr>
            </w:pPr>
            <w:r>
              <w:rPr>
                <w:rFonts w:hint="eastAsia" w:cs="宋体"/>
                <w:szCs w:val="21"/>
              </w:rPr>
              <w:t>2、太阳能电池板尽量在旱季进行清洗，产生的清洗废水全部回用于场区绿化，不外排。</w:t>
            </w:r>
          </w:p>
          <w:p>
            <w:pPr>
              <w:adjustRightInd w:val="0"/>
              <w:rPr>
                <w:rFonts w:cs="宋体"/>
                <w:szCs w:val="21"/>
              </w:rPr>
            </w:pPr>
            <w:r>
              <w:rPr>
                <w:rFonts w:hint="eastAsia" w:cs="宋体"/>
                <w:szCs w:val="21"/>
              </w:rPr>
              <w:t>3、应定期对化粪池、隔油池进行清掏；定期检修污水处理设施，建立污水处理设施管理制度，以保障污水处理设施的处理效果。</w:t>
            </w:r>
          </w:p>
        </w:tc>
        <w:tc>
          <w:tcPr>
            <w:tcW w:w="1500" w:type="dxa"/>
            <w:vAlign w:val="center"/>
          </w:tcPr>
          <w:p>
            <w:pPr>
              <w:adjustRightInd w:val="0"/>
              <w:rPr>
                <w:rFonts w:cs="宋体"/>
                <w:szCs w:val="21"/>
              </w:rPr>
            </w:pPr>
            <w:r>
              <w:rPr>
                <w:rFonts w:hint="eastAsia" w:cs="宋体"/>
                <w:szCs w:val="21"/>
              </w:rPr>
              <w:t>《城市污水再生利用 城市杂用水水质》（GB/T18920-2020）中绿化标准。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声环境</w:t>
            </w:r>
          </w:p>
        </w:tc>
        <w:tc>
          <w:tcPr>
            <w:tcW w:w="2676" w:type="dxa"/>
            <w:vAlign w:val="center"/>
          </w:tcPr>
          <w:p>
            <w:pPr>
              <w:adjustRightInd w:val="0"/>
              <w:rPr>
                <w:rFonts w:cs="宋体"/>
                <w:szCs w:val="21"/>
              </w:rPr>
            </w:pPr>
            <w:r>
              <w:rPr>
                <w:rFonts w:hint="eastAsia" w:cs="宋体"/>
                <w:szCs w:val="21"/>
              </w:rPr>
              <w:t>1、尽量采用低噪声施工机械，工程施工所用的施工机械设备应事先对其常规工作状态下的噪声进行测量，超过国家标准的机械应禁止入场施工。</w:t>
            </w:r>
          </w:p>
          <w:p>
            <w:pPr>
              <w:adjustRightInd w:val="0"/>
              <w:rPr>
                <w:rFonts w:cs="宋体"/>
                <w:szCs w:val="21"/>
              </w:rPr>
            </w:pPr>
            <w:r>
              <w:rPr>
                <w:rFonts w:hint="eastAsia" w:cs="宋体"/>
                <w:szCs w:val="21"/>
              </w:rPr>
              <w:t>2、对施工机械进行维护，减小施工机械的施工噪声。</w:t>
            </w:r>
          </w:p>
          <w:p>
            <w:pPr>
              <w:adjustRightInd w:val="0"/>
              <w:rPr>
                <w:rFonts w:cs="宋体"/>
                <w:szCs w:val="21"/>
              </w:rPr>
            </w:pPr>
            <w:r>
              <w:rPr>
                <w:rFonts w:hint="eastAsia" w:cs="宋体"/>
                <w:szCs w:val="21"/>
              </w:rPr>
              <w:t>3、在进行物料运输时，应合理安排运输时间，经过敏感点时应低速、禁鸣。</w:t>
            </w:r>
          </w:p>
          <w:p>
            <w:pPr>
              <w:adjustRightInd w:val="0"/>
              <w:rPr>
                <w:rFonts w:cs="宋体"/>
                <w:szCs w:val="21"/>
              </w:rPr>
            </w:pPr>
            <w:r>
              <w:rPr>
                <w:rFonts w:hint="eastAsia" w:cs="宋体"/>
                <w:szCs w:val="21"/>
              </w:rPr>
              <w:t>4、施工期间运输车辆避免超载运输，运输车辆经过沿途居民点时注意控制车速，减速慢行。</w:t>
            </w:r>
          </w:p>
        </w:tc>
        <w:tc>
          <w:tcPr>
            <w:tcW w:w="1314" w:type="dxa"/>
            <w:vAlign w:val="center"/>
          </w:tcPr>
          <w:p>
            <w:pPr>
              <w:adjustRightInd w:val="0"/>
              <w:rPr>
                <w:rFonts w:cs="宋体"/>
                <w:szCs w:val="21"/>
              </w:rPr>
            </w:pPr>
            <w:r>
              <w:rPr>
                <w:rFonts w:hint="eastAsia" w:cs="宋体"/>
                <w:szCs w:val="21"/>
              </w:rPr>
              <w:t>达到《建筑施工场界环境噪声排放标准》（GB12523-2011）的相应要求。</w:t>
            </w:r>
          </w:p>
        </w:tc>
        <w:tc>
          <w:tcPr>
            <w:tcW w:w="2676" w:type="dxa"/>
            <w:vAlign w:val="center"/>
          </w:tcPr>
          <w:p>
            <w:pPr>
              <w:adjustRightInd w:val="0"/>
              <w:rPr>
                <w:rFonts w:cs="宋体"/>
                <w:szCs w:val="21"/>
              </w:rPr>
            </w:pPr>
            <w:r>
              <w:rPr>
                <w:rFonts w:hint="eastAsia" w:cs="宋体"/>
                <w:szCs w:val="21"/>
              </w:rPr>
              <w:t>选用低噪声设备，采取隔声、减振，合理布置产噪设备等措施，并加强设备维护。</w:t>
            </w:r>
          </w:p>
        </w:tc>
        <w:tc>
          <w:tcPr>
            <w:tcW w:w="1500" w:type="dxa"/>
            <w:vAlign w:val="center"/>
          </w:tcPr>
          <w:p>
            <w:pPr>
              <w:adjustRightInd w:val="0"/>
              <w:rPr>
                <w:rFonts w:cs="宋体"/>
                <w:szCs w:val="21"/>
              </w:rPr>
            </w:pPr>
            <w:r>
              <w:rPr>
                <w:rFonts w:hint="eastAsia" w:cs="宋体"/>
                <w:szCs w:val="21"/>
              </w:rPr>
              <w:t>厂界噪声达到《工业企业厂界环境噪声排放标准》（GB12348-2008）1类标准要求。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大气环境</w:t>
            </w:r>
          </w:p>
        </w:tc>
        <w:tc>
          <w:tcPr>
            <w:tcW w:w="2676" w:type="dxa"/>
            <w:vAlign w:val="center"/>
          </w:tcPr>
          <w:p>
            <w:pPr>
              <w:adjustRightInd w:val="0"/>
              <w:rPr>
                <w:rFonts w:cs="宋体"/>
                <w:szCs w:val="21"/>
              </w:rPr>
            </w:pPr>
            <w:r>
              <w:rPr>
                <w:rFonts w:hint="eastAsia" w:cs="宋体"/>
                <w:szCs w:val="21"/>
              </w:rPr>
              <w:t>1、施工车辆运输加盖篷布。</w:t>
            </w:r>
          </w:p>
          <w:p>
            <w:pPr>
              <w:adjustRightInd w:val="0"/>
              <w:rPr>
                <w:rFonts w:cs="宋体"/>
                <w:szCs w:val="21"/>
              </w:rPr>
            </w:pPr>
            <w:r>
              <w:rPr>
                <w:rFonts w:hint="eastAsia" w:cs="宋体"/>
                <w:szCs w:val="21"/>
              </w:rPr>
              <w:t>2、临时堆放的渣土有防尘措施并及时清运。</w:t>
            </w:r>
          </w:p>
          <w:p>
            <w:pPr>
              <w:adjustRightInd w:val="0"/>
              <w:rPr>
                <w:rFonts w:cs="宋体"/>
                <w:szCs w:val="21"/>
              </w:rPr>
            </w:pPr>
            <w:r>
              <w:rPr>
                <w:rFonts w:hint="eastAsia" w:cs="宋体"/>
                <w:szCs w:val="21"/>
              </w:rPr>
              <w:t>3、建筑材料存放加盖苫布，施工结束后及时清理平整场地、及时实施地面绿化。</w:t>
            </w:r>
          </w:p>
          <w:p>
            <w:pPr>
              <w:adjustRightInd w:val="0"/>
              <w:rPr>
                <w:rFonts w:cs="宋体"/>
                <w:szCs w:val="21"/>
              </w:rPr>
            </w:pPr>
            <w:r>
              <w:rPr>
                <w:rFonts w:hint="eastAsia" w:cs="宋体"/>
                <w:szCs w:val="21"/>
              </w:rPr>
              <w:t>4、施工运输车辆经过村庄应减速慢行，减少道路扬尘产生。</w:t>
            </w:r>
          </w:p>
          <w:p>
            <w:pPr>
              <w:adjustRightInd w:val="0"/>
              <w:rPr>
                <w:rFonts w:cs="宋体"/>
                <w:szCs w:val="21"/>
              </w:rPr>
            </w:pPr>
            <w:r>
              <w:rPr>
                <w:rFonts w:hint="eastAsia" w:cs="宋体"/>
                <w:szCs w:val="21"/>
              </w:rPr>
              <w:t>5、配置1辆洒水车，对施工场地进行洒水降尘。</w:t>
            </w:r>
          </w:p>
        </w:tc>
        <w:tc>
          <w:tcPr>
            <w:tcW w:w="1314" w:type="dxa"/>
            <w:vAlign w:val="center"/>
          </w:tcPr>
          <w:p>
            <w:pPr>
              <w:adjustRightInd w:val="0"/>
              <w:rPr>
                <w:rFonts w:cs="宋体"/>
                <w:szCs w:val="21"/>
              </w:rPr>
            </w:pPr>
            <w:r>
              <w:rPr>
                <w:szCs w:val="21"/>
              </w:rPr>
              <w:t>施工</w:t>
            </w:r>
            <w:r>
              <w:rPr>
                <w:rFonts w:hint="eastAsia"/>
                <w:szCs w:val="21"/>
              </w:rPr>
              <w:t>扬尘达到</w:t>
            </w:r>
            <w:r>
              <w:rPr>
                <w:szCs w:val="21"/>
              </w:rPr>
              <w:t>《大气污染物综合排放标准》（GB16297-1996）</w:t>
            </w:r>
            <w:r>
              <w:rPr>
                <w:rFonts w:hint="eastAsia"/>
                <w:szCs w:val="21"/>
              </w:rPr>
              <w:t>要求</w:t>
            </w:r>
          </w:p>
        </w:tc>
        <w:tc>
          <w:tcPr>
            <w:tcW w:w="2676" w:type="dxa"/>
            <w:vAlign w:val="center"/>
          </w:tcPr>
          <w:p>
            <w:pPr>
              <w:adjustRightInd w:val="0"/>
              <w:rPr>
                <w:rFonts w:cs="宋体"/>
                <w:szCs w:val="21"/>
              </w:rPr>
            </w:pPr>
            <w:r>
              <w:rPr>
                <w:rFonts w:hint="eastAsia" w:cs="宋体"/>
                <w:szCs w:val="21"/>
              </w:rPr>
              <w:t>1、站内使用清洁能源，厨房油烟采用1套油烟净化设备处理后，通过高于屋顶1.5m的排气装置排放。</w:t>
            </w:r>
          </w:p>
          <w:p>
            <w:pPr>
              <w:adjustRightInd w:val="0"/>
              <w:rPr>
                <w:rFonts w:cs="宋体"/>
                <w:szCs w:val="21"/>
              </w:rPr>
            </w:pPr>
            <w:r>
              <w:rPr>
                <w:rFonts w:hint="eastAsia" w:cs="宋体"/>
                <w:szCs w:val="21"/>
              </w:rPr>
              <w:t>2、保持项目区内环境卫生，减少运营期地面扬尘和飘散物对环境空气质量的影响；项目区生活垃圾及时清运并对垃圾收集点经常进行清扫。</w:t>
            </w:r>
          </w:p>
        </w:tc>
        <w:tc>
          <w:tcPr>
            <w:tcW w:w="1500" w:type="dxa"/>
            <w:vAlign w:val="center"/>
          </w:tcPr>
          <w:p>
            <w:pPr>
              <w:adjustRightInd w:val="0"/>
              <w:jc w:val="center"/>
              <w:rPr>
                <w:rFonts w:cs="宋体"/>
                <w:szCs w:val="21"/>
              </w:rPr>
            </w:pP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固体废物</w:t>
            </w:r>
          </w:p>
        </w:tc>
        <w:tc>
          <w:tcPr>
            <w:tcW w:w="2676" w:type="dxa"/>
            <w:vAlign w:val="center"/>
          </w:tcPr>
          <w:p>
            <w:pPr>
              <w:adjustRightInd w:val="0"/>
              <w:rPr>
                <w:rFonts w:cs="宋体"/>
                <w:szCs w:val="21"/>
              </w:rPr>
            </w:pPr>
            <w:r>
              <w:rPr>
                <w:rFonts w:hint="eastAsia" w:cs="宋体"/>
                <w:szCs w:val="21"/>
              </w:rPr>
              <w:t>1、开挖的土石方全部回填，禁止乱弃渣。</w:t>
            </w:r>
          </w:p>
          <w:p>
            <w:pPr>
              <w:adjustRightInd w:val="0"/>
              <w:rPr>
                <w:rFonts w:cs="宋体"/>
                <w:szCs w:val="21"/>
              </w:rPr>
            </w:pPr>
            <w:r>
              <w:rPr>
                <w:rFonts w:hint="eastAsia" w:cs="宋体"/>
                <w:szCs w:val="21"/>
              </w:rPr>
              <w:t>2、建筑垃圾应分类收集，能利用部分外售收购商进行回收利用，不可回收部分委托有资质单位清运至政府部门指定的场所进行处置。</w:t>
            </w:r>
          </w:p>
          <w:p>
            <w:pPr>
              <w:adjustRightInd w:val="0"/>
              <w:rPr>
                <w:rFonts w:cs="宋体"/>
                <w:szCs w:val="21"/>
              </w:rPr>
            </w:pPr>
            <w:r>
              <w:rPr>
                <w:rFonts w:hint="eastAsia" w:cs="宋体"/>
                <w:szCs w:val="21"/>
              </w:rPr>
              <w:t>3、安装光伏组件过程中产生的废光伏板收集后做返厂处置。</w:t>
            </w:r>
          </w:p>
          <w:p>
            <w:pPr>
              <w:adjustRightInd w:val="0"/>
              <w:rPr>
                <w:rFonts w:cs="宋体"/>
                <w:szCs w:val="21"/>
              </w:rPr>
            </w:pPr>
            <w:r>
              <w:rPr>
                <w:rFonts w:hint="eastAsia" w:cs="宋体"/>
                <w:szCs w:val="21"/>
              </w:rPr>
              <w:t>4、生活垃圾统一收集，清运至周边村镇垃圾收集点处理。</w:t>
            </w:r>
          </w:p>
          <w:p>
            <w:pPr>
              <w:adjustRightInd w:val="0"/>
              <w:rPr>
                <w:rFonts w:cs="宋体"/>
                <w:szCs w:val="21"/>
              </w:rPr>
            </w:pPr>
            <w:r>
              <w:rPr>
                <w:rFonts w:hint="eastAsia" w:cs="宋体"/>
                <w:szCs w:val="21"/>
              </w:rPr>
              <w:t>5、项目施工旱厕产生的粪便定期委托周边村民清掏用于绿化施肥。</w:t>
            </w:r>
          </w:p>
          <w:p>
            <w:pPr>
              <w:adjustRightInd w:val="0"/>
              <w:rPr>
                <w:rFonts w:cs="宋体"/>
                <w:szCs w:val="21"/>
              </w:rPr>
            </w:pPr>
            <w:r>
              <w:rPr>
                <w:rFonts w:hint="eastAsia" w:cs="宋体"/>
                <w:szCs w:val="21"/>
              </w:rPr>
              <w:t>6、项目临时堆场应选择在项目用地范围内，严禁新增占地，堆场应远离河道，并进行覆盖和拦挡。</w:t>
            </w:r>
          </w:p>
        </w:tc>
        <w:tc>
          <w:tcPr>
            <w:tcW w:w="1314" w:type="dxa"/>
            <w:vAlign w:val="center"/>
          </w:tcPr>
          <w:p>
            <w:pPr>
              <w:adjustRightInd w:val="0"/>
              <w:rPr>
                <w:rFonts w:cs="宋体"/>
                <w:szCs w:val="21"/>
              </w:rPr>
            </w:pPr>
            <w:r>
              <w:rPr>
                <w:szCs w:val="21"/>
              </w:rPr>
              <w:t>处置率达100%</w:t>
            </w:r>
          </w:p>
        </w:tc>
        <w:tc>
          <w:tcPr>
            <w:tcW w:w="2676" w:type="dxa"/>
            <w:vAlign w:val="center"/>
          </w:tcPr>
          <w:p>
            <w:pPr>
              <w:adjustRightInd w:val="0"/>
              <w:rPr>
                <w:rFonts w:cs="宋体"/>
                <w:szCs w:val="21"/>
              </w:rPr>
            </w:pPr>
            <w:r>
              <w:rPr>
                <w:rFonts w:hint="eastAsia" w:cs="宋体"/>
                <w:szCs w:val="21"/>
              </w:rPr>
              <w:t>1、生活垃圾定期运至村镇垃圾收集点，由当地环卫部门处置。</w:t>
            </w:r>
          </w:p>
          <w:p>
            <w:pPr>
              <w:adjustRightInd w:val="0"/>
              <w:rPr>
                <w:rFonts w:cs="宋体"/>
                <w:szCs w:val="21"/>
              </w:rPr>
            </w:pPr>
            <w:r>
              <w:rPr>
                <w:rFonts w:hint="eastAsia" w:cs="宋体"/>
                <w:szCs w:val="21"/>
              </w:rPr>
              <w:t>2、废电池板统一作返厂回收处理，不得随意堆放处置和外卖收购商。</w:t>
            </w:r>
          </w:p>
          <w:p>
            <w:pPr>
              <w:adjustRightInd w:val="0"/>
              <w:rPr>
                <w:rFonts w:cs="宋体"/>
                <w:szCs w:val="21"/>
              </w:rPr>
            </w:pPr>
            <w:r>
              <w:rPr>
                <w:rFonts w:hint="eastAsia" w:cs="宋体"/>
                <w:szCs w:val="21"/>
              </w:rPr>
              <w:t>3、废矿物油、</w:t>
            </w:r>
            <w:r>
              <w:rPr>
                <w:rFonts w:hint="eastAsia"/>
                <w:szCs w:val="21"/>
              </w:rPr>
              <w:t>废蓄电池收集后暂存于</w:t>
            </w:r>
            <w:r>
              <w:rPr>
                <w:szCs w:val="21"/>
              </w:rPr>
              <w:t>危废库预制舱</w:t>
            </w:r>
            <w:r>
              <w:rPr>
                <w:rFonts w:hint="eastAsia"/>
                <w:szCs w:val="21"/>
              </w:rPr>
              <w:t>，定期</w:t>
            </w:r>
            <w:r>
              <w:rPr>
                <w:szCs w:val="21"/>
              </w:rPr>
              <w:t>委托有资质单位进行处理</w:t>
            </w:r>
            <w:r>
              <w:rPr>
                <w:rFonts w:hint="eastAsia"/>
                <w:szCs w:val="21"/>
              </w:rPr>
              <w:t>、处置，建立危废</w:t>
            </w:r>
            <w:r>
              <w:rPr>
                <w:szCs w:val="21"/>
              </w:rPr>
              <w:t>台账管理制度</w:t>
            </w:r>
            <w:r>
              <w:rPr>
                <w:rFonts w:hint="eastAsia"/>
                <w:szCs w:val="21"/>
              </w:rPr>
              <w:t>及危废转移联单制度。</w:t>
            </w:r>
          </w:p>
          <w:p>
            <w:pPr>
              <w:adjustRightInd w:val="0"/>
              <w:rPr>
                <w:szCs w:val="21"/>
              </w:rPr>
            </w:pPr>
            <w:r>
              <w:rPr>
                <w:rFonts w:hint="eastAsia" w:cs="宋体"/>
                <w:szCs w:val="21"/>
              </w:rPr>
              <w:t>4、污水处理站污泥：清掏后用于电站周围植物施肥。</w:t>
            </w:r>
          </w:p>
        </w:tc>
        <w:tc>
          <w:tcPr>
            <w:tcW w:w="1500" w:type="dxa"/>
            <w:vAlign w:val="center"/>
          </w:tcPr>
          <w:p>
            <w:pPr>
              <w:adjustRightInd w:val="0"/>
              <w:rPr>
                <w:rFonts w:cs="宋体"/>
                <w:szCs w:val="21"/>
              </w:rPr>
            </w:pPr>
            <w:r>
              <w:rPr>
                <w:szCs w:val="21"/>
              </w:rPr>
              <w:t>处置率达100%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电磁环境</w:t>
            </w:r>
          </w:p>
        </w:tc>
        <w:tc>
          <w:tcPr>
            <w:tcW w:w="2676" w:type="dxa"/>
            <w:vAlign w:val="center"/>
          </w:tcPr>
          <w:p>
            <w:pPr>
              <w:adjustRightInd w:val="0"/>
              <w:jc w:val="center"/>
              <w:rPr>
                <w:szCs w:val="21"/>
              </w:rPr>
            </w:pPr>
            <w:r>
              <w:rPr>
                <w:rFonts w:hint="eastAsia"/>
                <w:szCs w:val="21"/>
              </w:rPr>
              <w:t>/</w:t>
            </w:r>
          </w:p>
        </w:tc>
        <w:tc>
          <w:tcPr>
            <w:tcW w:w="1314" w:type="dxa"/>
            <w:vAlign w:val="center"/>
          </w:tcPr>
          <w:p>
            <w:pPr>
              <w:adjustRightInd w:val="0"/>
              <w:jc w:val="center"/>
              <w:rPr>
                <w:szCs w:val="21"/>
              </w:rPr>
            </w:pPr>
            <w:r>
              <w:rPr>
                <w:rFonts w:hint="eastAsia"/>
                <w:szCs w:val="21"/>
              </w:rPr>
              <w:t>/</w:t>
            </w:r>
          </w:p>
        </w:tc>
        <w:tc>
          <w:tcPr>
            <w:tcW w:w="2676" w:type="dxa"/>
            <w:vAlign w:val="center"/>
          </w:tcPr>
          <w:p>
            <w:pPr>
              <w:adjustRightInd w:val="0"/>
              <w:jc w:val="center"/>
              <w:rPr>
                <w:bCs/>
                <w:szCs w:val="21"/>
              </w:rPr>
            </w:pPr>
            <w:r>
              <w:rPr>
                <w:rFonts w:hint="eastAsia"/>
                <w:bCs/>
                <w:szCs w:val="21"/>
              </w:rPr>
              <w:t>/</w:t>
            </w:r>
          </w:p>
        </w:tc>
        <w:tc>
          <w:tcPr>
            <w:tcW w:w="1500" w:type="dxa"/>
            <w:vAlign w:val="center"/>
          </w:tcPr>
          <w:p>
            <w:pPr>
              <w:adjustRightInd w:val="0"/>
              <w:jc w:val="center"/>
              <w:rPr>
                <w:rFonts w:cs="宋体"/>
                <w:szCs w:val="21"/>
              </w:rPr>
            </w:pP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环境风险</w:t>
            </w:r>
          </w:p>
        </w:tc>
        <w:tc>
          <w:tcPr>
            <w:tcW w:w="2676" w:type="dxa"/>
            <w:vAlign w:val="center"/>
          </w:tcPr>
          <w:p>
            <w:pPr>
              <w:adjustRightInd w:val="0"/>
              <w:jc w:val="center"/>
              <w:rPr>
                <w:szCs w:val="21"/>
              </w:rPr>
            </w:pPr>
            <w:r>
              <w:rPr>
                <w:rFonts w:hint="eastAsia" w:cs="宋体"/>
                <w:szCs w:val="21"/>
              </w:rPr>
              <w:t>/</w:t>
            </w:r>
          </w:p>
        </w:tc>
        <w:tc>
          <w:tcPr>
            <w:tcW w:w="1314" w:type="dxa"/>
            <w:vAlign w:val="center"/>
          </w:tcPr>
          <w:p>
            <w:pPr>
              <w:adjustRightInd w:val="0"/>
              <w:jc w:val="center"/>
              <w:rPr>
                <w:szCs w:val="21"/>
              </w:rPr>
            </w:pPr>
            <w:r>
              <w:rPr>
                <w:rFonts w:hint="eastAsia"/>
                <w:szCs w:val="21"/>
              </w:rPr>
              <w:t>/</w:t>
            </w:r>
          </w:p>
        </w:tc>
        <w:tc>
          <w:tcPr>
            <w:tcW w:w="2676" w:type="dxa"/>
            <w:vAlign w:val="center"/>
          </w:tcPr>
          <w:p>
            <w:pPr>
              <w:adjustRightInd w:val="0"/>
              <w:rPr>
                <w:rFonts w:cs="宋体"/>
                <w:szCs w:val="21"/>
              </w:rPr>
            </w:pPr>
            <w:r>
              <w:rPr>
                <w:rFonts w:hint="eastAsia" w:cs="宋体"/>
                <w:szCs w:val="21"/>
              </w:rPr>
              <w:t>1、</w:t>
            </w:r>
            <w:r>
              <w:rPr>
                <w:rFonts w:cs="宋体"/>
                <w:szCs w:val="21"/>
              </w:rPr>
              <w:t>每台35kV箱式变下方设置事故油池（共6个），单个容积为4m</w:t>
            </w:r>
            <w:r>
              <w:rPr>
                <w:rFonts w:cs="宋体"/>
                <w:szCs w:val="21"/>
                <w:vertAlign w:val="superscript"/>
              </w:rPr>
              <w:t>3</w:t>
            </w:r>
            <w:r>
              <w:rPr>
                <w:rFonts w:hint="eastAsia" w:cs="宋体"/>
                <w:szCs w:val="21"/>
              </w:rPr>
              <w:t>。</w:t>
            </w:r>
          </w:p>
          <w:p>
            <w:pPr>
              <w:adjustRightInd w:val="0"/>
              <w:rPr>
                <w:rFonts w:cs="宋体"/>
                <w:szCs w:val="21"/>
              </w:rPr>
            </w:pPr>
            <w:r>
              <w:rPr>
                <w:rFonts w:hint="eastAsia" w:cs="宋体"/>
                <w:szCs w:val="21"/>
              </w:rPr>
              <w:t>2、严格做好分区防渗工程，施工期加强工程监理和环境监理，提高防渗工程质量，做好照片、录像以及相关文字说明等存档资料。</w:t>
            </w:r>
          </w:p>
          <w:p>
            <w:pPr>
              <w:adjustRightInd w:val="0"/>
              <w:rPr>
                <w:rFonts w:cs="宋体"/>
                <w:szCs w:val="21"/>
              </w:rPr>
            </w:pPr>
            <w:r>
              <w:rPr>
                <w:rFonts w:hint="eastAsia" w:cs="宋体"/>
                <w:szCs w:val="21"/>
              </w:rPr>
              <w:t>3、运营期定期检查各储存设施，避免出现泄漏等不良情况。</w:t>
            </w:r>
          </w:p>
          <w:p>
            <w:pPr>
              <w:adjustRightInd w:val="0"/>
              <w:rPr>
                <w:rFonts w:cs="宋体"/>
                <w:szCs w:val="21"/>
              </w:rPr>
            </w:pPr>
            <w:r>
              <w:rPr>
                <w:rFonts w:hint="eastAsia" w:cs="宋体"/>
                <w:szCs w:val="21"/>
              </w:rPr>
              <w:t>4、危险废物的贮存严格按照《危险废物贮存污染控制标准》（GB18597-2023）和《危险废物收集、贮存、运输技术规范》（HJ2025-2012）的相关要求执行。</w:t>
            </w:r>
          </w:p>
          <w:p>
            <w:pPr>
              <w:adjustRightInd w:val="0"/>
              <w:rPr>
                <w:bCs/>
                <w:szCs w:val="21"/>
              </w:rPr>
            </w:pPr>
            <w:r>
              <w:rPr>
                <w:rFonts w:hint="eastAsia" w:cs="宋体"/>
                <w:szCs w:val="21"/>
              </w:rPr>
              <w:t>5、加强对操作人员的岗位培训，建立健全的环保管理机制和各项环保规章制度，落实岗位环保责任制，加强环境风险防范工作，防止事故排放导致环境问题。</w:t>
            </w:r>
          </w:p>
        </w:tc>
        <w:tc>
          <w:tcPr>
            <w:tcW w:w="1500" w:type="dxa"/>
            <w:vAlign w:val="center"/>
          </w:tcPr>
          <w:p>
            <w:pPr>
              <w:adjustRightInd w:val="0"/>
              <w:jc w:val="center"/>
              <w:rPr>
                <w:rFonts w:cs="宋体"/>
                <w:szCs w:val="21"/>
              </w:rPr>
            </w:pP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环境监测</w:t>
            </w:r>
          </w:p>
        </w:tc>
        <w:tc>
          <w:tcPr>
            <w:tcW w:w="2676" w:type="dxa"/>
            <w:vAlign w:val="center"/>
          </w:tcPr>
          <w:p>
            <w:pPr>
              <w:adjustRightInd w:val="0"/>
              <w:jc w:val="center"/>
              <w:rPr>
                <w:rFonts w:cs="宋体"/>
                <w:szCs w:val="21"/>
              </w:rPr>
            </w:pPr>
            <w:r>
              <w:rPr>
                <w:rFonts w:hint="eastAsia" w:cs="宋体"/>
                <w:szCs w:val="21"/>
              </w:rPr>
              <w:t>/</w:t>
            </w:r>
          </w:p>
        </w:tc>
        <w:tc>
          <w:tcPr>
            <w:tcW w:w="1314" w:type="dxa"/>
            <w:vAlign w:val="center"/>
          </w:tcPr>
          <w:p>
            <w:pPr>
              <w:adjustRightInd w:val="0"/>
              <w:jc w:val="center"/>
              <w:rPr>
                <w:rFonts w:cs="宋体"/>
                <w:szCs w:val="21"/>
              </w:rPr>
            </w:pPr>
            <w:r>
              <w:rPr>
                <w:rFonts w:hint="eastAsia" w:cs="宋体"/>
                <w:szCs w:val="21"/>
              </w:rPr>
              <w:t>/</w:t>
            </w:r>
          </w:p>
        </w:tc>
        <w:tc>
          <w:tcPr>
            <w:tcW w:w="2676" w:type="dxa"/>
            <w:vAlign w:val="center"/>
          </w:tcPr>
          <w:p>
            <w:pPr>
              <w:adjustRightInd w:val="0"/>
              <w:rPr>
                <w:rFonts w:cs="宋体"/>
                <w:szCs w:val="21"/>
              </w:rPr>
            </w:pPr>
            <w:r>
              <w:rPr>
                <w:rFonts w:hint="eastAsia" w:cs="宋体"/>
                <w:color w:val="000000" w:themeColor="text1"/>
                <w:szCs w:val="21"/>
                <w14:textFill>
                  <w14:solidFill>
                    <w14:schemeClr w14:val="tx1"/>
                  </w14:solidFill>
                </w14:textFill>
              </w:rPr>
              <w:t>制定废水、噪声监测计划</w:t>
            </w:r>
          </w:p>
        </w:tc>
        <w:tc>
          <w:tcPr>
            <w:tcW w:w="1500" w:type="dxa"/>
            <w:vAlign w:val="center"/>
          </w:tcPr>
          <w:p>
            <w:pPr>
              <w:adjustRightInd w:val="0"/>
              <w:jc w:val="left"/>
              <w:rPr>
                <w:rFonts w:cs="宋体"/>
                <w:szCs w:val="21"/>
              </w:rPr>
            </w:pPr>
            <w:r>
              <w:rPr>
                <w:rFonts w:hint="eastAsia" w:cs="宋体"/>
                <w:color w:val="000000" w:themeColor="text1"/>
                <w:szCs w:val="21"/>
                <w14:textFill>
                  <w14:solidFill>
                    <w14:schemeClr w14:val="tx1"/>
                  </w14:solidFill>
                </w14:textFill>
              </w:rPr>
              <w:t>工程正式投产运行后验收时监测一次，后期针对工程变化或投诉情况进行监测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adjustRightInd w:val="0"/>
              <w:jc w:val="center"/>
              <w:rPr>
                <w:rFonts w:cs="宋体"/>
                <w:szCs w:val="21"/>
              </w:rPr>
            </w:pPr>
            <w:r>
              <w:rPr>
                <w:rFonts w:hint="eastAsia" w:cs="宋体"/>
                <w:szCs w:val="21"/>
              </w:rPr>
              <w:t>其他</w:t>
            </w:r>
          </w:p>
        </w:tc>
        <w:tc>
          <w:tcPr>
            <w:tcW w:w="8166" w:type="dxa"/>
            <w:gridSpan w:val="4"/>
            <w:vAlign w:val="center"/>
          </w:tcPr>
          <w:p>
            <w:pPr>
              <w:adjustRightInd w:val="0"/>
              <w:rPr>
                <w:rFonts w:cs="宋体"/>
                <w:szCs w:val="21"/>
              </w:rPr>
            </w:pPr>
            <w:r>
              <w:rPr>
                <w:szCs w:val="21"/>
              </w:rPr>
              <w:t>项目竣工后应按照《建设项目竣工环境保护验收暂行办法》的要求进行自主验收，验收合格后方可投入正式运营。</w:t>
            </w:r>
          </w:p>
        </w:tc>
      </w:tr>
      <w:bookmarkEnd w:id="67"/>
    </w:tbl>
    <w:p>
      <w:pPr>
        <w:pStyle w:val="38"/>
        <w:adjustRightInd w:val="0"/>
        <w:spacing w:before="0" w:beforeAutospacing="0" w:after="0" w:afterAutospacing="0"/>
        <w:outlineLvl w:val="0"/>
        <w:rPr>
          <w:rFonts w:ascii="黑体" w:hAnsi="黑体" w:eastAsia="黑体"/>
          <w:snapToGrid w:val="0"/>
          <w:sz w:val="21"/>
          <w:szCs w:val="21"/>
        </w:rPr>
        <w:sectPr>
          <w:pgSz w:w="11906" w:h="16838"/>
          <w:pgMar w:top="1531" w:right="1531" w:bottom="1531" w:left="1531" w:header="851" w:footer="1077" w:gutter="0"/>
          <w:cols w:space="720" w:num="1"/>
          <w:docGrid w:linePitch="335" w:charSpace="0"/>
        </w:sectPr>
      </w:pPr>
    </w:p>
    <w:p>
      <w:pPr>
        <w:pStyle w:val="38"/>
        <w:adjustRightInd w:val="0"/>
        <w:spacing w:before="0" w:beforeAutospacing="0" w:after="240" w:afterLines="100" w:afterAutospacing="0"/>
        <w:jc w:val="center"/>
        <w:outlineLvl w:val="0"/>
        <w:rPr>
          <w:rFonts w:ascii="黑体" w:hAnsi="黑体" w:eastAsia="黑体"/>
          <w:snapToGrid w:val="0"/>
          <w:sz w:val="30"/>
          <w:szCs w:val="30"/>
        </w:rPr>
      </w:pPr>
      <w:bookmarkStart w:id="68" w:name="_Toc129880766"/>
      <w:bookmarkStart w:id="69" w:name="_Toc129854122"/>
      <w:bookmarkStart w:id="70" w:name="_Toc140704266"/>
      <w:r>
        <w:rPr>
          <w:rFonts w:hint="eastAsia" w:ascii="黑体" w:hAnsi="黑体" w:eastAsia="黑体"/>
          <w:snapToGrid w:val="0"/>
          <w:sz w:val="30"/>
          <w:szCs w:val="30"/>
        </w:rPr>
        <w:t>七、结论</w:t>
      </w:r>
      <w:bookmarkEnd w:id="68"/>
      <w:bookmarkEnd w:id="69"/>
      <w:bookmarkEnd w:id="70"/>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69" w:hRule="atLeast"/>
          <w:jc w:val="center"/>
        </w:trPr>
        <w:tc>
          <w:tcPr>
            <w:tcW w:w="9072" w:type="dxa"/>
          </w:tcPr>
          <w:p>
            <w:pPr>
              <w:adjustRightInd w:val="0"/>
              <w:spacing w:line="360" w:lineRule="auto"/>
              <w:ind w:firstLine="480" w:firstLineChars="200"/>
              <w:rPr>
                <w:sz w:val="24"/>
              </w:rPr>
            </w:pPr>
            <w:bookmarkStart w:id="71" w:name="_Toc447705455"/>
            <w:r>
              <w:rPr>
                <w:rFonts w:hint="eastAsia"/>
                <w:kern w:val="0"/>
                <w:sz w:val="24"/>
              </w:rPr>
              <w:t>拟建项目符合国家产业政策、国家光伏用地规定、环保政策要求。项目评价区内不涉及自然保护区、风景名胜区、森林公园、饮用水水源保护区等环境敏感区。所在区域环境质量现状满足国家标准要求，无环境制约因素。</w:t>
            </w:r>
            <w:r>
              <w:rPr>
                <w:rFonts w:hint="eastAsia"/>
                <w:bCs/>
                <w:color w:val="000000"/>
                <w:sz w:val="24"/>
              </w:rPr>
              <w:t>项目在设计、施工、运行过程中将按照国家相关环境保护要求，采取各项环境保护措施，减轻工程建设产生的环境影响</w:t>
            </w:r>
            <w:r>
              <w:rPr>
                <w:bCs/>
                <w:color w:val="000000"/>
                <w:sz w:val="24"/>
              </w:rPr>
              <w:t>，对环境污染和生态破坏的程度可以接受</w:t>
            </w:r>
            <w:r>
              <w:rPr>
                <w:rFonts w:hint="eastAsia"/>
                <w:kern w:val="0"/>
                <w:sz w:val="24"/>
              </w:rPr>
              <w:t>，不会改变项目所在区域现有环境功能。从环境保护角度分析，项目建设是可行的。</w:t>
            </w:r>
            <w:bookmarkEnd w:id="71"/>
          </w:p>
        </w:tc>
      </w:tr>
    </w:tbl>
    <w:p>
      <w:pPr>
        <w:pStyle w:val="27"/>
        <w:spacing w:line="360" w:lineRule="auto"/>
        <w:ind w:left="0" w:leftChars="0"/>
        <w:rPr>
          <w:color w:val="000000" w:themeColor="text1"/>
          <w:sz w:val="18"/>
          <w:szCs w:val="16"/>
          <w14:textFill>
            <w14:solidFill>
              <w14:schemeClr w14:val="tx1"/>
            </w14:solidFill>
          </w14:textFill>
        </w:rPr>
      </w:pPr>
    </w:p>
    <w:sectPr>
      <w:footerReference r:id="rId11" w:type="default"/>
      <w:pgSz w:w="11906" w:h="16838"/>
      <w:pgMar w:top="1531" w:right="1531" w:bottom="1531" w:left="1531" w:header="851" w:footer="1077" w:gutter="0"/>
      <w:cols w:space="425" w:num="1"/>
      <w:docGrid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Geneva">
    <w:altName w:val="Arial"/>
    <w:panose1 w:val="000000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8"/>
      </w:rPr>
    </w:pPr>
    <w:r>
      <w:fldChar w:fldCharType="begin"/>
    </w:r>
    <w:r>
      <w:rPr>
        <w:rStyle w:val="48"/>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210"/>
      <w:jc w:val="center"/>
      <w:rPr>
        <w:rFonts w:ascii="Times New Roman" w:hAnsi="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060323"/>
      <w:docPartObj>
        <w:docPartGallery w:val="autotext"/>
      </w:docPartObj>
    </w:sdtPr>
    <w:sdtEndPr>
      <w:rPr>
        <w:rFonts w:ascii="Times New Roman" w:hAnsi="Times New Roman" w:cs="Times New Roman"/>
        <w:sz w:val="21"/>
        <w:szCs w:val="21"/>
      </w:rPr>
    </w:sdtEndPr>
    <w:sdtContent>
      <w:p>
        <w:pPr>
          <w:pStyle w:val="30"/>
          <w:ind w:firstLine="21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6262428"/>
      <w:docPartObj>
        <w:docPartGallery w:val="autotext"/>
      </w:docPartObj>
    </w:sdtPr>
    <w:sdtEndPr>
      <w:rPr>
        <w:rFonts w:ascii="Times New Roman" w:hAnsi="Times New Roman" w:cs="Times New Roman"/>
      </w:rPr>
    </w:sdtEndPr>
    <w:sdtContent>
      <w:p>
        <w:pPr>
          <w:pStyle w:val="30"/>
          <w:ind w:firstLine="2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MWI5MTUzMWI3YWI3NzBiZTMyYzQ0M2MxYzYyMjMifQ=="/>
  </w:docVars>
  <w:rsids>
    <w:rsidRoot w:val="0029714C"/>
    <w:rsid w:val="00000153"/>
    <w:rsid w:val="00000200"/>
    <w:rsid w:val="00003C3F"/>
    <w:rsid w:val="0000657C"/>
    <w:rsid w:val="000120B4"/>
    <w:rsid w:val="0001412A"/>
    <w:rsid w:val="000151C1"/>
    <w:rsid w:val="00017735"/>
    <w:rsid w:val="000203F1"/>
    <w:rsid w:val="000228F2"/>
    <w:rsid w:val="0002739B"/>
    <w:rsid w:val="00030A34"/>
    <w:rsid w:val="00031839"/>
    <w:rsid w:val="00041FF8"/>
    <w:rsid w:val="00043851"/>
    <w:rsid w:val="00043FF1"/>
    <w:rsid w:val="00045C26"/>
    <w:rsid w:val="00045FDF"/>
    <w:rsid w:val="00046503"/>
    <w:rsid w:val="00046C78"/>
    <w:rsid w:val="00047B76"/>
    <w:rsid w:val="000500F8"/>
    <w:rsid w:val="000529E4"/>
    <w:rsid w:val="000621E8"/>
    <w:rsid w:val="00062603"/>
    <w:rsid w:val="00070B55"/>
    <w:rsid w:val="00070F9C"/>
    <w:rsid w:val="00081C6E"/>
    <w:rsid w:val="00083DFD"/>
    <w:rsid w:val="000864EE"/>
    <w:rsid w:val="000919A8"/>
    <w:rsid w:val="00093E77"/>
    <w:rsid w:val="000A3700"/>
    <w:rsid w:val="000A4125"/>
    <w:rsid w:val="000A47B1"/>
    <w:rsid w:val="000A74AA"/>
    <w:rsid w:val="000A76DA"/>
    <w:rsid w:val="000B0692"/>
    <w:rsid w:val="000B3438"/>
    <w:rsid w:val="000B65ED"/>
    <w:rsid w:val="000C2520"/>
    <w:rsid w:val="000C5445"/>
    <w:rsid w:val="000C62E3"/>
    <w:rsid w:val="000C6315"/>
    <w:rsid w:val="000D0A59"/>
    <w:rsid w:val="000D3541"/>
    <w:rsid w:val="000E0426"/>
    <w:rsid w:val="000E2F06"/>
    <w:rsid w:val="000E4A4E"/>
    <w:rsid w:val="000E7A22"/>
    <w:rsid w:val="000F10FB"/>
    <w:rsid w:val="000F52C5"/>
    <w:rsid w:val="000F5C05"/>
    <w:rsid w:val="000F7EAE"/>
    <w:rsid w:val="00100A55"/>
    <w:rsid w:val="00102724"/>
    <w:rsid w:val="00111D6F"/>
    <w:rsid w:val="001167EF"/>
    <w:rsid w:val="00116A93"/>
    <w:rsid w:val="0012088E"/>
    <w:rsid w:val="00122A77"/>
    <w:rsid w:val="00122C5B"/>
    <w:rsid w:val="0012466A"/>
    <w:rsid w:val="00130FB1"/>
    <w:rsid w:val="00134F01"/>
    <w:rsid w:val="00135D64"/>
    <w:rsid w:val="001374EE"/>
    <w:rsid w:val="00143763"/>
    <w:rsid w:val="00146D12"/>
    <w:rsid w:val="001535EE"/>
    <w:rsid w:val="00153D28"/>
    <w:rsid w:val="00160BCA"/>
    <w:rsid w:val="00164F18"/>
    <w:rsid w:val="0016562C"/>
    <w:rsid w:val="00165C3D"/>
    <w:rsid w:val="00170C10"/>
    <w:rsid w:val="001745DD"/>
    <w:rsid w:val="001778EF"/>
    <w:rsid w:val="0018036D"/>
    <w:rsid w:val="00182012"/>
    <w:rsid w:val="001848D2"/>
    <w:rsid w:val="001904AF"/>
    <w:rsid w:val="00190C6B"/>
    <w:rsid w:val="001935B2"/>
    <w:rsid w:val="001A06FF"/>
    <w:rsid w:val="001A508A"/>
    <w:rsid w:val="001B1B8D"/>
    <w:rsid w:val="001B7BF2"/>
    <w:rsid w:val="001C4925"/>
    <w:rsid w:val="001E4B24"/>
    <w:rsid w:val="001E69AA"/>
    <w:rsid w:val="001F063D"/>
    <w:rsid w:val="0020031B"/>
    <w:rsid w:val="00202493"/>
    <w:rsid w:val="00202725"/>
    <w:rsid w:val="002029FB"/>
    <w:rsid w:val="0020313E"/>
    <w:rsid w:val="00205ACE"/>
    <w:rsid w:val="002067D2"/>
    <w:rsid w:val="002129C2"/>
    <w:rsid w:val="00213942"/>
    <w:rsid w:val="0021401F"/>
    <w:rsid w:val="0022179A"/>
    <w:rsid w:val="00221897"/>
    <w:rsid w:val="00222069"/>
    <w:rsid w:val="002241D8"/>
    <w:rsid w:val="00227370"/>
    <w:rsid w:val="00230E23"/>
    <w:rsid w:val="002333CF"/>
    <w:rsid w:val="00233E8C"/>
    <w:rsid w:val="002357EC"/>
    <w:rsid w:val="00241136"/>
    <w:rsid w:val="00241313"/>
    <w:rsid w:val="002413D3"/>
    <w:rsid w:val="002467E2"/>
    <w:rsid w:val="00256229"/>
    <w:rsid w:val="00263865"/>
    <w:rsid w:val="00263D58"/>
    <w:rsid w:val="00266BCD"/>
    <w:rsid w:val="002719C9"/>
    <w:rsid w:val="00272A8E"/>
    <w:rsid w:val="0028148A"/>
    <w:rsid w:val="002919A6"/>
    <w:rsid w:val="002946FF"/>
    <w:rsid w:val="00296AAE"/>
    <w:rsid w:val="0029714C"/>
    <w:rsid w:val="002A044B"/>
    <w:rsid w:val="002A17CC"/>
    <w:rsid w:val="002A3AA2"/>
    <w:rsid w:val="002B29F7"/>
    <w:rsid w:val="002B3069"/>
    <w:rsid w:val="002B527D"/>
    <w:rsid w:val="002B7AC5"/>
    <w:rsid w:val="002B7D22"/>
    <w:rsid w:val="002C4A58"/>
    <w:rsid w:val="002C6B10"/>
    <w:rsid w:val="002D5C8B"/>
    <w:rsid w:val="002D6E63"/>
    <w:rsid w:val="002E615E"/>
    <w:rsid w:val="002F3CC5"/>
    <w:rsid w:val="00300262"/>
    <w:rsid w:val="00302FE7"/>
    <w:rsid w:val="00317E14"/>
    <w:rsid w:val="0032155E"/>
    <w:rsid w:val="003279CA"/>
    <w:rsid w:val="003336B3"/>
    <w:rsid w:val="0033474C"/>
    <w:rsid w:val="0033556E"/>
    <w:rsid w:val="003359CB"/>
    <w:rsid w:val="00341A34"/>
    <w:rsid w:val="003526BB"/>
    <w:rsid w:val="00355A2C"/>
    <w:rsid w:val="003610BC"/>
    <w:rsid w:val="00364FC7"/>
    <w:rsid w:val="003717D3"/>
    <w:rsid w:val="0037791B"/>
    <w:rsid w:val="00384FDD"/>
    <w:rsid w:val="0039682C"/>
    <w:rsid w:val="00396BF9"/>
    <w:rsid w:val="003976F1"/>
    <w:rsid w:val="003A0C72"/>
    <w:rsid w:val="003A3A51"/>
    <w:rsid w:val="003A4414"/>
    <w:rsid w:val="003A4C40"/>
    <w:rsid w:val="003A6318"/>
    <w:rsid w:val="003B3173"/>
    <w:rsid w:val="003C44AF"/>
    <w:rsid w:val="003C44CF"/>
    <w:rsid w:val="003C5304"/>
    <w:rsid w:val="003D3102"/>
    <w:rsid w:val="003D52D1"/>
    <w:rsid w:val="003D56D7"/>
    <w:rsid w:val="003D63C2"/>
    <w:rsid w:val="003E2932"/>
    <w:rsid w:val="003E3E86"/>
    <w:rsid w:val="003E43CF"/>
    <w:rsid w:val="003F2118"/>
    <w:rsid w:val="004002EA"/>
    <w:rsid w:val="00400BD5"/>
    <w:rsid w:val="00403E8E"/>
    <w:rsid w:val="00416DF8"/>
    <w:rsid w:val="004231E7"/>
    <w:rsid w:val="00424B36"/>
    <w:rsid w:val="00425180"/>
    <w:rsid w:val="004259E5"/>
    <w:rsid w:val="00427A5B"/>
    <w:rsid w:val="00440405"/>
    <w:rsid w:val="00443848"/>
    <w:rsid w:val="004528D7"/>
    <w:rsid w:val="00453CF5"/>
    <w:rsid w:val="00456C14"/>
    <w:rsid w:val="00457FF8"/>
    <w:rsid w:val="004617D3"/>
    <w:rsid w:val="00463845"/>
    <w:rsid w:val="0046394B"/>
    <w:rsid w:val="00465E06"/>
    <w:rsid w:val="004664B6"/>
    <w:rsid w:val="004702EE"/>
    <w:rsid w:val="00481308"/>
    <w:rsid w:val="004823E9"/>
    <w:rsid w:val="00483601"/>
    <w:rsid w:val="00485499"/>
    <w:rsid w:val="004879FD"/>
    <w:rsid w:val="00495091"/>
    <w:rsid w:val="004970E3"/>
    <w:rsid w:val="004A4806"/>
    <w:rsid w:val="004B192F"/>
    <w:rsid w:val="004C0513"/>
    <w:rsid w:val="004C22E9"/>
    <w:rsid w:val="004C2453"/>
    <w:rsid w:val="004C31C7"/>
    <w:rsid w:val="004C5C49"/>
    <w:rsid w:val="004C5EEF"/>
    <w:rsid w:val="004D03F7"/>
    <w:rsid w:val="004D3DCB"/>
    <w:rsid w:val="004E3306"/>
    <w:rsid w:val="004E6BA4"/>
    <w:rsid w:val="004F0C23"/>
    <w:rsid w:val="00503793"/>
    <w:rsid w:val="00503EC1"/>
    <w:rsid w:val="005042A1"/>
    <w:rsid w:val="0051604D"/>
    <w:rsid w:val="005227AC"/>
    <w:rsid w:val="00526399"/>
    <w:rsid w:val="005331B1"/>
    <w:rsid w:val="005353DF"/>
    <w:rsid w:val="0053560D"/>
    <w:rsid w:val="00541F7A"/>
    <w:rsid w:val="005437C2"/>
    <w:rsid w:val="0054441E"/>
    <w:rsid w:val="00546864"/>
    <w:rsid w:val="005513AE"/>
    <w:rsid w:val="00554F7D"/>
    <w:rsid w:val="005572E7"/>
    <w:rsid w:val="00557DE1"/>
    <w:rsid w:val="0056022B"/>
    <w:rsid w:val="00561F1C"/>
    <w:rsid w:val="00562936"/>
    <w:rsid w:val="0057149C"/>
    <w:rsid w:val="005756BC"/>
    <w:rsid w:val="00581185"/>
    <w:rsid w:val="005B152E"/>
    <w:rsid w:val="005B2505"/>
    <w:rsid w:val="005B352C"/>
    <w:rsid w:val="005C449B"/>
    <w:rsid w:val="005C7214"/>
    <w:rsid w:val="005C7B51"/>
    <w:rsid w:val="005D38F9"/>
    <w:rsid w:val="005D48A2"/>
    <w:rsid w:val="005D6520"/>
    <w:rsid w:val="005E0CC4"/>
    <w:rsid w:val="005F081F"/>
    <w:rsid w:val="005F5853"/>
    <w:rsid w:val="00600534"/>
    <w:rsid w:val="006015DE"/>
    <w:rsid w:val="00603476"/>
    <w:rsid w:val="00606D45"/>
    <w:rsid w:val="006104BB"/>
    <w:rsid w:val="00612661"/>
    <w:rsid w:val="006176C5"/>
    <w:rsid w:val="00623211"/>
    <w:rsid w:val="0063030C"/>
    <w:rsid w:val="0063692B"/>
    <w:rsid w:val="00636C9C"/>
    <w:rsid w:val="00637D53"/>
    <w:rsid w:val="006445C6"/>
    <w:rsid w:val="00645FFB"/>
    <w:rsid w:val="00647164"/>
    <w:rsid w:val="00656106"/>
    <w:rsid w:val="00665531"/>
    <w:rsid w:val="006800B5"/>
    <w:rsid w:val="00682F7A"/>
    <w:rsid w:val="00685E01"/>
    <w:rsid w:val="00692F7C"/>
    <w:rsid w:val="00697261"/>
    <w:rsid w:val="006A1995"/>
    <w:rsid w:val="006A3A40"/>
    <w:rsid w:val="006B3E0F"/>
    <w:rsid w:val="006B664E"/>
    <w:rsid w:val="006C0F82"/>
    <w:rsid w:val="006C25D8"/>
    <w:rsid w:val="006D3832"/>
    <w:rsid w:val="006D688D"/>
    <w:rsid w:val="006E0795"/>
    <w:rsid w:val="006E6205"/>
    <w:rsid w:val="006F3E5C"/>
    <w:rsid w:val="006F5F05"/>
    <w:rsid w:val="007066F6"/>
    <w:rsid w:val="00710739"/>
    <w:rsid w:val="00711868"/>
    <w:rsid w:val="00714DD3"/>
    <w:rsid w:val="007170A3"/>
    <w:rsid w:val="00717416"/>
    <w:rsid w:val="0072436E"/>
    <w:rsid w:val="00733B86"/>
    <w:rsid w:val="00735BF4"/>
    <w:rsid w:val="0074078F"/>
    <w:rsid w:val="00745AFF"/>
    <w:rsid w:val="00746B8A"/>
    <w:rsid w:val="0075068F"/>
    <w:rsid w:val="00751E61"/>
    <w:rsid w:val="007523D5"/>
    <w:rsid w:val="0075418C"/>
    <w:rsid w:val="00763A5B"/>
    <w:rsid w:val="00763EAC"/>
    <w:rsid w:val="00777A39"/>
    <w:rsid w:val="007865F4"/>
    <w:rsid w:val="007A7A03"/>
    <w:rsid w:val="007C1745"/>
    <w:rsid w:val="007C1824"/>
    <w:rsid w:val="007C6500"/>
    <w:rsid w:val="007D5047"/>
    <w:rsid w:val="007D62AF"/>
    <w:rsid w:val="007D73E7"/>
    <w:rsid w:val="007D797D"/>
    <w:rsid w:val="007F0106"/>
    <w:rsid w:val="007F1AB0"/>
    <w:rsid w:val="007F391E"/>
    <w:rsid w:val="007F502B"/>
    <w:rsid w:val="00800B74"/>
    <w:rsid w:val="00804602"/>
    <w:rsid w:val="008046E9"/>
    <w:rsid w:val="008058E6"/>
    <w:rsid w:val="00806427"/>
    <w:rsid w:val="00806755"/>
    <w:rsid w:val="00806796"/>
    <w:rsid w:val="00812070"/>
    <w:rsid w:val="00823E8D"/>
    <w:rsid w:val="00826D1A"/>
    <w:rsid w:val="008276D5"/>
    <w:rsid w:val="00827B1C"/>
    <w:rsid w:val="00834A3C"/>
    <w:rsid w:val="00840D16"/>
    <w:rsid w:val="00841E08"/>
    <w:rsid w:val="0084602C"/>
    <w:rsid w:val="00847A5D"/>
    <w:rsid w:val="008524E0"/>
    <w:rsid w:val="00852C10"/>
    <w:rsid w:val="0086719A"/>
    <w:rsid w:val="008671D4"/>
    <w:rsid w:val="00877F8F"/>
    <w:rsid w:val="00880330"/>
    <w:rsid w:val="008815DE"/>
    <w:rsid w:val="0088412B"/>
    <w:rsid w:val="008A1C99"/>
    <w:rsid w:val="008A52AE"/>
    <w:rsid w:val="008B2AA3"/>
    <w:rsid w:val="008B7158"/>
    <w:rsid w:val="008C10ED"/>
    <w:rsid w:val="008C3962"/>
    <w:rsid w:val="008C42B4"/>
    <w:rsid w:val="008C4B3D"/>
    <w:rsid w:val="008D5E6E"/>
    <w:rsid w:val="008E030F"/>
    <w:rsid w:val="008E0364"/>
    <w:rsid w:val="008E197E"/>
    <w:rsid w:val="008E1997"/>
    <w:rsid w:val="008E5513"/>
    <w:rsid w:val="008E5691"/>
    <w:rsid w:val="008E5BA4"/>
    <w:rsid w:val="008F445D"/>
    <w:rsid w:val="008F5878"/>
    <w:rsid w:val="008F6074"/>
    <w:rsid w:val="009014F2"/>
    <w:rsid w:val="00903583"/>
    <w:rsid w:val="00906BAF"/>
    <w:rsid w:val="0091421C"/>
    <w:rsid w:val="009243D2"/>
    <w:rsid w:val="00934DEE"/>
    <w:rsid w:val="009358FB"/>
    <w:rsid w:val="00935968"/>
    <w:rsid w:val="00941589"/>
    <w:rsid w:val="00942262"/>
    <w:rsid w:val="00942DE3"/>
    <w:rsid w:val="00945847"/>
    <w:rsid w:val="00946DFC"/>
    <w:rsid w:val="00960D99"/>
    <w:rsid w:val="0096135A"/>
    <w:rsid w:val="00962DA2"/>
    <w:rsid w:val="00962E8D"/>
    <w:rsid w:val="009652D6"/>
    <w:rsid w:val="00980F3B"/>
    <w:rsid w:val="00981C2F"/>
    <w:rsid w:val="00981FB4"/>
    <w:rsid w:val="0098288B"/>
    <w:rsid w:val="009848BD"/>
    <w:rsid w:val="009907A9"/>
    <w:rsid w:val="00990E93"/>
    <w:rsid w:val="00992E58"/>
    <w:rsid w:val="0099381D"/>
    <w:rsid w:val="0099792E"/>
    <w:rsid w:val="009A49EA"/>
    <w:rsid w:val="009A6031"/>
    <w:rsid w:val="009B1536"/>
    <w:rsid w:val="009B1B76"/>
    <w:rsid w:val="009B393C"/>
    <w:rsid w:val="009B4B8E"/>
    <w:rsid w:val="009B63FB"/>
    <w:rsid w:val="009B7961"/>
    <w:rsid w:val="009C58FA"/>
    <w:rsid w:val="009D19C7"/>
    <w:rsid w:val="009D1D57"/>
    <w:rsid w:val="009D563A"/>
    <w:rsid w:val="009D5D70"/>
    <w:rsid w:val="009E0961"/>
    <w:rsid w:val="009E11E7"/>
    <w:rsid w:val="009E6FD4"/>
    <w:rsid w:val="009F2ECF"/>
    <w:rsid w:val="009F3109"/>
    <w:rsid w:val="009F6814"/>
    <w:rsid w:val="00A0591C"/>
    <w:rsid w:val="00A1393F"/>
    <w:rsid w:val="00A14139"/>
    <w:rsid w:val="00A21C16"/>
    <w:rsid w:val="00A25CEE"/>
    <w:rsid w:val="00A27C59"/>
    <w:rsid w:val="00A33550"/>
    <w:rsid w:val="00A422AC"/>
    <w:rsid w:val="00A44E02"/>
    <w:rsid w:val="00A5020D"/>
    <w:rsid w:val="00A521D9"/>
    <w:rsid w:val="00A54EF5"/>
    <w:rsid w:val="00A74A47"/>
    <w:rsid w:val="00A74F69"/>
    <w:rsid w:val="00A802E3"/>
    <w:rsid w:val="00A810A9"/>
    <w:rsid w:val="00A82D54"/>
    <w:rsid w:val="00A91150"/>
    <w:rsid w:val="00A928F7"/>
    <w:rsid w:val="00AA1046"/>
    <w:rsid w:val="00AA2679"/>
    <w:rsid w:val="00AA7D69"/>
    <w:rsid w:val="00AB2513"/>
    <w:rsid w:val="00AC0629"/>
    <w:rsid w:val="00AC08CC"/>
    <w:rsid w:val="00AC1FEA"/>
    <w:rsid w:val="00AC2BF6"/>
    <w:rsid w:val="00AC5BF1"/>
    <w:rsid w:val="00AD0FBD"/>
    <w:rsid w:val="00AD379C"/>
    <w:rsid w:val="00AD3F51"/>
    <w:rsid w:val="00AD4C5D"/>
    <w:rsid w:val="00AD66FB"/>
    <w:rsid w:val="00AD756C"/>
    <w:rsid w:val="00AE3E1B"/>
    <w:rsid w:val="00AE5564"/>
    <w:rsid w:val="00AF5FCC"/>
    <w:rsid w:val="00B01C4B"/>
    <w:rsid w:val="00B042EE"/>
    <w:rsid w:val="00B10450"/>
    <w:rsid w:val="00B12891"/>
    <w:rsid w:val="00B13669"/>
    <w:rsid w:val="00B27D2B"/>
    <w:rsid w:val="00B32B2B"/>
    <w:rsid w:val="00B3373A"/>
    <w:rsid w:val="00B3464A"/>
    <w:rsid w:val="00B35212"/>
    <w:rsid w:val="00B36857"/>
    <w:rsid w:val="00B36F22"/>
    <w:rsid w:val="00B41CCF"/>
    <w:rsid w:val="00B43C38"/>
    <w:rsid w:val="00B44164"/>
    <w:rsid w:val="00B442C5"/>
    <w:rsid w:val="00B45885"/>
    <w:rsid w:val="00B5132A"/>
    <w:rsid w:val="00B53A85"/>
    <w:rsid w:val="00B67667"/>
    <w:rsid w:val="00B80851"/>
    <w:rsid w:val="00B81CD0"/>
    <w:rsid w:val="00B81D4C"/>
    <w:rsid w:val="00B90FA7"/>
    <w:rsid w:val="00B9313E"/>
    <w:rsid w:val="00BA0B50"/>
    <w:rsid w:val="00BA0C20"/>
    <w:rsid w:val="00BA0E28"/>
    <w:rsid w:val="00BA6E12"/>
    <w:rsid w:val="00BA72C5"/>
    <w:rsid w:val="00BB458C"/>
    <w:rsid w:val="00BB58F9"/>
    <w:rsid w:val="00BB5BA9"/>
    <w:rsid w:val="00BB6CBF"/>
    <w:rsid w:val="00BC54BB"/>
    <w:rsid w:val="00BD12AB"/>
    <w:rsid w:val="00BD3DE3"/>
    <w:rsid w:val="00BE420D"/>
    <w:rsid w:val="00BE7950"/>
    <w:rsid w:val="00BF0C66"/>
    <w:rsid w:val="00BF2561"/>
    <w:rsid w:val="00BF50B9"/>
    <w:rsid w:val="00BF67D8"/>
    <w:rsid w:val="00C004F5"/>
    <w:rsid w:val="00C02084"/>
    <w:rsid w:val="00C034CC"/>
    <w:rsid w:val="00C11105"/>
    <w:rsid w:val="00C15AAA"/>
    <w:rsid w:val="00C169DA"/>
    <w:rsid w:val="00C22F66"/>
    <w:rsid w:val="00C22F76"/>
    <w:rsid w:val="00C30D9C"/>
    <w:rsid w:val="00C45040"/>
    <w:rsid w:val="00C4655E"/>
    <w:rsid w:val="00C51B24"/>
    <w:rsid w:val="00C52200"/>
    <w:rsid w:val="00C54C56"/>
    <w:rsid w:val="00C57D67"/>
    <w:rsid w:val="00C6033D"/>
    <w:rsid w:val="00C630A3"/>
    <w:rsid w:val="00C632A3"/>
    <w:rsid w:val="00C64361"/>
    <w:rsid w:val="00C6562B"/>
    <w:rsid w:val="00C66964"/>
    <w:rsid w:val="00C74F95"/>
    <w:rsid w:val="00C87057"/>
    <w:rsid w:val="00C90CD4"/>
    <w:rsid w:val="00CA389B"/>
    <w:rsid w:val="00CA4F60"/>
    <w:rsid w:val="00CB33B6"/>
    <w:rsid w:val="00CB4137"/>
    <w:rsid w:val="00CC076F"/>
    <w:rsid w:val="00CC15A4"/>
    <w:rsid w:val="00CC2248"/>
    <w:rsid w:val="00CC6E97"/>
    <w:rsid w:val="00CE3FE1"/>
    <w:rsid w:val="00CF0CF8"/>
    <w:rsid w:val="00CF736E"/>
    <w:rsid w:val="00D01057"/>
    <w:rsid w:val="00D019D4"/>
    <w:rsid w:val="00D06A48"/>
    <w:rsid w:val="00D12F0C"/>
    <w:rsid w:val="00D1663E"/>
    <w:rsid w:val="00D170F3"/>
    <w:rsid w:val="00D21865"/>
    <w:rsid w:val="00D22FFD"/>
    <w:rsid w:val="00D274FB"/>
    <w:rsid w:val="00D27631"/>
    <w:rsid w:val="00D3446A"/>
    <w:rsid w:val="00D34485"/>
    <w:rsid w:val="00D36CB7"/>
    <w:rsid w:val="00D401B9"/>
    <w:rsid w:val="00D428EA"/>
    <w:rsid w:val="00D43252"/>
    <w:rsid w:val="00D44E1C"/>
    <w:rsid w:val="00D502B0"/>
    <w:rsid w:val="00D51415"/>
    <w:rsid w:val="00D604D7"/>
    <w:rsid w:val="00D6229F"/>
    <w:rsid w:val="00D66D84"/>
    <w:rsid w:val="00D71E40"/>
    <w:rsid w:val="00D83D76"/>
    <w:rsid w:val="00D93BFD"/>
    <w:rsid w:val="00DA0D87"/>
    <w:rsid w:val="00DA3A2D"/>
    <w:rsid w:val="00DB2728"/>
    <w:rsid w:val="00DB6E05"/>
    <w:rsid w:val="00DC09E4"/>
    <w:rsid w:val="00DC1E5A"/>
    <w:rsid w:val="00DD3A9D"/>
    <w:rsid w:val="00DE090A"/>
    <w:rsid w:val="00DE4B02"/>
    <w:rsid w:val="00DE7665"/>
    <w:rsid w:val="00DF259B"/>
    <w:rsid w:val="00DF584D"/>
    <w:rsid w:val="00DF5C23"/>
    <w:rsid w:val="00DF6D82"/>
    <w:rsid w:val="00E0179A"/>
    <w:rsid w:val="00E050DA"/>
    <w:rsid w:val="00E14C62"/>
    <w:rsid w:val="00E1520A"/>
    <w:rsid w:val="00E164B5"/>
    <w:rsid w:val="00E251AF"/>
    <w:rsid w:val="00E269A7"/>
    <w:rsid w:val="00E270D8"/>
    <w:rsid w:val="00E307D3"/>
    <w:rsid w:val="00E31E33"/>
    <w:rsid w:val="00E365A1"/>
    <w:rsid w:val="00E43BC0"/>
    <w:rsid w:val="00E4514D"/>
    <w:rsid w:val="00E45B18"/>
    <w:rsid w:val="00E51580"/>
    <w:rsid w:val="00E57F39"/>
    <w:rsid w:val="00E61296"/>
    <w:rsid w:val="00E6466C"/>
    <w:rsid w:val="00E67CBC"/>
    <w:rsid w:val="00E74569"/>
    <w:rsid w:val="00E818B7"/>
    <w:rsid w:val="00E83431"/>
    <w:rsid w:val="00E83FE7"/>
    <w:rsid w:val="00E8693D"/>
    <w:rsid w:val="00EA1868"/>
    <w:rsid w:val="00EA249A"/>
    <w:rsid w:val="00EA4459"/>
    <w:rsid w:val="00EA72A1"/>
    <w:rsid w:val="00EA789A"/>
    <w:rsid w:val="00EA7AB3"/>
    <w:rsid w:val="00EC0680"/>
    <w:rsid w:val="00EC73A5"/>
    <w:rsid w:val="00ED4814"/>
    <w:rsid w:val="00ED4CBD"/>
    <w:rsid w:val="00ED4FA9"/>
    <w:rsid w:val="00EE27FB"/>
    <w:rsid w:val="00EE2C06"/>
    <w:rsid w:val="00EE5C2A"/>
    <w:rsid w:val="00EE767C"/>
    <w:rsid w:val="00EF3B20"/>
    <w:rsid w:val="00EF531E"/>
    <w:rsid w:val="00EF5FAF"/>
    <w:rsid w:val="00F00212"/>
    <w:rsid w:val="00F0097C"/>
    <w:rsid w:val="00F0257B"/>
    <w:rsid w:val="00F02757"/>
    <w:rsid w:val="00F0455C"/>
    <w:rsid w:val="00F14017"/>
    <w:rsid w:val="00F1774C"/>
    <w:rsid w:val="00F20FBF"/>
    <w:rsid w:val="00F24038"/>
    <w:rsid w:val="00F27869"/>
    <w:rsid w:val="00F31370"/>
    <w:rsid w:val="00F33077"/>
    <w:rsid w:val="00F3765F"/>
    <w:rsid w:val="00F40C6F"/>
    <w:rsid w:val="00F4333F"/>
    <w:rsid w:val="00F45465"/>
    <w:rsid w:val="00F465F3"/>
    <w:rsid w:val="00F5070A"/>
    <w:rsid w:val="00F543D1"/>
    <w:rsid w:val="00F5483E"/>
    <w:rsid w:val="00F63319"/>
    <w:rsid w:val="00F64750"/>
    <w:rsid w:val="00F66745"/>
    <w:rsid w:val="00F714AC"/>
    <w:rsid w:val="00F7164A"/>
    <w:rsid w:val="00F80FB2"/>
    <w:rsid w:val="00F81724"/>
    <w:rsid w:val="00F81C80"/>
    <w:rsid w:val="00F82977"/>
    <w:rsid w:val="00F917E2"/>
    <w:rsid w:val="00F9672D"/>
    <w:rsid w:val="00FA046B"/>
    <w:rsid w:val="00FB0BF3"/>
    <w:rsid w:val="00FB1EBC"/>
    <w:rsid w:val="00FB32F7"/>
    <w:rsid w:val="00FB44A7"/>
    <w:rsid w:val="00FB4AFA"/>
    <w:rsid w:val="00FB5822"/>
    <w:rsid w:val="00FB5DF5"/>
    <w:rsid w:val="00FC4FFA"/>
    <w:rsid w:val="00FC711A"/>
    <w:rsid w:val="00FD71D9"/>
    <w:rsid w:val="00FD7A26"/>
    <w:rsid w:val="00FE1F42"/>
    <w:rsid w:val="00FE20B6"/>
    <w:rsid w:val="00FE2360"/>
    <w:rsid w:val="00FE4763"/>
    <w:rsid w:val="00FE6820"/>
    <w:rsid w:val="00FF11C9"/>
    <w:rsid w:val="00FF7526"/>
    <w:rsid w:val="06B901B8"/>
    <w:rsid w:val="19DA7B50"/>
    <w:rsid w:val="54BC1D90"/>
    <w:rsid w:val="6727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qFormat="1" w:unhideWhenUsed="0" w:uiPriority="0" w:semiHidden="0" w:name="toa heading"/>
    <w:lsdException w:qFormat="1"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96"/>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97"/>
    <w:qFormat/>
    <w:uiPriority w:val="0"/>
    <w:pPr>
      <w:adjustRightInd w:val="0"/>
      <w:spacing w:line="460" w:lineRule="exact"/>
      <w:ind w:firstLine="510"/>
      <w:jc w:val="left"/>
      <w:textAlignment w:val="baseline"/>
      <w:outlineLvl w:val="4"/>
    </w:pPr>
    <w:rPr>
      <w:kern w:val="0"/>
      <w:sz w:val="24"/>
      <w:szCs w:val="20"/>
    </w:rPr>
  </w:style>
  <w:style w:type="paragraph" w:styleId="8">
    <w:name w:val="heading 6"/>
    <w:basedOn w:val="1"/>
    <w:next w:val="1"/>
    <w:link w:val="98"/>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link w:val="99"/>
    <w:qFormat/>
    <w:uiPriority w:val="0"/>
    <w:pPr>
      <w:keepNext/>
      <w:keepLines/>
      <w:spacing w:before="240" w:after="64" w:line="317" w:lineRule="auto"/>
      <w:outlineLvl w:val="6"/>
    </w:pPr>
    <w:rPr>
      <w:b/>
      <w:bCs/>
      <w:sz w:val="24"/>
    </w:rPr>
  </w:style>
  <w:style w:type="paragraph" w:styleId="10">
    <w:name w:val="heading 8"/>
    <w:basedOn w:val="1"/>
    <w:next w:val="1"/>
    <w:link w:val="100"/>
    <w:qFormat/>
    <w:uiPriority w:val="0"/>
    <w:pPr>
      <w:adjustRightInd w:val="0"/>
      <w:spacing w:line="460" w:lineRule="exact"/>
      <w:ind w:left="1021" w:hanging="284"/>
      <w:jc w:val="left"/>
      <w:textAlignment w:val="baseline"/>
      <w:outlineLvl w:val="7"/>
    </w:pPr>
    <w:rPr>
      <w:kern w:val="0"/>
      <w:sz w:val="24"/>
      <w:szCs w:val="20"/>
    </w:rPr>
  </w:style>
  <w:style w:type="paragraph" w:styleId="11">
    <w:name w:val="heading 9"/>
    <w:basedOn w:val="1"/>
    <w:next w:val="1"/>
    <w:link w:val="101"/>
    <w:qFormat/>
    <w:uiPriority w:val="0"/>
    <w:pPr>
      <w:keepNext/>
      <w:keepLine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macro"/>
    <w:link w:val="17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Number 2"/>
    <w:basedOn w:val="1"/>
    <w:qFormat/>
    <w:uiPriority w:val="0"/>
    <w:pPr>
      <w:tabs>
        <w:tab w:val="left" w:pos="780"/>
      </w:tabs>
      <w:spacing w:line="360" w:lineRule="auto"/>
      <w:ind w:left="780" w:hanging="360" w:firstLineChars="200"/>
    </w:pPr>
    <w:rPr>
      <w:sz w:val="24"/>
    </w:rPr>
  </w:style>
  <w:style w:type="paragraph" w:styleId="13">
    <w:name w:val="Note Heading"/>
    <w:basedOn w:val="1"/>
    <w:next w:val="1"/>
    <w:link w:val="202"/>
    <w:qFormat/>
    <w:uiPriority w:val="0"/>
    <w:pPr>
      <w:widowControl/>
      <w:jc w:val="center"/>
    </w:pPr>
    <w:rPr>
      <w:rFonts w:asciiTheme="minorHAnsi" w:hAnsiTheme="minorHAnsi" w:eastAsiaTheme="minorEastAsia" w:cstheme="minorBidi"/>
      <w:sz w:val="24"/>
      <w:szCs w:val="22"/>
      <w:lang w:eastAsia="en-US" w:bidi="en-US"/>
    </w:rPr>
  </w:style>
  <w:style w:type="paragraph" w:styleId="14">
    <w:name w:val="List Number"/>
    <w:basedOn w:val="1"/>
    <w:qFormat/>
    <w:uiPriority w:val="0"/>
    <w:pPr>
      <w:tabs>
        <w:tab w:val="left" w:pos="360"/>
      </w:tabs>
      <w:contextualSpacing/>
    </w:pPr>
  </w:style>
  <w:style w:type="paragraph" w:styleId="15">
    <w:name w:val="Normal Indent"/>
    <w:basedOn w:val="1"/>
    <w:link w:val="146"/>
    <w:qFormat/>
    <w:uiPriority w:val="0"/>
    <w:pPr>
      <w:spacing w:line="460" w:lineRule="exact"/>
      <w:ind w:firstLine="420" w:firstLineChars="200"/>
    </w:pPr>
    <w:rPr>
      <w:rFonts w:ascii="Calibri" w:hAnsi="Calibri"/>
      <w:sz w:val="24"/>
    </w:rPr>
  </w:style>
  <w:style w:type="paragraph" w:styleId="16">
    <w:name w:val="caption"/>
    <w:next w:val="1"/>
    <w:link w:val="145"/>
    <w:qFormat/>
    <w:uiPriority w:val="0"/>
    <w:pPr>
      <w:jc w:val="center"/>
    </w:pPr>
    <w:rPr>
      <w:rFonts w:asciiTheme="minorHAnsi" w:hAnsiTheme="minorHAnsi" w:eastAsiaTheme="minorEastAsia" w:cstheme="minorBidi"/>
      <w:b/>
      <w:kern w:val="2"/>
      <w:sz w:val="21"/>
      <w:szCs w:val="22"/>
      <w:lang w:val="en-US" w:eastAsia="zh-CN" w:bidi="ar-SA"/>
    </w:rPr>
  </w:style>
  <w:style w:type="paragraph" w:styleId="17">
    <w:name w:val="index 5"/>
    <w:basedOn w:val="1"/>
    <w:next w:val="1"/>
    <w:qFormat/>
    <w:uiPriority w:val="0"/>
    <w:pPr>
      <w:ind w:left="800" w:leftChars="800"/>
    </w:pPr>
  </w:style>
  <w:style w:type="paragraph" w:styleId="18">
    <w:name w:val="Document Map"/>
    <w:basedOn w:val="1"/>
    <w:link w:val="216"/>
    <w:qFormat/>
    <w:uiPriority w:val="0"/>
    <w:pPr>
      <w:shd w:val="clear" w:color="auto" w:fill="000080"/>
    </w:pPr>
    <w:rPr>
      <w:rFonts w:asciiTheme="minorHAnsi" w:hAnsiTheme="minorHAnsi" w:eastAsiaTheme="minorEastAsia" w:cstheme="minorBidi"/>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111"/>
    <w:qFormat/>
    <w:uiPriority w:val="99"/>
    <w:pPr>
      <w:jc w:val="left"/>
    </w:pPr>
    <w:rPr>
      <w:kern w:val="0"/>
      <w:sz w:val="20"/>
    </w:rPr>
  </w:style>
  <w:style w:type="paragraph" w:styleId="21">
    <w:name w:val="Body Text"/>
    <w:basedOn w:val="1"/>
    <w:link w:val="58"/>
    <w:qFormat/>
    <w:uiPriority w:val="0"/>
    <w:pPr>
      <w:widowControl/>
      <w:snapToGrid w:val="0"/>
      <w:spacing w:before="60" w:after="160" w:line="259" w:lineRule="auto"/>
      <w:ind w:right="113"/>
    </w:pPr>
    <w:rPr>
      <w:kern w:val="0"/>
      <w:sz w:val="18"/>
      <w:szCs w:val="18"/>
    </w:rPr>
  </w:style>
  <w:style w:type="paragraph" w:styleId="22">
    <w:name w:val="Body Text Indent"/>
    <w:basedOn w:val="1"/>
    <w:link w:val="80"/>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index 4"/>
    <w:basedOn w:val="1"/>
    <w:next w:val="1"/>
    <w:qFormat/>
    <w:uiPriority w:val="0"/>
    <w:pPr>
      <w:ind w:left="600" w:leftChars="600"/>
    </w:pPr>
  </w:style>
  <w:style w:type="paragraph" w:styleId="25">
    <w:name w:val="toc 3"/>
    <w:basedOn w:val="1"/>
    <w:next w:val="1"/>
    <w:unhideWhenUsed/>
    <w:qFormat/>
    <w:uiPriority w:val="39"/>
    <w:pPr>
      <w:ind w:left="840" w:leftChars="400"/>
    </w:pPr>
  </w:style>
  <w:style w:type="paragraph" w:styleId="26">
    <w:name w:val="Plain Text"/>
    <w:basedOn w:val="1"/>
    <w:link w:val="83"/>
    <w:qFormat/>
    <w:uiPriority w:val="0"/>
    <w:pPr>
      <w:autoSpaceDE w:val="0"/>
      <w:autoSpaceDN w:val="0"/>
      <w:adjustRightInd w:val="0"/>
      <w:snapToGrid w:val="0"/>
      <w:ind w:firstLine="567"/>
      <w:outlineLvl w:val="8"/>
    </w:pPr>
    <w:rPr>
      <w:rFonts w:ascii="宋体" w:hAnsi="Courier New" w:eastAsiaTheme="minorEastAsia" w:cstheme="minorBidi"/>
      <w:spacing w:val="15"/>
      <w:szCs w:val="22"/>
    </w:rPr>
  </w:style>
  <w:style w:type="paragraph" w:styleId="27">
    <w:name w:val="Date"/>
    <w:basedOn w:val="1"/>
    <w:next w:val="1"/>
    <w:link w:val="113"/>
    <w:qFormat/>
    <w:uiPriority w:val="0"/>
    <w:pPr>
      <w:ind w:left="100" w:leftChars="2500"/>
    </w:pPr>
    <w:rPr>
      <w:kern w:val="0"/>
      <w:sz w:val="20"/>
    </w:rPr>
  </w:style>
  <w:style w:type="paragraph" w:styleId="28">
    <w:name w:val="Body Text Indent 2"/>
    <w:basedOn w:val="1"/>
    <w:link w:val="136"/>
    <w:qFormat/>
    <w:uiPriority w:val="0"/>
    <w:pPr>
      <w:spacing w:line="400" w:lineRule="exact"/>
      <w:ind w:firstLine="570"/>
    </w:pPr>
    <w:rPr>
      <w:rFonts w:asciiTheme="minorHAnsi" w:hAnsiTheme="minorHAnsi" w:eastAsiaTheme="minorEastAsia" w:cstheme="minorBidi"/>
      <w:color w:val="000000"/>
      <w:sz w:val="28"/>
    </w:rPr>
  </w:style>
  <w:style w:type="paragraph" w:styleId="29">
    <w:name w:val="Balloon Text"/>
    <w:basedOn w:val="1"/>
    <w:link w:val="115"/>
    <w:qFormat/>
    <w:uiPriority w:val="0"/>
    <w:rPr>
      <w:sz w:val="18"/>
      <w:szCs w:val="18"/>
    </w:rPr>
  </w:style>
  <w:style w:type="paragraph" w:styleId="30">
    <w:name w:val="footer"/>
    <w:basedOn w:val="1"/>
    <w:link w:val="5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5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nhideWhenUsed/>
    <w:qFormat/>
    <w:uiPriority w:val="39"/>
  </w:style>
  <w:style w:type="paragraph" w:styleId="33">
    <w:name w:val="List"/>
    <w:basedOn w:val="1"/>
    <w:unhideWhenUsed/>
    <w:qFormat/>
    <w:uiPriority w:val="0"/>
    <w:pPr>
      <w:ind w:left="200" w:hanging="200" w:hangingChars="200"/>
      <w:contextualSpacing/>
    </w:pPr>
  </w:style>
  <w:style w:type="paragraph" w:styleId="34">
    <w:name w:val="footnote text"/>
    <w:basedOn w:val="1"/>
    <w:link w:val="212"/>
    <w:qFormat/>
    <w:uiPriority w:val="0"/>
    <w:pPr>
      <w:snapToGrid w:val="0"/>
      <w:jc w:val="left"/>
    </w:pPr>
    <w:rPr>
      <w:rFonts w:asciiTheme="minorHAnsi" w:hAnsiTheme="minorHAnsi" w:eastAsiaTheme="minorEastAsia" w:cstheme="minorBidi"/>
      <w:sz w:val="18"/>
      <w:szCs w:val="18"/>
    </w:rPr>
  </w:style>
  <w:style w:type="paragraph" w:styleId="35">
    <w:name w:val="Body Text Indent 3"/>
    <w:basedOn w:val="1"/>
    <w:link w:val="163"/>
    <w:qFormat/>
    <w:uiPriority w:val="0"/>
    <w:pPr>
      <w:spacing w:after="120"/>
      <w:ind w:left="420" w:leftChars="200"/>
    </w:pPr>
    <w:rPr>
      <w:sz w:val="16"/>
      <w:szCs w:val="16"/>
    </w:rPr>
  </w:style>
  <w:style w:type="paragraph" w:styleId="36">
    <w:name w:val="toc 2"/>
    <w:basedOn w:val="1"/>
    <w:next w:val="1"/>
    <w:unhideWhenUsed/>
    <w:qFormat/>
    <w:uiPriority w:val="39"/>
    <w:pPr>
      <w:ind w:left="420" w:leftChars="200"/>
    </w:pPr>
  </w:style>
  <w:style w:type="paragraph" w:styleId="37">
    <w:name w:val="Body Text 2"/>
    <w:basedOn w:val="1"/>
    <w:link w:val="159"/>
    <w:qFormat/>
    <w:uiPriority w:val="0"/>
    <w:pPr>
      <w:spacing w:after="120" w:line="480" w:lineRule="auto"/>
    </w:pPr>
    <w:rPr>
      <w:rFonts w:asciiTheme="minorHAnsi" w:hAnsiTheme="minorHAnsi" w:eastAsiaTheme="minorEastAsia" w:cstheme="minorBidi"/>
    </w:rPr>
  </w:style>
  <w:style w:type="paragraph" w:styleId="38">
    <w:name w:val="Normal (Web)"/>
    <w:basedOn w:val="1"/>
    <w:link w:val="56"/>
    <w:qFormat/>
    <w:uiPriority w:val="99"/>
    <w:pPr>
      <w:widowControl/>
      <w:spacing w:before="100" w:beforeAutospacing="1" w:after="100" w:afterAutospacing="1"/>
      <w:jc w:val="left"/>
    </w:pPr>
    <w:rPr>
      <w:rFonts w:ascii="宋体" w:hAnsi="宋体" w:cstheme="minorBidi"/>
      <w:sz w:val="24"/>
      <w:szCs w:val="22"/>
    </w:rPr>
  </w:style>
  <w:style w:type="paragraph" w:styleId="39">
    <w:name w:val="index 1"/>
    <w:basedOn w:val="1"/>
    <w:next w:val="1"/>
    <w:qFormat/>
    <w:uiPriority w:val="0"/>
    <w:pPr>
      <w:spacing w:line="360" w:lineRule="exact"/>
      <w:jc w:val="center"/>
    </w:pPr>
    <w:rPr>
      <w:rFonts w:ascii="宋体" w:hAnsi="宋体"/>
      <w:szCs w:val="21"/>
    </w:rPr>
  </w:style>
  <w:style w:type="paragraph" w:styleId="40">
    <w:name w:val="Title"/>
    <w:basedOn w:val="1"/>
    <w:next w:val="1"/>
    <w:link w:val="137"/>
    <w:qFormat/>
    <w:uiPriority w:val="0"/>
    <w:pPr>
      <w:spacing w:before="240" w:after="60"/>
      <w:jc w:val="center"/>
      <w:outlineLvl w:val="0"/>
    </w:pPr>
    <w:rPr>
      <w:rFonts w:ascii="Cambria" w:hAnsi="Cambria" w:eastAsiaTheme="minorEastAsia" w:cstheme="minorBidi"/>
      <w:b/>
      <w:bCs/>
      <w:sz w:val="32"/>
      <w:szCs w:val="32"/>
    </w:rPr>
  </w:style>
  <w:style w:type="paragraph" w:styleId="41">
    <w:name w:val="annotation subject"/>
    <w:basedOn w:val="20"/>
    <w:next w:val="20"/>
    <w:link w:val="118"/>
    <w:qFormat/>
    <w:uiPriority w:val="0"/>
    <w:rPr>
      <w:b/>
      <w:bCs/>
    </w:rPr>
  </w:style>
  <w:style w:type="paragraph" w:styleId="42">
    <w:name w:val="Body Text First Indent"/>
    <w:basedOn w:val="21"/>
    <w:link w:val="72"/>
    <w:unhideWhenUsed/>
    <w:uiPriority w:val="0"/>
    <w:pPr>
      <w:widowControl w:val="0"/>
      <w:snapToGrid/>
      <w:spacing w:before="0" w:after="120" w:line="240" w:lineRule="auto"/>
      <w:ind w:right="0" w:firstLine="420" w:firstLineChars="100"/>
    </w:pPr>
    <w:rPr>
      <w:kern w:val="2"/>
      <w:sz w:val="21"/>
      <w:szCs w:val="24"/>
    </w:rPr>
  </w:style>
  <w:style w:type="paragraph" w:styleId="43">
    <w:name w:val="Body Text First Indent 2"/>
    <w:basedOn w:val="22"/>
    <w:link w:val="103"/>
    <w:semiHidden/>
    <w:unhideWhenUsed/>
    <w:uiPriority w:val="99"/>
    <w:pPr>
      <w:ind w:firstLine="420" w:firstLineChars="200"/>
    </w:pPr>
  </w:style>
  <w:style w:type="table" w:styleId="45">
    <w:name w:val="Table Grid"/>
    <w:basedOn w:val="44"/>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rPr>
  </w:style>
  <w:style w:type="character" w:styleId="48">
    <w:name w:val="page number"/>
    <w:basedOn w:val="46"/>
    <w:uiPriority w:val="0"/>
  </w:style>
  <w:style w:type="character" w:styleId="49">
    <w:name w:val="FollowedHyperlink"/>
    <w:qFormat/>
    <w:uiPriority w:val="0"/>
    <w:rPr>
      <w:color w:val="800080"/>
      <w:u w:val="single"/>
    </w:rPr>
  </w:style>
  <w:style w:type="character" w:styleId="50">
    <w:name w:val="HTML Typewriter"/>
    <w:qFormat/>
    <w:uiPriority w:val="0"/>
    <w:rPr>
      <w:rFonts w:ascii="宋体" w:hAnsi="宋体" w:eastAsia="宋体" w:cs="宋体"/>
      <w:sz w:val="24"/>
      <w:szCs w:val="24"/>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basedOn w:val="46"/>
    <w:qFormat/>
    <w:uiPriority w:val="0"/>
    <w:rPr>
      <w:sz w:val="21"/>
    </w:rPr>
  </w:style>
  <w:style w:type="character" w:styleId="53">
    <w:name w:val="footnote reference"/>
    <w:qFormat/>
    <w:uiPriority w:val="0"/>
    <w:rPr>
      <w:vertAlign w:val="superscript"/>
    </w:rPr>
  </w:style>
  <w:style w:type="character" w:customStyle="1" w:styleId="54">
    <w:name w:val="页眉 字符"/>
    <w:basedOn w:val="46"/>
    <w:link w:val="31"/>
    <w:uiPriority w:val="99"/>
    <w:rPr>
      <w:sz w:val="18"/>
      <w:szCs w:val="18"/>
    </w:rPr>
  </w:style>
  <w:style w:type="character" w:customStyle="1" w:styleId="55">
    <w:name w:val="页脚 字符"/>
    <w:basedOn w:val="46"/>
    <w:link w:val="30"/>
    <w:uiPriority w:val="99"/>
    <w:rPr>
      <w:sz w:val="18"/>
      <w:szCs w:val="18"/>
    </w:rPr>
  </w:style>
  <w:style w:type="character" w:customStyle="1" w:styleId="56">
    <w:name w:val="普通(网站) 字符"/>
    <w:link w:val="38"/>
    <w:qFormat/>
    <w:locked/>
    <w:uiPriority w:val="0"/>
    <w:rPr>
      <w:rFonts w:ascii="宋体" w:hAnsi="宋体" w:eastAsia="宋体"/>
      <w:sz w:val="24"/>
    </w:rPr>
  </w:style>
  <w:style w:type="character" w:customStyle="1" w:styleId="57">
    <w:name w:val="正文文本 字符"/>
    <w:basedOn w:val="46"/>
    <w:uiPriority w:val="0"/>
    <w:rPr>
      <w:rFonts w:ascii="Times New Roman" w:hAnsi="Times New Roman" w:eastAsia="宋体" w:cs="Times New Roman"/>
      <w:szCs w:val="24"/>
    </w:rPr>
  </w:style>
  <w:style w:type="character" w:customStyle="1" w:styleId="58">
    <w:name w:val="正文文本 字符1"/>
    <w:link w:val="21"/>
    <w:qFormat/>
    <w:locked/>
    <w:uiPriority w:val="0"/>
    <w:rPr>
      <w:rFonts w:ascii="Times New Roman" w:hAnsi="Times New Roman" w:eastAsia="宋体" w:cs="Times New Roman"/>
      <w:kern w:val="0"/>
      <w:sz w:val="18"/>
      <w:szCs w:val="18"/>
    </w:rPr>
  </w:style>
  <w:style w:type="paragraph" w:customStyle="1" w:styleId="59">
    <w:name w:val="样式2"/>
    <w:basedOn w:val="1"/>
    <w:qFormat/>
    <w:uiPriority w:val="0"/>
    <w:pPr>
      <w:jc w:val="center"/>
    </w:pPr>
    <w:rPr>
      <w:rFonts w:ascii="黑体" w:hAnsi="黑体" w:eastAsia="黑体"/>
      <w:b/>
      <w:szCs w:val="21"/>
    </w:rPr>
  </w:style>
  <w:style w:type="character" w:customStyle="1" w:styleId="60">
    <w:name w:val="样式 HC 正文 + 自动设置 Char"/>
    <w:link w:val="61"/>
    <w:qFormat/>
    <w:uiPriority w:val="0"/>
    <w:rPr>
      <w:rFonts w:ascii="宋体" w:hAnsi="宋体"/>
      <w:bCs/>
      <w:color w:val="000000"/>
      <w:sz w:val="24"/>
      <w:szCs w:val="24"/>
    </w:rPr>
  </w:style>
  <w:style w:type="paragraph" w:customStyle="1" w:styleId="61">
    <w:name w:val="样式 HC 正文 + 自动设置"/>
    <w:basedOn w:val="1"/>
    <w:link w:val="60"/>
    <w:qFormat/>
    <w:uiPriority w:val="0"/>
    <w:pPr>
      <w:autoSpaceDE w:val="0"/>
      <w:spacing w:line="360" w:lineRule="auto"/>
      <w:ind w:firstLine="480" w:firstLineChars="200"/>
    </w:pPr>
    <w:rPr>
      <w:rFonts w:ascii="宋体" w:hAnsi="宋体" w:eastAsiaTheme="minorEastAsia" w:cstheme="minorBidi"/>
      <w:bCs/>
      <w:color w:val="000000"/>
      <w:sz w:val="24"/>
    </w:rPr>
  </w:style>
  <w:style w:type="paragraph" w:customStyle="1" w:styleId="62">
    <w:name w:val="表格1"/>
    <w:basedOn w:val="33"/>
    <w:next w:val="1"/>
    <w:qFormat/>
    <w:uiPriority w:val="0"/>
    <w:pPr>
      <w:spacing w:line="360" w:lineRule="exact"/>
      <w:ind w:left="0" w:firstLine="0" w:firstLineChars="0"/>
      <w:contextualSpacing w:val="0"/>
      <w:jc w:val="left"/>
    </w:pPr>
    <w:rPr>
      <w:sz w:val="24"/>
    </w:rPr>
  </w:style>
  <w:style w:type="paragraph" w:customStyle="1" w:styleId="63">
    <w:name w:val="LH正文"/>
    <w:basedOn w:val="1"/>
    <w:link w:val="64"/>
    <w:qFormat/>
    <w:uiPriority w:val="0"/>
    <w:pPr>
      <w:autoSpaceDE w:val="0"/>
      <w:autoSpaceDN w:val="0"/>
      <w:adjustRightInd w:val="0"/>
      <w:spacing w:line="360" w:lineRule="auto"/>
      <w:ind w:firstLine="200" w:firstLineChars="200"/>
      <w:jc w:val="left"/>
      <w:textAlignment w:val="baseline"/>
    </w:pPr>
    <w:rPr>
      <w:kern w:val="0"/>
      <w:sz w:val="24"/>
      <w:szCs w:val="20"/>
      <w:lang w:val="zh-CN"/>
    </w:rPr>
  </w:style>
  <w:style w:type="character" w:customStyle="1" w:styleId="64">
    <w:name w:val="LH正文 Char"/>
    <w:link w:val="63"/>
    <w:qFormat/>
    <w:uiPriority w:val="0"/>
    <w:rPr>
      <w:rFonts w:ascii="Times New Roman" w:hAnsi="Times New Roman" w:eastAsia="宋体" w:cs="Times New Roman"/>
      <w:kern w:val="0"/>
      <w:sz w:val="24"/>
      <w:szCs w:val="20"/>
      <w:lang w:val="zh-CN" w:eastAsia="zh-CN"/>
    </w:rPr>
  </w:style>
  <w:style w:type="paragraph" w:customStyle="1" w:styleId="65">
    <w:name w:val="样式3"/>
    <w:basedOn w:val="1"/>
    <w:qFormat/>
    <w:uiPriority w:val="0"/>
    <w:pPr>
      <w:autoSpaceDE w:val="0"/>
      <w:autoSpaceDN w:val="0"/>
      <w:adjustRightInd w:val="0"/>
      <w:snapToGrid w:val="0"/>
      <w:jc w:val="center"/>
    </w:pPr>
    <w:rPr>
      <w:rFonts w:ascii="仿宋" w:hAnsi="仿宋" w:eastAsia="仿宋"/>
      <w:color w:val="FF0000"/>
      <w:kern w:val="0"/>
      <w:szCs w:val="21"/>
    </w:rPr>
  </w:style>
  <w:style w:type="paragraph" w:customStyle="1" w:styleId="66">
    <w:name w:val="样式9"/>
    <w:basedOn w:val="1"/>
    <w:qFormat/>
    <w:uiPriority w:val="0"/>
    <w:pPr>
      <w:jc w:val="center"/>
    </w:pPr>
    <w:rPr>
      <w:rFonts w:ascii="黑体" w:hAnsi="黑体" w:eastAsia="黑体"/>
      <w:b/>
      <w:szCs w:val="21"/>
    </w:rPr>
  </w:style>
  <w:style w:type="paragraph" w:customStyle="1" w:styleId="67">
    <w:name w:val="样式8"/>
    <w:basedOn w:val="1"/>
    <w:qFormat/>
    <w:uiPriority w:val="0"/>
    <w:pPr>
      <w:adjustRightInd w:val="0"/>
      <w:snapToGrid w:val="0"/>
      <w:jc w:val="center"/>
    </w:pPr>
    <w:rPr>
      <w:rFonts w:ascii="仿宋" w:hAnsi="仿宋" w:eastAsia="仿宋"/>
      <w:szCs w:val="21"/>
    </w:rPr>
  </w:style>
  <w:style w:type="paragraph" w:customStyle="1" w:styleId="68">
    <w:name w:val="样式7"/>
    <w:basedOn w:val="1"/>
    <w:link w:val="69"/>
    <w:qFormat/>
    <w:uiPriority w:val="0"/>
    <w:pPr>
      <w:autoSpaceDE w:val="0"/>
      <w:autoSpaceDN w:val="0"/>
      <w:adjustRightInd w:val="0"/>
      <w:spacing w:line="360" w:lineRule="auto"/>
      <w:ind w:firstLine="480" w:firstLineChars="200"/>
      <w:jc w:val="left"/>
      <w:textAlignment w:val="baseline"/>
    </w:pPr>
    <w:rPr>
      <w:rFonts w:hAnsi="宋体"/>
      <w:kern w:val="0"/>
      <w:sz w:val="24"/>
      <w:szCs w:val="20"/>
    </w:rPr>
  </w:style>
  <w:style w:type="character" w:customStyle="1" w:styleId="69">
    <w:name w:val="样式7 Char"/>
    <w:link w:val="68"/>
    <w:qFormat/>
    <w:locked/>
    <w:uiPriority w:val="0"/>
    <w:rPr>
      <w:rFonts w:ascii="Times New Roman" w:hAnsi="宋体" w:eastAsia="宋体" w:cs="Times New Roman"/>
      <w:kern w:val="0"/>
      <w:sz w:val="24"/>
      <w:szCs w:val="20"/>
    </w:rPr>
  </w:style>
  <w:style w:type="character" w:customStyle="1" w:styleId="70">
    <w:name w:val="标题 1 字符"/>
    <w:basedOn w:val="46"/>
    <w:link w:val="3"/>
    <w:qFormat/>
    <w:uiPriority w:val="0"/>
    <w:rPr>
      <w:rFonts w:ascii="Times New Roman" w:hAnsi="Times New Roman" w:eastAsia="宋体" w:cs="Times New Roman"/>
      <w:b/>
      <w:bCs/>
      <w:kern w:val="44"/>
      <w:sz w:val="44"/>
      <w:szCs w:val="44"/>
    </w:rPr>
  </w:style>
  <w:style w:type="paragraph" w:customStyle="1" w:styleId="7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2">
    <w:name w:val="正文文本首行缩进 字符"/>
    <w:basedOn w:val="58"/>
    <w:link w:val="42"/>
    <w:uiPriority w:val="0"/>
    <w:rPr>
      <w:rFonts w:ascii="Times New Roman" w:hAnsi="Times New Roman" w:eastAsia="宋体" w:cs="Times New Roman"/>
      <w:kern w:val="0"/>
      <w:sz w:val="18"/>
      <w:szCs w:val="24"/>
    </w:rPr>
  </w:style>
  <w:style w:type="character" w:customStyle="1" w:styleId="73">
    <w:name w:val="标题 3 字符"/>
    <w:basedOn w:val="46"/>
    <w:link w:val="5"/>
    <w:uiPriority w:val="0"/>
    <w:rPr>
      <w:rFonts w:ascii="Times New Roman" w:hAnsi="Times New Roman" w:eastAsia="宋体" w:cs="Times New Roman"/>
      <w:b/>
      <w:bCs/>
      <w:sz w:val="32"/>
      <w:szCs w:val="32"/>
    </w:rPr>
  </w:style>
  <w:style w:type="paragraph" w:customStyle="1" w:styleId="74">
    <w:name w:val="Table Paragraph"/>
    <w:basedOn w:val="1"/>
    <w:qFormat/>
    <w:uiPriority w:val="1"/>
    <w:pPr>
      <w:spacing w:before="33"/>
      <w:jc w:val="center"/>
    </w:pPr>
    <w:rPr>
      <w:rFonts w:eastAsia="Times New Roman"/>
      <w:lang w:val="zh-CN" w:bidi="zh-CN"/>
    </w:rPr>
  </w:style>
  <w:style w:type="paragraph" w:customStyle="1" w:styleId="75">
    <w:name w:val="样式 标题 1 + 四号 段前: 0 磅 段后: 0 磅 行距: 1.5 倍行距"/>
    <w:basedOn w:val="1"/>
    <w:next w:val="1"/>
    <w:qFormat/>
    <w:uiPriority w:val="0"/>
    <w:pPr>
      <w:spacing w:line="360" w:lineRule="auto"/>
      <w:ind w:firstLine="588" w:firstLineChars="196"/>
      <w:jc w:val="center"/>
    </w:pPr>
    <w:rPr>
      <w:sz w:val="24"/>
      <w:szCs w:val="30"/>
    </w:rPr>
  </w:style>
  <w:style w:type="character" w:customStyle="1" w:styleId="76">
    <w:name w:val="正文文本 Char2"/>
    <w:qFormat/>
    <w:locked/>
    <w:uiPriority w:val="0"/>
    <w:rPr>
      <w:rFonts w:ascii="宋体" w:hAnsi="宋体" w:eastAsia="宋体"/>
      <w:sz w:val="24"/>
      <w:szCs w:val="24"/>
      <w:lang w:val="en-US" w:eastAsia="zh-CN" w:bidi="ar-SA"/>
    </w:rPr>
  </w:style>
  <w:style w:type="character" w:customStyle="1" w:styleId="77">
    <w:name w:val="正文文本 Char1"/>
    <w:qFormat/>
    <w:uiPriority w:val="0"/>
    <w:rPr>
      <w:kern w:val="2"/>
      <w:sz w:val="21"/>
      <w:szCs w:val="24"/>
    </w:rPr>
  </w:style>
  <w:style w:type="paragraph" w:customStyle="1" w:styleId="78">
    <w:name w:val="无间隔1"/>
    <w:qFormat/>
    <w:uiPriority w:val="1"/>
    <w:pPr>
      <w:widowControl w:val="0"/>
    </w:pPr>
    <w:rPr>
      <w:rFonts w:ascii="Times New Roman" w:hAnsi="Times New Roman" w:eastAsia="仿宋_GB2312" w:cs="Times New Roman"/>
      <w:kern w:val="2"/>
      <w:sz w:val="21"/>
      <w:szCs w:val="24"/>
      <w:lang w:val="en-US" w:eastAsia="zh-CN" w:bidi="ar-SA"/>
    </w:rPr>
  </w:style>
  <w:style w:type="paragraph" w:customStyle="1" w:styleId="79">
    <w:name w:val="Default"/>
    <w:link w:val="104"/>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80">
    <w:name w:val="正文文本缩进 字符"/>
    <w:basedOn w:val="46"/>
    <w:link w:val="22"/>
    <w:qFormat/>
    <w:uiPriority w:val="0"/>
    <w:rPr>
      <w:rFonts w:ascii="Times New Roman" w:hAnsi="Times New Roman" w:eastAsia="宋体" w:cs="Times New Roman"/>
      <w:szCs w:val="24"/>
    </w:rPr>
  </w:style>
  <w:style w:type="character" w:customStyle="1" w:styleId="81">
    <w:name w:val="正文格式 Char"/>
    <w:link w:val="82"/>
    <w:qFormat/>
    <w:uiPriority w:val="0"/>
    <w:rPr>
      <w:rFonts w:eastAsia="仿宋_GB2312"/>
      <w:sz w:val="24"/>
    </w:rPr>
  </w:style>
  <w:style w:type="paragraph" w:customStyle="1" w:styleId="82">
    <w:name w:val="正文格式"/>
    <w:basedOn w:val="1"/>
    <w:link w:val="81"/>
    <w:qFormat/>
    <w:uiPriority w:val="0"/>
    <w:pPr>
      <w:spacing w:line="360" w:lineRule="auto"/>
      <w:ind w:firstLine="480" w:firstLineChars="200"/>
      <w:jc w:val="left"/>
    </w:pPr>
    <w:rPr>
      <w:rFonts w:eastAsia="仿宋_GB2312" w:asciiTheme="minorHAnsi" w:hAnsiTheme="minorHAnsi" w:cstheme="minorBidi"/>
      <w:sz w:val="24"/>
      <w:szCs w:val="22"/>
    </w:rPr>
  </w:style>
  <w:style w:type="character" w:customStyle="1" w:styleId="83">
    <w:name w:val="纯文本 字符"/>
    <w:link w:val="26"/>
    <w:qFormat/>
    <w:uiPriority w:val="0"/>
    <w:rPr>
      <w:rFonts w:ascii="宋体" w:hAnsi="Courier New"/>
      <w:spacing w:val="15"/>
    </w:rPr>
  </w:style>
  <w:style w:type="character" w:customStyle="1" w:styleId="84">
    <w:name w:val="纯文本 字符1"/>
    <w:basedOn w:val="46"/>
    <w:uiPriority w:val="0"/>
    <w:rPr>
      <w:rFonts w:hAnsi="Courier New" w:cs="Courier New" w:asciiTheme="minorEastAsia"/>
      <w:szCs w:val="24"/>
    </w:rPr>
  </w:style>
  <w:style w:type="paragraph" w:customStyle="1" w:styleId="85">
    <w:name w:val="常用表格样式"/>
    <w:qFormat/>
    <w:uiPriority w:val="0"/>
    <w:pPr>
      <w:jc w:val="center"/>
    </w:pPr>
    <w:rPr>
      <w:rFonts w:ascii="宋体" w:hAnsi="新宋体" w:eastAsia="仿宋_GB2312" w:cs="Times New Roman"/>
      <w:spacing w:val="2"/>
      <w:kern w:val="2"/>
      <w:sz w:val="18"/>
      <w:szCs w:val="24"/>
      <w:lang w:val="en-US" w:eastAsia="zh-CN" w:bidi="ar-SA"/>
    </w:rPr>
  </w:style>
  <w:style w:type="paragraph" w:customStyle="1" w:styleId="86">
    <w:name w:val="表"/>
    <w:qFormat/>
    <w:uiPriority w:val="0"/>
    <w:pPr>
      <w:adjustRightInd w:val="0"/>
      <w:snapToGrid w:val="0"/>
    </w:pPr>
    <w:rPr>
      <w:rFonts w:ascii="宋体" w:hAnsi="宋体" w:eastAsia="宋体" w:cs="Times New Roman"/>
      <w:sz w:val="21"/>
      <w:lang w:val="en-US" w:eastAsia="zh-CN" w:bidi="ar-SA"/>
    </w:rPr>
  </w:style>
  <w:style w:type="character" w:customStyle="1" w:styleId="87">
    <w:name w:val="正文文本缩进 字符1"/>
    <w:locked/>
    <w:uiPriority w:val="0"/>
    <w:rPr>
      <w:rFonts w:ascii="Times New Roman" w:hAnsi="Times New Roman" w:eastAsia="宋体" w:cs="Times New Roman"/>
      <w:szCs w:val="24"/>
    </w:rPr>
  </w:style>
  <w:style w:type="paragraph" w:customStyle="1" w:styleId="88">
    <w:name w:val="正文文本缩进1"/>
    <w:basedOn w:val="1"/>
    <w:uiPriority w:val="0"/>
    <w:pPr>
      <w:spacing w:after="120"/>
      <w:ind w:left="420" w:leftChars="200"/>
    </w:pPr>
  </w:style>
  <w:style w:type="paragraph" w:customStyle="1" w:styleId="89">
    <w:name w:val="表文字居中"/>
    <w:qFormat/>
    <w:uiPriority w:val="0"/>
    <w:pPr>
      <w:adjustRightInd w:val="0"/>
      <w:spacing w:line="360" w:lineRule="auto"/>
      <w:jc w:val="center"/>
    </w:pPr>
    <w:rPr>
      <w:rFonts w:ascii="Arial" w:hAnsi="Arial" w:eastAsia="宋体" w:cs="Times New Roman"/>
      <w:kern w:val="2"/>
      <w:sz w:val="21"/>
      <w:szCs w:val="24"/>
      <w:lang w:val="en-US" w:eastAsia="zh-CN" w:bidi="ar-SA"/>
    </w:rPr>
  </w:style>
  <w:style w:type="character" w:customStyle="1" w:styleId="90">
    <w:name w:val="表题 Char"/>
    <w:link w:val="91"/>
    <w:qFormat/>
    <w:locked/>
    <w:uiPriority w:val="0"/>
    <w:rPr>
      <w:rFonts w:eastAsia="黑体"/>
      <w:szCs w:val="24"/>
    </w:rPr>
  </w:style>
  <w:style w:type="paragraph" w:customStyle="1" w:styleId="91">
    <w:name w:val="表题"/>
    <w:basedOn w:val="1"/>
    <w:link w:val="90"/>
    <w:qFormat/>
    <w:uiPriority w:val="0"/>
    <w:pPr>
      <w:snapToGrid w:val="0"/>
      <w:jc w:val="center"/>
    </w:pPr>
    <w:rPr>
      <w:rFonts w:eastAsia="黑体" w:asciiTheme="minorHAnsi" w:hAnsiTheme="minorHAnsi" w:cstheme="minorBidi"/>
    </w:rPr>
  </w:style>
  <w:style w:type="character" w:customStyle="1" w:styleId="92">
    <w:name w:val="表内容 Char"/>
    <w:link w:val="93"/>
    <w:qFormat/>
    <w:locked/>
    <w:uiPriority w:val="0"/>
    <w:rPr>
      <w:rFonts w:eastAsia="仿宋"/>
    </w:rPr>
  </w:style>
  <w:style w:type="paragraph" w:customStyle="1" w:styleId="93">
    <w:name w:val="表内容"/>
    <w:basedOn w:val="1"/>
    <w:link w:val="92"/>
    <w:qFormat/>
    <w:uiPriority w:val="0"/>
    <w:pPr>
      <w:jc w:val="center"/>
    </w:pPr>
    <w:rPr>
      <w:rFonts w:eastAsia="仿宋" w:asciiTheme="minorHAnsi" w:hAnsiTheme="minorHAnsi" w:cstheme="minorBidi"/>
      <w:szCs w:val="22"/>
    </w:rPr>
  </w:style>
  <w:style w:type="character" w:styleId="94">
    <w:name w:val="Placeholder Text"/>
    <w:basedOn w:val="46"/>
    <w:semiHidden/>
    <w:uiPriority w:val="99"/>
    <w:rPr>
      <w:color w:val="808080"/>
    </w:rPr>
  </w:style>
  <w:style w:type="character" w:customStyle="1" w:styleId="95">
    <w:name w:val="标题 2 字符"/>
    <w:basedOn w:val="46"/>
    <w:link w:val="4"/>
    <w:uiPriority w:val="0"/>
    <w:rPr>
      <w:rFonts w:asciiTheme="majorHAnsi" w:hAnsiTheme="majorHAnsi" w:eastAsiaTheme="majorEastAsia" w:cstheme="majorBidi"/>
      <w:b/>
      <w:bCs/>
      <w:sz w:val="32"/>
      <w:szCs w:val="32"/>
    </w:rPr>
  </w:style>
  <w:style w:type="character" w:customStyle="1" w:styleId="96">
    <w:name w:val="标题 4 字符"/>
    <w:basedOn w:val="46"/>
    <w:link w:val="6"/>
    <w:uiPriority w:val="0"/>
    <w:rPr>
      <w:rFonts w:ascii="Cambria" w:hAnsi="Cambria" w:eastAsia="宋体" w:cs="Times New Roman"/>
      <w:b/>
      <w:bCs/>
      <w:sz w:val="28"/>
      <w:szCs w:val="28"/>
    </w:rPr>
  </w:style>
  <w:style w:type="character" w:customStyle="1" w:styleId="97">
    <w:name w:val="标题 5 字符"/>
    <w:basedOn w:val="46"/>
    <w:link w:val="7"/>
    <w:uiPriority w:val="0"/>
    <w:rPr>
      <w:rFonts w:ascii="Times New Roman" w:hAnsi="Times New Roman" w:eastAsia="宋体" w:cs="Times New Roman"/>
      <w:kern w:val="0"/>
      <w:sz w:val="24"/>
      <w:szCs w:val="20"/>
    </w:rPr>
  </w:style>
  <w:style w:type="character" w:customStyle="1" w:styleId="98">
    <w:name w:val="标题 6 字符"/>
    <w:basedOn w:val="46"/>
    <w:link w:val="8"/>
    <w:qFormat/>
    <w:uiPriority w:val="0"/>
    <w:rPr>
      <w:rFonts w:ascii="Arial" w:hAnsi="Arial" w:eastAsia="黑体" w:cs="Times New Roman"/>
      <w:b/>
      <w:bCs/>
      <w:sz w:val="24"/>
      <w:szCs w:val="24"/>
    </w:rPr>
  </w:style>
  <w:style w:type="character" w:customStyle="1" w:styleId="99">
    <w:name w:val="标题 7 字符"/>
    <w:basedOn w:val="46"/>
    <w:link w:val="9"/>
    <w:uiPriority w:val="0"/>
    <w:rPr>
      <w:rFonts w:ascii="Times New Roman" w:hAnsi="Times New Roman" w:eastAsia="宋体" w:cs="Times New Roman"/>
      <w:b/>
      <w:bCs/>
      <w:sz w:val="24"/>
      <w:szCs w:val="24"/>
    </w:rPr>
  </w:style>
  <w:style w:type="character" w:customStyle="1" w:styleId="100">
    <w:name w:val="标题 8 字符"/>
    <w:basedOn w:val="46"/>
    <w:link w:val="10"/>
    <w:uiPriority w:val="0"/>
    <w:rPr>
      <w:rFonts w:ascii="Times New Roman" w:hAnsi="Times New Roman" w:eastAsia="宋体" w:cs="Times New Roman"/>
      <w:kern w:val="0"/>
      <w:sz w:val="24"/>
      <w:szCs w:val="20"/>
    </w:rPr>
  </w:style>
  <w:style w:type="character" w:customStyle="1" w:styleId="101">
    <w:name w:val="标题 9 字符"/>
    <w:basedOn w:val="46"/>
    <w:link w:val="11"/>
    <w:uiPriority w:val="0"/>
    <w:rPr>
      <w:rFonts w:ascii="Arial" w:hAnsi="Arial" w:eastAsia="黑体" w:cs="Times New Roman"/>
      <w:kern w:val="0"/>
      <w:sz w:val="24"/>
      <w:szCs w:val="20"/>
    </w:rPr>
  </w:style>
  <w:style w:type="character" w:customStyle="1" w:styleId="102">
    <w:name w:val="fontstyle01"/>
    <w:basedOn w:val="46"/>
    <w:uiPriority w:val="0"/>
    <w:rPr>
      <w:rFonts w:hint="eastAsia" w:ascii="宋体" w:hAnsi="宋体" w:eastAsia="宋体"/>
      <w:color w:val="000000"/>
      <w:sz w:val="24"/>
      <w:szCs w:val="24"/>
    </w:rPr>
  </w:style>
  <w:style w:type="character" w:customStyle="1" w:styleId="103">
    <w:name w:val="正文文本首行缩进 2 字符"/>
    <w:basedOn w:val="80"/>
    <w:link w:val="43"/>
    <w:semiHidden/>
    <w:uiPriority w:val="99"/>
    <w:rPr>
      <w:rFonts w:ascii="Times New Roman" w:hAnsi="Times New Roman" w:eastAsia="宋体" w:cs="Times New Roman"/>
      <w:szCs w:val="24"/>
    </w:rPr>
  </w:style>
  <w:style w:type="character" w:customStyle="1" w:styleId="104">
    <w:name w:val="Default Char Char"/>
    <w:link w:val="79"/>
    <w:qFormat/>
    <w:uiPriority w:val="0"/>
    <w:rPr>
      <w:rFonts w:ascii="宋体" w:eastAsia="宋体" w:cs="宋体"/>
      <w:color w:val="000000"/>
      <w:kern w:val="0"/>
      <w:sz w:val="24"/>
      <w:szCs w:val="24"/>
    </w:rPr>
  </w:style>
  <w:style w:type="character" w:customStyle="1" w:styleId="105">
    <w:name w:val="NormalCharacter"/>
    <w:qFormat/>
    <w:uiPriority w:val="0"/>
  </w:style>
  <w:style w:type="character" w:customStyle="1" w:styleId="106">
    <w:name w:val="fontstyle21"/>
    <w:basedOn w:val="46"/>
    <w:uiPriority w:val="0"/>
    <w:rPr>
      <w:rFonts w:hint="default" w:ascii="TimesNewRomanPSMT" w:hAnsi="TimesNewRomanPSMT"/>
      <w:color w:val="000000"/>
      <w:sz w:val="24"/>
      <w:szCs w:val="24"/>
    </w:rPr>
  </w:style>
  <w:style w:type="character" w:customStyle="1" w:styleId="107">
    <w:name w:val="fontstyle11"/>
    <w:basedOn w:val="46"/>
    <w:uiPriority w:val="0"/>
    <w:rPr>
      <w:rFonts w:hint="eastAsia" w:ascii="宋体" w:hAnsi="宋体" w:eastAsia="宋体"/>
      <w:color w:val="000000"/>
      <w:sz w:val="24"/>
      <w:szCs w:val="24"/>
    </w:rPr>
  </w:style>
  <w:style w:type="paragraph" w:customStyle="1" w:styleId="108">
    <w:name w:val="段落"/>
    <w:basedOn w:val="1"/>
    <w:qFormat/>
    <w:uiPriority w:val="0"/>
    <w:pPr>
      <w:tabs>
        <w:tab w:val="left" w:pos="1021"/>
      </w:tabs>
      <w:adjustRightInd w:val="0"/>
      <w:spacing w:line="336" w:lineRule="auto"/>
      <w:ind w:firstLine="540" w:firstLineChars="225"/>
    </w:pPr>
    <w:rPr>
      <w:rFonts w:ascii="宋体"/>
      <w:kern w:val="24"/>
      <w:sz w:val="24"/>
    </w:rPr>
  </w:style>
  <w:style w:type="character" w:customStyle="1" w:styleId="109">
    <w:name w:val="标题 2 字符1"/>
    <w:uiPriority w:val="0"/>
    <w:rPr>
      <w:rFonts w:ascii="Arial" w:hAnsi="Arial" w:eastAsia="黑体" w:cs="Times New Roman"/>
      <w:b/>
      <w:bCs/>
      <w:sz w:val="32"/>
      <w:szCs w:val="32"/>
    </w:rPr>
  </w:style>
  <w:style w:type="character" w:customStyle="1" w:styleId="110">
    <w:name w:val="批注文字 字符"/>
    <w:basedOn w:val="46"/>
    <w:uiPriority w:val="99"/>
    <w:rPr>
      <w:rFonts w:ascii="Times New Roman" w:hAnsi="Times New Roman" w:eastAsia="宋体" w:cs="Times New Roman"/>
      <w:szCs w:val="24"/>
    </w:rPr>
  </w:style>
  <w:style w:type="character" w:customStyle="1" w:styleId="111">
    <w:name w:val="批注文字 字符1"/>
    <w:link w:val="20"/>
    <w:locked/>
    <w:uiPriority w:val="99"/>
    <w:rPr>
      <w:rFonts w:ascii="Times New Roman" w:hAnsi="Times New Roman" w:eastAsia="宋体" w:cs="Times New Roman"/>
      <w:kern w:val="0"/>
      <w:sz w:val="20"/>
      <w:szCs w:val="24"/>
    </w:rPr>
  </w:style>
  <w:style w:type="character" w:customStyle="1" w:styleId="112">
    <w:name w:val="日期 字符"/>
    <w:basedOn w:val="46"/>
    <w:uiPriority w:val="0"/>
    <w:rPr>
      <w:rFonts w:ascii="Times New Roman" w:hAnsi="Times New Roman" w:eastAsia="宋体" w:cs="Times New Roman"/>
      <w:szCs w:val="24"/>
    </w:rPr>
  </w:style>
  <w:style w:type="character" w:customStyle="1" w:styleId="113">
    <w:name w:val="日期 字符2"/>
    <w:link w:val="27"/>
    <w:locked/>
    <w:uiPriority w:val="0"/>
    <w:rPr>
      <w:rFonts w:ascii="Times New Roman" w:hAnsi="Times New Roman" w:eastAsia="宋体" w:cs="Times New Roman"/>
      <w:kern w:val="0"/>
      <w:sz w:val="20"/>
      <w:szCs w:val="24"/>
    </w:rPr>
  </w:style>
  <w:style w:type="character" w:customStyle="1" w:styleId="114">
    <w:name w:val="批注框文本 字符"/>
    <w:basedOn w:val="46"/>
    <w:uiPriority w:val="0"/>
    <w:rPr>
      <w:rFonts w:ascii="Times New Roman" w:hAnsi="Times New Roman" w:eastAsia="宋体" w:cs="Times New Roman"/>
      <w:sz w:val="18"/>
      <w:szCs w:val="18"/>
    </w:rPr>
  </w:style>
  <w:style w:type="character" w:customStyle="1" w:styleId="115">
    <w:name w:val="批注框文本 字符1"/>
    <w:link w:val="29"/>
    <w:locked/>
    <w:uiPriority w:val="0"/>
    <w:rPr>
      <w:rFonts w:ascii="Times New Roman" w:hAnsi="Times New Roman" w:eastAsia="宋体" w:cs="Times New Roman"/>
      <w:sz w:val="18"/>
      <w:szCs w:val="18"/>
    </w:rPr>
  </w:style>
  <w:style w:type="character" w:customStyle="1" w:styleId="116">
    <w:name w:val="普通(网站) 字符1"/>
    <w:locked/>
    <w:uiPriority w:val="99"/>
    <w:rPr>
      <w:rFonts w:ascii="宋体" w:hAnsi="宋体" w:eastAsia="宋体" w:cs="Times New Roman"/>
      <w:kern w:val="0"/>
      <w:sz w:val="24"/>
      <w:szCs w:val="24"/>
    </w:rPr>
  </w:style>
  <w:style w:type="character" w:customStyle="1" w:styleId="117">
    <w:name w:val="批注主题 字符"/>
    <w:basedOn w:val="110"/>
    <w:uiPriority w:val="0"/>
    <w:rPr>
      <w:rFonts w:ascii="Times New Roman" w:hAnsi="Times New Roman" w:eastAsia="宋体" w:cs="Times New Roman"/>
      <w:b/>
      <w:bCs/>
      <w:szCs w:val="24"/>
    </w:rPr>
  </w:style>
  <w:style w:type="character" w:customStyle="1" w:styleId="118">
    <w:name w:val="批注主题 字符1"/>
    <w:link w:val="41"/>
    <w:locked/>
    <w:uiPriority w:val="0"/>
    <w:rPr>
      <w:rFonts w:ascii="Times New Roman" w:hAnsi="Times New Roman" w:eastAsia="宋体" w:cs="Times New Roman"/>
      <w:b/>
      <w:bCs/>
      <w:kern w:val="0"/>
      <w:sz w:val="20"/>
      <w:szCs w:val="24"/>
    </w:rPr>
  </w:style>
  <w:style w:type="character" w:customStyle="1" w:styleId="119">
    <w:name w:val="页眉 字符1"/>
    <w:locked/>
    <w:uiPriority w:val="99"/>
    <w:rPr>
      <w:rFonts w:ascii="Times New Roman" w:hAnsi="Times New Roman" w:eastAsia="宋体" w:cs="Times New Roman"/>
      <w:sz w:val="18"/>
      <w:szCs w:val="18"/>
    </w:rPr>
  </w:style>
  <w:style w:type="character" w:customStyle="1" w:styleId="120">
    <w:name w:val="页脚 字符2"/>
    <w:locked/>
    <w:uiPriority w:val="99"/>
    <w:rPr>
      <w:rFonts w:ascii="Times New Roman" w:hAnsi="Times New Roman" w:eastAsia="宋体" w:cs="Times New Roman"/>
      <w:sz w:val="18"/>
      <w:szCs w:val="18"/>
    </w:rPr>
  </w:style>
  <w:style w:type="paragraph" w:customStyle="1" w:styleId="121">
    <w:name w:val="普通(网站)2"/>
    <w:basedOn w:val="1"/>
    <w:uiPriority w:val="0"/>
    <w:pPr>
      <w:widowControl/>
      <w:spacing w:before="100" w:beforeAutospacing="1" w:after="100" w:afterAutospacing="1"/>
      <w:jc w:val="left"/>
    </w:pPr>
    <w:rPr>
      <w:rFonts w:ascii="宋体" w:hAnsi="宋体"/>
      <w:sz w:val="24"/>
      <w:szCs w:val="20"/>
    </w:rPr>
  </w:style>
  <w:style w:type="character" w:customStyle="1" w:styleId="122">
    <w:name w:val="表格 Char"/>
    <w:link w:val="123"/>
    <w:locked/>
    <w:uiPriority w:val="0"/>
    <w:rPr>
      <w:rFonts w:ascii="宋体"/>
    </w:rPr>
  </w:style>
  <w:style w:type="paragraph" w:customStyle="1" w:styleId="123">
    <w:name w:val="表格"/>
    <w:basedOn w:val="1"/>
    <w:next w:val="1"/>
    <w:link w:val="122"/>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124">
    <w:name w:val="普通(网站) Char"/>
    <w:locked/>
    <w:uiPriority w:val="0"/>
    <w:rPr>
      <w:rFonts w:ascii="宋体" w:hAnsi="宋体" w:eastAsia="宋体"/>
      <w:sz w:val="24"/>
    </w:rPr>
  </w:style>
  <w:style w:type="character" w:customStyle="1" w:styleId="125">
    <w:name w:val="标题 4 Char"/>
    <w:uiPriority w:val="0"/>
    <w:rPr>
      <w:rFonts w:ascii="Calibri Light" w:hAnsi="Calibri Light" w:eastAsia="宋体" w:cs="Times New Roman"/>
      <w:b/>
      <w:bCs/>
      <w:kern w:val="2"/>
      <w:sz w:val="28"/>
      <w:szCs w:val="28"/>
    </w:rPr>
  </w:style>
  <w:style w:type="character" w:customStyle="1" w:styleId="126">
    <w:name w:val="报告书正文 Char Char Char"/>
    <w:link w:val="127"/>
    <w:uiPriority w:val="0"/>
    <w:rPr>
      <w:color w:val="000000"/>
      <w:sz w:val="24"/>
      <w:szCs w:val="24"/>
    </w:rPr>
  </w:style>
  <w:style w:type="paragraph" w:customStyle="1" w:styleId="127">
    <w:name w:val="报告书正文 Char Char"/>
    <w:basedOn w:val="1"/>
    <w:link w:val="126"/>
    <w:uiPriority w:val="0"/>
    <w:pPr>
      <w:spacing w:line="300" w:lineRule="auto"/>
      <w:ind w:firstLine="480" w:firstLineChars="200"/>
    </w:pPr>
    <w:rPr>
      <w:rFonts w:asciiTheme="minorHAnsi" w:hAnsiTheme="minorHAnsi" w:eastAsiaTheme="minorEastAsia" w:cstheme="minorBidi"/>
      <w:color w:val="000000"/>
      <w:sz w:val="24"/>
    </w:rPr>
  </w:style>
  <w:style w:type="character" w:customStyle="1" w:styleId="128">
    <w:name w:val="表中文字 Char"/>
    <w:link w:val="129"/>
    <w:uiPriority w:val="0"/>
    <w:rPr>
      <w:sz w:val="24"/>
    </w:rPr>
  </w:style>
  <w:style w:type="paragraph" w:customStyle="1" w:styleId="129">
    <w:name w:val="表中文字"/>
    <w:basedOn w:val="1"/>
    <w:link w:val="128"/>
    <w:uiPriority w:val="0"/>
    <w:pPr>
      <w:adjustRightInd w:val="0"/>
      <w:snapToGrid w:val="0"/>
      <w:spacing w:line="240" w:lineRule="atLeast"/>
      <w:jc w:val="center"/>
    </w:pPr>
    <w:rPr>
      <w:rFonts w:asciiTheme="minorHAnsi" w:hAnsiTheme="minorHAnsi" w:eastAsiaTheme="minorEastAsia" w:cstheme="minorBidi"/>
      <w:sz w:val="24"/>
      <w:szCs w:val="22"/>
    </w:rPr>
  </w:style>
  <w:style w:type="character" w:customStyle="1" w:styleId="130">
    <w:name w:val="正文(首行缩进) Char"/>
    <w:link w:val="131"/>
    <w:uiPriority w:val="0"/>
    <w:rPr>
      <w:rFonts w:ascii="宋体" w:hAnsi="宋体"/>
      <w:color w:val="FF0000"/>
      <w:spacing w:val="-8"/>
      <w:kern w:val="24"/>
      <w:sz w:val="28"/>
      <w:szCs w:val="28"/>
    </w:rPr>
  </w:style>
  <w:style w:type="paragraph" w:customStyle="1" w:styleId="131">
    <w:name w:val="正文(首行缩进)"/>
    <w:basedOn w:val="1"/>
    <w:link w:val="130"/>
    <w:uiPriority w:val="0"/>
    <w:pPr>
      <w:tabs>
        <w:tab w:val="center" w:pos="9911"/>
      </w:tabs>
      <w:spacing w:line="360" w:lineRule="auto"/>
      <w:ind w:right="210" w:rightChars="100" w:firstLine="517" w:firstLineChars="196"/>
    </w:pPr>
    <w:rPr>
      <w:rFonts w:ascii="宋体" w:hAnsi="宋体" w:eastAsiaTheme="minorEastAsia" w:cstheme="minorBidi"/>
      <w:color w:val="FF0000"/>
      <w:spacing w:val="-8"/>
      <w:kern w:val="24"/>
      <w:sz w:val="28"/>
      <w:szCs w:val="28"/>
    </w:rPr>
  </w:style>
  <w:style w:type="character" w:customStyle="1" w:styleId="132">
    <w:name w:val="b3"/>
    <w:uiPriority w:val="0"/>
    <w:rPr>
      <w:rFonts w:hint="default" w:ascii="ˎ̥" w:hAnsi="ˎ̥"/>
      <w:color w:val="000000"/>
      <w:sz w:val="20"/>
      <w:szCs w:val="20"/>
    </w:rPr>
  </w:style>
  <w:style w:type="character" w:customStyle="1" w:styleId="133">
    <w:name w:val="表格 Char Char"/>
    <w:uiPriority w:val="0"/>
    <w:rPr>
      <w:kern w:val="2"/>
      <w:sz w:val="21"/>
    </w:rPr>
  </w:style>
  <w:style w:type="character" w:customStyle="1" w:styleId="134">
    <w:name w:val="报告书正文 Char"/>
    <w:link w:val="135"/>
    <w:uiPriority w:val="0"/>
    <w:rPr>
      <w:rFonts w:ascii="宋体" w:hAnsi="宋体" w:cs="Arial"/>
      <w:bCs/>
      <w:sz w:val="24"/>
      <w:szCs w:val="24"/>
    </w:rPr>
  </w:style>
  <w:style w:type="paragraph" w:customStyle="1" w:styleId="135">
    <w:name w:val="报告书正文"/>
    <w:basedOn w:val="28"/>
    <w:link w:val="134"/>
    <w:uiPriority w:val="0"/>
    <w:pPr>
      <w:tabs>
        <w:tab w:val="left" w:pos="6300"/>
      </w:tabs>
      <w:adjustRightInd w:val="0"/>
      <w:snapToGrid w:val="0"/>
      <w:spacing w:line="480" w:lineRule="exact"/>
      <w:ind w:firstLine="480" w:firstLineChars="200"/>
    </w:pPr>
    <w:rPr>
      <w:rFonts w:ascii="宋体" w:hAnsi="宋体" w:cs="Arial"/>
      <w:bCs/>
      <w:color w:val="auto"/>
      <w:sz w:val="24"/>
    </w:rPr>
  </w:style>
  <w:style w:type="character" w:customStyle="1" w:styleId="136">
    <w:name w:val="正文文本缩进 2 字符"/>
    <w:basedOn w:val="46"/>
    <w:link w:val="28"/>
    <w:uiPriority w:val="0"/>
    <w:rPr>
      <w:color w:val="000000"/>
      <w:sz w:val="28"/>
      <w:szCs w:val="24"/>
    </w:rPr>
  </w:style>
  <w:style w:type="character" w:customStyle="1" w:styleId="137">
    <w:name w:val="标题 字符"/>
    <w:link w:val="40"/>
    <w:uiPriority w:val="0"/>
    <w:rPr>
      <w:rFonts w:ascii="Cambria" w:hAnsi="Cambria"/>
      <w:b/>
      <w:bCs/>
      <w:sz w:val="32"/>
      <w:szCs w:val="32"/>
    </w:rPr>
  </w:style>
  <w:style w:type="character" w:customStyle="1" w:styleId="138">
    <w:name w:val="标题 字符1"/>
    <w:basedOn w:val="46"/>
    <w:uiPriority w:val="10"/>
    <w:rPr>
      <w:rFonts w:asciiTheme="majorHAnsi" w:hAnsiTheme="majorHAnsi" w:eastAsiaTheme="majorEastAsia" w:cstheme="majorBidi"/>
      <w:b/>
      <w:bCs/>
      <w:sz w:val="32"/>
      <w:szCs w:val="32"/>
    </w:rPr>
  </w:style>
  <w:style w:type="character" w:customStyle="1" w:styleId="139">
    <w:name w:val="正文缩进 Char1"/>
    <w:uiPriority w:val="0"/>
    <w:rPr>
      <w:kern w:val="2"/>
      <w:sz w:val="24"/>
    </w:rPr>
  </w:style>
  <w:style w:type="character" w:customStyle="1" w:styleId="140">
    <w:name w:val="图表 Char"/>
    <w:link w:val="141"/>
    <w:uiPriority w:val="0"/>
  </w:style>
  <w:style w:type="paragraph" w:customStyle="1" w:styleId="141">
    <w:name w:val="图表"/>
    <w:basedOn w:val="1"/>
    <w:link w:val="140"/>
    <w:uiPriority w:val="0"/>
    <w:pPr>
      <w:adjustRightInd w:val="0"/>
      <w:snapToGrid w:val="0"/>
      <w:spacing w:line="280" w:lineRule="exact"/>
      <w:jc w:val="center"/>
    </w:pPr>
    <w:rPr>
      <w:rFonts w:asciiTheme="minorHAnsi" w:hAnsiTheme="minorHAnsi" w:eastAsiaTheme="minorEastAsia" w:cstheme="minorBidi"/>
      <w:szCs w:val="22"/>
    </w:rPr>
  </w:style>
  <w:style w:type="character" w:customStyle="1" w:styleId="142">
    <w:name w:val="contents"/>
    <w:basedOn w:val="46"/>
    <w:uiPriority w:val="0"/>
  </w:style>
  <w:style w:type="character" w:customStyle="1" w:styleId="143">
    <w:name w:val="表格文字 Char"/>
    <w:link w:val="144"/>
    <w:uiPriority w:val="0"/>
    <w:rPr>
      <w:sz w:val="24"/>
    </w:rPr>
  </w:style>
  <w:style w:type="paragraph" w:customStyle="1" w:styleId="144">
    <w:name w:val="表格文字"/>
    <w:basedOn w:val="1"/>
    <w:link w:val="143"/>
    <w:uiPriority w:val="0"/>
    <w:pPr>
      <w:spacing w:line="360" w:lineRule="auto"/>
      <w:jc w:val="center"/>
    </w:pPr>
    <w:rPr>
      <w:rFonts w:asciiTheme="minorHAnsi" w:hAnsiTheme="minorHAnsi" w:eastAsiaTheme="minorEastAsia" w:cstheme="minorBidi"/>
      <w:sz w:val="24"/>
      <w:szCs w:val="22"/>
    </w:rPr>
  </w:style>
  <w:style w:type="character" w:customStyle="1" w:styleId="145">
    <w:name w:val="题注 字符"/>
    <w:link w:val="16"/>
    <w:locked/>
    <w:uiPriority w:val="0"/>
    <w:rPr>
      <w:b/>
    </w:rPr>
  </w:style>
  <w:style w:type="character" w:customStyle="1" w:styleId="146">
    <w:name w:val="正文缩进 字符"/>
    <w:link w:val="15"/>
    <w:uiPriority w:val="0"/>
    <w:rPr>
      <w:rFonts w:ascii="Calibri" w:hAnsi="Calibri" w:eastAsia="宋体" w:cs="Times New Roman"/>
      <w:sz w:val="24"/>
      <w:szCs w:val="24"/>
    </w:rPr>
  </w:style>
  <w:style w:type="character" w:customStyle="1" w:styleId="147">
    <w:name w:val="style71"/>
    <w:qFormat/>
    <w:uiPriority w:val="0"/>
    <w:rPr>
      <w:rFonts w:hint="eastAsia" w:ascii="宋体" w:hAnsi="宋体" w:eastAsia="宋体"/>
      <w:sz w:val="21"/>
      <w:szCs w:val="21"/>
      <w:u w:val="none"/>
    </w:rPr>
  </w:style>
  <w:style w:type="character" w:customStyle="1" w:styleId="148">
    <w:name w:val="style6"/>
    <w:basedOn w:val="46"/>
    <w:qFormat/>
    <w:uiPriority w:val="0"/>
  </w:style>
  <w:style w:type="character" w:customStyle="1" w:styleId="149">
    <w:name w:val="标题许来慧 Char Char"/>
    <w:link w:val="150"/>
    <w:qFormat/>
    <w:uiPriority w:val="0"/>
    <w:rPr>
      <w:b/>
      <w:szCs w:val="21"/>
    </w:rPr>
  </w:style>
  <w:style w:type="paragraph" w:customStyle="1" w:styleId="150">
    <w:name w:val="标题许来慧"/>
    <w:basedOn w:val="1"/>
    <w:link w:val="149"/>
    <w:qFormat/>
    <w:uiPriority w:val="0"/>
    <w:pPr>
      <w:ind w:firstLine="420" w:firstLineChars="200"/>
    </w:pPr>
    <w:rPr>
      <w:rFonts w:asciiTheme="minorHAnsi" w:hAnsiTheme="minorHAnsi" w:eastAsiaTheme="minorEastAsia" w:cstheme="minorBidi"/>
      <w:b/>
      <w:szCs w:val="21"/>
    </w:rPr>
  </w:style>
  <w:style w:type="character" w:customStyle="1" w:styleId="151">
    <w:name w:val="无间隔 字符"/>
    <w:link w:val="152"/>
    <w:qFormat/>
    <w:uiPriority w:val="0"/>
  </w:style>
  <w:style w:type="paragraph" w:styleId="152">
    <w:name w:val="No Spacing"/>
    <w:link w:val="151"/>
    <w:qFormat/>
    <w:uiPriority w:val="0"/>
    <w:pPr>
      <w:widowControl w:val="0"/>
      <w:adjustRightInd w:val="0"/>
      <w:snapToGrid w:val="0"/>
      <w:jc w:val="center"/>
    </w:pPr>
    <w:rPr>
      <w:rFonts w:asciiTheme="minorHAnsi" w:hAnsiTheme="minorHAnsi" w:eastAsiaTheme="minorEastAsia" w:cstheme="minorBidi"/>
      <w:kern w:val="2"/>
      <w:sz w:val="21"/>
      <w:szCs w:val="22"/>
      <w:lang w:val="en-US" w:eastAsia="zh-CN" w:bidi="ar-SA"/>
    </w:rPr>
  </w:style>
  <w:style w:type="character" w:customStyle="1" w:styleId="153">
    <w:name w:val="样式 正文1 + 首行缩进:  2 字符 Char3"/>
    <w:link w:val="154"/>
    <w:uiPriority w:val="0"/>
    <w:rPr>
      <w:rFonts w:ascii="宋体"/>
      <w:sz w:val="24"/>
    </w:rPr>
  </w:style>
  <w:style w:type="paragraph" w:customStyle="1" w:styleId="154">
    <w:name w:val="样式 正文1 + 首行缩进:  2 字符"/>
    <w:basedOn w:val="1"/>
    <w:link w:val="153"/>
    <w:uiPriority w:val="0"/>
    <w:pPr>
      <w:spacing w:line="360" w:lineRule="auto"/>
      <w:ind w:firstLine="200" w:firstLineChars="200"/>
    </w:pPr>
    <w:rPr>
      <w:rFonts w:ascii="宋体" w:hAnsiTheme="minorHAnsi" w:eastAsiaTheme="minorEastAsia" w:cstheme="minorBidi"/>
      <w:sz w:val="24"/>
      <w:szCs w:val="22"/>
    </w:rPr>
  </w:style>
  <w:style w:type="character" w:customStyle="1" w:styleId="155">
    <w:name w:val="表格标题饭饭 Char"/>
    <w:link w:val="156"/>
    <w:uiPriority w:val="0"/>
    <w:rPr>
      <w:b/>
      <w:color w:val="000000"/>
      <w:kern w:val="24"/>
      <w:szCs w:val="24"/>
    </w:rPr>
  </w:style>
  <w:style w:type="paragraph" w:customStyle="1" w:styleId="156">
    <w:name w:val="表格标题饭饭"/>
    <w:basedOn w:val="1"/>
    <w:link w:val="155"/>
    <w:qFormat/>
    <w:uiPriority w:val="0"/>
    <w:pPr>
      <w:jc w:val="center"/>
    </w:pPr>
    <w:rPr>
      <w:rFonts w:asciiTheme="minorHAnsi" w:hAnsiTheme="minorHAnsi" w:eastAsiaTheme="minorEastAsia" w:cstheme="minorBidi"/>
      <w:b/>
      <w:color w:val="000000"/>
      <w:kern w:val="24"/>
    </w:rPr>
  </w:style>
  <w:style w:type="character" w:customStyle="1" w:styleId="157">
    <w:name w:val="表头 Char"/>
    <w:link w:val="158"/>
    <w:uiPriority w:val="0"/>
    <w:rPr>
      <w:b/>
      <w:sz w:val="28"/>
    </w:rPr>
  </w:style>
  <w:style w:type="paragraph" w:customStyle="1" w:styleId="158">
    <w:name w:val="表头"/>
    <w:basedOn w:val="14"/>
    <w:link w:val="157"/>
    <w:uiPriority w:val="0"/>
    <w:pPr>
      <w:tabs>
        <w:tab w:val="left" w:pos="1620"/>
      </w:tabs>
      <w:adjustRightInd w:val="0"/>
      <w:snapToGrid w:val="0"/>
      <w:spacing w:before="120" w:line="520" w:lineRule="atLeast"/>
      <w:jc w:val="center"/>
    </w:pPr>
    <w:rPr>
      <w:rFonts w:asciiTheme="minorHAnsi" w:hAnsiTheme="minorHAnsi" w:eastAsiaTheme="minorEastAsia" w:cstheme="minorBidi"/>
      <w:b/>
      <w:sz w:val="28"/>
      <w:szCs w:val="22"/>
    </w:rPr>
  </w:style>
  <w:style w:type="character" w:customStyle="1" w:styleId="159">
    <w:name w:val="正文文本 2 字符"/>
    <w:link w:val="37"/>
    <w:qFormat/>
    <w:uiPriority w:val="0"/>
    <w:rPr>
      <w:szCs w:val="24"/>
    </w:rPr>
  </w:style>
  <w:style w:type="character" w:customStyle="1" w:styleId="160">
    <w:name w:val="正文文本 2 字符1"/>
    <w:basedOn w:val="46"/>
    <w:semiHidden/>
    <w:uiPriority w:val="99"/>
    <w:rPr>
      <w:rFonts w:ascii="Times New Roman" w:hAnsi="Times New Roman" w:eastAsia="宋体" w:cs="Times New Roman"/>
      <w:szCs w:val="24"/>
    </w:rPr>
  </w:style>
  <w:style w:type="character" w:customStyle="1" w:styleId="161">
    <w:name w:val="正文文本首行缩进 字符1"/>
    <w:uiPriority w:val="0"/>
    <w:rPr>
      <w:rFonts w:ascii="Times New Roman" w:hAnsi="Times New Roman" w:eastAsia="宋体" w:cs="Times New Roman"/>
      <w:color w:val="000000"/>
      <w:w w:val="90"/>
      <w:sz w:val="24"/>
      <w:szCs w:val="20"/>
    </w:rPr>
  </w:style>
  <w:style w:type="character" w:customStyle="1" w:styleId="162">
    <w:name w:val="正文文本缩进 3 字符"/>
    <w:basedOn w:val="46"/>
    <w:uiPriority w:val="0"/>
    <w:rPr>
      <w:rFonts w:ascii="Times New Roman" w:hAnsi="Times New Roman" w:eastAsia="宋体" w:cs="Times New Roman"/>
      <w:sz w:val="16"/>
      <w:szCs w:val="16"/>
    </w:rPr>
  </w:style>
  <w:style w:type="character" w:customStyle="1" w:styleId="163">
    <w:name w:val="正文文本缩进 3 字符2"/>
    <w:link w:val="35"/>
    <w:uiPriority w:val="0"/>
    <w:rPr>
      <w:rFonts w:ascii="Times New Roman" w:hAnsi="Times New Roman" w:eastAsia="宋体" w:cs="Times New Roman"/>
      <w:sz w:val="16"/>
      <w:szCs w:val="16"/>
    </w:rPr>
  </w:style>
  <w:style w:type="character" w:customStyle="1" w:styleId="164">
    <w:name w:val="纯文本 Char"/>
    <w:uiPriority w:val="0"/>
    <w:rPr>
      <w:rFonts w:ascii="宋体" w:hAnsi="Courier New" w:cs="Courier New"/>
      <w:kern w:val="2"/>
      <w:sz w:val="21"/>
      <w:szCs w:val="21"/>
    </w:rPr>
  </w:style>
  <w:style w:type="character" w:customStyle="1" w:styleId="165">
    <w:name w:val="标题 Char"/>
    <w:uiPriority w:val="0"/>
    <w:rPr>
      <w:rFonts w:ascii="Calibri Light" w:hAnsi="Calibri Light" w:cs="Times New Roman"/>
      <w:b/>
      <w:bCs/>
      <w:kern w:val="2"/>
      <w:sz w:val="32"/>
      <w:szCs w:val="32"/>
    </w:rPr>
  </w:style>
  <w:style w:type="character" w:customStyle="1" w:styleId="166">
    <w:name w:val="正文文本缩进 2 字符1"/>
    <w:basedOn w:val="46"/>
    <w:semiHidden/>
    <w:uiPriority w:val="99"/>
    <w:rPr>
      <w:rFonts w:ascii="Times New Roman" w:hAnsi="Times New Roman" w:eastAsia="宋体" w:cs="Times New Roman"/>
      <w:szCs w:val="24"/>
    </w:rPr>
  </w:style>
  <w:style w:type="character" w:customStyle="1" w:styleId="167">
    <w:name w:val="正文文本缩进 2 Char"/>
    <w:qFormat/>
    <w:uiPriority w:val="0"/>
    <w:rPr>
      <w:kern w:val="2"/>
      <w:sz w:val="21"/>
      <w:szCs w:val="24"/>
    </w:rPr>
  </w:style>
  <w:style w:type="character" w:customStyle="1" w:styleId="168">
    <w:name w:val="正文文本 2 Char"/>
    <w:uiPriority w:val="0"/>
    <w:rPr>
      <w:kern w:val="2"/>
      <w:sz w:val="21"/>
      <w:szCs w:val="24"/>
    </w:rPr>
  </w:style>
  <w:style w:type="character" w:customStyle="1" w:styleId="169">
    <w:name w:val="宏文本 字符"/>
    <w:basedOn w:val="46"/>
    <w:semiHidden/>
    <w:uiPriority w:val="99"/>
    <w:rPr>
      <w:rFonts w:ascii="Courier New" w:hAnsi="Courier New" w:eastAsia="宋体" w:cs="Courier New"/>
      <w:sz w:val="24"/>
      <w:szCs w:val="24"/>
    </w:rPr>
  </w:style>
  <w:style w:type="character" w:customStyle="1" w:styleId="170">
    <w:name w:val="宏文本 字符1"/>
    <w:link w:val="2"/>
    <w:uiPriority w:val="0"/>
    <w:rPr>
      <w:rFonts w:ascii="Courier New" w:hAnsi="Courier New" w:eastAsia="宋体" w:cs="Courier New"/>
      <w:sz w:val="24"/>
      <w:szCs w:val="24"/>
    </w:rPr>
  </w:style>
  <w:style w:type="paragraph" w:customStyle="1" w:styleId="171">
    <w:name w:val="表头1"/>
    <w:basedOn w:val="1"/>
    <w:next w:val="1"/>
    <w:qFormat/>
    <w:uiPriority w:val="0"/>
    <w:pPr>
      <w:spacing w:line="360" w:lineRule="auto"/>
      <w:jc w:val="center"/>
    </w:pPr>
    <w:rPr>
      <w:b/>
      <w:color w:val="000000"/>
      <w:sz w:val="24"/>
    </w:rPr>
  </w:style>
  <w:style w:type="paragraph" w:customStyle="1" w:styleId="172">
    <w:name w:val="Char"/>
    <w:basedOn w:val="1"/>
    <w:uiPriority w:val="0"/>
    <w:rPr>
      <w:szCs w:val="20"/>
    </w:rPr>
  </w:style>
  <w:style w:type="paragraph" w:customStyle="1" w:styleId="173">
    <w:name w:val="表格3"/>
    <w:basedOn w:val="1"/>
    <w:uiPriority w:val="0"/>
    <w:pPr>
      <w:spacing w:line="320" w:lineRule="exact"/>
      <w:jc w:val="center"/>
    </w:pPr>
    <w:rPr>
      <w:rFonts w:cs="宋体"/>
      <w:sz w:val="18"/>
      <w:szCs w:val="20"/>
    </w:rPr>
  </w:style>
  <w:style w:type="paragraph" w:customStyle="1" w:styleId="174">
    <w:name w:val="xl31"/>
    <w:basedOn w:val="1"/>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75">
    <w:name w:val="表格2"/>
    <w:basedOn w:val="1"/>
    <w:qFormat/>
    <w:uiPriority w:val="0"/>
    <w:pPr>
      <w:spacing w:line="400" w:lineRule="exact"/>
      <w:jc w:val="center"/>
    </w:pPr>
  </w:style>
  <w:style w:type="paragraph" w:customStyle="1" w:styleId="176">
    <w:name w:val="Char Char Char Char Char Char Char"/>
    <w:basedOn w:val="1"/>
    <w:uiPriority w:val="0"/>
  </w:style>
  <w:style w:type="paragraph" w:customStyle="1" w:styleId="177">
    <w:name w:val="许来慧表格"/>
    <w:basedOn w:val="1"/>
    <w:uiPriority w:val="0"/>
    <w:pPr>
      <w:jc w:val="center"/>
    </w:pPr>
    <w:rPr>
      <w:sz w:val="24"/>
      <w:szCs w:val="21"/>
    </w:rPr>
  </w:style>
  <w:style w:type="paragraph" w:customStyle="1" w:styleId="178">
    <w:name w:val="样式1"/>
    <w:basedOn w:val="1"/>
    <w:uiPriority w:val="0"/>
    <w:pPr>
      <w:spacing w:line="360" w:lineRule="auto"/>
      <w:ind w:firstLine="510"/>
    </w:pPr>
    <w:rPr>
      <w:sz w:val="24"/>
      <w:szCs w:val="20"/>
    </w:rPr>
  </w:style>
  <w:style w:type="paragraph" w:customStyle="1" w:styleId="179">
    <w:name w:val="Char Char Char Char Char Char"/>
    <w:basedOn w:val="1"/>
    <w:uiPriority w:val="0"/>
    <w:pPr>
      <w:spacing w:before="312" w:beforeLines="100"/>
    </w:pPr>
  </w:style>
  <w:style w:type="paragraph" w:customStyle="1" w:styleId="180">
    <w:name w:val="样式"/>
    <w:basedOn w:val="1"/>
    <w:uiPriority w:val="99"/>
    <w:pPr>
      <w:spacing w:before="156" w:beforeLines="50" w:after="156" w:afterLines="50"/>
    </w:pPr>
    <w:rPr>
      <w:rFonts w:eastAsia="黑体"/>
      <w:sz w:val="30"/>
      <w:szCs w:val="20"/>
    </w:rPr>
  </w:style>
  <w:style w:type="paragraph" w:customStyle="1" w:styleId="181">
    <w:name w:val="正文文本缩进 21"/>
    <w:basedOn w:val="1"/>
    <w:uiPriority w:val="0"/>
    <w:pPr>
      <w:adjustRightInd w:val="0"/>
      <w:spacing w:line="460" w:lineRule="exact"/>
      <w:ind w:firstLine="480"/>
      <w:textAlignment w:val="baseline"/>
    </w:pPr>
    <w:rPr>
      <w:sz w:val="24"/>
      <w:szCs w:val="20"/>
    </w:rPr>
  </w:style>
  <w:style w:type="paragraph" w:customStyle="1" w:styleId="182">
    <w:name w:val="Char Char Char1 Char Char Char Char Char"/>
    <w:basedOn w:val="1"/>
    <w:uiPriority w:val="0"/>
    <w:pPr>
      <w:widowControl/>
      <w:jc w:val="left"/>
    </w:pPr>
    <w:rPr>
      <w:rFonts w:ascii="宋体" w:hAnsi="宋体" w:cs="宋体"/>
      <w:kern w:val="0"/>
      <w:sz w:val="24"/>
    </w:rPr>
  </w:style>
  <w:style w:type="paragraph" w:customStyle="1" w:styleId="183">
    <w:name w:val="Char Char Char Char"/>
    <w:basedOn w:val="1"/>
    <w:uiPriority w:val="0"/>
  </w:style>
  <w:style w:type="paragraph" w:customStyle="1" w:styleId="184">
    <w:name w:val="xl2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5">
    <w:name w:val="样式192"/>
    <w:basedOn w:val="1"/>
    <w:uiPriority w:val="0"/>
    <w:pPr>
      <w:spacing w:line="520" w:lineRule="exact"/>
      <w:jc w:val="center"/>
    </w:pPr>
    <w:rPr>
      <w:b/>
      <w:kern w:val="0"/>
      <w:szCs w:val="21"/>
    </w:rPr>
  </w:style>
  <w:style w:type="paragraph" w:customStyle="1" w:styleId="186">
    <w:name w:val="无悬挂正文5号"/>
    <w:basedOn w:val="1"/>
    <w:uiPriority w:val="0"/>
    <w:pPr>
      <w:jc w:val="center"/>
    </w:pPr>
  </w:style>
  <w:style w:type="paragraph" w:customStyle="1" w:styleId="187">
    <w:name w:val="Char Char Char Char Char Char Char Char Char Char Char Char Char Char Char Char Char Char"/>
    <w:basedOn w:val="1"/>
    <w:qFormat/>
    <w:uiPriority w:val="0"/>
  </w:style>
  <w:style w:type="paragraph" w:customStyle="1" w:styleId="188">
    <w:name w:val="表格001"/>
    <w:basedOn w:val="1"/>
    <w:uiPriority w:val="99"/>
    <w:pPr>
      <w:tabs>
        <w:tab w:val="left" w:pos="2880"/>
        <w:tab w:val="left" w:pos="3120"/>
      </w:tabs>
      <w:spacing w:line="288" w:lineRule="auto"/>
      <w:jc w:val="center"/>
      <w:outlineLvl w:val="8"/>
    </w:pPr>
    <w:rPr>
      <w:rFonts w:eastAsia="黑体" w:cs="宋体"/>
      <w:kern w:val="0"/>
      <w:sz w:val="24"/>
      <w:szCs w:val="20"/>
    </w:rPr>
  </w:style>
  <w:style w:type="paragraph" w:customStyle="1" w:styleId="189">
    <w:name w:val="Char Char2 Char Char"/>
    <w:basedOn w:val="1"/>
    <w:uiPriority w:val="0"/>
    <w:pPr>
      <w:keepNext/>
      <w:keepLines/>
      <w:spacing w:before="340" w:after="330" w:line="578" w:lineRule="auto"/>
      <w:outlineLvl w:val="0"/>
    </w:pPr>
    <w:rPr>
      <w:rFonts w:eastAsia="黑体"/>
      <w:bCs/>
      <w:spacing w:val="20"/>
      <w:kern w:val="72"/>
      <w:sz w:val="30"/>
      <w:szCs w:val="30"/>
    </w:rPr>
  </w:style>
  <w:style w:type="character" w:customStyle="1" w:styleId="190">
    <w:name w:val="+正文 Char"/>
    <w:link w:val="191"/>
    <w:uiPriority w:val="0"/>
    <w:rPr>
      <w:sz w:val="24"/>
      <w:szCs w:val="28"/>
    </w:rPr>
  </w:style>
  <w:style w:type="paragraph" w:customStyle="1" w:styleId="191">
    <w:name w:val="+正文"/>
    <w:basedOn w:val="1"/>
    <w:link w:val="190"/>
    <w:uiPriority w:val="0"/>
    <w:pPr>
      <w:spacing w:line="360" w:lineRule="auto"/>
      <w:ind w:firstLine="200" w:firstLineChars="200"/>
    </w:pPr>
    <w:rPr>
      <w:rFonts w:asciiTheme="minorHAnsi" w:hAnsiTheme="minorHAnsi" w:eastAsiaTheme="minorEastAsia" w:cstheme="minorBidi"/>
      <w:sz w:val="24"/>
      <w:szCs w:val="28"/>
    </w:rPr>
  </w:style>
  <w:style w:type="paragraph" w:customStyle="1" w:styleId="192">
    <w:name w:val="p0"/>
    <w:basedOn w:val="1"/>
    <w:qFormat/>
    <w:uiPriority w:val="0"/>
    <w:pPr>
      <w:widowControl/>
    </w:pPr>
    <w:rPr>
      <w:kern w:val="0"/>
      <w:szCs w:val="21"/>
    </w:rPr>
  </w:style>
  <w:style w:type="paragraph" w:customStyle="1" w:styleId="193">
    <w:name w:val="1"/>
    <w:basedOn w:val="1"/>
    <w:next w:val="22"/>
    <w:qFormat/>
    <w:uiPriority w:val="0"/>
    <w:pPr>
      <w:spacing w:line="360" w:lineRule="auto"/>
      <w:ind w:firstLine="480"/>
    </w:pPr>
    <w:rPr>
      <w:rFonts w:ascii="宋体"/>
      <w:sz w:val="24"/>
      <w:szCs w:val="20"/>
    </w:rPr>
  </w:style>
  <w:style w:type="character" w:customStyle="1" w:styleId="194">
    <w:name w:val="表格正文 Char Char"/>
    <w:qFormat/>
    <w:uiPriority w:val="0"/>
    <w:rPr>
      <w:rFonts w:eastAsia="宋体"/>
      <w:sz w:val="24"/>
      <w:lang w:val="en-US" w:eastAsia="zh-CN" w:bidi="ar-SA"/>
    </w:rPr>
  </w:style>
  <w:style w:type="character" w:customStyle="1" w:styleId="195">
    <w:name w:val="Char Char5"/>
    <w:qFormat/>
    <w:uiPriority w:val="0"/>
    <w:rPr>
      <w:rFonts w:eastAsia="宋体"/>
      <w:kern w:val="2"/>
      <w:sz w:val="21"/>
      <w:szCs w:val="21"/>
      <w:lang w:val="en-US" w:eastAsia="zh-CN" w:bidi="ar-SA"/>
    </w:rPr>
  </w:style>
  <w:style w:type="character" w:customStyle="1" w:styleId="196">
    <w:name w:val="新标题2 Char Char"/>
    <w:qFormat/>
    <w:uiPriority w:val="0"/>
    <w:rPr>
      <w:rFonts w:ascii="宋体" w:hAnsi="宋体" w:eastAsia="宋体"/>
      <w:kern w:val="2"/>
      <w:sz w:val="24"/>
      <w:szCs w:val="24"/>
      <w:lang w:val="en-US" w:eastAsia="zh-CN" w:bidi="ar-SA"/>
    </w:rPr>
  </w:style>
  <w:style w:type="character" w:customStyle="1" w:styleId="197">
    <w:name w:val="表文 Char Char"/>
    <w:qFormat/>
    <w:uiPriority w:val="0"/>
    <w:rPr>
      <w:rFonts w:eastAsia="宋体"/>
      <w:kern w:val="2"/>
      <w:sz w:val="24"/>
      <w:lang w:val="en-US" w:eastAsia="zh-CN" w:bidi="ar-SA"/>
    </w:rPr>
  </w:style>
  <w:style w:type="character" w:customStyle="1" w:styleId="198">
    <w:name w:val="yxPopup"/>
    <w:qFormat/>
    <w:uiPriority w:val="0"/>
    <w:rPr>
      <w:rFonts w:ascii="Courier New" w:hAnsi="Courier New"/>
      <w:color w:val="008000"/>
    </w:rPr>
  </w:style>
  <w:style w:type="character" w:customStyle="1" w:styleId="199">
    <w:name w:val="yxInternal"/>
    <w:qFormat/>
    <w:uiPriority w:val="0"/>
    <w:rPr>
      <w:rFonts w:ascii="Courier New" w:hAnsi="Courier New"/>
      <w:color w:val="FF0000"/>
    </w:rPr>
  </w:style>
  <w:style w:type="character" w:customStyle="1" w:styleId="200">
    <w:name w:val="标题 1 Char Char"/>
    <w:qFormat/>
    <w:uiPriority w:val="0"/>
    <w:rPr>
      <w:rFonts w:eastAsia="黑体"/>
      <w:b/>
      <w:bCs/>
      <w:kern w:val="44"/>
      <w:sz w:val="30"/>
      <w:szCs w:val="28"/>
      <w:lang w:val="en-US" w:eastAsia="zh-CN" w:bidi="ar-SA"/>
    </w:rPr>
  </w:style>
  <w:style w:type="character" w:customStyle="1" w:styleId="201">
    <w:name w:val="正文2 Char Char"/>
    <w:qFormat/>
    <w:uiPriority w:val="0"/>
    <w:rPr>
      <w:rFonts w:eastAsia="宋体"/>
      <w:kern w:val="2"/>
      <w:sz w:val="24"/>
      <w:szCs w:val="24"/>
      <w:lang w:val="en-US" w:eastAsia="zh-CN" w:bidi="ar-SA"/>
    </w:rPr>
  </w:style>
  <w:style w:type="character" w:customStyle="1" w:styleId="202">
    <w:name w:val="注释标题 字符"/>
    <w:link w:val="13"/>
    <w:qFormat/>
    <w:uiPriority w:val="0"/>
    <w:rPr>
      <w:sz w:val="24"/>
      <w:lang w:eastAsia="en-US" w:bidi="en-US"/>
    </w:rPr>
  </w:style>
  <w:style w:type="character" w:customStyle="1" w:styleId="203">
    <w:name w:val="注释标题 字符1"/>
    <w:basedOn w:val="46"/>
    <w:qFormat/>
    <w:uiPriority w:val="0"/>
    <w:rPr>
      <w:rFonts w:ascii="Times New Roman" w:hAnsi="Times New Roman" w:eastAsia="宋体" w:cs="Times New Roman"/>
      <w:szCs w:val="24"/>
    </w:rPr>
  </w:style>
  <w:style w:type="character" w:customStyle="1" w:styleId="204">
    <w:name w:val="style9"/>
    <w:qFormat/>
    <w:uiPriority w:val="0"/>
  </w:style>
  <w:style w:type="character" w:customStyle="1" w:styleId="205">
    <w:name w:val="Char Char1"/>
    <w:qFormat/>
    <w:uiPriority w:val="0"/>
    <w:rPr>
      <w:rFonts w:eastAsia="黑体"/>
      <w:b/>
      <w:bCs/>
      <w:kern w:val="2"/>
      <w:sz w:val="24"/>
      <w:szCs w:val="32"/>
      <w:lang w:val="en-US" w:eastAsia="zh-CN" w:bidi="ar-SA"/>
    </w:rPr>
  </w:style>
  <w:style w:type="character" w:customStyle="1" w:styleId="206">
    <w:name w:val="表文 Char"/>
    <w:link w:val="207"/>
    <w:qFormat/>
    <w:uiPriority w:val="0"/>
    <w:rPr>
      <w:sz w:val="24"/>
    </w:rPr>
  </w:style>
  <w:style w:type="paragraph" w:customStyle="1" w:styleId="207">
    <w:name w:val="表文"/>
    <w:basedOn w:val="1"/>
    <w:link w:val="206"/>
    <w:qFormat/>
    <w:uiPriority w:val="0"/>
    <w:pPr>
      <w:overflowPunct w:val="0"/>
      <w:jc w:val="center"/>
      <w:textAlignment w:val="baseline"/>
    </w:pPr>
    <w:rPr>
      <w:rFonts w:asciiTheme="minorHAnsi" w:hAnsiTheme="minorHAnsi" w:eastAsiaTheme="minorEastAsia" w:cstheme="minorBidi"/>
      <w:sz w:val="24"/>
      <w:szCs w:val="22"/>
    </w:rPr>
  </w:style>
  <w:style w:type="character" w:customStyle="1" w:styleId="208">
    <w:name w:val="表名 Char"/>
    <w:link w:val="209"/>
    <w:qFormat/>
    <w:uiPriority w:val="0"/>
    <w:rPr>
      <w:rFonts w:eastAsia="黑体"/>
      <w:sz w:val="28"/>
    </w:rPr>
  </w:style>
  <w:style w:type="paragraph" w:customStyle="1" w:styleId="209">
    <w:name w:val="表名"/>
    <w:basedOn w:val="1"/>
    <w:link w:val="208"/>
    <w:qFormat/>
    <w:uiPriority w:val="0"/>
    <w:pPr>
      <w:overflowPunct w:val="0"/>
      <w:spacing w:before="120" w:line="300" w:lineRule="exact"/>
      <w:textAlignment w:val="baseline"/>
    </w:pPr>
    <w:rPr>
      <w:rFonts w:eastAsia="黑体" w:asciiTheme="minorHAnsi" w:hAnsiTheme="minorHAnsi" w:cstheme="minorBidi"/>
      <w:sz w:val="28"/>
      <w:szCs w:val="22"/>
    </w:rPr>
  </w:style>
  <w:style w:type="character" w:customStyle="1" w:styleId="210">
    <w:name w:val="yxExternal"/>
    <w:qFormat/>
    <w:uiPriority w:val="0"/>
    <w:rPr>
      <w:rFonts w:ascii="Courier New" w:hAnsi="Courier New"/>
      <w:color w:val="808080"/>
    </w:rPr>
  </w:style>
  <w:style w:type="character" w:customStyle="1" w:styleId="211">
    <w:name w:val="页脚 字符1"/>
    <w:qFormat/>
    <w:locked/>
    <w:uiPriority w:val="99"/>
    <w:rPr>
      <w:sz w:val="18"/>
    </w:rPr>
  </w:style>
  <w:style w:type="character" w:customStyle="1" w:styleId="212">
    <w:name w:val="脚注文本 字符"/>
    <w:link w:val="34"/>
    <w:qFormat/>
    <w:uiPriority w:val="0"/>
    <w:rPr>
      <w:sz w:val="18"/>
      <w:szCs w:val="18"/>
    </w:rPr>
  </w:style>
  <w:style w:type="character" w:customStyle="1" w:styleId="213">
    <w:name w:val="脚注文本 字符1"/>
    <w:basedOn w:val="46"/>
    <w:qFormat/>
    <w:uiPriority w:val="0"/>
    <w:rPr>
      <w:rFonts w:ascii="Times New Roman" w:hAnsi="Times New Roman" w:eastAsia="宋体" w:cs="Times New Roman"/>
      <w:sz w:val="18"/>
      <w:szCs w:val="18"/>
    </w:rPr>
  </w:style>
  <w:style w:type="character" w:customStyle="1" w:styleId="214">
    <w:name w:val="普通文字 Char"/>
    <w:qFormat/>
    <w:uiPriority w:val="0"/>
    <w:rPr>
      <w:rFonts w:ascii="宋体" w:hAnsi="Courier New" w:eastAsia="宋体"/>
      <w:kern w:val="2"/>
      <w:sz w:val="21"/>
      <w:lang w:val="en-US" w:eastAsia="zh-CN" w:bidi="ar-SA"/>
    </w:rPr>
  </w:style>
  <w:style w:type="character" w:customStyle="1" w:styleId="215">
    <w:name w:val="dz1"/>
    <w:qFormat/>
    <w:uiPriority w:val="0"/>
    <w:rPr>
      <w:rFonts w:hint="default" w:ascii="Geneva" w:hAnsi="Geneva"/>
      <w:sz w:val="20"/>
      <w:szCs w:val="20"/>
    </w:rPr>
  </w:style>
  <w:style w:type="character" w:customStyle="1" w:styleId="216">
    <w:name w:val="文档结构图 字符"/>
    <w:link w:val="18"/>
    <w:qFormat/>
    <w:uiPriority w:val="0"/>
    <w:rPr>
      <w:szCs w:val="24"/>
      <w:shd w:val="clear" w:color="auto" w:fill="000080"/>
    </w:rPr>
  </w:style>
  <w:style w:type="character" w:customStyle="1" w:styleId="217">
    <w:name w:val="文档结构图 字符1"/>
    <w:basedOn w:val="46"/>
    <w:qFormat/>
    <w:uiPriority w:val="0"/>
    <w:rPr>
      <w:rFonts w:ascii="Microsoft YaHei UI" w:hAnsi="Times New Roman" w:eastAsia="Microsoft YaHei UI" w:cs="Times New Roman"/>
      <w:sz w:val="18"/>
      <w:szCs w:val="18"/>
    </w:rPr>
  </w:style>
  <w:style w:type="character" w:customStyle="1" w:styleId="218">
    <w:name w:val="表名 Char Char"/>
    <w:qFormat/>
    <w:uiPriority w:val="0"/>
    <w:rPr>
      <w:rFonts w:eastAsia="黑体"/>
      <w:kern w:val="2"/>
      <w:sz w:val="28"/>
      <w:lang w:val="en-US" w:eastAsia="zh-CN" w:bidi="ar-SA"/>
    </w:rPr>
  </w:style>
  <w:style w:type="character" w:customStyle="1" w:styleId="219">
    <w:name w:val="15"/>
    <w:qFormat/>
    <w:uiPriority w:val="0"/>
    <w:rPr>
      <w:rFonts w:hint="default" w:ascii="Times New Roman" w:hAnsi="Times New Roman" w:cs="Times New Roman"/>
      <w:sz w:val="20"/>
      <w:szCs w:val="20"/>
    </w:rPr>
  </w:style>
  <w:style w:type="character" w:customStyle="1" w:styleId="220">
    <w:name w:val="04 Char"/>
    <w:link w:val="221"/>
    <w:qFormat/>
    <w:uiPriority w:val="0"/>
    <w:rPr>
      <w:bCs/>
      <w:kern w:val="44"/>
      <w:sz w:val="28"/>
      <w:szCs w:val="28"/>
    </w:rPr>
  </w:style>
  <w:style w:type="paragraph" w:customStyle="1" w:styleId="221">
    <w:name w:val="04"/>
    <w:basedOn w:val="1"/>
    <w:link w:val="220"/>
    <w:qFormat/>
    <w:uiPriority w:val="0"/>
    <w:pPr>
      <w:spacing w:line="360" w:lineRule="auto"/>
      <w:ind w:firstLine="200" w:firstLineChars="200"/>
    </w:pPr>
    <w:rPr>
      <w:rFonts w:asciiTheme="minorHAnsi" w:hAnsiTheme="minorHAnsi" w:eastAsiaTheme="minorEastAsia" w:cstheme="minorBidi"/>
      <w:bCs/>
      <w:kern w:val="44"/>
      <w:sz w:val="28"/>
      <w:szCs w:val="28"/>
    </w:rPr>
  </w:style>
  <w:style w:type="character" w:customStyle="1" w:styleId="222">
    <w:name w:val="日期 字符1"/>
    <w:qFormat/>
    <w:locked/>
    <w:uiPriority w:val="0"/>
    <w:rPr>
      <w:rFonts w:ascii="Times New Roman" w:hAnsi="Times New Roman" w:eastAsia="宋体"/>
      <w:sz w:val="24"/>
    </w:rPr>
  </w:style>
  <w:style w:type="character" w:customStyle="1" w:styleId="223">
    <w:name w:val="yxMark"/>
    <w:qFormat/>
    <w:uiPriority w:val="0"/>
    <w:rPr>
      <w:rFonts w:ascii="Courier New" w:hAnsi="Courier New"/>
      <w:vanish/>
      <w:color w:val="800000"/>
      <w:vertAlign w:val="subscript"/>
    </w:rPr>
  </w:style>
  <w:style w:type="character" w:customStyle="1" w:styleId="224">
    <w:name w:val="正文文本缩进 3 字符1"/>
    <w:qFormat/>
    <w:uiPriority w:val="0"/>
    <w:rPr>
      <w:kern w:val="2"/>
      <w:sz w:val="16"/>
      <w:szCs w:val="16"/>
    </w:rPr>
  </w:style>
  <w:style w:type="character" w:customStyle="1" w:styleId="225">
    <w:name w:val="表号 Char"/>
    <w:link w:val="226"/>
    <w:qFormat/>
    <w:uiPriority w:val="0"/>
    <w:rPr>
      <w:szCs w:val="24"/>
    </w:rPr>
  </w:style>
  <w:style w:type="paragraph" w:customStyle="1" w:styleId="226">
    <w:name w:val="表号"/>
    <w:basedOn w:val="1"/>
    <w:link w:val="225"/>
    <w:qFormat/>
    <w:uiPriority w:val="0"/>
    <w:pPr>
      <w:overflowPunct w:val="0"/>
      <w:autoSpaceDE w:val="0"/>
      <w:autoSpaceDN w:val="0"/>
      <w:adjustRightInd w:val="0"/>
      <w:ind w:firstLine="113"/>
      <w:textAlignment w:val="center"/>
    </w:pPr>
    <w:rPr>
      <w:rFonts w:asciiTheme="minorHAnsi" w:hAnsiTheme="minorHAnsi" w:eastAsiaTheme="minorEastAsia" w:cstheme="minorBidi"/>
    </w:rPr>
  </w:style>
  <w:style w:type="character" w:customStyle="1" w:styleId="227">
    <w:name w:val="Char Char Char Char Char Char Char Char Char"/>
    <w:qFormat/>
    <w:uiPriority w:val="0"/>
    <w:rPr>
      <w:rFonts w:eastAsia="宋体"/>
      <w:b/>
      <w:sz w:val="24"/>
      <w:lang w:val="en-US" w:eastAsia="zh-CN" w:bidi="ar-SA"/>
    </w:rPr>
  </w:style>
  <w:style w:type="character" w:customStyle="1" w:styleId="228">
    <w:name w:val="HTML 打字机1"/>
    <w:qFormat/>
    <w:uiPriority w:val="0"/>
    <w:rPr>
      <w:rFonts w:ascii="Courier New" w:hAnsi="Courier New"/>
      <w:sz w:val="20"/>
    </w:rPr>
  </w:style>
  <w:style w:type="character" w:customStyle="1" w:styleId="229">
    <w:name w:val="yxNone"/>
    <w:qFormat/>
    <w:uiPriority w:val="0"/>
  </w:style>
  <w:style w:type="character" w:customStyle="1" w:styleId="230">
    <w:name w:val="标题 3 Char Char"/>
    <w:qFormat/>
    <w:uiPriority w:val="0"/>
    <w:rPr>
      <w:rFonts w:eastAsia="宋体"/>
      <w:b/>
      <w:bCs/>
      <w:kern w:val="2"/>
      <w:sz w:val="32"/>
      <w:szCs w:val="32"/>
      <w:lang w:val="en-US" w:eastAsia="zh-CN" w:bidi="ar-SA"/>
    </w:rPr>
  </w:style>
  <w:style w:type="character" w:customStyle="1" w:styleId="231">
    <w:name w:val="样式 标题 2 + 黑体 小四 Char Char"/>
    <w:qFormat/>
    <w:uiPriority w:val="0"/>
    <w:rPr>
      <w:rFonts w:ascii="黑体" w:hAnsi="黑体" w:eastAsia="黑体"/>
      <w:b/>
      <w:bCs/>
      <w:kern w:val="2"/>
      <w:sz w:val="24"/>
      <w:szCs w:val="32"/>
      <w:lang w:val="en-US" w:eastAsia="zh-CN" w:bidi="ar-SA"/>
    </w:rPr>
  </w:style>
  <w:style w:type="character" w:customStyle="1" w:styleId="232">
    <w:name w:val="注释标题 Char1"/>
    <w:qFormat/>
    <w:uiPriority w:val="0"/>
    <w:rPr>
      <w:kern w:val="2"/>
      <w:sz w:val="21"/>
      <w:szCs w:val="24"/>
    </w:rPr>
  </w:style>
  <w:style w:type="character" w:customStyle="1" w:styleId="233">
    <w:name w:val="表ma Char1"/>
    <w:link w:val="234"/>
    <w:qFormat/>
    <w:uiPriority w:val="0"/>
    <w:rPr>
      <w:rFonts w:cs="宋体"/>
      <w:szCs w:val="24"/>
    </w:rPr>
  </w:style>
  <w:style w:type="paragraph" w:customStyle="1" w:styleId="234">
    <w:name w:val="表ma"/>
    <w:basedOn w:val="1"/>
    <w:link w:val="233"/>
    <w:qFormat/>
    <w:uiPriority w:val="0"/>
    <w:pPr>
      <w:jc w:val="center"/>
    </w:pPr>
    <w:rPr>
      <w:rFonts w:cs="宋体" w:asciiTheme="minorHAnsi" w:hAnsiTheme="minorHAnsi" w:eastAsiaTheme="minorEastAsia"/>
    </w:rPr>
  </w:style>
  <w:style w:type="character" w:customStyle="1" w:styleId="235">
    <w:name w:val="未处理的提及1"/>
    <w:unhideWhenUsed/>
    <w:qFormat/>
    <w:uiPriority w:val="99"/>
    <w:rPr>
      <w:color w:val="605E5C"/>
      <w:shd w:val="clear" w:color="auto" w:fill="E1DFDD"/>
    </w:rPr>
  </w:style>
  <w:style w:type="character" w:customStyle="1" w:styleId="236">
    <w:name w:val="yxJump"/>
    <w:qFormat/>
    <w:uiPriority w:val="0"/>
    <w:rPr>
      <w:rFonts w:ascii="Courier New" w:hAnsi="Courier New"/>
      <w:color w:val="008080"/>
    </w:rPr>
  </w:style>
  <w:style w:type="paragraph" w:customStyle="1" w:styleId="237">
    <w:name w:val="正文01"/>
    <w:basedOn w:val="1"/>
    <w:qFormat/>
    <w:uiPriority w:val="0"/>
    <w:pPr>
      <w:spacing w:before="60" w:line="460" w:lineRule="exact"/>
      <w:ind w:firstLine="200" w:firstLineChars="200"/>
    </w:pPr>
    <w:rPr>
      <w:sz w:val="24"/>
    </w:rPr>
  </w:style>
  <w:style w:type="paragraph" w:customStyle="1" w:styleId="238">
    <w:name w:val="Char1"/>
    <w:basedOn w:val="1"/>
    <w:qFormat/>
    <w:uiPriority w:val="0"/>
  </w:style>
  <w:style w:type="paragraph" w:customStyle="1" w:styleId="239">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0">
    <w:name w:val="aa正文"/>
    <w:basedOn w:val="1"/>
    <w:qFormat/>
    <w:uiPriority w:val="0"/>
    <w:pPr>
      <w:topLinePunct/>
      <w:spacing w:line="500" w:lineRule="exact"/>
      <w:ind w:firstLine="200" w:firstLineChars="200"/>
      <w:textAlignment w:val="baseline"/>
    </w:pPr>
    <w:rPr>
      <w:bCs/>
      <w:snapToGrid w:val="0"/>
      <w:color w:val="000000"/>
      <w:kern w:val="0"/>
      <w:sz w:val="24"/>
    </w:rPr>
  </w:style>
  <w:style w:type="paragraph" w:customStyle="1" w:styleId="241">
    <w:name w:val="样式4"/>
    <w:basedOn w:val="1"/>
    <w:qFormat/>
    <w:uiPriority w:val="0"/>
    <w:pPr>
      <w:spacing w:line="400" w:lineRule="exact"/>
      <w:ind w:firstLine="200" w:firstLineChars="200"/>
    </w:pPr>
    <w:rPr>
      <w:rFonts w:ascii="宋体" w:hAnsi="宋体"/>
      <w:sz w:val="24"/>
      <w:szCs w:val="21"/>
    </w:rPr>
  </w:style>
  <w:style w:type="paragraph" w:customStyle="1" w:styleId="242">
    <w:name w:val="Char4 Char Char Char Char Char Char1"/>
    <w:basedOn w:val="1"/>
    <w:qFormat/>
    <w:uiPriority w:val="0"/>
    <w:pPr>
      <w:spacing w:line="360" w:lineRule="auto"/>
      <w:ind w:firstLine="200" w:firstLineChars="200"/>
    </w:pPr>
    <w:rPr>
      <w:rFonts w:ascii="宋体" w:hAnsi="宋体" w:cs="宋体"/>
      <w:sz w:val="24"/>
    </w:rPr>
  </w:style>
  <w:style w:type="paragraph" w:customStyle="1" w:styleId="243">
    <w:name w:val="标题5"/>
    <w:basedOn w:val="17"/>
    <w:qFormat/>
    <w:uiPriority w:val="0"/>
    <w:pPr>
      <w:spacing w:line="324" w:lineRule="auto"/>
      <w:ind w:left="0" w:leftChars="0" w:firstLine="480" w:firstLineChars="200"/>
      <w:outlineLvl w:val="4"/>
    </w:pPr>
    <w:rPr>
      <w:sz w:val="24"/>
    </w:rPr>
  </w:style>
  <w:style w:type="paragraph" w:customStyle="1" w:styleId="244">
    <w:name w:val="表内文字"/>
    <w:basedOn w:val="1"/>
    <w:qFormat/>
    <w:uiPriority w:val="0"/>
    <w:pPr>
      <w:spacing w:line="320" w:lineRule="exact"/>
      <w:jc w:val="center"/>
    </w:pPr>
    <w:rPr>
      <w:rFonts w:eastAsia="仿宋_GB2312"/>
    </w:rPr>
  </w:style>
  <w:style w:type="paragraph" w:customStyle="1" w:styleId="245">
    <w:name w:val="正文2"/>
    <w:basedOn w:val="1"/>
    <w:qFormat/>
    <w:uiPriority w:val="0"/>
    <w:pPr>
      <w:spacing w:line="360" w:lineRule="auto"/>
      <w:ind w:firstLine="200" w:firstLineChars="200"/>
    </w:pPr>
    <w:rPr>
      <w:sz w:val="24"/>
    </w:rPr>
  </w:style>
  <w:style w:type="paragraph" w:customStyle="1" w:styleId="246">
    <w:name w:val="样式 行距: 固定值 20 磅"/>
    <w:basedOn w:val="1"/>
    <w:qFormat/>
    <w:uiPriority w:val="0"/>
    <w:pPr>
      <w:spacing w:before="312" w:beforeLines="100" w:after="312" w:afterLines="100" w:line="400" w:lineRule="exact"/>
    </w:pPr>
    <w:rPr>
      <w:rFonts w:cs="宋体"/>
      <w:szCs w:val="20"/>
    </w:rPr>
  </w:style>
  <w:style w:type="paragraph" w:customStyle="1" w:styleId="247">
    <w:name w:val="默认段落字体 Para Char"/>
    <w:basedOn w:val="1"/>
    <w:qFormat/>
    <w:uiPriority w:val="0"/>
    <w:rPr>
      <w:rFonts w:ascii="宋体"/>
      <w:sz w:val="28"/>
    </w:rPr>
  </w:style>
  <w:style w:type="paragraph" w:customStyle="1" w:styleId="248">
    <w:name w:val="二级标题"/>
    <w:basedOn w:val="4"/>
    <w:qFormat/>
    <w:uiPriority w:val="0"/>
    <w:pPr>
      <w:keepNext w:val="0"/>
      <w:keepLines w:val="0"/>
      <w:widowControl/>
      <w:adjustRightInd w:val="0"/>
      <w:spacing w:before="0" w:after="156" w:afterLines="50" w:line="360" w:lineRule="auto"/>
      <w:jc w:val="left"/>
      <w:textAlignment w:val="baseline"/>
    </w:pPr>
    <w:rPr>
      <w:rFonts w:ascii="Times New Roman" w:hAnsi="Times New Roman" w:eastAsia="黑体" w:cs="Times New Roman"/>
      <w:bCs w:val="0"/>
      <w:kern w:val="0"/>
      <w:sz w:val="24"/>
      <w:szCs w:val="24"/>
    </w:rPr>
  </w:style>
  <w:style w:type="paragraph" w:customStyle="1" w:styleId="249">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50">
    <w:name w:val="Char Char2 Char Char Char Char"/>
    <w:basedOn w:val="1"/>
    <w:qFormat/>
    <w:uiPriority w:val="0"/>
  </w:style>
  <w:style w:type="paragraph" w:customStyle="1" w:styleId="251">
    <w:name w:val="表格题目"/>
    <w:basedOn w:val="1"/>
    <w:next w:val="1"/>
    <w:qFormat/>
    <w:uiPriority w:val="0"/>
    <w:pPr>
      <w:adjustRightInd w:val="0"/>
      <w:spacing w:before="156" w:beforeLines="50" w:line="360" w:lineRule="auto"/>
      <w:jc w:val="center"/>
      <w:textAlignment w:val="baseline"/>
    </w:pPr>
    <w:rPr>
      <w:bCs/>
      <w:sz w:val="24"/>
    </w:rPr>
  </w:style>
  <w:style w:type="paragraph" w:customStyle="1" w:styleId="252">
    <w:name w:val="表格正文"/>
    <w:basedOn w:val="5"/>
    <w:qFormat/>
    <w:uiPriority w:val="0"/>
    <w:pPr>
      <w:keepNext w:val="0"/>
      <w:keepLines w:val="0"/>
      <w:adjustRightInd w:val="0"/>
      <w:spacing w:before="0" w:after="0" w:line="240" w:lineRule="auto"/>
      <w:jc w:val="center"/>
      <w:textAlignment w:val="baseline"/>
    </w:pPr>
    <w:rPr>
      <w:b w:val="0"/>
      <w:bCs w:val="0"/>
      <w:kern w:val="0"/>
      <w:sz w:val="24"/>
      <w:szCs w:val="20"/>
    </w:rPr>
  </w:style>
  <w:style w:type="paragraph" w:customStyle="1" w:styleId="253">
    <w:name w:val="方案正文"/>
    <w:basedOn w:val="1"/>
    <w:qFormat/>
    <w:uiPriority w:val="0"/>
    <w:pPr>
      <w:spacing w:before="156" w:after="156" w:line="360" w:lineRule="auto"/>
      <w:ind w:firstLine="536" w:firstLineChars="200"/>
    </w:pPr>
    <w:rPr>
      <w:rFonts w:cs="宋体"/>
      <w:spacing w:val="14"/>
      <w:sz w:val="24"/>
    </w:rPr>
  </w:style>
  <w:style w:type="paragraph" w:customStyle="1" w:styleId="254">
    <w:name w:val="小黑标"/>
    <w:basedOn w:val="1"/>
    <w:qFormat/>
    <w:uiPriority w:val="0"/>
    <w:pPr>
      <w:spacing w:before="50" w:line="360" w:lineRule="auto"/>
    </w:pPr>
    <w:rPr>
      <w:rFonts w:ascii="黑体" w:eastAsia="黑体"/>
      <w:b/>
      <w:sz w:val="24"/>
      <w:szCs w:val="20"/>
    </w:rPr>
  </w:style>
  <w:style w:type="character" w:customStyle="1" w:styleId="255">
    <w:name w:val="注释标题 字符2"/>
    <w:basedOn w:val="46"/>
    <w:qFormat/>
    <w:uiPriority w:val="0"/>
    <w:rPr>
      <w:rFonts w:ascii="Times New Roman" w:hAnsi="Times New Roman" w:eastAsia="宋体" w:cs="Times New Roman"/>
      <w:szCs w:val="24"/>
    </w:rPr>
  </w:style>
  <w:style w:type="paragraph" w:customStyle="1" w:styleId="256">
    <w:name w:val="标题1"/>
    <w:basedOn w:val="19"/>
    <w:qFormat/>
    <w:uiPriority w:val="0"/>
    <w:rPr>
      <w:rFonts w:ascii="黑体" w:eastAsia="黑体"/>
      <w:b/>
      <w:sz w:val="28"/>
    </w:rPr>
  </w:style>
  <w:style w:type="paragraph" w:customStyle="1" w:styleId="257">
    <w:name w:val="宋标一"/>
    <w:basedOn w:val="1"/>
    <w:qFormat/>
    <w:uiPriority w:val="0"/>
    <w:pPr>
      <w:spacing w:before="156" w:beforeLines="50" w:line="360" w:lineRule="auto"/>
      <w:ind w:firstLine="200" w:firstLineChars="200"/>
    </w:pPr>
    <w:rPr>
      <w:sz w:val="24"/>
    </w:rPr>
  </w:style>
  <w:style w:type="paragraph" w:customStyle="1" w:styleId="258">
    <w:name w:val="默认段落字体 Para Char Char Char Char"/>
    <w:basedOn w:val="1"/>
    <w:qFormat/>
    <w:uiPriority w:val="0"/>
  </w:style>
  <w:style w:type="paragraph" w:customStyle="1" w:styleId="259">
    <w:name w:val="报告书的正文格式"/>
    <w:basedOn w:val="42"/>
    <w:qFormat/>
    <w:uiPriority w:val="0"/>
    <w:pPr>
      <w:spacing w:after="0" w:line="480" w:lineRule="exact"/>
      <w:ind w:firstLine="200" w:firstLineChars="200"/>
    </w:pPr>
    <w:rPr>
      <w:kern w:val="0"/>
      <w:sz w:val="24"/>
    </w:rPr>
  </w:style>
  <w:style w:type="paragraph" w:customStyle="1" w:styleId="260">
    <w:name w:val="表格标题"/>
    <w:basedOn w:val="3"/>
    <w:qFormat/>
    <w:uiPriority w:val="0"/>
    <w:pPr>
      <w:adjustRightInd w:val="0"/>
      <w:spacing w:before="156" w:beforeLines="50" w:after="0" w:line="360" w:lineRule="auto"/>
      <w:jc w:val="center"/>
      <w:textAlignment w:val="baseline"/>
    </w:pPr>
    <w:rPr>
      <w:b w:val="0"/>
      <w:bCs w:val="0"/>
      <w:sz w:val="24"/>
      <w:szCs w:val="24"/>
    </w:rPr>
  </w:style>
  <w:style w:type="paragraph" w:customStyle="1" w:styleId="261">
    <w:name w:val="样式 cucd-0 + (西文) Arial (中文) 仿宋_GB2312"/>
    <w:basedOn w:val="249"/>
    <w:qFormat/>
    <w:uiPriority w:val="0"/>
    <w:rPr>
      <w:rFonts w:ascii="Arial" w:hAnsi="Arial" w:eastAsia="仿宋_GB2312"/>
      <w:sz w:val="28"/>
    </w:rPr>
  </w:style>
  <w:style w:type="paragraph" w:customStyle="1" w:styleId="262">
    <w:name w:val="新标题1"/>
    <w:qFormat/>
    <w:uiPriority w:val="0"/>
    <w:pPr>
      <w:outlineLvl w:val="0"/>
    </w:pPr>
    <w:rPr>
      <w:rFonts w:ascii="黑体" w:hAnsi="Times New Roman" w:eastAsia="黑体" w:cs="Times New Roman"/>
      <w:b/>
      <w:kern w:val="2"/>
      <w:sz w:val="28"/>
      <w:szCs w:val="52"/>
      <w:lang w:val="en-US" w:eastAsia="zh-CN" w:bidi="ar-SA"/>
    </w:rPr>
  </w:style>
  <w:style w:type="paragraph" w:customStyle="1" w:styleId="263">
    <w:name w:val="新标题2"/>
    <w:qFormat/>
    <w:uiPriority w:val="0"/>
    <w:pPr>
      <w:widowControl w:val="0"/>
      <w:spacing w:line="360" w:lineRule="auto"/>
      <w:jc w:val="both"/>
      <w:outlineLvl w:val="1"/>
    </w:pPr>
    <w:rPr>
      <w:rFonts w:ascii="宋体" w:hAnsi="宋体" w:eastAsia="宋体" w:cs="Times New Roman"/>
      <w:kern w:val="2"/>
      <w:sz w:val="24"/>
      <w:szCs w:val="24"/>
      <w:lang w:val="en-US" w:eastAsia="zh-CN" w:bidi="ar-SA"/>
    </w:rPr>
  </w:style>
  <w:style w:type="paragraph" w:customStyle="1" w:styleId="264">
    <w:name w:val="正文文字2"/>
    <w:basedOn w:val="1"/>
    <w:qFormat/>
    <w:uiPriority w:val="0"/>
    <w:pPr>
      <w:adjustRightInd w:val="0"/>
      <w:snapToGrid w:val="0"/>
      <w:spacing w:line="360" w:lineRule="auto"/>
      <w:ind w:firstLine="480" w:firstLineChars="200"/>
    </w:pPr>
    <w:rPr>
      <w:color w:val="000000"/>
      <w:kern w:val="0"/>
      <w:sz w:val="24"/>
      <w:szCs w:val="20"/>
    </w:rPr>
  </w:style>
  <w:style w:type="paragraph" w:customStyle="1" w:styleId="26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66">
    <w:name w:val="图表文字注释"/>
    <w:qFormat/>
    <w:uiPriority w:val="0"/>
    <w:pPr>
      <w:spacing w:line="360" w:lineRule="auto"/>
      <w:jc w:val="center"/>
      <w:outlineLvl w:val="3"/>
    </w:pPr>
    <w:rPr>
      <w:rFonts w:ascii="Times New Roman" w:hAnsi="Times New Roman" w:eastAsia="宋体" w:cs="Times New Roman"/>
      <w:kern w:val="2"/>
      <w:sz w:val="21"/>
      <w:szCs w:val="24"/>
      <w:lang w:val="en-US" w:eastAsia="zh-CN" w:bidi="ar-SA"/>
    </w:rPr>
  </w:style>
  <w:style w:type="paragraph" w:customStyle="1" w:styleId="267">
    <w:name w:val="目录标题"/>
    <w:basedOn w:val="1"/>
    <w:next w:val="1"/>
    <w:qFormat/>
    <w:uiPriority w:val="0"/>
    <w:pPr>
      <w:spacing w:before="120" w:line="360" w:lineRule="auto"/>
      <w:jc w:val="left"/>
      <w:outlineLvl w:val="0"/>
    </w:pPr>
    <w:rPr>
      <w:rFonts w:ascii="Arial" w:hAnsi="Arial" w:eastAsia="黑体" w:cs="Arial"/>
      <w:b/>
      <w:bCs/>
      <w:sz w:val="28"/>
      <w:szCs w:val="32"/>
    </w:rPr>
  </w:style>
  <w:style w:type="paragraph" w:customStyle="1" w:styleId="268">
    <w:name w:val="char"/>
    <w:basedOn w:val="1"/>
    <w:qFormat/>
    <w:uiPriority w:val="0"/>
    <w:pPr>
      <w:widowControl/>
      <w:spacing w:after="160" w:line="240" w:lineRule="exact"/>
      <w:jc w:val="left"/>
    </w:pPr>
  </w:style>
  <w:style w:type="paragraph" w:customStyle="1" w:styleId="26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zhang正文"/>
    <w:basedOn w:val="22"/>
    <w:qFormat/>
    <w:uiPriority w:val="0"/>
    <w:pPr>
      <w:autoSpaceDE w:val="0"/>
      <w:autoSpaceDN w:val="0"/>
      <w:adjustRightInd w:val="0"/>
      <w:snapToGrid w:val="0"/>
      <w:spacing w:line="500" w:lineRule="atLeast"/>
      <w:ind w:firstLine="539"/>
    </w:pPr>
    <w:rPr>
      <w:rFonts w:ascii="Calibri" w:hAnsi="Calibri" w:eastAsia="楷体_GB2312"/>
      <w:kern w:val="0"/>
      <w:sz w:val="28"/>
      <w:szCs w:val="20"/>
    </w:rPr>
  </w:style>
  <w:style w:type="paragraph" w:customStyle="1" w:styleId="271">
    <w:name w:val="样式 标题 1 + 行距: 1.5 倍行距"/>
    <w:basedOn w:val="3"/>
    <w:qFormat/>
    <w:uiPriority w:val="0"/>
    <w:pPr>
      <w:adjustRightInd w:val="0"/>
      <w:spacing w:before="0" w:after="0" w:line="360" w:lineRule="auto"/>
      <w:jc w:val="left"/>
      <w:textAlignment w:val="baseline"/>
    </w:pPr>
    <w:rPr>
      <w:rFonts w:eastAsia="黑体" w:cs="宋体"/>
      <w:sz w:val="24"/>
      <w:szCs w:val="20"/>
    </w:rPr>
  </w:style>
  <w:style w:type="paragraph" w:customStyle="1" w:styleId="272">
    <w:name w:val="表格格式"/>
    <w:basedOn w:val="1"/>
    <w:next w:val="1"/>
    <w:qFormat/>
    <w:uiPriority w:val="0"/>
  </w:style>
  <w:style w:type="paragraph" w:customStyle="1" w:styleId="273">
    <w:name w:val="正文缩进1"/>
    <w:basedOn w:val="1"/>
    <w:qFormat/>
    <w:uiPriority w:val="0"/>
    <w:pPr>
      <w:ind w:firstLine="420" w:firstLineChars="200"/>
    </w:pPr>
  </w:style>
  <w:style w:type="paragraph" w:customStyle="1" w:styleId="274">
    <w:name w:val="样式 样式2 + 段前: 1 行 段后: 1 行"/>
    <w:basedOn w:val="59"/>
    <w:qFormat/>
    <w:uiPriority w:val="0"/>
    <w:pPr>
      <w:keepNext/>
      <w:keepLines/>
      <w:spacing w:before="312" w:beforeLines="100" w:after="312" w:afterLines="100" w:line="400" w:lineRule="exact"/>
      <w:outlineLvl w:val="1"/>
    </w:pPr>
    <w:rPr>
      <w:rFonts w:ascii="宋体" w:hAnsi="宋体" w:eastAsia="宋体" w:cs="宋体"/>
      <w:bCs/>
      <w:kern w:val="0"/>
      <w:sz w:val="28"/>
      <w:szCs w:val="20"/>
    </w:rPr>
  </w:style>
  <w:style w:type="paragraph" w:customStyle="1" w:styleId="275">
    <w:name w:val="Char1 Char Char Char Char Char Char Char Char Char Char Char Char"/>
    <w:basedOn w:val="1"/>
    <w:qFormat/>
    <w:uiPriority w:val="0"/>
  </w:style>
  <w:style w:type="paragraph" w:customStyle="1" w:styleId="276">
    <w:name w:val="三号开篇"/>
    <w:basedOn w:val="1"/>
    <w:qFormat/>
    <w:uiPriority w:val="0"/>
    <w:pPr>
      <w:spacing w:line="480" w:lineRule="auto"/>
      <w:ind w:firstLine="200" w:firstLineChars="200"/>
    </w:pPr>
    <w:rPr>
      <w:sz w:val="32"/>
    </w:rPr>
  </w:style>
  <w:style w:type="paragraph" w:customStyle="1" w:styleId="277">
    <w:name w:val="表格后空行"/>
    <w:basedOn w:val="1"/>
    <w:qFormat/>
    <w:uiPriority w:val="0"/>
    <w:rPr>
      <w:sz w:val="24"/>
    </w:rPr>
  </w:style>
  <w:style w:type="paragraph" w:customStyle="1" w:styleId="278">
    <w:name w:val="Char Char Char Char1"/>
    <w:basedOn w:val="1"/>
    <w:qFormat/>
    <w:uiPriority w:val="0"/>
    <w:pPr>
      <w:spacing w:line="360" w:lineRule="auto"/>
    </w:pPr>
  </w:style>
  <w:style w:type="paragraph" w:customStyle="1" w:styleId="279">
    <w:name w:val="样式 样式 正文缩进s4 + 首行缩进:  2 字符 + 首行缩进:  2 字符"/>
    <w:basedOn w:val="1"/>
    <w:qFormat/>
    <w:uiPriority w:val="0"/>
    <w:rPr>
      <w:rFonts w:ascii="宋体" w:hAnsi="宋体"/>
      <w:sz w:val="24"/>
    </w:rPr>
  </w:style>
  <w:style w:type="paragraph" w:customStyle="1" w:styleId="280">
    <w:name w:val="样式5"/>
    <w:basedOn w:val="1"/>
    <w:qFormat/>
    <w:uiPriority w:val="0"/>
    <w:pPr>
      <w:spacing w:before="156" w:beforeLines="50"/>
    </w:pPr>
    <w:rPr>
      <w:rFonts w:ascii="宋体" w:hAnsi="宋体" w:eastAsia="黑体"/>
      <w:sz w:val="24"/>
    </w:rPr>
  </w:style>
  <w:style w:type="paragraph" w:customStyle="1" w:styleId="281">
    <w:name w:val="标题2"/>
    <w:basedOn w:val="1"/>
    <w:qFormat/>
    <w:uiPriority w:val="0"/>
    <w:pPr>
      <w:adjustRightInd w:val="0"/>
      <w:snapToGrid w:val="0"/>
      <w:jc w:val="center"/>
    </w:pPr>
    <w:rPr>
      <w:rFonts w:ascii="宋体" w:hAnsi="宋体"/>
      <w:b/>
      <w:color w:val="000000"/>
      <w:sz w:val="24"/>
    </w:rPr>
  </w:style>
  <w:style w:type="paragraph" w:customStyle="1" w:styleId="282">
    <w:name w:val="正文001"/>
    <w:basedOn w:val="1"/>
    <w:qFormat/>
    <w:uiPriority w:val="0"/>
    <w:pPr>
      <w:spacing w:before="60" w:line="420" w:lineRule="exact"/>
      <w:ind w:firstLine="482"/>
    </w:pPr>
    <w:rPr>
      <w:sz w:val="24"/>
    </w:rPr>
  </w:style>
  <w:style w:type="paragraph" w:customStyle="1" w:styleId="283">
    <w:name w:val="标题4"/>
    <w:basedOn w:val="24"/>
    <w:qFormat/>
    <w:uiPriority w:val="0"/>
    <w:pPr>
      <w:spacing w:before="60" w:after="60" w:line="324" w:lineRule="auto"/>
      <w:ind w:left="0" w:leftChars="0"/>
      <w:outlineLvl w:val="3"/>
    </w:pPr>
    <w:rPr>
      <w:rFonts w:eastAsia="黑体"/>
      <w:b/>
      <w:bCs/>
      <w:sz w:val="24"/>
    </w:rPr>
  </w:style>
  <w:style w:type="paragraph" w:customStyle="1" w:styleId="284">
    <w:name w:val="Char2"/>
    <w:basedOn w:val="1"/>
    <w:qFormat/>
    <w:uiPriority w:val="0"/>
    <w:pPr>
      <w:spacing w:line="360" w:lineRule="auto"/>
      <w:ind w:firstLine="200" w:firstLineChars="200"/>
    </w:pPr>
    <w:rPr>
      <w:rFonts w:ascii="宋体" w:hAnsi="宋体" w:cs="宋体"/>
      <w:sz w:val="24"/>
    </w:rPr>
  </w:style>
  <w:style w:type="paragraph" w:customStyle="1" w:styleId="285">
    <w:name w:val="样式 标题 2 + 黑体 小四"/>
    <w:qFormat/>
    <w:uiPriority w:val="0"/>
    <w:rPr>
      <w:rFonts w:ascii="黑体" w:hAnsi="黑体" w:eastAsia="黑体" w:cs="Times New Roman"/>
      <w:b/>
      <w:bCs/>
      <w:kern w:val="2"/>
      <w:sz w:val="24"/>
      <w:szCs w:val="32"/>
      <w:lang w:val="en-US" w:eastAsia="zh-CN" w:bidi="ar-SA"/>
    </w:rPr>
  </w:style>
  <w:style w:type="character" w:customStyle="1" w:styleId="286">
    <w:name w:val="表格样式 Char"/>
    <w:link w:val="287"/>
    <w:qFormat/>
    <w:uiPriority w:val="0"/>
    <w:rPr>
      <w:rFonts w:ascii="宋体" w:hAnsi="宋体"/>
      <w:color w:val="000000"/>
      <w:szCs w:val="21"/>
    </w:rPr>
  </w:style>
  <w:style w:type="paragraph" w:customStyle="1" w:styleId="287">
    <w:name w:val="表格样式"/>
    <w:basedOn w:val="1"/>
    <w:link w:val="286"/>
    <w:qFormat/>
    <w:uiPriority w:val="0"/>
    <w:pPr>
      <w:adjustRightInd w:val="0"/>
      <w:snapToGrid w:val="0"/>
    </w:pPr>
    <w:rPr>
      <w:rFonts w:ascii="宋体" w:hAnsi="宋体" w:eastAsiaTheme="minorEastAsia" w:cstheme="minorBidi"/>
      <w:color w:val="000000"/>
      <w:szCs w:val="21"/>
    </w:rPr>
  </w:style>
  <w:style w:type="character" w:customStyle="1" w:styleId="288">
    <w:name w:val="font81"/>
    <w:basedOn w:val="46"/>
    <w:qFormat/>
    <w:uiPriority w:val="0"/>
    <w:rPr>
      <w:rFonts w:hint="eastAsia" w:ascii="宋体" w:hAnsi="宋体" w:eastAsia="宋体" w:cs="宋体"/>
      <w:color w:val="auto"/>
      <w:sz w:val="21"/>
      <w:szCs w:val="21"/>
      <w:u w:val="none"/>
    </w:rPr>
  </w:style>
  <w:style w:type="character" w:customStyle="1" w:styleId="289">
    <w:name w:val="正文文本 字符2"/>
    <w:qFormat/>
    <w:locked/>
    <w:uiPriority w:val="0"/>
    <w:rPr>
      <w:rFonts w:ascii="Times New Roman" w:hAnsi="Times New Roman" w:eastAsia="宋体" w:cs="Times New Roman"/>
      <w:kern w:val="0"/>
      <w:sz w:val="18"/>
      <w:szCs w:val="18"/>
    </w:rPr>
  </w:style>
  <w:style w:type="character" w:customStyle="1" w:styleId="290">
    <w:name w:val="gf正文 Char"/>
    <w:link w:val="291"/>
    <w:qFormat/>
    <w:locked/>
    <w:uiPriority w:val="0"/>
    <w:rPr>
      <w:sz w:val="24"/>
    </w:rPr>
  </w:style>
  <w:style w:type="paragraph" w:customStyle="1" w:styleId="291">
    <w:name w:val="gf正文"/>
    <w:basedOn w:val="1"/>
    <w:link w:val="290"/>
    <w:qFormat/>
    <w:uiPriority w:val="0"/>
    <w:pPr>
      <w:adjustRightInd w:val="0"/>
      <w:snapToGrid w:val="0"/>
      <w:spacing w:line="520" w:lineRule="exact"/>
      <w:ind w:firstLine="200" w:firstLineChars="200"/>
    </w:pPr>
    <w:rPr>
      <w:rFonts w:asciiTheme="minorHAnsi" w:hAnsiTheme="minorHAnsi" w:eastAsiaTheme="minorEastAsia" w:cstheme="minorBidi"/>
      <w:sz w:val="24"/>
      <w:szCs w:val="22"/>
    </w:rPr>
  </w:style>
  <w:style w:type="paragraph" w:styleId="29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package" Target="embeddings/Microsoft_Visio___2.vsdx"/><Relationship Id="rId14" Type="http://schemas.openxmlformats.org/officeDocument/2006/relationships/image" Target="media/image1.emf"/><Relationship Id="rId13" Type="http://schemas.openxmlformats.org/officeDocument/2006/relationships/package" Target="embeddings/Microsoft_Visio___1.vsdx"/><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EDEE-042A-4261-A0B0-700CC7DE6329}">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7994</Words>
  <Characters>45568</Characters>
  <Lines>379</Lines>
  <Paragraphs>106</Paragraphs>
  <TotalTime>23</TotalTime>
  <ScaleCrop>false</ScaleCrop>
  <LinksUpToDate>false</LinksUpToDate>
  <CharactersWithSpaces>53456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2021-08-16T08:09:00Z</dcterms:created>
  <dc:creator>H</dc:creator>
  <cp:lastModifiedBy>俞俊宇</cp:lastModifiedBy>
  <cp:lastPrinted>2021-10-21T08:43:00Z</cp:lastPrinted>
  <dcterms:modified xsi:type="dcterms:W3CDTF">2023-12-11T03:03:03Z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B40CA72CA53C400BB37B474DB0918F3B_12</vt:lpwstr>
  </property>
</Properties>
</file>