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《云南欣昌电器年产70万台电暖器改建项目环境影响报表》的批复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云南欣昌电器制造有限公司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勤策环境检测技术有限公司编制的《云南欣昌电器年产70万台电暖器改建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一、项目建设地点位于云南寻甸产业园区金所片区（项目中心位置地理坐标为：东经103°12'26.571"、北纬25°34'40.406"</w:t>
      </w:r>
      <w:r>
        <w:rPr>
          <w:rFonts w:hint="default" w:ascii="Times New Roman" w:hAnsi="Times New Roman" w:eastAsia="仿宋_GB2312" w:cs="Times New Roman"/>
          <w:color w:val="000000"/>
          <w:kern w:val="0"/>
          <w:sz w:val="32"/>
          <w:szCs w:val="32"/>
          <w:highlight w:val="none"/>
          <w:lang w:val="en-US" w:eastAsia="zh-CN" w:bidi="ar"/>
        </w:rPr>
        <w:t>）。本项目占地面积约200m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，不新增占地，在原有厂房内新增挂件喷淋水洗工段一条及天然气固化烘道一条，</w:t>
      </w:r>
      <w:r>
        <w:rPr>
          <w:rFonts w:hint="eastAsia" w:ascii="Times New Roman" w:hAnsi="Times New Roman" w:eastAsia="仿宋_GB2312" w:cs="Times New Roman"/>
          <w:color w:val="000000"/>
          <w:kern w:val="0"/>
          <w:sz w:val="32"/>
          <w:szCs w:val="32"/>
          <w:highlight w:val="none"/>
          <w:lang w:val="en-US" w:eastAsia="zh-CN" w:bidi="ar"/>
        </w:rPr>
        <w:t>并</w:t>
      </w:r>
      <w:r>
        <w:rPr>
          <w:rFonts w:hint="default" w:ascii="Times New Roman" w:hAnsi="Times New Roman" w:eastAsia="仿宋_GB2312" w:cs="Times New Roman"/>
          <w:color w:val="000000"/>
          <w:kern w:val="0"/>
          <w:sz w:val="32"/>
          <w:szCs w:val="32"/>
          <w:highlight w:val="none"/>
          <w:lang w:val="en-US" w:eastAsia="zh-CN" w:bidi="ar"/>
        </w:rPr>
        <w:t>将原喷塑后电加热固化道改为天然气加热</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配套建设公辅工程和环保工</w:t>
      </w:r>
      <w:r>
        <w:rPr>
          <w:rFonts w:hint="eastAsia" w:ascii="Times New Roman" w:hAnsi="Times New Roman" w:eastAsia="仿宋_GB2312" w:cs="Times New Roman"/>
          <w:color w:val="000000"/>
          <w:kern w:val="0"/>
          <w:sz w:val="32"/>
          <w:szCs w:val="32"/>
          <w:highlight w:val="none"/>
          <w:lang w:val="en-US" w:eastAsia="zh-CN" w:bidi="ar"/>
        </w:rPr>
        <w:t>程</w:t>
      </w:r>
      <w:r>
        <w:rPr>
          <w:rFonts w:hint="default" w:ascii="Times New Roman" w:hAnsi="Times New Roman" w:eastAsia="仿宋_GB2312" w:cs="Times New Roman"/>
          <w:color w:val="000000"/>
          <w:kern w:val="0"/>
          <w:sz w:val="32"/>
          <w:szCs w:val="32"/>
          <w:highlight w:val="none"/>
          <w:lang w:val="en-US" w:eastAsia="zh-CN" w:bidi="ar"/>
        </w:rPr>
        <w:t>。改建后生产规模不变，仍为年产70万台电暖器</w:t>
      </w:r>
      <w:r>
        <w:rPr>
          <w:rFonts w:hint="eastAsia" w:ascii="Times New Roman" w:hAnsi="Times New Roman" w:eastAsia="仿宋_GB2312" w:cs="Times New Roman"/>
          <w:color w:val="000000"/>
          <w:kern w:val="0"/>
          <w:sz w:val="32"/>
          <w:szCs w:val="32"/>
          <w:highlight w:val="none"/>
          <w:lang w:val="en-US" w:eastAsia="zh-CN" w:bidi="ar"/>
        </w:rPr>
        <w:t>。总投资600万元，其中环保投资20.35万元。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根据昆明市生态环境工程评估中心《关于对〈云南欣昌电器年产70万台电暖器改建项目环境影响报告表〉的技术评估意见》(昆环评估意见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寻甸〔2023〕</w:t>
      </w:r>
      <w:r>
        <w:rPr>
          <w:rFonts w:hint="eastAsia" w:ascii="Times New Roman" w:hAnsi="Times New Roman" w:eastAsia="仿宋_GB2312" w:cs="Times New Roman"/>
          <w:color w:val="000000"/>
          <w:kern w:val="0"/>
          <w:sz w:val="32"/>
          <w:szCs w:val="32"/>
          <w:lang w:val="en-US" w:eastAsia="zh-CN" w:bidi="ar"/>
        </w:rPr>
        <w:t>73</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项目</w:t>
      </w:r>
      <w:r>
        <w:rPr>
          <w:rFonts w:hint="default" w:ascii="Times New Roman" w:hAnsi="Times New Roman" w:eastAsia="仿宋_GB2312" w:cs="Times New Roman"/>
          <w:color w:val="000000"/>
          <w:kern w:val="0"/>
          <w:sz w:val="32"/>
          <w:szCs w:val="32"/>
          <w:lang w:val="en-US" w:eastAsia="zh-CN" w:bidi="ar"/>
        </w:rPr>
        <w:t>输送过程淋沥水、</w:t>
      </w:r>
      <w:r>
        <w:rPr>
          <w:rFonts w:hint="eastAsia" w:ascii="Times New Roman" w:hAnsi="Times New Roman" w:eastAsia="仿宋_GB2312" w:cs="Times New Roman"/>
          <w:color w:val="000000"/>
          <w:kern w:val="0"/>
          <w:sz w:val="32"/>
          <w:szCs w:val="32"/>
          <w:lang w:val="en-US" w:eastAsia="zh-CN" w:bidi="ar"/>
        </w:rPr>
        <w:t>喷淋水洗</w:t>
      </w:r>
      <w:r>
        <w:rPr>
          <w:rFonts w:hint="default" w:ascii="Times New Roman" w:hAnsi="Times New Roman" w:eastAsia="仿宋_GB2312" w:cs="Times New Roman"/>
          <w:color w:val="000000"/>
          <w:kern w:val="0"/>
          <w:sz w:val="32"/>
          <w:szCs w:val="32"/>
          <w:lang w:val="en-US" w:eastAsia="zh-CN" w:bidi="ar"/>
        </w:rPr>
        <w:t>前处理废水经生产废水处理系统（规模2.0m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 /d）处理达《城市污水再生利用 工业用水水质》（GB/T19923-2005）中工艺与产品用水标准后回用于项目生产过程，不外排</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天然气燃烧废气</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固化</w:t>
      </w:r>
      <w:r>
        <w:rPr>
          <w:rFonts w:hint="eastAsia" w:ascii="Times New Roman" w:hAnsi="Times New Roman" w:eastAsia="仿宋_GB2312" w:cs="Times New Roman"/>
          <w:color w:val="000000"/>
          <w:kern w:val="0"/>
          <w:sz w:val="32"/>
          <w:szCs w:val="32"/>
          <w:lang w:val="en-US" w:eastAsia="zh-CN" w:bidi="ar"/>
        </w:rPr>
        <w:t>废气经活性炭吸附处理后达《大气污染物综合排放标准》（GB16297-1996）表2二级标准排放限值要求，经1根不低于15m高排气筒（依托现有）排放。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厂界无组织废气执行《大气污染物综合排放标准》 （GB16297-1996）中表2无组织排放监控浓度限值要求。厂区内挥发性有机物（以非甲烷总烃计）浓度满足《挥发性有机物无组织排放控制标准》(GB37822-2019)浓度限值。</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w:t>
      </w:r>
      <w:bookmarkStart w:id="0" w:name="_GoBack"/>
      <w:bookmarkEnd w:id="0"/>
      <w:r>
        <w:rPr>
          <w:rFonts w:hint="default" w:ascii="Times New Roman" w:hAnsi="Times New Roman" w:eastAsia="仿宋_GB2312" w:cs="Times New Roman"/>
          <w:color w:val="000000"/>
          <w:kern w:val="0"/>
          <w:sz w:val="32"/>
          <w:szCs w:val="32"/>
          <w:lang w:val="en-US" w:eastAsia="zh-CN" w:bidi="ar"/>
        </w:rPr>
        <w:t>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（三）产生噪声的场所应合理布局，产生噪声的设备应作隔声降噪处理，加强运输车辆的管理，合理安排作业时间。项目南、西、北厂界噪声值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《工业企业厂界环境噪声排放标准》（GB12348-2008）中3类标准要求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项目东厂界噪声值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4类标准</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》提出的固废处置措施加强固体废物综合利用和规范处置，防止产生二次污染。三合一溶液废包装桶定期出售给废品收购商；生产废水处理系统污泥</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危险废物按《危险废物贮存污染控制标准》（GB18597-2023）要求妥善收集、暂存，规范设置危险废物暂存间，委托有资质单位定期清运处理</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六）严格执行环评风险影响评价中的各项防范措施，并建设相应的风险防范设施。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（七）严格执行现有项目各项污染防治措施。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九</w:t>
      </w:r>
      <w:r>
        <w:rPr>
          <w:rFonts w:hint="default" w:ascii="Times New Roman" w:hAnsi="Times New Roman" w:eastAsia="仿宋_GB2312" w:cs="Times New Roman"/>
          <w:color w:val="000000"/>
          <w:kern w:val="0"/>
          <w:sz w:val="32"/>
          <w:szCs w:val="32"/>
          <w:lang w:val="en-US" w:eastAsia="zh-CN" w:bidi="ar"/>
        </w:rPr>
        <w:t>）污染物总量控制指标为</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氮氧化物0.3815t/a、挥发性有机物（以非甲烷总烃计）0.0204t/a。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E702375A-CAAC-41E2-BF0D-66B9CF087645}"/>
  </w:font>
  <w:font w:name="仿宋_GB2312">
    <w:panose1 w:val="02010609030101010101"/>
    <w:charset w:val="86"/>
    <w:family w:val="auto"/>
    <w:pitch w:val="default"/>
    <w:sig w:usb0="00000001" w:usb1="080E0000" w:usb2="00000000" w:usb3="00000000" w:csb0="00040000" w:csb1="00000000"/>
    <w:embedRegular r:id="rId2" w:fontKey="{0A234F5D-A4D5-46A5-91D3-CC82CB9839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s>
  <w:rsids>
    <w:rsidRoot w:val="205A64FE"/>
    <w:rsid w:val="011B34D9"/>
    <w:rsid w:val="016469D5"/>
    <w:rsid w:val="03FD0897"/>
    <w:rsid w:val="07003538"/>
    <w:rsid w:val="07056611"/>
    <w:rsid w:val="09501527"/>
    <w:rsid w:val="09574530"/>
    <w:rsid w:val="09682D30"/>
    <w:rsid w:val="0BBF17D2"/>
    <w:rsid w:val="0F295095"/>
    <w:rsid w:val="0F7751CB"/>
    <w:rsid w:val="114E7FBF"/>
    <w:rsid w:val="13E06DE0"/>
    <w:rsid w:val="15344D3E"/>
    <w:rsid w:val="16842E16"/>
    <w:rsid w:val="1C442B37"/>
    <w:rsid w:val="1C776FFB"/>
    <w:rsid w:val="205A64FE"/>
    <w:rsid w:val="275F084A"/>
    <w:rsid w:val="27DE43F7"/>
    <w:rsid w:val="28B7647D"/>
    <w:rsid w:val="2AAD4DE5"/>
    <w:rsid w:val="2B636170"/>
    <w:rsid w:val="300F6C4F"/>
    <w:rsid w:val="30355826"/>
    <w:rsid w:val="303C2D7D"/>
    <w:rsid w:val="35E328D9"/>
    <w:rsid w:val="370A3C09"/>
    <w:rsid w:val="37E706C5"/>
    <w:rsid w:val="3A05363B"/>
    <w:rsid w:val="3B4751DC"/>
    <w:rsid w:val="3EC50C85"/>
    <w:rsid w:val="40AE4EEF"/>
    <w:rsid w:val="41926BCA"/>
    <w:rsid w:val="42450BBC"/>
    <w:rsid w:val="426A17F0"/>
    <w:rsid w:val="44D8697E"/>
    <w:rsid w:val="452D2A17"/>
    <w:rsid w:val="4C170BB6"/>
    <w:rsid w:val="4C6F694B"/>
    <w:rsid w:val="4F197025"/>
    <w:rsid w:val="4F8E5B53"/>
    <w:rsid w:val="529F3A25"/>
    <w:rsid w:val="57E744EC"/>
    <w:rsid w:val="597B6BDE"/>
    <w:rsid w:val="5A87563E"/>
    <w:rsid w:val="5BE27BBD"/>
    <w:rsid w:val="605E4DBC"/>
    <w:rsid w:val="63792FF4"/>
    <w:rsid w:val="64DD3F42"/>
    <w:rsid w:val="68D94361"/>
    <w:rsid w:val="6C766689"/>
    <w:rsid w:val="70992B18"/>
    <w:rsid w:val="7899684C"/>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1960</Words>
  <Characters>2122</Characters>
  <Lines>0</Lines>
  <Paragraphs>0</Paragraphs>
  <TotalTime>21</TotalTime>
  <ScaleCrop>false</ScaleCrop>
  <LinksUpToDate>false</LinksUpToDate>
  <CharactersWithSpaces>2133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2023-12-13T02:48:55Z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6626F549353942A2A7FA189C3E1E0E0C_13</vt:lpwstr>
  </property>
</Properties>
</file>