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《昆明市澳松人造板制造有限责任公司年产5万立方米木质刨花板技改项目环境影响报告表》的批复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昆明市澳松人造板制造有限责任</w:t>
      </w:r>
      <w:r>
        <w:rPr>
          <w:rFonts w:hint="default" w:ascii="Times New Roman" w:hAnsi="Times New Roman" w:eastAsia="仿宋_GB2312" w:cs="Times New Roman"/>
          <w:color w:val="000000"/>
          <w:kern w:val="0"/>
          <w:sz w:val="32"/>
          <w:szCs w:val="32"/>
          <w:lang w:val="en-US" w:eastAsia="zh-CN" w:bidi="ar"/>
        </w:rPr>
        <w:t>公司：</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w:t>
      </w:r>
      <w:r>
        <w:rPr>
          <w:rFonts w:hint="eastAsia" w:ascii="Times New Roman" w:hAnsi="Times New Roman" w:eastAsia="仿宋_GB2312" w:cs="Times New Roman"/>
          <w:color w:val="000000"/>
          <w:kern w:val="0"/>
          <w:sz w:val="32"/>
          <w:szCs w:val="32"/>
          <w:lang w:val="en-US" w:eastAsia="zh-CN" w:bidi="ar"/>
        </w:rPr>
        <w:t>清蓝源环保科技</w:t>
      </w:r>
      <w:r>
        <w:rPr>
          <w:rFonts w:hint="default" w:ascii="Times New Roman" w:hAnsi="Times New Roman" w:eastAsia="仿宋_GB2312" w:cs="Times New Roman"/>
          <w:color w:val="000000"/>
          <w:kern w:val="0"/>
          <w:sz w:val="32"/>
          <w:szCs w:val="32"/>
          <w:lang w:val="en-US" w:eastAsia="zh-CN" w:bidi="ar"/>
        </w:rPr>
        <w:t>有限公司编制的《</w:t>
      </w:r>
      <w:r>
        <w:rPr>
          <w:rFonts w:hint="eastAsia" w:ascii="Times New Roman" w:hAnsi="Times New Roman" w:eastAsia="仿宋_GB2312" w:cs="Times New Roman"/>
          <w:color w:val="000000"/>
          <w:kern w:val="0"/>
          <w:sz w:val="32"/>
          <w:szCs w:val="32"/>
          <w:lang w:val="en-US" w:eastAsia="zh-CN" w:bidi="ar"/>
        </w:rPr>
        <w:t>昆明市澳松人造板制造有限责任公司年产5万立方米木质刨花板技改项目环境影响报告表</w:t>
      </w:r>
      <w:r>
        <w:rPr>
          <w:rFonts w:hint="default" w:ascii="Times New Roman" w:hAnsi="Times New Roman" w:eastAsia="仿宋_GB2312" w:cs="Times New Roman"/>
          <w:color w:val="000000"/>
          <w:kern w:val="0"/>
          <w:sz w:val="32"/>
          <w:szCs w:val="32"/>
          <w:lang w:val="en-US" w:eastAsia="zh-CN" w:bidi="ar"/>
        </w:rPr>
        <w:t>》（以下简称《报告表》）收悉。根据《中华人民共和国环境影响评价法》第二十二条、《建设项目环境保护管理条例》第九条，经研究，批复如下：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一、项目建设地点位于云南寻甸产业园区</w:t>
      </w:r>
      <w:r>
        <w:rPr>
          <w:rFonts w:hint="eastAsia" w:ascii="Times New Roman" w:hAnsi="Times New Roman" w:eastAsia="仿宋_GB2312" w:cs="Times New Roman"/>
          <w:color w:val="000000"/>
          <w:kern w:val="0"/>
          <w:sz w:val="32"/>
          <w:szCs w:val="32"/>
          <w:lang w:val="en-US" w:eastAsia="zh-CN" w:bidi="ar"/>
        </w:rPr>
        <w:t>羊街</w:t>
      </w:r>
      <w:r>
        <w:rPr>
          <w:rFonts w:hint="default" w:ascii="Times New Roman" w:hAnsi="Times New Roman" w:eastAsia="仿宋_GB2312" w:cs="Times New Roman"/>
          <w:color w:val="000000"/>
          <w:kern w:val="0"/>
          <w:sz w:val="32"/>
          <w:szCs w:val="32"/>
          <w:lang w:val="en-US" w:eastAsia="zh-CN" w:bidi="ar"/>
        </w:rPr>
        <w:t>片区</w:t>
      </w:r>
      <w:r>
        <w:rPr>
          <w:rFonts w:hint="eastAsia" w:ascii="Times New Roman" w:hAnsi="Times New Roman" w:eastAsia="仿宋_GB2312" w:cs="Times New Roman"/>
          <w:color w:val="000000"/>
          <w:kern w:val="0"/>
          <w:sz w:val="32"/>
          <w:szCs w:val="32"/>
          <w:lang w:val="en-US" w:eastAsia="zh-CN" w:bidi="ar"/>
        </w:rPr>
        <w:t>昆明市澳松人造板制造有</w:t>
      </w:r>
      <w:r>
        <w:rPr>
          <w:rFonts w:hint="default" w:ascii="Times New Roman" w:hAnsi="Times New Roman" w:eastAsia="仿宋_GB2312" w:cs="Times New Roman"/>
          <w:color w:val="000000"/>
          <w:kern w:val="0"/>
          <w:sz w:val="32"/>
          <w:szCs w:val="32"/>
          <w:lang w:val="en-US" w:eastAsia="zh-CN" w:bidi="ar"/>
        </w:rPr>
        <w:t>限责任公司现有厂区内（项目中心位置地理坐标为：东经103°9'20.747"、北纬25°27'52.269"</w:t>
      </w:r>
      <w:r>
        <w:rPr>
          <w:rFonts w:hint="default" w:ascii="Times New Roman" w:hAnsi="Times New Roman" w:eastAsia="仿宋_GB2312" w:cs="Times New Roman"/>
          <w:color w:val="000000"/>
          <w:kern w:val="0"/>
          <w:sz w:val="32"/>
          <w:szCs w:val="32"/>
          <w:highlight w:val="none"/>
          <w:lang w:val="en-US" w:eastAsia="zh-CN" w:bidi="ar"/>
        </w:rPr>
        <w:t>）。项目</w:t>
      </w:r>
      <w:r>
        <w:rPr>
          <w:rFonts w:hint="eastAsia" w:ascii="Times New Roman" w:hAnsi="Times New Roman" w:eastAsia="仿宋_GB2312" w:cs="Times New Roman"/>
          <w:color w:val="000000"/>
          <w:kern w:val="0"/>
          <w:sz w:val="32"/>
          <w:szCs w:val="32"/>
          <w:highlight w:val="none"/>
          <w:lang w:val="en-US" w:eastAsia="zh-CN" w:bidi="ar"/>
        </w:rPr>
        <w:t>新建1间锅炉房，增设一台</w:t>
      </w:r>
      <w:r>
        <w:rPr>
          <w:rFonts w:hint="default" w:ascii="Times New Roman" w:hAnsi="Times New Roman" w:eastAsia="仿宋_GB2312" w:cs="Times New Roman"/>
          <w:color w:val="000000"/>
          <w:kern w:val="0"/>
          <w:sz w:val="32"/>
          <w:szCs w:val="32"/>
          <w:highlight w:val="none"/>
          <w:lang w:val="en-US" w:eastAsia="zh-CN" w:bidi="ar"/>
        </w:rPr>
        <w:t>5t/h导热油炉</w:t>
      </w:r>
      <w:r>
        <w:rPr>
          <w:rFonts w:hint="eastAsia" w:ascii="Times New Roman" w:hAnsi="Times New Roman" w:eastAsia="仿宋_GB2312" w:cs="Times New Roman"/>
          <w:color w:val="000000"/>
          <w:kern w:val="0"/>
          <w:sz w:val="32"/>
          <w:szCs w:val="32"/>
          <w:highlight w:val="none"/>
          <w:lang w:val="en-US" w:eastAsia="zh-CN" w:bidi="ar"/>
        </w:rPr>
        <w:t>及废气处理设施，并对现有环保工程设施进行技术改造，包括筛选工序废气处理设施改为“旋风除尘+布袋除尘”，打磨工序废气处理设施改为“旋风除尘+布袋除尘”，7t/h导热油炉</w:t>
      </w:r>
      <w:r>
        <w:rPr>
          <w:rFonts w:hint="default" w:ascii="Times New Roman" w:hAnsi="Times New Roman" w:eastAsia="仿宋_GB2312" w:cs="Times New Roman"/>
          <w:color w:val="000000"/>
          <w:kern w:val="0"/>
          <w:sz w:val="32"/>
          <w:szCs w:val="32"/>
          <w:highlight w:val="none"/>
          <w:lang w:val="en-US" w:eastAsia="zh-CN" w:bidi="ar"/>
        </w:rPr>
        <w:t>废气处理设施改为“多管旋风除尘+水膜除尘”，热压、凉板工段废气处理设施改为“集气罩收集+活性炭吸附”。项目</w:t>
      </w:r>
      <w:r>
        <w:rPr>
          <w:rFonts w:hint="default" w:ascii="Times New Roman" w:hAnsi="Times New Roman" w:eastAsia="仿宋_GB2312" w:cs="Times New Roman"/>
          <w:color w:val="000000"/>
          <w:kern w:val="0"/>
          <w:sz w:val="31"/>
          <w:szCs w:val="31"/>
          <w:lang w:val="en-US" w:eastAsia="zh-CN" w:bidi="ar"/>
        </w:rPr>
        <w:t>总投资717.53万元，其中环保投资40万元</w:t>
      </w:r>
      <w:r>
        <w:rPr>
          <w:rFonts w:hint="default" w:ascii="Times New Roman" w:hAnsi="Times New Roman" w:eastAsia="仿宋_GB2312" w:cs="Times New Roman"/>
          <w:color w:val="000000"/>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根据昆明市生态环境工程评估中心《关于对〈昆明市澳松人造板制造有限责任公司年产5万立方米木质刨花板技改项目</w:t>
      </w:r>
      <w:r>
        <w:rPr>
          <w:rFonts w:hint="eastAsia" w:ascii="Times New Roman" w:hAnsi="Times New Roman" w:eastAsia="仿宋_GB2312" w:cs="Times New Roman"/>
          <w:color w:val="000000"/>
          <w:kern w:val="0"/>
          <w:sz w:val="32"/>
          <w:szCs w:val="32"/>
          <w:lang w:val="en-US" w:eastAsia="zh-CN" w:bidi="ar"/>
        </w:rPr>
        <w:t>环境影响报告表</w:t>
      </w:r>
      <w:r>
        <w:rPr>
          <w:rFonts w:hint="default" w:ascii="Times New Roman" w:hAnsi="Times New Roman" w:eastAsia="仿宋_GB2312" w:cs="Times New Roman"/>
          <w:color w:val="000000"/>
          <w:kern w:val="0"/>
          <w:sz w:val="32"/>
          <w:szCs w:val="32"/>
          <w:lang w:val="en-US" w:eastAsia="zh-CN" w:bidi="ar"/>
        </w:rPr>
        <w:t>〉的技术评估意见》(昆环评估意见</w:t>
      </w: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寻甸〔2023〕</w:t>
      </w:r>
      <w:r>
        <w:rPr>
          <w:rFonts w:hint="eastAsia" w:ascii="Times New Roman" w:hAnsi="Times New Roman" w:eastAsia="仿宋_GB2312" w:cs="Times New Roman"/>
          <w:color w:val="000000"/>
          <w:kern w:val="0"/>
          <w:sz w:val="32"/>
          <w:szCs w:val="32"/>
          <w:lang w:val="en-US" w:eastAsia="zh-CN" w:bidi="ar"/>
        </w:rPr>
        <w:t>74</w:t>
      </w:r>
      <w:r>
        <w:rPr>
          <w:rFonts w:hint="default" w:ascii="Times New Roman" w:hAnsi="Times New Roman" w:eastAsia="仿宋_GB2312" w:cs="Times New Roman"/>
          <w:color w:val="000000"/>
          <w:kern w:val="0"/>
          <w:sz w:val="32"/>
          <w:szCs w:val="32"/>
          <w:lang w:val="en-US" w:eastAsia="zh-CN" w:bidi="ar"/>
        </w:rPr>
        <w:t>号)，在全面落实环境影响报告表提出的各项生态保护和污染防治措施后，项目建设和运营的不良环境影响可以得到缓解和控制。同意项目按照《报告</w:t>
      </w:r>
      <w:r>
        <w:rPr>
          <w:rFonts w:hint="eastAsia" w:ascii="Times New Roman" w:hAnsi="Times New Roman" w:eastAsia="仿宋_GB2312" w:cs="Times New Roman"/>
          <w:color w:val="000000"/>
          <w:kern w:val="0"/>
          <w:sz w:val="32"/>
          <w:szCs w:val="32"/>
          <w:lang w:val="en-US" w:eastAsia="zh-CN" w:bidi="ar"/>
        </w:rPr>
        <w:t>表</w:t>
      </w:r>
      <w:r>
        <w:rPr>
          <w:rFonts w:hint="default" w:ascii="Times New Roman" w:hAnsi="Times New Roman" w:eastAsia="仿宋_GB2312" w:cs="Times New Roman"/>
          <w:color w:val="000000"/>
          <w:kern w:val="0"/>
          <w:sz w:val="32"/>
          <w:szCs w:val="32"/>
          <w:lang w:val="en-US" w:eastAsia="zh-CN" w:bidi="ar"/>
        </w:rPr>
        <w:t>》所述工程内容、规模、功能以及环保对策措施建设。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r>
        <w:rPr>
          <w:rFonts w:hint="eastAsia" w:ascii="Times New Roman" w:hAnsi="Times New Roman" w:eastAsia="仿宋_GB2312" w:cs="Times New Roman"/>
          <w:color w:val="000000"/>
          <w:kern w:val="0"/>
          <w:sz w:val="32"/>
          <w:szCs w:val="32"/>
          <w:lang w:val="en-US" w:eastAsia="zh-CN" w:bidi="ar"/>
        </w:rPr>
        <w:t>，确保已建污水处理设施正常运行。</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水膜除尘废水经沉淀池（16</w:t>
      </w:r>
      <w:r>
        <w:rPr>
          <w:rFonts w:hint="default" w:ascii="Times New Roman" w:hAnsi="Times New Roman" w:eastAsia="仿宋_GB2312" w:cs="Times New Roman"/>
          <w:color w:val="000000"/>
          <w:kern w:val="0"/>
          <w:sz w:val="32"/>
          <w:szCs w:val="32"/>
          <w:lang w:val="en-US" w:eastAsia="zh-CN" w:bidi="ar"/>
        </w:rPr>
        <w:t>m</w:t>
      </w:r>
      <w:r>
        <w:rPr>
          <w:rFonts w:hint="default" w:ascii="Times New Roman" w:hAnsi="Times New Roman" w:eastAsia="仿宋_GB2312" w:cs="Times New Roman"/>
          <w:color w:val="000000"/>
          <w:kern w:val="0"/>
          <w:sz w:val="32"/>
          <w:szCs w:val="32"/>
          <w:vertAlign w:val="superscript"/>
          <w:lang w:val="en-US" w:eastAsia="zh-CN" w:bidi="ar"/>
        </w:rPr>
        <w:t>3</w:t>
      </w:r>
      <w:r>
        <w:rPr>
          <w:rFonts w:hint="eastAsia" w:ascii="Times New Roman" w:hAnsi="Times New Roman" w:eastAsia="仿宋_GB2312" w:cs="Times New Roman"/>
          <w:color w:val="000000"/>
          <w:kern w:val="0"/>
          <w:sz w:val="32"/>
          <w:szCs w:val="32"/>
          <w:lang w:val="en-US" w:eastAsia="zh-CN" w:bidi="ar"/>
        </w:rPr>
        <w:t>）沉淀处理</w:t>
      </w:r>
      <w:r>
        <w:rPr>
          <w:rFonts w:hint="default" w:ascii="Times New Roman" w:hAnsi="Times New Roman" w:eastAsia="仿宋_GB2312" w:cs="Times New Roman"/>
          <w:color w:val="000000"/>
          <w:kern w:val="0"/>
          <w:sz w:val="32"/>
          <w:szCs w:val="32"/>
          <w:lang w:val="en-US" w:eastAsia="zh-CN" w:bidi="ar"/>
        </w:rPr>
        <w:t>后循环使用，不外排</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施工现场应设置拦水、截水、排水工程，施工过程中产生的废水经临时沉淀池沉淀处理后回用于项目区洒水降尘，不外排。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（二）落实大气污染防治措施，确保大气污染物达标排放。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highlight w:val="none"/>
          <w:lang w:val="en-US" w:eastAsia="zh-CN" w:bidi="ar"/>
        </w:rPr>
        <w:t>5t/h导热油炉产生废气</w:t>
      </w:r>
      <w:r>
        <w:rPr>
          <w:rFonts w:hint="default" w:ascii="Times New Roman" w:hAnsi="Times New Roman" w:eastAsia="仿宋_GB2312" w:cs="Times New Roman"/>
          <w:color w:val="000000"/>
          <w:kern w:val="0"/>
          <w:sz w:val="32"/>
          <w:szCs w:val="32"/>
          <w:lang w:val="en-US" w:eastAsia="zh-CN" w:bidi="ar"/>
        </w:rPr>
        <w:t>经“</w:t>
      </w:r>
      <w:r>
        <w:rPr>
          <w:rFonts w:hint="eastAsia" w:ascii="Times New Roman" w:hAnsi="Times New Roman" w:eastAsia="仿宋_GB2312" w:cs="Times New Roman"/>
          <w:color w:val="000000"/>
          <w:kern w:val="0"/>
          <w:sz w:val="32"/>
          <w:szCs w:val="32"/>
          <w:lang w:val="en-US" w:eastAsia="zh-CN" w:bidi="ar"/>
        </w:rPr>
        <w:t>多管旋风除尘器+水膜除尘装置</w:t>
      </w:r>
      <w:r>
        <w:rPr>
          <w:rFonts w:hint="default" w:ascii="Times New Roman" w:hAnsi="Times New Roman" w:eastAsia="仿宋_GB2312" w:cs="Times New Roman"/>
          <w:color w:val="000000"/>
          <w:kern w:val="0"/>
          <w:sz w:val="32"/>
          <w:szCs w:val="32"/>
          <w:lang w:val="en-US" w:eastAsia="zh-CN" w:bidi="ar"/>
        </w:rPr>
        <w:t>”处理</w:t>
      </w:r>
      <w:r>
        <w:rPr>
          <w:rFonts w:hint="eastAsia" w:ascii="Times New Roman" w:hAnsi="Times New Roman" w:eastAsia="仿宋_GB2312" w:cs="Times New Roman"/>
          <w:color w:val="000000"/>
          <w:kern w:val="0"/>
          <w:sz w:val="32"/>
          <w:szCs w:val="32"/>
          <w:lang w:val="en-US" w:eastAsia="zh-CN" w:bidi="ar"/>
        </w:rPr>
        <w:t>达《锅炉大气污染物排放标准》（GB13271-2014）中燃煤锅炉排放限值要求，</w:t>
      </w:r>
      <w:r>
        <w:rPr>
          <w:rFonts w:hint="default" w:ascii="Times New Roman" w:hAnsi="Times New Roman" w:eastAsia="仿宋_GB2312" w:cs="Times New Roman"/>
          <w:color w:val="000000"/>
          <w:kern w:val="0"/>
          <w:sz w:val="32"/>
          <w:szCs w:val="32"/>
          <w:lang w:val="en-US" w:eastAsia="zh-CN" w:bidi="ar"/>
        </w:rPr>
        <w:t>经</w:t>
      </w:r>
      <w:r>
        <w:rPr>
          <w:rFonts w:hint="eastAsia" w:ascii="Times New Roman" w:hAnsi="Times New Roman" w:eastAsia="仿宋_GB2312"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根不低于</w:t>
      </w:r>
      <w:r>
        <w:rPr>
          <w:rFonts w:hint="eastAsia" w:ascii="Times New Roman" w:hAnsi="Times New Roman" w:eastAsia="仿宋_GB2312" w:cs="Times New Roman"/>
          <w:color w:val="000000"/>
          <w:kern w:val="0"/>
          <w:sz w:val="32"/>
          <w:szCs w:val="32"/>
          <w:lang w:val="en-US" w:eastAsia="zh-CN" w:bidi="ar"/>
        </w:rPr>
        <w:t>35</w:t>
      </w:r>
      <w:r>
        <w:rPr>
          <w:rFonts w:hint="default" w:ascii="Times New Roman" w:hAnsi="Times New Roman" w:eastAsia="仿宋_GB2312" w:cs="Times New Roman"/>
          <w:color w:val="000000"/>
          <w:kern w:val="0"/>
          <w:sz w:val="32"/>
          <w:szCs w:val="32"/>
          <w:lang w:val="en-US" w:eastAsia="zh-CN" w:bidi="ar"/>
        </w:rPr>
        <w:t>m高排气筒排放</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施工扬尘应符合《大气污染物综合排放标准》（GB16297-1996）表2颗粒物无组织排放监控浓度限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（三）产生噪声的场所应合理布局，产生噪声的设备应作隔声降噪处理，加强运输车辆的管理，合理安排作业时间。项目厂界噪声值执行《工业企业厂界环境噪声排放标准》（GB12348-2008）中3类标准。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施工过程中应合理安排施工时间，严格控制各类施工机械产生的噪声，施工场界噪声应符合《建筑施工场界环境噪声排放标准》（GB12523-2011）要求。</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按照《报告</w:t>
      </w:r>
      <w:r>
        <w:rPr>
          <w:rFonts w:hint="eastAsia" w:ascii="Times New Roman" w:hAnsi="Times New Roman" w:eastAsia="仿宋_GB2312" w:cs="Times New Roman"/>
          <w:color w:val="000000"/>
          <w:kern w:val="0"/>
          <w:sz w:val="32"/>
          <w:szCs w:val="32"/>
          <w:lang w:val="en-US" w:eastAsia="zh-CN" w:bidi="ar"/>
        </w:rPr>
        <w:t>表</w:t>
      </w:r>
      <w:r>
        <w:rPr>
          <w:rFonts w:hint="default" w:ascii="Times New Roman" w:hAnsi="Times New Roman" w:eastAsia="仿宋_GB2312" w:cs="Times New Roman"/>
          <w:color w:val="000000"/>
          <w:kern w:val="0"/>
          <w:sz w:val="32"/>
          <w:szCs w:val="32"/>
          <w:lang w:val="en-US" w:eastAsia="zh-CN" w:bidi="ar"/>
        </w:rPr>
        <w:t>》提出的固废处置措施加强固体废物综合利用和规范处置，防止产生二次污染。</w:t>
      </w:r>
      <w:r>
        <w:rPr>
          <w:rFonts w:hint="eastAsia" w:ascii="Times New Roman" w:hAnsi="Times New Roman" w:eastAsia="仿宋_GB2312" w:cs="Times New Roman"/>
          <w:color w:val="000000"/>
          <w:kern w:val="0"/>
          <w:sz w:val="32"/>
          <w:szCs w:val="32"/>
          <w:lang w:val="en-US" w:eastAsia="zh-CN" w:bidi="ar"/>
        </w:rPr>
        <w:t>导热油炉炉渣、除尘灰、除尘渣、沉淀池污泥等统一收集后综合利用，严禁随意倾倒</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废导热油</w:t>
      </w:r>
      <w:r>
        <w:rPr>
          <w:rFonts w:hint="default" w:ascii="Times New Roman" w:hAnsi="Times New Roman" w:eastAsia="仿宋_GB2312" w:cs="Times New Roman"/>
          <w:color w:val="000000"/>
          <w:kern w:val="0"/>
          <w:sz w:val="32"/>
          <w:szCs w:val="32"/>
          <w:lang w:val="en-US" w:eastAsia="zh-CN" w:bidi="ar"/>
        </w:rPr>
        <w:t>、废活性炭等危险废物按《危险废物贮存污染控制标准》（GB18597-2023）要求妥善收集、暂存，规范设置危险废物暂存间，委托有资质单位定期清运处理</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（六）严格落实“以新带老”措施，</w:t>
      </w:r>
      <w:r>
        <w:rPr>
          <w:rFonts w:hint="eastAsia" w:ascii="Times New Roman" w:hAnsi="Times New Roman" w:eastAsia="仿宋_GB2312" w:cs="Times New Roman"/>
          <w:sz w:val="32"/>
          <w:szCs w:val="32"/>
          <w:lang w:val="en-US" w:eastAsia="zh-CN"/>
        </w:rPr>
        <w:t>针对现有项目存在的环境问题，按照《报告表》提出的措施方案完成各项整改。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（七）</w:t>
      </w:r>
      <w:r>
        <w:rPr>
          <w:rFonts w:hint="default" w:ascii="仿宋_GB2312" w:hAnsi="宋体" w:eastAsia="仿宋_GB2312" w:cs="仿宋_GB2312"/>
          <w:color w:val="000000"/>
          <w:kern w:val="0"/>
          <w:sz w:val="32"/>
          <w:szCs w:val="32"/>
          <w:lang w:val="en-US" w:eastAsia="zh-CN" w:bidi="ar"/>
        </w:rPr>
        <w:t xml:space="preserve">严格执行环评风险影响评价中的各项防范措施，并建设相应的风险防范设施。编制突发环境事件应急预案，并报我局备案，加强应急演练，建立完善应急报告制度，落实应急物资和经费，最大限度减轻风险事故对周围环境的影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八</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）按照《排污许可管理条例》相关规定，在项目启动生产设施或发生实际排污之前，依法申请办理排污许可证，未取得排污许可证不得排放污染物。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九</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全厂</w:t>
      </w:r>
      <w:r>
        <w:rPr>
          <w:rFonts w:hint="default" w:ascii="Times New Roman" w:hAnsi="Times New Roman" w:eastAsia="仿宋_GB2312" w:cs="Times New Roman"/>
          <w:color w:val="000000"/>
          <w:kern w:val="0"/>
          <w:sz w:val="32"/>
          <w:szCs w:val="32"/>
          <w:lang w:val="en-US" w:eastAsia="zh-CN" w:bidi="ar"/>
        </w:rPr>
        <w:t>污染物总量控制指标为</w:t>
      </w:r>
      <w:r>
        <w:rPr>
          <w:rFonts w:hint="eastAsia" w:ascii="Times New Roman" w:hAnsi="Times New Roman" w:eastAsia="仿宋_GB2312" w:cs="Times New Roman"/>
          <w:color w:val="000000"/>
          <w:kern w:val="0"/>
          <w:sz w:val="32"/>
          <w:szCs w:val="32"/>
          <w:lang w:val="en-US" w:eastAsia="zh-CN" w:bidi="ar"/>
        </w:rPr>
        <w:t>：氮氧化物10.45</w:t>
      </w:r>
      <w:r>
        <w:rPr>
          <w:rFonts w:hint="default" w:ascii="Times New Roman" w:hAnsi="Times New Roman" w:eastAsia="仿宋_GB2312" w:cs="Times New Roman"/>
          <w:color w:val="000000"/>
          <w:kern w:val="0"/>
          <w:sz w:val="32"/>
          <w:szCs w:val="32"/>
          <w:lang w:val="en-US" w:eastAsia="zh-CN" w:bidi="ar"/>
        </w:rPr>
        <w:t xml:space="preserve"> t/a</w:t>
      </w:r>
      <w:r>
        <w:rPr>
          <w:rFonts w:hint="eastAsia" w:ascii="Times New Roman" w:hAnsi="Times New Roman" w:eastAsia="仿宋_GB2312" w:cs="Times New Roman"/>
          <w:color w:val="000000"/>
          <w:kern w:val="0"/>
          <w:sz w:val="32"/>
          <w:szCs w:val="32"/>
          <w:lang w:val="en-US" w:eastAsia="zh-CN" w:bidi="ar"/>
        </w:rPr>
        <w:t>（技改工程氮氧化物4.34</w:t>
      </w:r>
      <w:r>
        <w:rPr>
          <w:rFonts w:hint="default" w:ascii="Times New Roman" w:hAnsi="Times New Roman" w:eastAsia="仿宋_GB2312" w:cs="Times New Roman"/>
          <w:color w:val="000000"/>
          <w:kern w:val="0"/>
          <w:sz w:val="32"/>
          <w:szCs w:val="32"/>
          <w:lang w:val="en-US" w:eastAsia="zh-CN" w:bidi="ar"/>
        </w:rPr>
        <w:t xml:space="preserve"> t/a</w:t>
      </w:r>
      <w:r>
        <w:rPr>
          <w:rFonts w:hint="eastAsia" w:ascii="Times New Roman" w:hAnsi="Times New Roman" w:eastAsia="仿宋_GB2312" w:cs="Times New Roman"/>
          <w:color w:val="000000"/>
          <w:kern w:val="0"/>
          <w:sz w:val="32"/>
          <w:szCs w:val="32"/>
          <w:lang w:val="en-US" w:eastAsia="zh-CN" w:bidi="ar"/>
        </w:rPr>
        <w:t>）、甲醛0.126</w:t>
      </w:r>
      <w:r>
        <w:rPr>
          <w:rFonts w:hint="default" w:ascii="Times New Roman" w:hAnsi="Times New Roman" w:eastAsia="仿宋_GB2312" w:cs="Times New Roman"/>
          <w:color w:val="000000"/>
          <w:kern w:val="0"/>
          <w:sz w:val="32"/>
          <w:szCs w:val="32"/>
          <w:lang w:val="en-US" w:eastAsia="zh-CN" w:bidi="ar"/>
        </w:rPr>
        <w:t>t/a</w:t>
      </w:r>
      <w:r>
        <w:rPr>
          <w:rFonts w:hint="eastAsia" w:ascii="Times New Roman" w:hAnsi="Times New Roman" w:eastAsia="仿宋_GB2312" w:cs="Times New Roman"/>
          <w:color w:val="000000"/>
          <w:kern w:val="0"/>
          <w:sz w:val="32"/>
          <w:szCs w:val="32"/>
          <w:lang w:val="en-US" w:eastAsia="zh-CN" w:bidi="ar"/>
        </w:rPr>
        <w:t>、非甲烷总烃0.286</w:t>
      </w:r>
      <w:r>
        <w:rPr>
          <w:rFonts w:hint="default" w:ascii="Times New Roman" w:hAnsi="Times New Roman" w:eastAsia="仿宋_GB2312" w:cs="Times New Roman"/>
          <w:color w:val="000000"/>
          <w:kern w:val="0"/>
          <w:sz w:val="32"/>
          <w:szCs w:val="32"/>
          <w:lang w:val="en-US" w:eastAsia="zh-CN" w:bidi="ar"/>
        </w:rPr>
        <w:t>t/a</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w:t>
      </w:r>
      <w:r>
        <w:rPr>
          <w:rFonts w:hint="eastAsia" w:ascii="Times New Roman" w:hAnsi="Times New Roman" w:eastAsia="仿宋_GB2312" w:cs="Times New Roman"/>
          <w:color w:val="000000"/>
          <w:kern w:val="0"/>
          <w:sz w:val="32"/>
          <w:szCs w:val="32"/>
          <w:lang w:val="en-US" w:eastAsia="zh-CN" w:bidi="ar"/>
        </w:rPr>
        <w:t>表</w:t>
      </w:r>
      <w:r>
        <w:rPr>
          <w:rFonts w:hint="default" w:ascii="Times New Roman" w:hAnsi="Times New Roman" w:eastAsia="仿宋_GB2312" w:cs="Times New Roman"/>
          <w:color w:val="000000"/>
          <w:kern w:val="0"/>
          <w:sz w:val="32"/>
          <w:szCs w:val="32"/>
          <w:lang w:val="en-US" w:eastAsia="zh-CN" w:bidi="ar"/>
        </w:rPr>
        <w:t>》应当作为项目环境保护设计、建设及运行管理的依据，项目应认真落实各项环保对策措施，严格执行环保“三同时”制度，即：环保设施与主体工程同时设计、同时施工、同时投入使用。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项目建成投入试运行后，按规定自主开展竣工环保验收，项目配套建设的环境保护设施经验收合格，方可投入生产或者使用。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自本批复之日起超过五年，方决定该项目开工建设的，环境影响评价文件应当报我局重新审核。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w:t>
      </w:r>
      <w:r>
        <w:rPr>
          <w:rFonts w:hint="eastAsia" w:ascii="Times New Roman" w:hAnsi="Times New Roman" w:eastAsia="仿宋_GB2312" w:cs="Times New Roman"/>
          <w:color w:val="000000"/>
          <w:kern w:val="0"/>
          <w:sz w:val="32"/>
          <w:szCs w:val="32"/>
          <w:lang w:val="en-US" w:eastAsia="zh-CN" w:bidi="ar"/>
        </w:rPr>
        <w:t>行政</w:t>
      </w:r>
      <w:r>
        <w:rPr>
          <w:rFonts w:hint="default" w:ascii="Times New Roman" w:hAnsi="Times New Roman" w:eastAsia="仿宋_GB2312" w:cs="Times New Roman"/>
          <w:color w:val="000000"/>
          <w:kern w:val="0"/>
          <w:sz w:val="32"/>
          <w:szCs w:val="32"/>
          <w:lang w:val="en-US" w:eastAsia="zh-CN" w:bidi="ar"/>
        </w:rPr>
        <w:t xml:space="preserve">执法大队负责组织项目环境执法现场监察和日常监督管理。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1283" w:rightChars="6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2023年</w:t>
      </w:r>
      <w:r>
        <w:rPr>
          <w:rFonts w:hint="eastAsia" w:ascii="Times New Roman" w:hAnsi="Times New Roman" w:eastAsia="仿宋_GB2312" w:cs="Times New Roman"/>
          <w:color w:val="000000"/>
          <w:kern w:val="0"/>
          <w:sz w:val="32"/>
          <w:szCs w:val="32"/>
          <w:lang w:val="en-US" w:eastAsia="zh-CN" w:bidi="ar"/>
        </w:rPr>
        <w:t>12</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21</w:t>
      </w:r>
      <w:r>
        <w:rPr>
          <w:rFonts w:hint="default" w:ascii="Times New Roman" w:hAnsi="Times New Roman" w:eastAsia="仿宋_GB2312" w:cs="Times New Roman"/>
          <w:color w:val="000000"/>
          <w:kern w:val="0"/>
          <w:sz w:val="32"/>
          <w:szCs w:val="32"/>
          <w:lang w:val="en-US" w:eastAsia="zh-CN" w:bidi="ar"/>
        </w:rPr>
        <w:t>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20" w:firstLineChars="200"/>
        <w:jc w:val="right"/>
        <w:textAlignment w:val="auto"/>
        <w:rPr>
          <w:rFonts w:hint="eastAsia" w:ascii="仿宋_GB2312" w:hAnsi="宋体" w:eastAsia="仿宋_GB2312" w:cs="仿宋_GB2312"/>
          <w:color w:val="000000"/>
          <w:kern w:val="0"/>
          <w:sz w:val="31"/>
          <w:szCs w:val="31"/>
          <w:lang w:val="en-US" w:eastAsia="zh-CN" w:bidi="ar"/>
        </w:rPr>
      </w:pPr>
      <w:bookmarkStart w:id="0" w:name="_GoBack"/>
      <w:bookmarkEnd w:id="0"/>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420" w:firstLineChars="200"/>
        <w:jc w:val="both"/>
        <w:textAlignment w:val="auto"/>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both"/>
        <w:textAlignment w:val="auto"/>
        <w:rPr>
          <w:rFonts w:hint="eastAsia" w:ascii="仿宋_GB2312" w:hAnsi="仿宋_GB2312" w:eastAsia="仿宋_GB2312" w:cs="仿宋_GB2312"/>
          <w:color w:val="000000"/>
          <w:kern w:val="0"/>
          <w:sz w:val="32"/>
          <w:szCs w:val="32"/>
          <w:lang w:val="en-US" w:eastAsia="zh-CN" w:bidi="ar"/>
        </w:rPr>
      </w:pPr>
    </w:p>
    <w:sectPr>
      <w:footerReference r:id="rId3" w:type="default"/>
      <w:pgSz w:w="11906" w:h="16838"/>
      <w:pgMar w:top="2041" w:right="1474" w:bottom="1928" w:left="1587" w:header="851" w:footer="992"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22F01D28-9123-430F-97FC-97ED1B26E554}"/>
  </w:font>
  <w:font w:name="仿宋_GB2312">
    <w:panose1 w:val="02010609030101010101"/>
    <w:charset w:val="86"/>
    <w:family w:val="auto"/>
    <w:pitch w:val="default"/>
    <w:sig w:usb0="00000001" w:usb1="080E0000" w:usb2="00000000" w:usb3="00000000" w:csb0="00040000" w:csb1="00000000"/>
    <w:embedRegular r:id="rId2" w:fontKey="{A0C7E32E-3D44-48F6-9DB8-F2E9BBE40C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abstractNum w:abstractNumId="1">
    <w:nsid w:val="A009005A"/>
    <w:multiLevelType w:val="singleLevel"/>
    <w:tmpl w:val="A009005A"/>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MTk3ZjAzNzc4YTkyOGEwMzdiZTQwMGE1OTI3ODYifQ=="/>
  </w:docVars>
  <w:rsids>
    <w:rsidRoot w:val="205A64FE"/>
    <w:rsid w:val="011B34D9"/>
    <w:rsid w:val="016469D5"/>
    <w:rsid w:val="03FD0897"/>
    <w:rsid w:val="06B355E9"/>
    <w:rsid w:val="07003538"/>
    <w:rsid w:val="07056611"/>
    <w:rsid w:val="09501527"/>
    <w:rsid w:val="09574530"/>
    <w:rsid w:val="0BBF17D2"/>
    <w:rsid w:val="0E403C7E"/>
    <w:rsid w:val="114E7FBF"/>
    <w:rsid w:val="15344D3E"/>
    <w:rsid w:val="16842E16"/>
    <w:rsid w:val="1B474AE7"/>
    <w:rsid w:val="1C442B37"/>
    <w:rsid w:val="1C776FFB"/>
    <w:rsid w:val="205A64FE"/>
    <w:rsid w:val="275F084A"/>
    <w:rsid w:val="27DE43F7"/>
    <w:rsid w:val="28B7647D"/>
    <w:rsid w:val="2B636170"/>
    <w:rsid w:val="303C2D7D"/>
    <w:rsid w:val="35E328D9"/>
    <w:rsid w:val="370A3C09"/>
    <w:rsid w:val="3A05363B"/>
    <w:rsid w:val="3B4751DC"/>
    <w:rsid w:val="3EC50C85"/>
    <w:rsid w:val="40AE4EEF"/>
    <w:rsid w:val="41926BCA"/>
    <w:rsid w:val="426A17F0"/>
    <w:rsid w:val="43147C08"/>
    <w:rsid w:val="44D8697E"/>
    <w:rsid w:val="486C2C02"/>
    <w:rsid w:val="4A142B60"/>
    <w:rsid w:val="4C6F694B"/>
    <w:rsid w:val="4F197025"/>
    <w:rsid w:val="4F8E5B53"/>
    <w:rsid w:val="529F3A25"/>
    <w:rsid w:val="55A430E5"/>
    <w:rsid w:val="57E744EC"/>
    <w:rsid w:val="5A87563E"/>
    <w:rsid w:val="605E4DBC"/>
    <w:rsid w:val="68D94361"/>
    <w:rsid w:val="6C766689"/>
    <w:rsid w:val="70992B18"/>
    <w:rsid w:val="73F22598"/>
    <w:rsid w:val="7899684C"/>
    <w:rsid w:val="796717B9"/>
    <w:rsid w:val="7B3F191B"/>
    <w:rsid w:val="7D20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5</Pages>
  <Words>1983</Words>
  <Characters>2119</Characters>
  <Lines>0</Lines>
  <Paragraphs>0</Paragraphs>
  <TotalTime>963</TotalTime>
  <ScaleCrop>false</ScaleCrop>
  <LinksUpToDate>false</LinksUpToDate>
  <CharactersWithSpaces>2129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马玉洁</cp:lastModifiedBy>
  <dcterms:modified xsi:type="dcterms:W3CDTF">2023-12-21T06:42:28Z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F5881C93B9734B1DBF24E304950E6C7D_13</vt:lpwstr>
  </property>
</Properties>
</file>