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《云南现德再生资源有限公司寻甸分公司再生资源回收项目环境影响报告表》的批复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云南现德再生资源有限公司寻甸分公司</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清蓝源环保科技</w:t>
      </w:r>
      <w:r>
        <w:rPr>
          <w:rFonts w:hint="default" w:ascii="Times New Roman" w:hAnsi="Times New Roman" w:eastAsia="仿宋_GB2312" w:cs="Times New Roman"/>
          <w:color w:val="000000"/>
          <w:kern w:val="0"/>
          <w:sz w:val="32"/>
          <w:szCs w:val="32"/>
          <w:lang w:val="en-US" w:eastAsia="zh-CN" w:bidi="ar"/>
        </w:rPr>
        <w:t>有限公司编制的《</w:t>
      </w:r>
      <w:r>
        <w:rPr>
          <w:rFonts w:hint="eastAsia" w:ascii="Times New Roman" w:hAnsi="Times New Roman" w:eastAsia="仿宋_GB2312" w:cs="Times New Roman"/>
          <w:color w:val="000000"/>
          <w:kern w:val="0"/>
          <w:sz w:val="32"/>
          <w:szCs w:val="32"/>
          <w:lang w:val="en-US" w:eastAsia="zh-CN" w:bidi="ar"/>
        </w:rPr>
        <w:t>云南现德再生资源有限公司寻甸分公司再生资源回收项目环境影响报告表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一、项目建设地点位于昆明市寻甸县羊街镇新街村委会东山厂（项目中心位置地理坐标为：东经103°9'19.033"、北纬25°28'23.264"）。项目租用寻甸光明电力通讯工程有限公司场地建设，占地面积3600m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，建筑面积489m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。主要建设1间144m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的废矿物油储存间，设置4个50m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地面式废矿物油储罐（单层不锈钢储罐，总容积200m </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，三用一备），2</w:t>
      </w:r>
      <w:r>
        <w:rPr>
          <w:rFonts w:hint="eastAsia" w:ascii="Times New Roman" w:hAnsi="Times New Roman" w:eastAsia="仿宋_GB2312" w:cs="Times New Roman"/>
          <w:color w:val="000000"/>
          <w:kern w:val="0"/>
          <w:sz w:val="32"/>
          <w:szCs w:val="32"/>
          <w:lang w:val="en-US" w:eastAsia="zh-CN" w:bidi="ar"/>
        </w:rPr>
        <w:t>个</w:t>
      </w:r>
      <w:r>
        <w:rPr>
          <w:rFonts w:hint="default" w:ascii="Times New Roman" w:hAnsi="Times New Roman" w:eastAsia="仿宋_GB2312" w:cs="Times New Roman"/>
          <w:color w:val="000000"/>
          <w:kern w:val="0"/>
          <w:sz w:val="32"/>
          <w:szCs w:val="32"/>
          <w:lang w:val="en-US" w:eastAsia="zh-CN" w:bidi="ar"/>
        </w:rPr>
        <w:t>废铅蓄电池贮存库（</w:t>
      </w:r>
      <w:r>
        <w:rPr>
          <w:rFonts w:hint="eastAsia" w:ascii="Times New Roman" w:hAnsi="Times New Roman" w:eastAsia="仿宋_GB2312" w:cs="Times New Roman"/>
          <w:color w:val="000000"/>
          <w:kern w:val="0"/>
          <w:sz w:val="32"/>
          <w:szCs w:val="32"/>
          <w:lang w:val="en-US" w:eastAsia="zh-CN" w:bidi="ar"/>
        </w:rPr>
        <w:t>总</w:t>
      </w:r>
      <w:r>
        <w:rPr>
          <w:rFonts w:hint="default" w:ascii="Times New Roman" w:hAnsi="Times New Roman" w:eastAsia="仿宋_GB2312" w:cs="Times New Roman"/>
          <w:color w:val="000000"/>
          <w:kern w:val="0"/>
          <w:sz w:val="32"/>
          <w:szCs w:val="32"/>
          <w:lang w:val="en-US" w:eastAsia="zh-CN" w:bidi="ar"/>
        </w:rPr>
        <w:t>建筑面积90m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1间用于贮存完好的废电池，1间用于贮存破损的废电池），并配套建设公辅工程和环保工程设施。项目收集危险废物类别包括HW08废矿物油与含矿物油废物（废物代码900-214-08）和HW31含铅废物（废物代码900-052-31废铅酸蓄电池）</w:t>
      </w:r>
      <w:r>
        <w:rPr>
          <w:rFonts w:hint="eastAsia" w:ascii="Times New Roman" w:hAnsi="Times New Roman" w:eastAsia="仿宋_GB2312" w:cs="Times New Roman"/>
          <w:color w:val="000000"/>
          <w:kern w:val="0"/>
          <w:sz w:val="32"/>
          <w:szCs w:val="32"/>
          <w:lang w:val="en-US" w:eastAsia="zh-CN" w:bidi="ar"/>
        </w:rPr>
        <w:t xml:space="preserve">，废油年收集量 </w:t>
      </w:r>
      <w:r>
        <w:rPr>
          <w:rFonts w:hint="default" w:ascii="Times New Roman" w:hAnsi="Times New Roman" w:eastAsia="仿宋_GB2312" w:cs="Times New Roman"/>
          <w:color w:val="000000"/>
          <w:kern w:val="0"/>
          <w:sz w:val="32"/>
          <w:szCs w:val="32"/>
          <w:lang w:val="en-US" w:eastAsia="zh-CN" w:bidi="ar"/>
        </w:rPr>
        <w:t>3500</w:t>
      </w:r>
      <w:r>
        <w:rPr>
          <w:rFonts w:hint="eastAsia" w:ascii="Times New Roman" w:hAnsi="Times New Roman" w:eastAsia="仿宋_GB2312" w:cs="Times New Roman"/>
          <w:color w:val="000000"/>
          <w:kern w:val="0"/>
          <w:sz w:val="32"/>
          <w:szCs w:val="32"/>
          <w:lang w:val="en-US" w:eastAsia="zh-CN" w:bidi="ar"/>
        </w:rPr>
        <w:t xml:space="preserve">吨，废电池（铅酸蓄电池）年收集量 </w:t>
      </w:r>
      <w:r>
        <w:rPr>
          <w:rFonts w:hint="default" w:ascii="Times New Roman" w:hAnsi="Times New Roman" w:eastAsia="仿宋_GB2312" w:cs="Times New Roman"/>
          <w:color w:val="000000"/>
          <w:kern w:val="0"/>
          <w:sz w:val="32"/>
          <w:szCs w:val="32"/>
          <w:lang w:val="en-US" w:eastAsia="zh-CN" w:bidi="ar"/>
        </w:rPr>
        <w:t>2000</w:t>
      </w:r>
      <w:r>
        <w:rPr>
          <w:rFonts w:hint="eastAsia" w:ascii="Times New Roman" w:hAnsi="Times New Roman" w:eastAsia="仿宋_GB2312" w:cs="Times New Roman"/>
          <w:color w:val="000000"/>
          <w:kern w:val="0"/>
          <w:sz w:val="32"/>
          <w:szCs w:val="32"/>
          <w:lang w:val="en-US" w:eastAsia="zh-CN" w:bidi="ar"/>
        </w:rPr>
        <w:t>吨。</w:t>
      </w:r>
      <w:r>
        <w:rPr>
          <w:rFonts w:hint="default" w:ascii="Times New Roman" w:hAnsi="Times New Roman" w:eastAsia="仿宋_GB2312" w:cs="Times New Roman"/>
          <w:color w:val="000000"/>
          <w:kern w:val="0"/>
          <w:sz w:val="32"/>
          <w:szCs w:val="32"/>
          <w:lang w:val="en-US" w:eastAsia="zh-CN" w:bidi="ar"/>
        </w:rPr>
        <w:t>项目总投资500</w:t>
      </w:r>
      <w:r>
        <w:rPr>
          <w:rFonts w:hint="eastAsia" w:ascii="Times New Roman" w:hAnsi="Times New Roman" w:eastAsia="仿宋_GB2312" w:cs="Times New Roman"/>
          <w:color w:val="000000"/>
          <w:kern w:val="0"/>
          <w:sz w:val="32"/>
          <w:szCs w:val="32"/>
          <w:lang w:val="en-US" w:eastAsia="zh-CN" w:bidi="ar"/>
        </w:rPr>
        <w:t>万</w:t>
      </w:r>
      <w:r>
        <w:rPr>
          <w:rFonts w:hint="default" w:ascii="Times New Roman" w:hAnsi="Times New Roman" w:eastAsia="仿宋_GB2312" w:cs="Times New Roman"/>
          <w:color w:val="000000"/>
          <w:kern w:val="0"/>
          <w:sz w:val="32"/>
          <w:szCs w:val="32"/>
          <w:lang w:val="en-US" w:eastAsia="zh-CN" w:bidi="ar"/>
        </w:rPr>
        <w:t>元，其中环保投资</w:t>
      </w:r>
      <w:r>
        <w:rPr>
          <w:rFonts w:hint="eastAsia" w:ascii="Times New Roman" w:hAnsi="Times New Roman" w:eastAsia="仿宋_GB2312" w:cs="Times New Roman"/>
          <w:color w:val="000000"/>
          <w:kern w:val="0"/>
          <w:sz w:val="32"/>
          <w:szCs w:val="32"/>
          <w:lang w:val="en-US" w:eastAsia="zh-CN" w:bidi="ar"/>
        </w:rPr>
        <w:t>202.9</w:t>
      </w:r>
      <w:r>
        <w:rPr>
          <w:rFonts w:hint="default" w:ascii="Times New Roman" w:hAnsi="Times New Roman" w:eastAsia="仿宋_GB2312" w:cs="Times New Roman"/>
          <w:color w:val="000000"/>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云南现德再生资源有限公司寻甸分公司再生资源回收项目环境影响报告表</w:t>
      </w:r>
      <w:r>
        <w:rPr>
          <w:rFonts w:hint="default" w:ascii="Times New Roman" w:hAnsi="Times New Roman" w:eastAsia="仿宋_GB2312" w:cs="Times New Roman"/>
          <w:color w:val="000000"/>
          <w:kern w:val="0"/>
          <w:sz w:val="32"/>
          <w:szCs w:val="32"/>
          <w:lang w:val="en-US" w:eastAsia="zh-CN" w:bidi="ar"/>
        </w:rPr>
        <w:t>〉的技术评估意见》(昆环评估意见</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寻甸〔2023〕</w:t>
      </w:r>
      <w:r>
        <w:rPr>
          <w:rFonts w:hint="eastAsia" w:ascii="Times New Roman" w:hAnsi="Times New Roman" w:eastAsia="仿宋_GB2312" w:cs="Times New Roman"/>
          <w:color w:val="000000"/>
          <w:kern w:val="0"/>
          <w:sz w:val="32"/>
          <w:szCs w:val="32"/>
          <w:lang w:val="en-US" w:eastAsia="zh-CN" w:bidi="ar"/>
        </w:rPr>
        <w:t>75</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》所述工程内容、</w:t>
      </w:r>
      <w:bookmarkStart w:id="0" w:name="_GoBack"/>
      <w:bookmarkEnd w:id="0"/>
      <w:r>
        <w:rPr>
          <w:rFonts w:hint="default" w:ascii="Times New Roman" w:hAnsi="Times New Roman" w:eastAsia="仿宋_GB2312" w:cs="Times New Roman"/>
          <w:color w:val="000000"/>
          <w:kern w:val="0"/>
          <w:sz w:val="32"/>
          <w:szCs w:val="32"/>
          <w:lang w:val="en-US" w:eastAsia="zh-CN" w:bidi="ar"/>
        </w:rPr>
        <w:t>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w:t>
      </w:r>
      <w:r>
        <w:rPr>
          <w:rFonts w:hint="eastAsia" w:ascii="Times New Roman" w:hAnsi="Times New Roman" w:eastAsia="仿宋_GB2312" w:cs="Times New Roman"/>
          <w:color w:val="000000"/>
          <w:kern w:val="0"/>
          <w:sz w:val="32"/>
          <w:szCs w:val="32"/>
          <w:lang w:val="en-US" w:eastAsia="zh-CN" w:bidi="ar"/>
        </w:rPr>
        <w:t>严格落实</w:t>
      </w:r>
      <w:r>
        <w:rPr>
          <w:rFonts w:hint="default" w:ascii="Times New Roman" w:hAnsi="Times New Roman" w:eastAsia="仿宋_GB2312" w:cs="Times New Roman"/>
          <w:color w:val="000000"/>
          <w:kern w:val="0"/>
          <w:sz w:val="32"/>
          <w:szCs w:val="32"/>
          <w:lang w:val="en-US" w:eastAsia="zh-CN" w:bidi="ar"/>
        </w:rPr>
        <w:t>《危险废物贮存污染控制标准》（GB18597-2023）</w:t>
      </w:r>
      <w:r>
        <w:rPr>
          <w:rFonts w:hint="eastAsia" w:ascii="Times New Roman" w:hAnsi="Times New Roman" w:eastAsia="仿宋_GB2312" w:cs="Times New Roman"/>
          <w:color w:val="000000"/>
          <w:kern w:val="0"/>
          <w:sz w:val="32"/>
          <w:szCs w:val="32"/>
          <w:lang w:val="en-US" w:eastAsia="zh-CN" w:bidi="ar"/>
        </w:rPr>
        <w:t>、《危险废物收集 贮存 运输技术规范》（HJ2025-2012）、《</w:t>
      </w:r>
      <w:r>
        <w:rPr>
          <w:rFonts w:hint="default" w:ascii="Times New Roman" w:hAnsi="Times New Roman" w:eastAsia="仿宋_GB2312" w:cs="Times New Roman"/>
          <w:color w:val="000000"/>
          <w:kern w:val="0"/>
          <w:sz w:val="32"/>
          <w:szCs w:val="32"/>
          <w:lang w:val="en-US" w:eastAsia="zh-CN" w:bidi="ar"/>
        </w:rPr>
        <w:t>废铅蓄电池处理污染控制技术规范</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HJ519－2020</w:t>
      </w:r>
      <w:r>
        <w:rPr>
          <w:rFonts w:hint="eastAsia" w:ascii="Times New Roman" w:hAnsi="Times New Roman" w:eastAsia="仿宋_GB2312" w:cs="Times New Roman"/>
          <w:color w:val="000000"/>
          <w:kern w:val="0"/>
          <w:sz w:val="32"/>
          <w:szCs w:val="32"/>
          <w:lang w:val="en-US" w:eastAsia="zh-CN" w:bidi="ar"/>
        </w:rPr>
        <w:t>）中各项环境管理要求</w:t>
      </w:r>
      <w:r>
        <w:rPr>
          <w:rFonts w:hint="default" w:ascii="Times New Roman" w:hAnsi="Times New Roman" w:eastAsia="仿宋_GB2312" w:cs="Times New Roman"/>
          <w:color w:val="000000"/>
          <w:kern w:val="0"/>
          <w:sz w:val="32"/>
          <w:szCs w:val="32"/>
          <w:lang w:val="en-US" w:eastAsia="zh-CN" w:bidi="ar"/>
        </w:rPr>
        <w:t>，重点做好以下工作：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设置</w:t>
      </w:r>
      <w:r>
        <w:rPr>
          <w:rFonts w:hint="default" w:ascii="Times New Roman" w:hAnsi="Times New Roman" w:eastAsia="仿宋_GB2312" w:cs="Times New Roman"/>
          <w:color w:val="000000"/>
          <w:kern w:val="0"/>
          <w:sz w:val="32"/>
          <w:szCs w:val="32"/>
          <w:lang w:val="en-US" w:eastAsia="zh-CN" w:bidi="ar"/>
        </w:rPr>
        <w:t>一座容</w:t>
      </w:r>
      <w:r>
        <w:rPr>
          <w:rFonts w:hint="eastAsia" w:ascii="Times New Roman" w:hAnsi="Times New Roman" w:eastAsia="仿宋_GB2312" w:cs="Times New Roman"/>
          <w:color w:val="000000"/>
          <w:kern w:val="0"/>
          <w:sz w:val="32"/>
          <w:szCs w:val="32"/>
          <w:lang w:val="en-US" w:eastAsia="zh-CN" w:bidi="ar"/>
        </w:rPr>
        <w:t>积不小于7m</w:t>
      </w:r>
      <w:r>
        <w:rPr>
          <w:rFonts w:hint="eastAsia" w:ascii="Times New Roman" w:hAnsi="Times New Roman" w:eastAsia="仿宋_GB2312" w:cs="Times New Roman"/>
          <w:color w:val="000000"/>
          <w:kern w:val="0"/>
          <w:sz w:val="32"/>
          <w:szCs w:val="32"/>
          <w:vertAlign w:val="superscript"/>
          <w:lang w:val="en-US" w:eastAsia="zh-CN" w:bidi="ar"/>
        </w:rPr>
        <w:t xml:space="preserve"> 3</w:t>
      </w:r>
      <w:r>
        <w:rPr>
          <w:rFonts w:hint="eastAsia" w:ascii="Times New Roman" w:hAnsi="Times New Roman" w:eastAsia="仿宋_GB2312" w:cs="Times New Roman"/>
          <w:color w:val="000000"/>
          <w:kern w:val="0"/>
          <w:sz w:val="32"/>
          <w:szCs w:val="32"/>
          <w:lang w:val="en-US" w:eastAsia="zh-CN" w:bidi="ar"/>
        </w:rPr>
        <w:t>的初期雨水收集池，初期雨水收集处理后</w:t>
      </w:r>
      <w:r>
        <w:rPr>
          <w:rFonts w:hint="eastAsia" w:ascii="仿宋_GB2312" w:hAnsi="宋体" w:eastAsia="仿宋_GB2312" w:cs="仿宋_GB2312"/>
          <w:color w:val="000000"/>
          <w:kern w:val="0"/>
          <w:sz w:val="32"/>
          <w:szCs w:val="32"/>
          <w:lang w:val="en-US" w:eastAsia="zh-CN" w:bidi="ar"/>
        </w:rPr>
        <w:t>回用于厂区道路洒水降尘，不得外排。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（二）落实大气污染防治措施，确保大气污染物达标排放。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储油罐大小呼吸废气经“集气罩收集+二级活性炭吸附”处理后达《大气污染物综合排放标准》（GB16297-1996）表2二级标准，</w:t>
      </w:r>
      <w:r>
        <w:rPr>
          <w:rFonts w:hint="default" w:ascii="Times New Roman" w:hAnsi="Times New Roman" w:eastAsia="仿宋_GB2312" w:cs="Times New Roman"/>
          <w:color w:val="000000"/>
          <w:kern w:val="0"/>
          <w:sz w:val="32"/>
          <w:szCs w:val="32"/>
          <w:lang w:val="en-US" w:eastAsia="zh-CN" w:bidi="ar"/>
        </w:rPr>
        <w:t>经</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根不低于</w:t>
      </w:r>
      <w:r>
        <w:rPr>
          <w:rFonts w:hint="eastAsia" w:ascii="Times New Roman" w:hAnsi="Times New Roman" w:eastAsia="仿宋_GB2312" w:cs="Times New Roman"/>
          <w:color w:val="000000"/>
          <w:kern w:val="0"/>
          <w:sz w:val="32"/>
          <w:szCs w:val="32"/>
          <w:lang w:val="en-US" w:eastAsia="zh-CN" w:bidi="ar"/>
        </w:rPr>
        <w:t>15</w:t>
      </w:r>
      <w:r>
        <w:rPr>
          <w:rFonts w:hint="default" w:ascii="Times New Roman" w:hAnsi="Times New Roman" w:eastAsia="仿宋_GB2312" w:cs="Times New Roman"/>
          <w:color w:val="000000"/>
          <w:kern w:val="0"/>
          <w:sz w:val="32"/>
          <w:szCs w:val="32"/>
          <w:lang w:val="en-US" w:eastAsia="zh-CN" w:bidi="ar"/>
        </w:rPr>
        <w:t>m高排气筒排放</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废铅蓄电池贮存区废气经“负压系统收集+碱液喷淋塔”处理后达</w:t>
      </w:r>
      <w:r>
        <w:rPr>
          <w:rFonts w:hint="eastAsia" w:ascii="Times New Roman" w:hAnsi="Times New Roman" w:eastAsia="仿宋_GB2312" w:cs="Times New Roman"/>
          <w:color w:val="000000"/>
          <w:kern w:val="0"/>
          <w:sz w:val="32"/>
          <w:szCs w:val="32"/>
          <w:highlight w:val="none"/>
          <w:lang w:val="en-US" w:eastAsia="zh-CN" w:bidi="ar"/>
        </w:rPr>
        <w:t>《大气污染物综合排放标准》（GB16297-1996）表2二级标准，经</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根不低于</w:t>
      </w:r>
      <w:r>
        <w:rPr>
          <w:rFonts w:hint="eastAsia" w:ascii="Times New Roman" w:hAnsi="Times New Roman" w:eastAsia="仿宋_GB2312" w:cs="Times New Roman"/>
          <w:color w:val="000000"/>
          <w:kern w:val="0"/>
          <w:sz w:val="32"/>
          <w:szCs w:val="32"/>
          <w:lang w:val="en-US" w:eastAsia="zh-CN" w:bidi="ar"/>
        </w:rPr>
        <w:t>15</w:t>
      </w:r>
      <w:r>
        <w:rPr>
          <w:rFonts w:hint="default" w:ascii="Times New Roman" w:hAnsi="Times New Roman" w:eastAsia="仿宋_GB2312" w:cs="Times New Roman"/>
          <w:color w:val="000000"/>
          <w:kern w:val="0"/>
          <w:sz w:val="32"/>
          <w:szCs w:val="32"/>
          <w:lang w:val="en-US" w:eastAsia="zh-CN" w:bidi="ar"/>
        </w:rPr>
        <w:t>m高排气筒排放</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厂界无组织废气执行</w:t>
      </w:r>
      <w:r>
        <w:rPr>
          <w:rFonts w:hint="eastAsia" w:ascii="Times New Roman" w:hAnsi="Times New Roman" w:eastAsia="仿宋_GB2312" w:cs="Times New Roman"/>
          <w:color w:val="000000"/>
          <w:kern w:val="0"/>
          <w:sz w:val="32"/>
          <w:szCs w:val="32"/>
          <w:highlight w:val="none"/>
          <w:lang w:val="en-US" w:eastAsia="zh-CN" w:bidi="ar"/>
        </w:rPr>
        <w:t>《大气污染物综合排放标准》（GB16297-1996）无组织排放</w:t>
      </w:r>
      <w:r>
        <w:rPr>
          <w:rFonts w:hint="default" w:ascii="Times New Roman" w:hAnsi="Times New Roman" w:eastAsia="仿宋_GB2312" w:cs="Times New Roman"/>
          <w:color w:val="000000"/>
          <w:kern w:val="0"/>
          <w:sz w:val="32"/>
          <w:szCs w:val="32"/>
          <w:lang w:val="en-US" w:eastAsia="zh-CN" w:bidi="ar"/>
        </w:rPr>
        <w:t>浓度限值要求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厂区内挥发性有机物（以非甲烷总烃计）无组织排放浓度满足《挥发性有机物无组织排放控制标准》（GB37822-2019）浓度限值。</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（三）产生噪声的场所应合理布局，产生噪声的设备应作隔声降噪处理，加强运输车辆的管理，合理安排作业时间。项目厂界噪声值执行《工业企业厂界环境噪声排放标准》（GB12348-2008）中</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类标准。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产生的二次危险废物（废拖把、废吸附材料、废电解液、废活性炭、油罐清渣、碱液喷淋塔置换废液</w:t>
      </w:r>
      <w:r>
        <w:rPr>
          <w:rFonts w:hint="default" w:ascii="Times New Roman" w:hAnsi="Times New Roman" w:eastAsia="仿宋_GB2312" w:cs="Times New Roman"/>
          <w:color w:val="000000"/>
          <w:kern w:val="0"/>
          <w:sz w:val="32"/>
          <w:szCs w:val="32"/>
          <w:lang w:val="en-US" w:eastAsia="zh-CN" w:bidi="ar"/>
        </w:rPr>
        <w:t>等</w:t>
      </w:r>
      <w:r>
        <w:rPr>
          <w:rFonts w:hint="eastAsia" w:ascii="Times New Roman" w:hAnsi="Times New Roman" w:eastAsia="仿宋_GB2312" w:cs="Times New Roman"/>
          <w:color w:val="000000"/>
          <w:kern w:val="0"/>
          <w:sz w:val="32"/>
          <w:szCs w:val="32"/>
          <w:lang w:val="en-US" w:eastAsia="zh-CN" w:bidi="ar"/>
        </w:rPr>
        <w:t>）严格</w:t>
      </w:r>
      <w:r>
        <w:rPr>
          <w:rFonts w:hint="default" w:ascii="Times New Roman" w:hAnsi="Times New Roman" w:eastAsia="仿宋_GB2312" w:cs="Times New Roman"/>
          <w:color w:val="000000"/>
          <w:kern w:val="0"/>
          <w:sz w:val="32"/>
          <w:szCs w:val="32"/>
          <w:lang w:val="en-US" w:eastAsia="zh-CN" w:bidi="ar"/>
        </w:rPr>
        <w:t>按《危险废物贮存污染控制标准》（GB18597-2023）要求妥善收集、暂存，规范设置危险废物暂存间，委托有资质单位定期清运处理</w:t>
      </w:r>
      <w:r>
        <w:rPr>
          <w:rFonts w:hint="eastAsia" w:ascii="仿宋_GB2312" w:hAnsi="宋体" w:eastAsia="仿宋_GB2312" w:cs="仿宋_GB2312"/>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生活垃圾委托环卫部门清运。</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r>
        <w:rPr>
          <w:rFonts w:ascii="仿宋_GB2312" w:hAnsi="宋体" w:eastAsia="仿宋_GB2312" w:cs="仿宋_GB2312"/>
          <w:color w:val="000000"/>
          <w:kern w:val="0"/>
          <w:sz w:val="32"/>
          <w:szCs w:val="32"/>
          <w:lang w:val="en-US" w:eastAsia="zh-CN" w:bidi="ar"/>
        </w:rPr>
        <w:t>设置</w:t>
      </w:r>
      <w:r>
        <w:rPr>
          <w:rFonts w:hint="eastAsia" w:ascii="仿宋_GB2312" w:hAnsi="宋体" w:eastAsia="仿宋_GB2312" w:cs="仿宋_GB2312"/>
          <w:color w:val="000000"/>
          <w:kern w:val="0"/>
          <w:sz w:val="32"/>
          <w:szCs w:val="32"/>
          <w:lang w:val="en-US" w:eastAsia="zh-CN" w:bidi="ar"/>
        </w:rPr>
        <w:t>土壤</w:t>
      </w:r>
      <w:r>
        <w:rPr>
          <w:rFonts w:ascii="仿宋_GB2312" w:hAnsi="宋体" w:eastAsia="仿宋_GB2312" w:cs="仿宋_GB2312"/>
          <w:color w:val="000000"/>
          <w:kern w:val="0"/>
          <w:sz w:val="32"/>
          <w:szCs w:val="32"/>
          <w:lang w:val="en-US" w:eastAsia="zh-CN" w:bidi="ar"/>
        </w:rPr>
        <w:t>跟踪监测点</w:t>
      </w:r>
      <w:r>
        <w:rPr>
          <w:rFonts w:hint="eastAsia" w:ascii="仿宋_GB2312" w:hAnsi="宋体" w:eastAsia="仿宋_GB2312" w:cs="仿宋_GB2312"/>
          <w:color w:val="000000"/>
          <w:kern w:val="0"/>
          <w:sz w:val="32"/>
          <w:szCs w:val="32"/>
          <w:lang w:val="en-US" w:eastAsia="zh-CN" w:bidi="ar"/>
        </w:rPr>
        <w:t>和地下水跟踪监测井</w:t>
      </w:r>
      <w:r>
        <w:rPr>
          <w:rFonts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以掌握评价区环境质量变化情况</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w:t>
      </w:r>
      <w:r>
        <w:rPr>
          <w:rFonts w:hint="default" w:ascii="仿宋_GB2312" w:hAnsi="宋体" w:eastAsia="仿宋_GB2312" w:cs="仿宋_GB2312"/>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严格规范危险废物贮存、转运、委托处置各阶段环境管理；废矿物油储存间设置容积不小于60m</w:t>
      </w:r>
      <w:r>
        <w:rPr>
          <w:rFonts w:hint="eastAsia" w:ascii="仿宋_GB2312" w:hAnsi="宋体" w:eastAsia="仿宋_GB2312" w:cs="仿宋_GB2312"/>
          <w:color w:val="000000"/>
          <w:kern w:val="0"/>
          <w:sz w:val="32"/>
          <w:szCs w:val="32"/>
          <w:vertAlign w:val="superscript"/>
          <w:lang w:val="en-US" w:eastAsia="zh-CN" w:bidi="ar"/>
        </w:rPr>
        <w:t>3</w:t>
      </w:r>
      <w:r>
        <w:rPr>
          <w:rFonts w:hint="eastAsia" w:ascii="仿宋_GB2312" w:hAnsi="宋体" w:eastAsia="仿宋_GB2312" w:cs="仿宋_GB2312"/>
          <w:color w:val="000000"/>
          <w:kern w:val="0"/>
          <w:sz w:val="32"/>
          <w:szCs w:val="32"/>
          <w:lang w:val="en-US" w:eastAsia="zh-CN" w:bidi="ar"/>
        </w:rPr>
        <w:t>的围堰，储罐安装在围堰内；废电池储存间设置导流沟、集液池；设置1个10m</w:t>
      </w:r>
      <w:r>
        <w:rPr>
          <w:rFonts w:hint="eastAsia" w:ascii="仿宋_GB2312" w:hAnsi="宋体" w:eastAsia="仿宋_GB2312" w:cs="仿宋_GB2312"/>
          <w:color w:val="000000"/>
          <w:kern w:val="0"/>
          <w:sz w:val="32"/>
          <w:szCs w:val="32"/>
          <w:vertAlign w:val="superscript"/>
          <w:lang w:val="en-US" w:eastAsia="zh-CN" w:bidi="ar"/>
        </w:rPr>
        <w:t>3</w:t>
      </w:r>
      <w:r>
        <w:rPr>
          <w:rFonts w:hint="eastAsia" w:ascii="仿宋_GB2312" w:hAnsi="宋体" w:eastAsia="仿宋_GB2312" w:cs="仿宋_GB2312"/>
          <w:color w:val="000000"/>
          <w:kern w:val="0"/>
          <w:sz w:val="32"/>
          <w:szCs w:val="32"/>
          <w:lang w:val="en-US" w:eastAsia="zh-CN" w:bidi="ar"/>
        </w:rPr>
        <w:t>的事故应急池用于收集火灾事故消防废水。</w:t>
      </w:r>
      <w:r>
        <w:rPr>
          <w:rFonts w:hint="default" w:ascii="仿宋_GB2312" w:hAnsi="宋体" w:eastAsia="仿宋_GB2312" w:cs="仿宋_GB2312"/>
          <w:color w:val="000000"/>
          <w:kern w:val="0"/>
          <w:sz w:val="32"/>
          <w:szCs w:val="32"/>
          <w:lang w:val="en-US" w:eastAsia="zh-CN" w:bidi="ar"/>
        </w:rPr>
        <w:t xml:space="preserve">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八）认真组织实施《报告表》提出的环境监测计划，定期对废气、废水、噪声、土壤、地下水等监测点进行监测，发现异常立即停产，及时查明原因，采取有效控制措施并向当地人民政府及有关部门报告。同时，按照环境信息公开有关规定，主动向社会公开新增污染物排放等相关信息，自觉接受社会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九</w:t>
      </w:r>
      <w:r>
        <w:rPr>
          <w:rFonts w:hint="default" w:ascii="Times New Roman" w:hAnsi="Times New Roman" w:eastAsia="仿宋_GB2312" w:cs="Times New Roman"/>
          <w:color w:val="000000"/>
          <w:kern w:val="0"/>
          <w:sz w:val="32"/>
          <w:szCs w:val="32"/>
          <w:lang w:val="en-US" w:eastAsia="zh-CN" w:bidi="ar"/>
        </w:rPr>
        <w:t>）污染物总量控制指标为</w:t>
      </w:r>
      <w:r>
        <w:rPr>
          <w:rFonts w:hint="eastAsia" w:ascii="Times New Roman" w:hAnsi="Times New Roman" w:eastAsia="仿宋_GB2312" w:cs="Times New Roman"/>
          <w:color w:val="000000"/>
          <w:kern w:val="0"/>
          <w:sz w:val="32"/>
          <w:szCs w:val="32"/>
          <w:lang w:val="en-US" w:eastAsia="zh-CN" w:bidi="ar"/>
        </w:rPr>
        <w:t>：非甲烷总烃0.1417</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（十）按照《危险废物经营许可证管理办法》（2016年修正版）要求，依法申请领取危险废物经营许可证。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21</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420" w:firstLineChars="200"/>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kern w:val="0"/>
          <w:sz w:val="32"/>
          <w:szCs w:val="32"/>
          <w:lang w:val="en-US" w:eastAsia="zh-CN" w:bidi="ar"/>
        </w:rPr>
      </w:pPr>
    </w:p>
    <w:sectPr>
      <w:footerReference r:id="rId3" w:type="default"/>
      <w:pgSz w:w="11906" w:h="16838"/>
      <w:pgMar w:top="2041" w:right="1474" w:bottom="1928" w:left="158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2C4FEBD6-464C-49EA-A86A-9E2BDAD4C5A6}"/>
  </w:font>
  <w:font w:name="仿宋_GB2312">
    <w:panose1 w:val="02010609030101010101"/>
    <w:charset w:val="86"/>
    <w:family w:val="auto"/>
    <w:pitch w:val="default"/>
    <w:sig w:usb0="00000001" w:usb1="080E0000" w:usb2="00000000" w:usb3="00000000" w:csb0="00040000" w:csb1="00000000"/>
    <w:embedRegular r:id="rId2" w:fontKey="{13D94092-B07E-4F58-8E3D-CD2687866E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A009005A"/>
    <w:multiLevelType w:val="singleLevel"/>
    <w:tmpl w:val="A009005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s>
  <w:rsids>
    <w:rsidRoot w:val="205A64FE"/>
    <w:rsid w:val="011B34D9"/>
    <w:rsid w:val="016469D5"/>
    <w:rsid w:val="03FD0897"/>
    <w:rsid w:val="06B355E9"/>
    <w:rsid w:val="07003538"/>
    <w:rsid w:val="07056611"/>
    <w:rsid w:val="09501527"/>
    <w:rsid w:val="09574530"/>
    <w:rsid w:val="0BBF17D2"/>
    <w:rsid w:val="0E403C7E"/>
    <w:rsid w:val="114E7FBF"/>
    <w:rsid w:val="15344D3E"/>
    <w:rsid w:val="16842E16"/>
    <w:rsid w:val="18C33745"/>
    <w:rsid w:val="1B474AE7"/>
    <w:rsid w:val="1C442B37"/>
    <w:rsid w:val="1C776FFB"/>
    <w:rsid w:val="205A64FE"/>
    <w:rsid w:val="275F084A"/>
    <w:rsid w:val="27DE43F7"/>
    <w:rsid w:val="28B7647D"/>
    <w:rsid w:val="2B636170"/>
    <w:rsid w:val="2DDB2652"/>
    <w:rsid w:val="303C2D7D"/>
    <w:rsid w:val="34864FCB"/>
    <w:rsid w:val="35E328D9"/>
    <w:rsid w:val="363650FE"/>
    <w:rsid w:val="370A3C09"/>
    <w:rsid w:val="3A05363B"/>
    <w:rsid w:val="3B4751DC"/>
    <w:rsid w:val="3EC50C85"/>
    <w:rsid w:val="40AE4EEF"/>
    <w:rsid w:val="41926BCA"/>
    <w:rsid w:val="426A17F0"/>
    <w:rsid w:val="43147C08"/>
    <w:rsid w:val="44D8697E"/>
    <w:rsid w:val="486C2C02"/>
    <w:rsid w:val="4A142B60"/>
    <w:rsid w:val="4C6F694B"/>
    <w:rsid w:val="4F197025"/>
    <w:rsid w:val="4F8E5B53"/>
    <w:rsid w:val="529F3A25"/>
    <w:rsid w:val="55A430E5"/>
    <w:rsid w:val="57E744EC"/>
    <w:rsid w:val="5A87563E"/>
    <w:rsid w:val="5EED1851"/>
    <w:rsid w:val="605E4DBC"/>
    <w:rsid w:val="639A01CB"/>
    <w:rsid w:val="68D94361"/>
    <w:rsid w:val="6A5D3512"/>
    <w:rsid w:val="6C766689"/>
    <w:rsid w:val="6F08124D"/>
    <w:rsid w:val="70992B18"/>
    <w:rsid w:val="72BE32A6"/>
    <w:rsid w:val="7899684C"/>
    <w:rsid w:val="796717B9"/>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2524</Words>
  <Characters>2753</Characters>
  <Lines>0</Lines>
  <Paragraphs>0</Paragraphs>
  <TotalTime>1333</TotalTime>
  <ScaleCrop>false</ScaleCrop>
  <LinksUpToDate>false</LinksUpToDate>
  <CharactersWithSpaces>2767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马玉洁</cp:lastModifiedBy>
  <dcterms:modified xsi:type="dcterms:W3CDTF">2023-12-28T01:58:02Z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3A756DC2D1ED4D0CB294C0412F97E171_13</vt:lpwstr>
  </property>
</Properties>
</file>