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宋体" w:cs="Times New Roman"/>
          <w:color w:val="auto"/>
          <w:sz w:val="72"/>
          <w:szCs w:val="72"/>
          <w:highlight w:val="none"/>
        </w:rPr>
      </w:pPr>
      <w:bookmarkStart w:id="0" w:name="_Toc27577"/>
      <w:bookmarkStart w:id="1" w:name="_Toc10516"/>
      <w:bookmarkStart w:id="2" w:name="_Toc18270"/>
    </w:p>
    <w:p>
      <w:pPr>
        <w:jc w:val="center"/>
        <w:rPr>
          <w:rFonts w:hint="default" w:ascii="Times New Roman" w:hAnsi="Times New Roman" w:eastAsia="宋体" w:cs="Times New Roman"/>
          <w:color w:val="auto"/>
          <w:sz w:val="72"/>
          <w:szCs w:val="72"/>
          <w:highlight w:val="none"/>
        </w:rPr>
      </w:pPr>
      <w:r>
        <w:rPr>
          <w:rFonts w:hint="default" w:ascii="Times New Roman" w:hAnsi="Times New Roman" w:eastAsia="宋体" w:cs="Times New Roman"/>
          <w:color w:val="auto"/>
          <w:sz w:val="72"/>
          <w:szCs w:val="72"/>
          <w:highlight w:val="none"/>
        </w:rPr>
        <w:t>建设项目环境影响报告表</w:t>
      </w:r>
      <w:bookmarkEnd w:id="0"/>
      <w:bookmarkEnd w:id="1"/>
    </w:p>
    <w:p>
      <w:pPr>
        <w:adjustRightInd w:val="0"/>
        <w:snapToGrid w:val="0"/>
        <w:spacing w:before="192" w:beforeLines="80"/>
        <w:jc w:val="center"/>
        <w:rPr>
          <w:rFonts w:hint="default" w:ascii="Times New Roman" w:hAnsi="Times New Roman" w:eastAsia="宋体" w:cs="Times New Roman"/>
          <w:bCs/>
          <w:color w:val="auto"/>
          <w:sz w:val="48"/>
          <w:szCs w:val="48"/>
          <w:highlight w:val="none"/>
        </w:rPr>
      </w:pPr>
      <w:r>
        <w:rPr>
          <w:rFonts w:hint="default" w:ascii="Times New Roman" w:hAnsi="Times New Roman" w:eastAsia="宋体" w:cs="Times New Roman"/>
          <w:bCs/>
          <w:color w:val="auto"/>
          <w:sz w:val="48"/>
          <w:szCs w:val="48"/>
          <w:highlight w:val="none"/>
        </w:rPr>
        <w:t>（污染影响类）</w:t>
      </w: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ind w:firstLine="1040"/>
        <w:rPr>
          <w:rFonts w:hint="default" w:ascii="Times New Roman" w:hAnsi="Times New Roman" w:eastAsia="宋体" w:cs="Times New Roman"/>
          <w:color w:val="auto"/>
          <w:sz w:val="44"/>
          <w:szCs w:val="4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项目名称：</w:t>
      </w:r>
      <w:r>
        <w:rPr>
          <w:rFonts w:hint="default" w:ascii="Times New Roman" w:hAnsi="Times New Roman" w:eastAsia="宋体" w:cs="Times New Roman"/>
          <w:color w:val="auto"/>
          <w:sz w:val="36"/>
          <w:szCs w:val="36"/>
          <w:highlight w:val="none"/>
          <w:u w:val="single"/>
          <w:lang w:val="en-US" w:eastAsia="zh-CN"/>
        </w:rPr>
        <w:t>昆明茂源卫生用品有限公司塑料制品生产扩建项目</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建设单位（盖章）：</w:t>
      </w:r>
      <w:r>
        <w:rPr>
          <w:rFonts w:hint="default" w:ascii="Times New Roman" w:hAnsi="Times New Roman" w:eastAsia="宋体" w:cs="Times New Roman"/>
          <w:color w:val="auto"/>
          <w:sz w:val="36"/>
          <w:szCs w:val="36"/>
          <w:highlight w:val="none"/>
          <w:u w:val="single"/>
        </w:rPr>
        <w:t xml:space="preserve"> </w:t>
      </w:r>
      <w:r>
        <w:rPr>
          <w:rFonts w:hint="default" w:ascii="Times New Roman" w:hAnsi="Times New Roman" w:eastAsia="宋体" w:cs="Times New Roman"/>
          <w:color w:val="auto"/>
          <w:sz w:val="36"/>
          <w:szCs w:val="36"/>
          <w:highlight w:val="none"/>
          <w:u w:val="single"/>
          <w:lang w:val="en-US" w:eastAsia="zh-CN"/>
        </w:rPr>
        <w:t xml:space="preserve">昆明茂源卫生用品有限公司 </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编制日期：</w:t>
      </w:r>
      <w:r>
        <w:rPr>
          <w:rFonts w:hint="default" w:ascii="Times New Roman" w:hAnsi="Times New Roman" w:eastAsia="宋体" w:cs="Times New Roman"/>
          <w:color w:val="auto"/>
          <w:sz w:val="36"/>
          <w:szCs w:val="36"/>
          <w:highlight w:val="none"/>
          <w:u w:val="single"/>
        </w:rPr>
        <w:t xml:space="preserve"> 202</w:t>
      </w:r>
      <w:r>
        <w:rPr>
          <w:rFonts w:hint="default" w:ascii="Times New Roman" w:hAnsi="Times New Roman" w:eastAsia="宋体" w:cs="Times New Roman"/>
          <w:color w:val="auto"/>
          <w:sz w:val="36"/>
          <w:szCs w:val="36"/>
          <w:highlight w:val="none"/>
          <w:u w:val="single"/>
          <w:lang w:val="en-US" w:eastAsia="zh-CN"/>
        </w:rPr>
        <w:t>3</w:t>
      </w:r>
      <w:r>
        <w:rPr>
          <w:rFonts w:hint="default" w:ascii="Times New Roman" w:hAnsi="Times New Roman" w:eastAsia="宋体" w:cs="Times New Roman"/>
          <w:color w:val="auto"/>
          <w:sz w:val="36"/>
          <w:szCs w:val="36"/>
          <w:highlight w:val="none"/>
          <w:u w:val="single"/>
        </w:rPr>
        <w:t>年</w:t>
      </w:r>
      <w:r>
        <w:rPr>
          <w:rFonts w:hint="default" w:ascii="Times New Roman" w:hAnsi="Times New Roman" w:eastAsia="宋体" w:cs="Times New Roman"/>
          <w:color w:val="auto"/>
          <w:sz w:val="36"/>
          <w:szCs w:val="36"/>
          <w:highlight w:val="none"/>
          <w:u w:val="single"/>
          <w:lang w:val="en-US" w:eastAsia="zh-CN"/>
        </w:rPr>
        <w:t>07</w:t>
      </w:r>
      <w:r>
        <w:rPr>
          <w:rFonts w:hint="default" w:ascii="Times New Roman" w:hAnsi="Times New Roman" w:eastAsia="宋体" w:cs="Times New Roman"/>
          <w:color w:val="auto"/>
          <w:sz w:val="36"/>
          <w:szCs w:val="36"/>
          <w:highlight w:val="none"/>
          <w:u w:val="single"/>
        </w:rPr>
        <w:t>月</w:t>
      </w:r>
      <w:r>
        <w:rPr>
          <w:rFonts w:hint="default" w:ascii="Times New Roman" w:hAnsi="Times New Roman" w:eastAsia="宋体" w:cs="Times New Roman"/>
          <w:color w:val="auto"/>
          <w:sz w:val="36"/>
          <w:szCs w:val="36"/>
          <w:highlight w:val="none"/>
          <w:u w:val="single"/>
          <w:lang w:val="en-US" w:eastAsia="zh-CN"/>
        </w:rPr>
        <w:t xml:space="preserve"> </w:t>
      </w:r>
    </w:p>
    <w:p>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bookmarkStart w:id="3" w:name="_Hlk57884087"/>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bookmarkEnd w:id="3"/>
    <w:p>
      <w:pPr>
        <w:adjustRightInd w:val="0"/>
        <w:snapToGrid w:val="0"/>
        <w:spacing w:line="288" w:lineRule="auto"/>
        <w:jc w:val="center"/>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t>中华人民共和国生态环境部制</w:t>
      </w:r>
    </w:p>
    <w:p>
      <w:pPr>
        <w:adjustRightInd w:val="0"/>
        <w:snapToGrid w:val="0"/>
        <w:spacing w:line="288" w:lineRule="auto"/>
        <w:ind w:firstLine="1040"/>
        <w:rPr>
          <w:rFonts w:hint="default" w:ascii="Times New Roman" w:hAnsi="Times New Roman" w:eastAsia="宋体" w:cs="Times New Roman"/>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tbl>
      <w:tblPr>
        <w:tblStyle w:val="27"/>
        <w:tblW w:w="83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4"/>
        <w:gridCol w:w="3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24" w:type="dxa"/>
            <w:noWrap w:val="0"/>
            <w:vAlign w:val="top"/>
          </w:tcPr>
          <w:p>
            <w:pP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2092960</wp:posOffset>
                      </wp:positionH>
                      <wp:positionV relativeFrom="paragraph">
                        <wp:posOffset>-466090</wp:posOffset>
                      </wp:positionV>
                      <wp:extent cx="1383030" cy="429895"/>
                      <wp:effectExtent l="0" t="0" r="0" b="0"/>
                      <wp:wrapNone/>
                      <wp:docPr id="25" name="文本框 25"/>
                      <wp:cNvGraphicFramePr/>
                      <a:graphic xmlns:a="http://schemas.openxmlformats.org/drawingml/2006/main">
                        <a:graphicData uri="http://schemas.microsoft.com/office/word/2010/wordprocessingShape">
                          <wps:wsp>
                            <wps:cNvSpPr txBox="1"/>
                            <wps:spPr>
                              <a:xfrm>
                                <a:off x="3284855" y="485775"/>
                                <a:ext cx="1383030" cy="4298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b/>
                                      <w:bCs/>
                                      <w:sz w:val="28"/>
                                      <w:szCs w:val="28"/>
                                      <w:lang w:val="en-US" w:eastAsia="zh-CN"/>
                                    </w:rPr>
                                  </w:pPr>
                                  <w:r>
                                    <w:rPr>
                                      <w:rFonts w:hint="eastAsia"/>
                                      <w:b/>
                                      <w:bCs/>
                                      <w:sz w:val="28"/>
                                      <w:szCs w:val="28"/>
                                      <w:lang w:val="en-US" w:eastAsia="zh-CN"/>
                                    </w:rPr>
                                    <w:t>现场照片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8pt;margin-top:-36.7pt;height:33.85pt;width:108.9pt;z-index:251666432;mso-width-relative:page;mso-height-relative:page;" filled="f" stroked="f" coordsize="21600,21600" o:gfxdata="UEsDBAoAAAAAAIdO4kAAAAAAAAAAAAAAAAAEAAAAZHJzL1BLAwQUAAAACACHTuJAOLQiQtwAAAAK&#10;AQAADwAAAGRycy9kb3ducmV2LnhtbE2Py07DMBBF90j8gzVI7FqnadOUEKdCkSokRBct3bCbxG4S&#10;EY9D7D7g6xlWsJvH0Z0z+fpqe3E2o+8cKZhNIxCGaqc7ahQc3jaTFQgfkDT2joyCL+NhXdze5Jhp&#10;d6GdOe9DIziEfIYK2hCGTEpft8ain7rBEO+ObrQYuB0bqUe8cLjtZRxFS2mxI77Q4mDK1tQf+5NV&#10;8FJutrirYrv67svn1+PT8Hl4T5S6v5tFjyCCuYY/GH71WR0KdqrcibQXvYJ5/LBkVMEknS9AMJEs&#10;Ui4qniQpyCKX/18ofgBQSwMEFAAAAAgAh07iQNZ4X0FIAgAAcwQAAA4AAABkcnMvZTJvRG9jLnht&#10;bK1UzY7TMBC+I/EOlu80/d22UdNV2aoIqWJXKoiz6zhNJNtjbLdJeQB4A05cuPNc+xyMnbZbLRz2&#10;wMUZe8bfzPfNOLPbRklyENZVoDPa63QpEZpDXuldRj99XL2ZUOI80zmToEVGj8LR2/nrV7PapKIP&#10;JchcWIIg2qW1yWjpvUmTxPFSKOY6YIRGZwFWMY9bu0tyy2pEVzLpd7s3SQ02Nxa4cA5Pl62TnhDt&#10;SwChKCoulsD3SmjfolohmUdKrqyMo/NYbVEI7u+LwglPZEaRqY8rJkF7G9ZkPmPpzjJTVvxUAntJ&#10;Cc84KVZpTHqBWjLPyN5Wf0GpiltwUPgOB5W0RKIiyKLXfabNpmRGRC4otTMX0d3/g+UfDg+WVHlG&#10;+yNKNFPY8ccf3x9//n789Y3gGQpUG5di3MZgpG/eQoNjcz53eBh4N4VV4YuMCPoH/clwMkLEY0bR&#10;GI8jEEtF4wkP9weTQXeATeAhoD+dTGNA8gRkrPPvBCgSjIxa7GQUmB3WzmNRGHoOCXk1rCopYzel&#10;JnVGbwajbrxw8eANqfFioNOWHSzfbJsTxy3kR6RooZ0SZ/iqwuRr5vwDszgWWC8+HH+PSyEBk8DJ&#10;oqQE+/Vf5yEeu4VeSmocs4y6L3tmBSXyvcY+TnvDYZjLuBmOxn3c2GvP9tqj9+oOcJJ7+EQNj2aI&#10;9/JsFhbUZ3xfi5AVXUxzzJ1RfzbvfDv8+D65WCxiEE6iYX6tN4YH6FbOxd5DUUWlg0ytNif1cBZj&#10;A07vJgz79T5GPf0r5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OLQiQtwAAAAKAQAADwAAAAAA&#10;AAABACAAAAAiAAAAZHJzL2Rvd25yZXYueG1sUEsBAhQAFAAAAAgAh07iQNZ4X0FIAgAAcwQAAA4A&#10;AAAAAAAAAQAgAAAAKwEAAGRycy9lMm9Eb2MueG1sUEsFBgAAAAAGAAYAWQEAAOUFAAAAAA==&#10;">
                      <v:fill on="f" focussize="0,0"/>
                      <v:stroke on="f" weight="0.5pt"/>
                      <v:imagedata o:title=""/>
                      <o:lock v:ext="edit" aspectratio="f"/>
                      <v:textbox>
                        <w:txbxContent>
                          <w:p>
                            <w:pPr>
                              <w:jc w:val="center"/>
                              <w:rPr>
                                <w:rFonts w:hint="default" w:eastAsia="宋体"/>
                                <w:b/>
                                <w:bCs/>
                                <w:sz w:val="28"/>
                                <w:szCs w:val="28"/>
                                <w:lang w:val="en-US" w:eastAsia="zh-CN"/>
                              </w:rPr>
                            </w:pPr>
                            <w:r>
                              <w:rPr>
                                <w:rFonts w:hint="eastAsia"/>
                                <w:b/>
                                <w:bCs/>
                                <w:sz w:val="28"/>
                                <w:szCs w:val="28"/>
                                <w:lang w:val="en-US" w:eastAsia="zh-CN"/>
                              </w:rPr>
                              <w:t>现场照片</w:t>
                            </w:r>
                          </w:p>
                        </w:txbxContent>
                      </v:textbox>
                    </v:shape>
                  </w:pict>
                </mc:Fallback>
              </mc:AlternateContent>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0288" behindDoc="0" locked="0" layoutInCell="1" allowOverlap="1">
                      <wp:simplePos x="0" y="0"/>
                      <wp:positionH relativeFrom="column">
                        <wp:posOffset>1978025</wp:posOffset>
                      </wp:positionH>
                      <wp:positionV relativeFrom="paragraph">
                        <wp:posOffset>1687830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04</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27</w:t>
                                  </w:r>
                                </w:p>
                              </w:txbxContent>
                            </wps:txbx>
                            <wps:bodyPr wrap="none" anchor="t" upright="0">
                              <a:spAutoFit/>
                            </wps:bodyPr>
                          </wps:wsp>
                        </a:graphicData>
                      </a:graphic>
                    </wp:anchor>
                  </w:drawing>
                </mc:Choice>
                <mc:Fallback>
                  <w:pict>
                    <v:shape id="_x0000_s1026" o:spid="_x0000_s1026" o:spt="202" type="#_x0000_t202" style="position:absolute;left:0pt;margin-left:155.75pt;margin-top:132.9pt;height:144pt;width:144pt;mso-wrap-style:none;z-index:251660288;mso-width-relative:page;mso-height-relative:page;" filled="f" stroked="f" coordsize="21600,21600" o:gfxdata="UEsDBAoAAAAAAIdO4kAAAAAAAAAAAAAAAAAEAAAAZHJzL1BLAwQUAAAACACHTuJAjrCuzNkAAAAL&#10;AQAADwAAAGRycy9kb3ducmV2LnhtbE2PMU/DMBCFdyT+g3VIbNRJo1RtiNOhEl0QAwXB6sTXJEp8&#10;tmI3Dfx6jgm2u3tP775X7hc7ihmn0DtSkK4SEEiNMz21Ct7fnh62IELUZPToCBV8YYB9dXtT6sK4&#10;K73ifIqt4BAKhVbQxegLKUPTodVh5TwSa2c3WR15nVppJn3lcDvKdZJspNU98YdOezx02Ayni1Xw&#10;oj+OcV6G5jj4s/m0vj5k389K3d+lySOIiEv8M8MvPqNDxUy1u5AJYlSQpWnOVgXrTc4d2JHvdnyp&#10;ecizLciqlP87VD9QSwMEFAAAAAgAh07iQHTyOeHQAQAAlwMAAA4AAABkcnMvZTJvRG9jLnhtbK1T&#10;QW7bMBC8F+gfCN5rKS5qGILlIIWRXIK2QNoH0BRlESC5BJe25A8kP+ipl977Lr+jS0p2ivSSQy4U&#10;l7s73BmOVteDNeygAmpwNb+alZwpJ6HRblfzH99vPyw5wyhcIww4VfOjQn69fv9u1ftKzaED06jA&#10;CMRh1fuadzH6qihQdsoKnIFXjpItBCsihWFXNEH0hG5NMS/LRdFDaHwAqRDpdDMm+YQYXgMIbaul&#10;2oDcW+XiiBqUEZEoYac98nWetm2VjF/bFlVkpubENOaVLqH9Nq3FeiWqXRC+03IaQbxmhBecrNCO&#10;Lr1AbUQUbB/0f1BWywAIbZxJsMVIJCtCLK7KF9o8dMKrzIWkRn8RHd8OVn45fAtMNzVfcOaEpQc/&#10;/Xw6/fpz+v3IFkme3mNFVQ+e6uLwGQYyzfkc6TCxHtpg05f4MMqTuMeLuGqITKam5Xy5LCklKXcO&#10;CL94bvcB450Cy9Km5oFeL4sqDvcYx9JzSbrNwa02Jr+gcawnCh8/lbnhkiFw41Ktyl6YYBKlcfS0&#10;i8N2mHhuoTkSzZ78UHNH9udMONkBGSZytvdB77psoQSJ/mYfaYQ8WQIau4lRCui9MrfJW8kQ/8a5&#10;6vl/Wv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rCuzNkAAAALAQAADwAAAAAAAAABACAAAAAi&#10;AAAAZHJzL2Rvd25yZXYueG1sUEsBAhQAFAAAAAgAh07iQHTyOeHQAQAAlwMAAA4AAAAAAAAAAQAg&#10;AAAAKAEAAGRycy9lMm9Eb2MueG1sUEsFBgAAAAAGAAYAWQEAAGoFA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04</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27</w:t>
                            </w:r>
                          </w:p>
                        </w:txbxContent>
                      </v:textbox>
                    </v:shape>
                  </w:pict>
                </mc:Fallback>
              </mc:AlternateContent>
            </w:r>
            <w:r>
              <w:rPr>
                <w:rFonts w:hint="default" w:ascii="Times New Roman" w:hAnsi="Times New Roman" w:eastAsia="宋体" w:cs="Times New Roman"/>
                <w:color w:val="auto"/>
                <w:highlight w:val="none"/>
                <w:vertAlign w:val="baseline"/>
                <w:lang w:eastAsia="zh-CN"/>
              </w:rPr>
              <w:drawing>
                <wp:inline distT="0" distB="0" distL="114300" distR="114300">
                  <wp:extent cx="2724150" cy="1920240"/>
                  <wp:effectExtent l="0" t="0" r="0" b="3810"/>
                  <wp:docPr id="9" name="图片 9" descr="IMG2022122009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20221220095356"/>
                          <pic:cNvPicPr>
                            <a:picLocks noChangeAspect="1"/>
                          </pic:cNvPicPr>
                        </pic:nvPicPr>
                        <pic:blipFill>
                          <a:blip r:embed="rId10"/>
                          <a:srcRect b="5999"/>
                          <a:stretch>
                            <a:fillRect/>
                          </a:stretch>
                        </pic:blipFill>
                        <pic:spPr>
                          <a:xfrm>
                            <a:off x="0" y="0"/>
                            <a:ext cx="2724150" cy="1920240"/>
                          </a:xfrm>
                          <a:prstGeom prst="rect">
                            <a:avLst/>
                          </a:prstGeom>
                        </pic:spPr>
                      </pic:pic>
                    </a:graphicData>
                  </a:graphic>
                </wp:inline>
              </w:drawing>
            </w:r>
          </w:p>
        </w:tc>
        <w:tc>
          <w:tcPr>
            <w:tcW w:w="3949" w:type="dxa"/>
            <w:noWrap w:val="0"/>
            <w:vAlign w:val="top"/>
          </w:tcPr>
          <w:p>
            <w:pP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1700530</wp:posOffset>
                      </wp:positionH>
                      <wp:positionV relativeFrom="paragraph">
                        <wp:posOffset>1696720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04</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27</w:t>
                                  </w:r>
                                </w:p>
                              </w:txbxContent>
                            </wps:txbx>
                            <wps:bodyPr wrap="none" anchor="t">
                              <a:spAutoFit/>
                            </wps:bodyPr>
                          </wps:wsp>
                        </a:graphicData>
                      </a:graphic>
                    </wp:anchor>
                  </w:drawing>
                </mc:Choice>
                <mc:Fallback>
                  <w:pict>
                    <v:shape id="_x0000_s1026" o:spid="_x0000_s1026" o:spt="202" type="#_x0000_t202" style="position:absolute;left:0pt;margin-left:133.9pt;margin-top:133.6pt;height:144pt;width:144pt;mso-wrap-style:none;z-index:251663360;mso-width-relative:page;mso-height-relative:page;" filled="f" stroked="f" coordsize="21600,21600" o:gfxdata="UEsDBAoAAAAAAIdO4kAAAAAAAAAAAAAAAAAEAAAAZHJzL1BLAwQUAAAACACHTuJA5C1fSdcAAAAL&#10;AQAADwAAAGRycy9kb3ducmV2LnhtbE2PMU/DMBCFdyT+g3WV2KjToBSUxulQiS6IgVLBeomvSZT4&#10;bMVuGvj1mC6wvbv39O67YjubQUw0+s6ygtUyAUFcW91xo+D4/nz/BMIHZI2DZVLwRR625e1Ngbm2&#10;F36j6RAaEUvY56igDcHlUvq6JYN+aR1x9E52NBjiODZSj3iJ5WaQaZKspcGO44UWHe1aqvvD2Sh4&#10;xY99mOa+3vfupD+Nq3YP3y9K3S1WyQZEoDn8heEXP6JDGZkqe2btxaAgXT9G9HAVKYiYyLIsbqqr&#10;SEGWhfz/Q/kDUEsDBBQAAAAIAIdO4kAecS+k1AEAAJcDAAAOAAAAZHJzL2Uyb0RvYy54bWytU0tu&#10;2zAQ3RfoHQjuaykKbCuC5SCFkW6KtkCSA9AUZRHgDxzaki/Q3qCrbrrvuXyODik5SdNNFtlInA/f&#10;zHszXF0PWpGD8CCtqenFLKdEGG4baXY1fbi//VBSAoGZhilrRE2PAuj1+v27Ve8qUdjOqkZ4giAG&#10;qt7VtAvBVVkGvBOawcw6YTDYWq9ZQNPvssazHtG1yoo8X2S99Y3zlgsA9G7GIJ0Q/WsAbdtKLjaW&#10;77UwYUT1QrGAlKCTDug6ddu2goevbQsiEFVTZBrSF4vgeRu/2XrFqp1nrpN8aoG9poUXnDSTBos+&#10;Qm1YYGTv5X9QWnJvwbZhxq3ORiJJEWRxkb/Q5q5jTiQuKDW4R9Hh7WD5l8M3T2RT04ISwzQO/PTz&#10;x+nXn9Pv76SI8vQOKsy6c5gXho92wKU5+wGdkfXQeh3/yIdgvFiWy8UcJT7ieX51ebWcj0KLIRAe&#10;AcqiLHNM4JhxNrBW9gTlPIRPwmoSDzX1OMkkMDt8hjCmnlNiZWNvpVJpmsqQvqaLS2zgnwiCKxM9&#10;Iu3FBBPpjTTiKQzbYeK8tc0RKfe4GzU1+BQoYYZ3Fpdn7ATczT5g2dRNvDzeQBbRwHklPtNuxYV4&#10;bqesp/e0/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kLV9J1wAAAAsBAAAPAAAAAAAAAAEAIAAA&#10;ACIAAABkcnMvZG93bnJldi54bWxQSwECFAAUAAAACACHTuJAHnEvpNQBAACXAwAADgAAAAAAAAAB&#10;ACAAAAAmAQAAZHJzL2Uyb0RvYy54bWxQSwUGAAAAAAYABgBZAQAAbAU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04</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27</w:t>
                            </w:r>
                          </w:p>
                        </w:txbxContent>
                      </v:textbox>
                    </v:shape>
                  </w:pict>
                </mc:Fallback>
              </mc:AlternateContent>
            </w:r>
            <w:r>
              <w:rPr>
                <w:rFonts w:hint="default" w:ascii="Times New Roman" w:hAnsi="Times New Roman" w:eastAsia="宋体" w:cs="Times New Roman"/>
                <w:color w:val="auto"/>
                <w:sz w:val="24"/>
                <w:szCs w:val="24"/>
                <w:highlight w:val="none"/>
                <w:vertAlign w:val="baseline"/>
                <w:lang w:val="en-US" w:eastAsia="zh-CN"/>
              </w:rPr>
              <w:drawing>
                <wp:inline distT="0" distB="0" distL="114300" distR="114300">
                  <wp:extent cx="2441575" cy="1882140"/>
                  <wp:effectExtent l="0" t="0" r="15875" b="3810"/>
                  <wp:docPr id="20" name="图片 20" descr="IMG2022122009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20221220095341"/>
                          <pic:cNvPicPr>
                            <a:picLocks noChangeAspect="1"/>
                          </pic:cNvPicPr>
                        </pic:nvPicPr>
                        <pic:blipFill>
                          <a:blip r:embed="rId11"/>
                          <a:stretch>
                            <a:fillRect/>
                          </a:stretch>
                        </pic:blipFill>
                        <pic:spPr>
                          <a:xfrm>
                            <a:off x="0" y="0"/>
                            <a:ext cx="2441575" cy="18821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trPr>
        <w:tc>
          <w:tcPr>
            <w:tcW w:w="4424"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扩建项目生产厂房（一）</w:t>
            </w:r>
          </w:p>
        </w:tc>
        <w:tc>
          <w:tcPr>
            <w:tcW w:w="3949"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扩建项目生产厂房（二）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4" w:hRule="atLeast"/>
        </w:trPr>
        <w:tc>
          <w:tcPr>
            <w:tcW w:w="4424" w:type="dxa"/>
            <w:noWrap w:val="0"/>
            <w:vAlign w:val="top"/>
          </w:tcPr>
          <w:p>
            <w:pP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5408" behindDoc="0" locked="0" layoutInCell="1" allowOverlap="1">
                      <wp:simplePos x="0" y="0"/>
                      <wp:positionH relativeFrom="column">
                        <wp:posOffset>1972310</wp:posOffset>
                      </wp:positionH>
                      <wp:positionV relativeFrom="paragraph">
                        <wp:posOffset>1740535</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w:t>
                                  </w:r>
                                  <w:r>
                                    <w:rPr>
                                      <w:rFonts w:hint="eastAsia" w:cs="Times New Roman"/>
                                      <w:b/>
                                      <w:bCs/>
                                      <w:color w:val="FFFF00"/>
                                      <w:sz w:val="21"/>
                                      <w:szCs w:val="21"/>
                                      <w:lang w:val="en-US" w:eastAsia="zh-CN"/>
                                    </w:rPr>
                                    <w:t>23.04.27</w:t>
                                  </w:r>
                                </w:p>
                              </w:txbxContent>
                            </wps:txbx>
                            <wps:bodyPr wrap="none" anchor="t">
                              <a:spAutoFit/>
                            </wps:bodyPr>
                          </wps:wsp>
                        </a:graphicData>
                      </a:graphic>
                    </wp:anchor>
                  </w:drawing>
                </mc:Choice>
                <mc:Fallback>
                  <w:pict>
                    <v:shape id="_x0000_s1026" o:spid="_x0000_s1026" o:spt="202" type="#_x0000_t202" style="position:absolute;left:0pt;margin-left:155.3pt;margin-top:137.05pt;height:144pt;width:144pt;mso-wrap-style:none;z-index:251665408;mso-width-relative:page;mso-height-relative:page;" filled="f" stroked="f" coordsize="21600,21600" o:gfxdata="UEsDBAoAAAAAAIdO4kAAAAAAAAAAAAAAAAAEAAAAZHJzL1BLAwQUAAAACACHTuJAD6E5G9kAAAAL&#10;AQAADwAAAGRycy9kb3ducmV2LnhtbE2PPU/DMBCGdyT+g3VIbNR2CqGEOB0q0QUxUBCsl9hNosQf&#10;it008Os5Jtju49F7z5XbxY5sNlPsvVMgVwKYcY3XvWsVvL893WyAxYRO4+idUfBlImyry4sSC+3P&#10;7tXMh9QyCnGxQAVdSqHgPDadsRhXPhhHu6OfLCZqp5brCc8UbkeeCZFzi72jCx0Gs+tMMxxOVsEL&#10;fuzTvAzNfghH/WlDvVt/Pyt1fSXFI7BklvQHw68+qUNFTrU/OR3ZqGAtRU6oguz+VgIj4u5hQ5Oa&#10;ijyTwKuS//+h+gFQSwMEFAAAAAgAh07iQBJcZkrUAQAAlwMAAA4AAABkcnMvZTJvRG9jLnhtbK1T&#10;S27bMBDdF+gdCO5rKQ5sKYLlIIWRboq2QJID0BRlEeAPHNqSL9DeoKtuuu+5fI4OKTlJ000W2Uic&#10;D9/MezNcXQ9akYPwIK2p6cUsp0QYbhtpdjV9uL/9UFICgZmGKWtETY8C6PX6/btV7yoxt51VjfAE&#10;QQxUvatpF4Krsgx4JzSDmXXCYLC1XrOApt9ljWc9omuVzfN8mfXWN85bLgDQuxmDdEL0rwG0bSu5&#10;2Fi+18KEEdULxQJSgk46oOvUbdsKHr62LYhAVE2RaUhfLILnbfxm6xWrdp65TvKpBfaaFl5w0kwa&#10;LPoItWGBkb2X/0Fpyb0F24YZtzobiSRFkMVF/kKbu445kbig1OAeRYe3g+VfDt88kU1NC0oM0zjw&#10;088fp19/Tr+/kyLK0zuoMOvOYV4YPtoBl+bsB3RG1kPrdfwjH4LxeVEWywVKfMTz4uryqliMQosh&#10;EB4BynlZ5pjAMeNsYK3sCcp5CJ+E1SQeaupxkklgdvgMYUw9p8TKxt5KpdI0lSF9TZeX2MA/EQRX&#10;JnpE2osJJtIbacRTGLbDxHlrmyNS7nE3amrwKVDCDO8sLs/YCbibfcCyqZt4ebyBLKKB80p8pt2K&#10;C/HcTllP72n9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hORvZAAAACwEAAA8AAAAAAAAAAQAg&#10;AAAAIgAAAGRycy9kb3ducmV2LnhtbFBLAQIUABQAAAAIAIdO4kASXGZK1AEAAJcDAAAOAAAAAAAA&#10;AAEAIAAAACgBAABkcnMvZTJvRG9jLnhtbFBLBQYAAAAABgAGAFkBAABuBQ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w:t>
                            </w:r>
                            <w:r>
                              <w:rPr>
                                <w:rFonts w:hint="eastAsia" w:cs="Times New Roman"/>
                                <w:b/>
                                <w:bCs/>
                                <w:color w:val="FFFF00"/>
                                <w:sz w:val="21"/>
                                <w:szCs w:val="21"/>
                                <w:lang w:val="en-US" w:eastAsia="zh-CN"/>
                              </w:rPr>
                              <w:t>23.04.27</w:t>
                            </w:r>
                          </w:p>
                        </w:txbxContent>
                      </v:textbox>
                    </v:shape>
                  </w:pict>
                </mc:Fallback>
              </mc:AlternateContent>
            </w:r>
            <w:r>
              <w:rPr>
                <w:rFonts w:hint="default" w:ascii="Times New Roman" w:hAnsi="Times New Roman" w:eastAsia="宋体" w:cs="Times New Roman"/>
                <w:color w:val="auto"/>
                <w:sz w:val="24"/>
                <w:szCs w:val="24"/>
                <w:highlight w:val="none"/>
                <w:vertAlign w:val="baseline"/>
                <w:lang w:val="en-US" w:eastAsia="zh-CN"/>
              </w:rPr>
              <w:drawing>
                <wp:inline distT="0" distB="0" distL="114300" distR="114300">
                  <wp:extent cx="2687955" cy="1922145"/>
                  <wp:effectExtent l="0" t="0" r="17145" b="1905"/>
                  <wp:docPr id="19" name="图片 19" descr="IMG2022122009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20221220095957"/>
                          <pic:cNvPicPr>
                            <a:picLocks noChangeAspect="1"/>
                          </pic:cNvPicPr>
                        </pic:nvPicPr>
                        <pic:blipFill>
                          <a:blip r:embed="rId12"/>
                          <a:srcRect b="4656"/>
                          <a:stretch>
                            <a:fillRect/>
                          </a:stretch>
                        </pic:blipFill>
                        <pic:spPr>
                          <a:xfrm>
                            <a:off x="0" y="0"/>
                            <a:ext cx="2687955" cy="1922145"/>
                          </a:xfrm>
                          <a:prstGeom prst="rect">
                            <a:avLst/>
                          </a:prstGeom>
                        </pic:spPr>
                      </pic:pic>
                    </a:graphicData>
                  </a:graphic>
                </wp:inline>
              </w:drawing>
            </w:r>
          </w:p>
        </w:tc>
        <w:tc>
          <w:tcPr>
            <w:tcW w:w="3949" w:type="dxa"/>
            <w:noWrap w:val="0"/>
            <w:vAlign w:val="top"/>
          </w:tcPr>
          <w:p>
            <w:pP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2336" behindDoc="0" locked="0" layoutInCell="1" allowOverlap="1">
                      <wp:simplePos x="0" y="0"/>
                      <wp:positionH relativeFrom="column">
                        <wp:posOffset>1732280</wp:posOffset>
                      </wp:positionH>
                      <wp:positionV relativeFrom="paragraph">
                        <wp:posOffset>1715135</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04</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27</w:t>
                                  </w:r>
                                </w:p>
                              </w:txbxContent>
                            </wps:txbx>
                            <wps:bodyPr wrap="none" anchor="t">
                              <a:spAutoFit/>
                            </wps:bodyPr>
                          </wps:wsp>
                        </a:graphicData>
                      </a:graphic>
                    </wp:anchor>
                  </w:drawing>
                </mc:Choice>
                <mc:Fallback>
                  <w:pict>
                    <v:shape id="_x0000_s1026" o:spid="_x0000_s1026" o:spt="202" type="#_x0000_t202" style="position:absolute;left:0pt;margin-left:136.4pt;margin-top:135.05pt;height:144pt;width:144pt;mso-wrap-style:none;z-index:251662336;mso-width-relative:page;mso-height-relative:page;" filled="f" stroked="f" coordsize="21600,21600" o:gfxdata="UEsDBAoAAAAAAIdO4kAAAAAAAAAAAAAAAAAEAAAAZHJzL1BLAwQUAAAACACHTuJAhDZ9BNgAAAAL&#10;AQAADwAAAGRycy9kb3ducmV2LnhtbE2PMU/DMBCFd6T+B+sqsVE7QS1ViNOhEl0QA6WC9RJfkyix&#10;HcVuGvj1XCfY3t17evddvpttLyYaQ+udhmSlQJCrvGldreH08fKwBREiOoO9d6ThmwLsisVdjpnx&#10;V/dO0zHWgktcyFBDE+OQSRmqhiyGlR/IsXf2o8XI41hLM+KVy20vU6U20mLr+EKDA+0bqrrjxWp4&#10;w89DnOauOnTD2XzZodw//rxqfb9M1DOISHP8C8MNn9GhYKbSX5wJoteQPqWMHm9CJSA4sd4o3pQs&#10;1tsEZJHL/z8Uv1BLAwQUAAAACACHTuJAW+HZXNQBAACZAwAADgAAAGRycy9lMm9Eb2MueG1srVNL&#10;btswEN0XyB0I7mspNmwrguWghZFsirZAkgPQFGUR4A8c2pIv0N6gq26677l8jg4pOd9NFt1InA/f&#10;zHszXF33WpGD8CCtqejlJKdEGG5raXYVfbi/+VhQAoGZmilrREWPAuj1+uLDqnOlmNrWqlp4giAG&#10;ys5VtA3BlVkGvBWawcQ6YTDYWK9ZQNPvstqzDtG1yqZ5vsg662vnLRcA6N0MQToi+vcA2qaRXGws&#10;32thwoDqhWIBKUErHdB16rZpBA/fmgZEIKqiyDSkLxbB8zZ+s/WKlTvPXCv52AJ7TwuvOGkmDRZ9&#10;hNqwwMjeyzdQWnJvwTZhwq3OBiJJEWRxmb/S5q5lTiQuKDW4R9Hh/8Hyr4fvnsgaN2FGiWEaJ376&#10;9fP0++/pzw+CPhSoc1Bi3p3DzNB/tj0mn/2Azsi7b7yOf2REMD5dFsvFHEU+4nl+NbtazgepRR8I&#10;jwDFtChyTOCYcTawVvYE5TyEW2E1iYeKepxlkpgdvkAYUs8psbKxN1KpNE9lSFfRxQwbeBFBcGWi&#10;R6TNGGEivYFGPIV+24+ct7Y+IuUOt6OiBh8DJczw1uL6DJ2A+7QPWDZ1Ey8PN5BFNHBiic+4XXEl&#10;ntsp6+lFrf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DZ9BNgAAAALAQAADwAAAAAAAAABACAA&#10;AAAiAAAAZHJzL2Rvd25yZXYueG1sUEsBAhQAFAAAAAgAh07iQFvh2VzUAQAAmQMAAA4AAAAAAAAA&#10;AQAgAAAAJwEAAGRycy9lMm9Eb2MueG1sUEsFBgAAAAAGAAYAWQEAAG0FA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04</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27</w:t>
                            </w:r>
                          </w:p>
                        </w:txbxContent>
                      </v:textbox>
                    </v:shape>
                  </w:pict>
                </mc:Fallback>
              </mc:AlternateContent>
            </w:r>
            <w:r>
              <w:rPr>
                <w:rFonts w:hint="default" w:ascii="Times New Roman" w:hAnsi="Times New Roman" w:eastAsia="宋体" w:cs="Times New Roman"/>
                <w:color w:val="auto"/>
                <w:sz w:val="21"/>
                <w:highlight w:val="none"/>
              </w:rPr>
              <w:drawing>
                <wp:inline distT="0" distB="0" distL="114300" distR="114300">
                  <wp:extent cx="2496185" cy="1907540"/>
                  <wp:effectExtent l="0" t="0" r="18415" b="16510"/>
                  <wp:docPr id="12" name="图片 12" descr="IMG2022122009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20221220095716"/>
                          <pic:cNvPicPr>
                            <a:picLocks noChangeAspect="1"/>
                          </pic:cNvPicPr>
                        </pic:nvPicPr>
                        <pic:blipFill>
                          <a:blip r:embed="rId13"/>
                          <a:srcRect l="3935" b="2118"/>
                          <a:stretch>
                            <a:fillRect/>
                          </a:stretch>
                        </pic:blipFill>
                        <pic:spPr>
                          <a:xfrm>
                            <a:off x="0" y="0"/>
                            <a:ext cx="2496185" cy="19075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exact"/>
        </w:trPr>
        <w:tc>
          <w:tcPr>
            <w:tcW w:w="4424"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原项目已建的办公综合楼（三）</w:t>
            </w:r>
          </w:p>
        </w:tc>
        <w:tc>
          <w:tcPr>
            <w:tcW w:w="3949"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项目区南侧现状（四）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atLeast"/>
        </w:trPr>
        <w:tc>
          <w:tcPr>
            <w:tcW w:w="4424" w:type="dxa"/>
            <w:noWrap w:val="0"/>
            <w:vAlign w:val="top"/>
          </w:tcPr>
          <w:p>
            <w:pP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4384" behindDoc="0" locked="0" layoutInCell="1" allowOverlap="1">
                      <wp:simplePos x="0" y="0"/>
                      <wp:positionH relativeFrom="column">
                        <wp:posOffset>2005965</wp:posOffset>
                      </wp:positionH>
                      <wp:positionV relativeFrom="paragraph">
                        <wp:posOffset>1726565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04</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27</w:t>
                                  </w:r>
                                </w:p>
                              </w:txbxContent>
                            </wps:txbx>
                            <wps:bodyPr wrap="none" anchor="t">
                              <a:spAutoFit/>
                            </wps:bodyPr>
                          </wps:wsp>
                        </a:graphicData>
                      </a:graphic>
                    </wp:anchor>
                  </w:drawing>
                </mc:Choice>
                <mc:Fallback>
                  <w:pict>
                    <v:shape id="_x0000_s1026" o:spid="_x0000_s1026" o:spt="202" type="#_x0000_t202" style="position:absolute;left:0pt;margin-left:157.95pt;margin-top:135.95pt;height:144pt;width:144pt;mso-wrap-style:none;z-index:251664384;mso-width-relative:page;mso-height-relative:page;" filled="f" stroked="f" coordsize="21600,21600" o:gfxdata="UEsDBAoAAAAAAIdO4kAAAAAAAAAAAAAAAAAEAAAAZHJzL1BLAwQUAAAACACHTuJA201pv9kAAAAL&#10;AQAADwAAAGRycy9kb3ducmV2LnhtbE2PPU/DMBCGdyT+g3WV2KidRikkjdOhEl0QAwXB6sTXJEr8&#10;odhNA7+eY4LtPd2j954r94sZ2YxT6J2VkKwFMLSN071tJby/Pd0/AgtRWa1GZ1HCFwbYV7c3pSq0&#10;u9pXnE+xZVRiQ6EkdDH6gvPQdGhUWDuPlnZnNxkVaZxarid1pXIz8o0QW25Ub+lCpzweOmyG08VI&#10;eFEfxzgvQ3Mc/Fl/Gl8f0u9nKe9WidgBi7jEPxh+9UkdKnKq3cXqwEYJaZLlhErYPCQUiNiKlEIt&#10;IcvyHHhV8v8/VD9QSwMEFAAAAAgAh07iQEctzKPUAQAAlwMAAA4AAABkcnMvZTJvRG9jLnhtbK1T&#10;zY7TMBC+I/EOlu802a7aZqOmK1C1XBAg7fIArmM3lmyPZbtN+gLwBpy4cOe5+hyMnXQXlsseuCSe&#10;H38z3zfj9e1gNDkKHxTYhl7NSkqE5dAqu2/ol4e7NxUlITLbMg1WNPQkAr3dvH617l0t5tCBboUn&#10;CGJD3buGdjG6uigC74RhYQZOWAxK8IZFNP2+aD3rEd3oYl6Wy6IH3zoPXISA3u0YpBOifwkgSKm4&#10;2AI/GGHjiOqFZhEphU65QDe5WykFj5+kDCIS3VBkGvMXi+B5l77FZs3qvWeuU3xqgb2khWecDFMW&#10;iz5CbVlk5ODVP1BGcQ8BZJxxMMVIJCuCLK7KZ9rcd8yJzAWlDu5R9PD/YPnH42dPVNtQHLtlBgd+&#10;/v7t/OPX+edXUiV5ehdqzLp3mBeHdzDg0lz8AZ2J9SC9SX/kQzA+X1Wr5QIlPuF5cXN9s1qMQosh&#10;Ep4AqnlVlZjAMeNiYK3iCcr5EN8LMCQdGupxkllgdvwQ4ph6SUmVLdwprfM0tSV9Q5fX2MBfEQTX&#10;NnlE3osJJtEbaaRTHHbDxHkH7Qkp97gbDbX4FChhlneAyzN2EtzbQ8SyuZt0ebyBLJKB88p8pt1K&#10;C/GnnbOe3tP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tNab/ZAAAACwEAAA8AAAAAAAAAAQAg&#10;AAAAIgAAAGRycy9kb3ducmV2LnhtbFBLAQIUABQAAAAIAIdO4kBHLcyj1AEAAJcDAAAOAAAAAAAA&#10;AAEAIAAAACgBAABkcnMvZTJvRG9jLnhtbFBLBQYAAAAABgAGAFkBAABuBQ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04</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27</w:t>
                            </w:r>
                          </w:p>
                        </w:txbxContent>
                      </v:textbox>
                    </v:shape>
                  </w:pict>
                </mc:Fallback>
              </mc:AlternateContent>
            </w:r>
            <w:r>
              <w:rPr>
                <w:rFonts w:hint="default" w:ascii="Times New Roman" w:hAnsi="Times New Roman" w:eastAsia="宋体" w:cs="Times New Roman"/>
                <w:color w:val="auto"/>
                <w:highlight w:val="none"/>
                <w:vertAlign w:val="baseline"/>
                <w:lang w:eastAsia="zh-CN"/>
              </w:rPr>
              <w:drawing>
                <wp:inline distT="0" distB="0" distL="114300" distR="114300">
                  <wp:extent cx="2653030" cy="1905000"/>
                  <wp:effectExtent l="0" t="0" r="0" b="0"/>
                  <wp:docPr id="16" name="图片 16" descr="IMG2022122009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20221220095636"/>
                          <pic:cNvPicPr>
                            <a:picLocks noChangeAspect="1"/>
                          </pic:cNvPicPr>
                        </pic:nvPicPr>
                        <pic:blipFill>
                          <a:blip r:embed="rId14"/>
                          <a:srcRect b="4245"/>
                          <a:stretch>
                            <a:fillRect/>
                          </a:stretch>
                        </pic:blipFill>
                        <pic:spPr>
                          <a:xfrm>
                            <a:off x="0" y="0"/>
                            <a:ext cx="2653030" cy="1905000"/>
                          </a:xfrm>
                          <a:prstGeom prst="rect">
                            <a:avLst/>
                          </a:prstGeom>
                        </pic:spPr>
                      </pic:pic>
                    </a:graphicData>
                  </a:graphic>
                </wp:inline>
              </w:drawing>
            </w:r>
          </w:p>
        </w:tc>
        <w:tc>
          <w:tcPr>
            <w:tcW w:w="3949" w:type="dxa"/>
            <w:noWrap w:val="0"/>
            <w:vAlign w:val="top"/>
          </w:tcPr>
          <w:p>
            <w:pP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1725295</wp:posOffset>
                      </wp:positionH>
                      <wp:positionV relativeFrom="paragraph">
                        <wp:posOffset>1737995</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04</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27</w:t>
                                  </w:r>
                                </w:p>
                              </w:txbxContent>
                            </wps:txbx>
                            <wps:bodyPr wrap="none" anchor="t">
                              <a:spAutoFit/>
                            </wps:bodyPr>
                          </wps:wsp>
                        </a:graphicData>
                      </a:graphic>
                    </wp:anchor>
                  </w:drawing>
                </mc:Choice>
                <mc:Fallback>
                  <w:pict>
                    <v:shape id="_x0000_s1026" o:spid="_x0000_s1026" o:spt="202" type="#_x0000_t202" style="position:absolute;left:0pt;margin-left:135.85pt;margin-top:136.85pt;height:144pt;width:144pt;mso-wrap-style:none;z-index:251661312;mso-width-relative:page;mso-height-relative:page;" filled="f" stroked="f" coordsize="21600,21600" o:gfxdata="UEsDBAoAAAAAAIdO4kAAAAAAAAAAAAAAAAAEAAAAZHJzL1BLAwQUAAAACACHTuJADwfdNNcAAAAL&#10;AQAADwAAAGRycy9kb3ducmV2LnhtbE2PwU7DMBBE70j8g7VI3KiTVm1pGqeHSvSCONAiuG5iN4kS&#10;r63YTQNfz/YEt7ea0exMvptsL0YzhNaRgnSWgDBUOd1SreDj9PL0DCJEJI29I6Pg2wTYFfd3OWba&#10;XendjMdYCw6hkKGCJkafSRmqxlgMM+cNsXZ2g8XI51BLPeCVw20v50mykhZb4g8NerNvTNUdL1bB&#10;G34e4jh11aHzZ/1lfblf/Lwq9fiQJlsQ0Uzxzwy3+lwdCu5UugvpIHoF83W6ZusNFgzsWC43DCXD&#10;iiVZ5PL/huIXUEsDBBQAAAAIAIdO4kAA1eLt1AEAAJkDAAAOAAAAZHJzL2Uyb0RvYy54bWytU0tu&#10;2zAQ3RfIHQjua8kObCuC5aCFkWyKtkCSA9AUZRHgDxzaki/Q3qCrbrrvuXyODik5300W3UicD9/M&#10;ezNcXfdakYPwIK2p6HSSUyIMt7U0u4o+3N98LCiBwEzNlDWiokcB9Hp98WHVuVLMbGtVLTxBEANl&#10;5yrahuDKLAPeCs1gYp0wGGys1yyg6XdZ7VmH6FplszxfZJ31tfOWCwD0boYgHRH9ewBt00guNpbv&#10;tTBhQPVCsYCUoJUO6Dp12zSCh29NAyIQVVFkGtIXi+B5G7/ZesXKnWeulXxsgb2nhVecNJMGiz5C&#10;bVhgZO/lGygtubdgmzDhVmcDkaQIspjmr7S5a5kTiQtKDe5RdPh/sPzr4bsnssZNmFJimMaJn379&#10;PP3+e/rzg6APBeoclJh35zAz9J9tj8lnP6Az8u4br+MfGRGMz5bFcjFHkY94nl9dXi3ng9SiD4RH&#10;gGJWFDkmcMw4G1gre4JyHsKtsJrEQ0U9zjJJzA5fIAyp55RY2dgbqVSapzKkq+jiEht4EUFwZaJH&#10;pM0YYSK9gUY8hX7bj5y3tj4i5Q63o6IGHwMlzPDW4voMnYD7tA9YNnUTLw83kEU0cGKJz7hdcSWe&#10;2ynr6UWt/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PB9001wAAAAsBAAAPAAAAAAAAAAEAIAAA&#10;ACIAAABkcnMvZG93bnJldi54bWxQSwECFAAUAAAACACHTuJAANXi7dQBAACZAwAADgAAAAAAAAAB&#10;ACAAAAAmAQAAZHJzL2Uyb0RvYy54bWxQSwUGAAAAAAYABgBZAQAAbAU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04</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27</w:t>
                            </w:r>
                          </w:p>
                        </w:txbxContent>
                      </v:textbox>
                    </v:shape>
                  </w:pict>
                </mc:Fallback>
              </mc:AlternateContent>
            </w:r>
            <w:r>
              <w:rPr>
                <w:rFonts w:hint="default" w:ascii="Times New Roman" w:hAnsi="Times New Roman" w:eastAsia="宋体" w:cs="Times New Roman"/>
                <w:color w:val="auto"/>
                <w:highlight w:val="none"/>
                <w:vertAlign w:val="baseline"/>
                <w:lang w:eastAsia="zh-CN"/>
              </w:rPr>
              <w:drawing>
                <wp:inline distT="0" distB="0" distL="114300" distR="114300">
                  <wp:extent cx="2451100" cy="1922780"/>
                  <wp:effectExtent l="0" t="0" r="6350" b="1270"/>
                  <wp:docPr id="23" name="图片 23" descr="IMG2022122009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20221220095015"/>
                          <pic:cNvPicPr>
                            <a:picLocks noChangeAspect="1"/>
                          </pic:cNvPicPr>
                        </pic:nvPicPr>
                        <pic:blipFill>
                          <a:blip r:embed="rId15"/>
                          <a:srcRect l="4368"/>
                          <a:stretch>
                            <a:fillRect/>
                          </a:stretch>
                        </pic:blipFill>
                        <pic:spPr>
                          <a:xfrm>
                            <a:off x="0" y="0"/>
                            <a:ext cx="2451100" cy="19227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424"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项目区西侧现状（五）</w:t>
            </w:r>
          </w:p>
        </w:tc>
        <w:tc>
          <w:tcPr>
            <w:tcW w:w="3949"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项目区东侧现状（六）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2" w:hRule="exact"/>
        </w:trPr>
        <w:tc>
          <w:tcPr>
            <w:tcW w:w="4424"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7456" behindDoc="0" locked="0" layoutInCell="1" allowOverlap="1">
                      <wp:simplePos x="0" y="0"/>
                      <wp:positionH relativeFrom="column">
                        <wp:posOffset>1932940</wp:posOffset>
                      </wp:positionH>
                      <wp:positionV relativeFrom="paragraph">
                        <wp:posOffset>1687830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04</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27</w:t>
                                  </w:r>
                                </w:p>
                              </w:txbxContent>
                            </wps:txbx>
                            <wps:bodyPr wrap="none" anchor="t">
                              <a:spAutoFit/>
                            </wps:bodyPr>
                          </wps:wsp>
                        </a:graphicData>
                      </a:graphic>
                    </wp:anchor>
                  </w:drawing>
                </mc:Choice>
                <mc:Fallback>
                  <w:pict>
                    <v:shape id="_x0000_s1026" o:spid="_x0000_s1026" o:spt="202" type="#_x0000_t202" style="position:absolute;left:0pt;margin-left:152.2pt;margin-top:132.9pt;height:144pt;width:144pt;mso-wrap-style:none;z-index:251667456;mso-width-relative:page;mso-height-relative:page;" filled="f" stroked="f" coordsize="21600,21600" o:gfxdata="UEsDBAoAAAAAAIdO4kAAAAAAAAAAAAAAAAAEAAAAZHJzL1BLAwQUAAAACACHTuJAorRbk9oAAAAL&#10;AQAADwAAAGRycy9kb3ducmV2LnhtbE2PzU7DMBCE70i8g7WVuFG7SVOVNE4PlegFcaBFcN3EbhIl&#10;/lHspoGnZznBbXdnNPtNsZ/NwCY9hs5ZCaulAKZt7VRnGwnv5+fHLbAQ0SocnNUSvnSAfXl/V2Cu&#10;3M2+6ekUG0YhNuQooY3R55yHutUGw9J5bUm7uNFgpHVsuBrxRuFm4IkQG26ws/ShRa8Pra7709VI&#10;eMWPY5zmvj72/qI+ja8O6feLlA+LldgBi3qOf2b4xSd0KImpclerAhskpGK9JquEZJNRB3JkTwld&#10;KhqydAu8LPj/DuUPUEsDBBQAAAAIAIdO4kBGpnhqygEAAI0DAAAOAAAAZHJzL2Uyb0RvYy54bWyt&#10;U0tu2zAQ3RfoHQjuaykuahiC5SCFkWyCtkDaA9AUZREgOQSHtuQLJDfoqpvuey6fo0NKdop0k0U2&#10;Euf3Zt7jcHU9WMMOKqAGV/OrWcmZchIa7XY1//H99sOSM4zCNcKAUzU/KuTX6/fvVr2v1Bw6MI0K&#10;jEAcVr2veRejr4oCZaeswBl45SjYQrAikhl2RRNET+jWFPOyXBQ9hMYHkAqRvJsxyCfE8BpAaFst&#10;1Qbk3ioXR9SgjIhECTvtka/ztG2rZPzatqgiMzUnpjF/qQmdt+lbrFei2gXhOy2nEcRrRnjByQrt&#10;qOkFaiOiYPug/4OyWgZAaONMgi1GIlkRYnFVvtDmoRNeZS4kNfqL6Ph2sPLL4Vtguqn5fMGZE5Zu&#10;/PTz6fTrz+n3IyMfCdR7rCjvwVNmHD7DQGtz9iM5E++hDTb9iRGjOMl7vMirhshkKlrOl8uSQpJi&#10;Z4Pwi+dyHzDeKbAsHWoe6P6yrOJwj3FMPaekbg5utTH5Do1jfc0XHz+VueASIXDjUq7K2zDBJErj&#10;6OkUh+0w8dxCcySaPW1EzR09AM6Ekx3QyoyToL/ZR2qbp0nFYwWxSAbdUuYzbVRag3/tnPX8it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K0W5PaAAAACwEAAA8AAAAAAAAAAQAgAAAAIgAAAGRy&#10;cy9kb3ducmV2LnhtbFBLAQIUABQAAAAIAIdO4kBGpnhqygEAAI0DAAAOAAAAAAAAAAEAIAAAACkB&#10;AABkcnMvZTJvRG9jLnhtbFBLBQYAAAAABgAGAFkBAABlBQ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04</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27</w:t>
                            </w:r>
                          </w:p>
                        </w:txbxContent>
                      </v:textbox>
                    </v:shape>
                  </w:pict>
                </mc:Fallback>
              </mc:AlternateContent>
            </w:r>
            <w:r>
              <w:rPr>
                <w:rFonts w:hint="default" w:ascii="Times New Roman" w:hAnsi="Times New Roman" w:eastAsia="宋体" w:cs="Times New Roman"/>
                <w:color w:val="auto"/>
                <w:highlight w:val="none"/>
                <w:vertAlign w:val="baseline"/>
                <w:lang w:eastAsia="zh-CN"/>
              </w:rPr>
              <w:drawing>
                <wp:inline distT="0" distB="0" distL="114300" distR="114300">
                  <wp:extent cx="2622550" cy="1823720"/>
                  <wp:effectExtent l="0" t="0" r="6350" b="5080"/>
                  <wp:docPr id="17" name="图片 17" descr="IMG20221220095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20221220095924"/>
                          <pic:cNvPicPr>
                            <a:picLocks noChangeAspect="1"/>
                          </pic:cNvPicPr>
                        </pic:nvPicPr>
                        <pic:blipFill>
                          <a:blip r:embed="rId16"/>
                          <a:srcRect t="7265"/>
                          <a:stretch>
                            <a:fillRect/>
                          </a:stretch>
                        </pic:blipFill>
                        <pic:spPr>
                          <a:xfrm>
                            <a:off x="0" y="0"/>
                            <a:ext cx="2622550" cy="1823720"/>
                          </a:xfrm>
                          <a:prstGeom prst="rect">
                            <a:avLst/>
                          </a:prstGeom>
                        </pic:spPr>
                      </pic:pic>
                    </a:graphicData>
                  </a:graphic>
                </wp:inline>
              </w:drawing>
            </w:r>
          </w:p>
        </w:tc>
        <w:tc>
          <w:tcPr>
            <w:tcW w:w="3949"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8480" behindDoc="0" locked="0" layoutInCell="1" allowOverlap="1">
                      <wp:simplePos x="0" y="0"/>
                      <wp:positionH relativeFrom="column">
                        <wp:posOffset>1703070</wp:posOffset>
                      </wp:positionH>
                      <wp:positionV relativeFrom="paragraph">
                        <wp:posOffset>1677035</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04</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7</w:t>
                                  </w:r>
                                </w:p>
                              </w:txbxContent>
                            </wps:txbx>
                            <wps:bodyPr wrap="none" anchor="t">
                              <a:spAutoFit/>
                            </wps:bodyPr>
                          </wps:wsp>
                        </a:graphicData>
                      </a:graphic>
                    </wp:anchor>
                  </w:drawing>
                </mc:Choice>
                <mc:Fallback>
                  <w:pict>
                    <v:shape id="_x0000_s1026" o:spid="_x0000_s1026" o:spt="202" type="#_x0000_t202" style="position:absolute;left:0pt;margin-left:134.1pt;margin-top:132.05pt;height:144pt;width:144pt;mso-wrap-style:none;z-index:251668480;mso-width-relative:page;mso-height-relative:page;" filled="f" stroked="f" coordsize="21600,21600" o:gfxdata="UEsDBAoAAAAAAIdO4kAAAAAAAAAAAAAAAAAEAAAAZHJzL1BLAwQUAAAACACHTuJAi80BONgAAAAL&#10;AQAADwAAAGRycy9kb3ducmV2LnhtbE2PQU+DQBCF7yb9D5sx8WYX0JIGWXpo0l6MB2uj14GdAoHd&#10;JeyWor/e4aS3N/Ne3nyT72bTi4lG3zqrIF5HIMhWTre2VnD+ODxuQfiAVmPvLCn4Jg+7YnWXY6bd&#10;zb7TdAq14BLrM1TQhDBkUvqqIYN+7Qay7F3caDDwONZSj3jjctPLJIpSabC1fKHBgfYNVd3pahS8&#10;4ecxTHNXHbvhor/MUO6ffl6VeriPoxcQgebwF4YFn9GhYKbSXa32oleQpNuEo4t4jkFwYrNJeVMu&#10;IolBFrn8/0PxC1BLAwQUAAAACACHTuJAvxNUWcoBAACNAwAADgAAAGRycy9lMm9Eb2MueG1srVNL&#10;btswEN0X6B0I7mspLpIaguUghZFsirZAmgPQFGURIDkEh7bkC7Q36Kqb7nsun6NDSnaCZJNFNhLn&#10;92be43B5PVjD9iqgBlfzi1nJmXISGu22NX/4cfthwRlG4RphwKmaHxTy69X7d8veV2oOHZhGBUYg&#10;Dqve17yL0VdFgbJTVuAMvHIUbCFYEckM26IJoid0a4p5WV4VPYTGB5AKkbzrMcgnxPAaQGhbLdUa&#10;5M4qF0fUoIyIRAk77ZGv8rRtq2T81raoIjM1J6Yxf6kJnTfpW6yWotoG4TstpxHEa0Z4xskK7ajp&#10;GWotomC7oF9AWS0DILRxJsEWI5GsCLG4KJ9pc98JrzIXkhr9WXR8O1j5df89MN3UfP6JMycs3fjx&#10;96/jn3/Hvz8Z+Uig3mNFefeeMuPwGQZam5MfyZl4D22w6U+MGMVJ3sNZXjVEJlPRYr5YlBSSFDsZ&#10;hF88lvuA8U6BZelQ80D3l2UV+y8Yx9RTSurm4FYbk+/QONbX/OrjZZkLzhECNy7lqrwNE0yiNI6e&#10;TnHYDBPPDTQHotnTRtTc0QPgTDjZAa3MOAn6m12ktnmaVDxWEItk0C1lPtNGpTV4auesx1e0+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LzQE42AAAAAsBAAAPAAAAAAAAAAEAIAAAACIAAABkcnMv&#10;ZG93bnJldi54bWxQSwECFAAUAAAACACHTuJAvxNUWcoBAACNAwAADgAAAAAAAAABACAAAAAnAQAA&#10;ZHJzL2Uyb0RvYy54bWxQSwUGAAAAAAYABgBZAQAAYwU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04</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7</w:t>
                            </w:r>
                          </w:p>
                        </w:txbxContent>
                      </v:textbox>
                    </v:shape>
                  </w:pict>
                </mc:Fallback>
              </mc:AlternateContent>
            </w:r>
            <w:r>
              <w:rPr>
                <w:rFonts w:hint="default" w:ascii="Times New Roman" w:hAnsi="Times New Roman" w:eastAsia="宋体" w:cs="Times New Roman"/>
                <w:color w:val="auto"/>
                <w:highlight w:val="none"/>
                <w:vertAlign w:val="baseline"/>
                <w:lang w:eastAsia="zh-CN"/>
              </w:rPr>
              <w:drawing>
                <wp:inline distT="0" distB="0" distL="114300" distR="114300">
                  <wp:extent cx="2435225" cy="1826895"/>
                  <wp:effectExtent l="0" t="0" r="3175" b="1905"/>
                  <wp:docPr id="18" name="图片 18" descr="IMG2022122009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20221220095940"/>
                          <pic:cNvPicPr>
                            <a:picLocks noChangeAspect="1"/>
                          </pic:cNvPicPr>
                        </pic:nvPicPr>
                        <pic:blipFill>
                          <a:blip r:embed="rId17"/>
                          <a:stretch>
                            <a:fillRect/>
                          </a:stretch>
                        </pic:blipFill>
                        <pic:spPr>
                          <a:xfrm>
                            <a:off x="0" y="0"/>
                            <a:ext cx="2435225" cy="18268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exact"/>
        </w:trPr>
        <w:tc>
          <w:tcPr>
            <w:tcW w:w="4424" w:type="dxa"/>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原项目已建的地埋式污水处理站（七）</w:t>
            </w:r>
          </w:p>
        </w:tc>
        <w:tc>
          <w:tcPr>
            <w:tcW w:w="3949" w:type="dxa"/>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原项目已建的化粪池（八）</w:t>
            </w:r>
          </w:p>
        </w:tc>
      </w:tr>
    </w:tbl>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color w:val="auto"/>
          <w:sz w:val="32"/>
          <w:szCs w:val="32"/>
          <w:highlight w:val="none"/>
          <w:lang w:val="en-US" w:eastAsia="zh-CN"/>
        </w:rPr>
        <w:sectPr>
          <w:headerReference r:id="rId5" w:type="default"/>
          <w:footerReference r:id="rId6"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adjustRightInd w:val="0"/>
        <w:snapToGrid w:val="0"/>
        <w:spacing w:line="360" w:lineRule="auto"/>
        <w:jc w:val="cente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目</w:t>
      </w:r>
      <w:r>
        <w:rPr>
          <w:rFonts w:hint="default" w:ascii="Times New Roman" w:hAnsi="Times New Roman" w:eastAsia="宋体" w:cs="Times New Roman"/>
          <w:b/>
          <w:bCs/>
          <w:color w:val="auto"/>
          <w:sz w:val="28"/>
          <w:szCs w:val="28"/>
          <w:highlight w:val="none"/>
          <w:lang w:val="en-US" w:eastAsia="zh-CN"/>
        </w:rPr>
        <w:t xml:space="preserve">  </w:t>
      </w:r>
      <w:r>
        <w:rPr>
          <w:rFonts w:hint="default" w:ascii="Times New Roman" w:hAnsi="Times New Roman" w:eastAsia="宋体" w:cs="Times New Roman"/>
          <w:b/>
          <w:bCs/>
          <w:color w:val="auto"/>
          <w:sz w:val="28"/>
          <w:szCs w:val="28"/>
          <w:highlight w:val="none"/>
        </w:rPr>
        <w:t>录</w:t>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TOC \o "1-1" \h \u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_Toc20961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一、建设项目基本情况</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_Toc20961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_Toc1587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二、建设项目工程分析</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_Toc1587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25</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_Toc7404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三、区域环境质量现状、环境保护目标及评价标准</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_Toc7404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45</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_Toc6112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四、主要环境影响和保护措施</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_Toc6112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52</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_Toc6939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五、环境保护措施监督检查清单</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_Toc6939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88</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_Toc24787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六、结论</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_Toc24787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91</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_Toc24156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附表</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_Toc24156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92</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bCs/>
          <w:color w:val="auto"/>
          <w:sz w:val="24"/>
          <w:szCs w:val="24"/>
          <w:highlight w:val="none"/>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bCs/>
          <w:color w:val="auto"/>
          <w:sz w:val="28"/>
          <w:szCs w:val="28"/>
          <w:highlight w:val="none"/>
        </w:rPr>
        <w:fldChar w:fldCharType="end"/>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附件：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附件1：环评委托书</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附件2：公司营业执照；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法人身份证复印件；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投资项目备案证</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附件5：入园同意书；</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附件6：引用环境质量现状监测报告（非甲烷总烃）；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附件7：原项目环保手续（环评批复、预案备案表、排污登记回执、验收意见）；</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附件8：原项目竣工环境保护验收检查报告；</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附件9：</w:t>
      </w:r>
      <w:r>
        <w:rPr>
          <w:rFonts w:hint="default" w:ascii="Times New Roman" w:hAnsi="Times New Roman" w:eastAsia="宋体" w:cs="Times New Roman"/>
          <w:color w:val="auto"/>
          <w:sz w:val="24"/>
          <w:highlight w:val="none"/>
          <w:lang w:val="en-US" w:eastAsia="zh-CN"/>
        </w:rPr>
        <w:t>云南省生态环境厅</w:t>
      </w:r>
      <w:r>
        <w:rPr>
          <w:rFonts w:hint="default" w:ascii="Times New Roman" w:hAnsi="Times New Roman" w:eastAsia="宋体" w:cs="Times New Roman"/>
          <w:color w:val="auto"/>
          <w:sz w:val="24"/>
          <w:highlight w:val="none"/>
        </w:rPr>
        <w:t>关于对《</w:t>
      </w:r>
      <w:r>
        <w:rPr>
          <w:rFonts w:hint="default" w:ascii="Times New Roman" w:hAnsi="Times New Roman" w:eastAsia="宋体" w:cs="Times New Roman"/>
          <w:color w:val="auto"/>
          <w:sz w:val="24"/>
          <w:highlight w:val="none"/>
          <w:lang w:val="en-US" w:eastAsia="zh-CN"/>
        </w:rPr>
        <w:t>寻甸特色产业园区总体规划修编</w:t>
      </w:r>
      <w:r>
        <w:rPr>
          <w:rFonts w:hint="default" w:ascii="Times New Roman" w:hAnsi="Times New Roman" w:eastAsia="宋体" w:cs="Times New Roman"/>
          <w:color w:val="auto"/>
          <w:sz w:val="24"/>
          <w:highlight w:val="none"/>
        </w:rPr>
        <w:t>划（201</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-20</w:t>
      </w:r>
      <w:r>
        <w:rPr>
          <w:rFonts w:hint="default" w:ascii="Times New Roman" w:hAnsi="Times New Roman" w:eastAsia="宋体" w:cs="Times New Roman"/>
          <w:color w:val="auto"/>
          <w:sz w:val="24"/>
          <w:highlight w:val="none"/>
          <w:lang w:val="en-US" w:eastAsia="zh-CN"/>
        </w:rPr>
        <w:t>35</w:t>
      </w:r>
      <w:r>
        <w:rPr>
          <w:rFonts w:hint="default" w:ascii="Times New Roman" w:hAnsi="Times New Roman" w:eastAsia="宋体" w:cs="Times New Roman"/>
          <w:color w:val="auto"/>
          <w:sz w:val="24"/>
          <w:highlight w:val="none"/>
        </w:rPr>
        <w:t>年）环境影响报告书》审查意见的函</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云环函[2020]261号</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bCs/>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10：合同、进度管理表、内审表；</w:t>
      </w:r>
    </w:p>
    <w:p>
      <w:pPr>
        <w:pStyle w:val="14"/>
        <w:keepNext w:val="0"/>
        <w:keepLines w:val="0"/>
        <w:pageBreakBefore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附件11：全本公示截图。</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附图：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附图1：项目地理位置图</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附图2：</w:t>
      </w:r>
      <w:r>
        <w:rPr>
          <w:rFonts w:hint="default" w:ascii="Times New Roman" w:hAnsi="Times New Roman" w:eastAsia="宋体" w:cs="Times New Roman"/>
          <w:color w:val="auto"/>
          <w:sz w:val="24"/>
          <w:szCs w:val="24"/>
          <w:highlight w:val="none"/>
          <w:lang w:val="en-US" w:eastAsia="zh-CN"/>
        </w:rPr>
        <w:t>扩建完成后项目区总平面布置图；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附图3：项目周边关系图</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附图4：</w:t>
      </w:r>
      <w:r>
        <w:rPr>
          <w:rFonts w:hint="default" w:ascii="Times New Roman" w:hAnsi="Times New Roman" w:eastAsia="宋体" w:cs="Times New Roman"/>
          <w:color w:val="auto"/>
          <w:sz w:val="24"/>
          <w:highlight w:val="none"/>
        </w:rPr>
        <w:t>项目区域水系图；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附图5：本项目与寻甸特色产业园区金所片区用地规划位置关系图；</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附图</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本项目与牛栏江流域（云南段）的位置关系图</w:t>
      </w:r>
      <w:r>
        <w:rPr>
          <w:rFonts w:hint="default" w:ascii="Times New Roman" w:hAnsi="Times New Roman" w:eastAsia="宋体" w:cs="Times New Roman"/>
          <w:color w:val="auto"/>
          <w:sz w:val="24"/>
          <w:highlight w:val="none"/>
        </w:rPr>
        <w:t>；</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附图</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项目区与牛栏江（寻甸段）水环境保护分区位置关系图；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rPr>
        <w:t>附图</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szCs w:val="24"/>
          <w:highlight w:val="none"/>
          <w:lang w:val="en-US" w:eastAsia="zh-CN"/>
        </w:rPr>
        <w:t>：引用项目大气</w:t>
      </w:r>
      <w:r>
        <w:rPr>
          <w:rFonts w:hint="default" w:ascii="Times New Roman" w:hAnsi="Times New Roman" w:eastAsia="宋体" w:cs="Times New Roman"/>
          <w:color w:val="auto"/>
          <w:sz w:val="24"/>
          <w:highlight w:val="none"/>
        </w:rPr>
        <w:t>环境质量现状监测点位图</w:t>
      </w:r>
      <w:r>
        <w:rPr>
          <w:rFonts w:hint="default" w:ascii="Times New Roman" w:hAnsi="Times New Roman" w:eastAsia="宋体" w:cs="Times New Roman"/>
          <w:color w:val="auto"/>
          <w:sz w:val="24"/>
          <w:highlight w:val="none"/>
          <w:lang w:eastAsia="zh-CN"/>
        </w:rPr>
        <w:t>。</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Cs/>
          <w:color w:val="auto"/>
          <w:sz w:val="24"/>
          <w:szCs w:val="24"/>
          <w:highlight w:val="none"/>
        </w:r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Cs/>
          <w:color w:val="auto"/>
          <w:sz w:val="24"/>
          <w:szCs w:val="24"/>
          <w:highlight w:val="none"/>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4" w:name="_Toc20961"/>
      <w:r>
        <w:rPr>
          <w:rFonts w:hint="default" w:ascii="Times New Roman" w:hAnsi="Times New Roman" w:eastAsia="宋体" w:cs="Times New Roman"/>
          <w:b/>
          <w:bCs/>
          <w:snapToGrid w:val="0"/>
          <w:color w:val="auto"/>
          <w:sz w:val="30"/>
          <w:szCs w:val="30"/>
          <w:highlight w:val="none"/>
        </w:rPr>
        <w:t>一、建设项目基本情况</w:t>
      </w:r>
      <w:bookmarkEnd w:id="2"/>
      <w:bookmarkEnd w:id="4"/>
    </w:p>
    <w:tbl>
      <w:tblPr>
        <w:tblStyle w:val="26"/>
        <w:tblW w:w="88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24"/>
        <w:gridCol w:w="1010"/>
        <w:gridCol w:w="2136"/>
        <w:gridCol w:w="1977"/>
        <w:gridCol w:w="29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7095" w:type="dxa"/>
            <w:gridSpan w:val="3"/>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昆明茂源卫生用品有限公司塑料制品生产扩建项目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7095" w:type="dxa"/>
            <w:gridSpan w:val="3"/>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2302-530129-04-01-810251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2136"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李军</w:t>
            </w:r>
          </w:p>
        </w:tc>
        <w:tc>
          <w:tcPr>
            <w:tcW w:w="1977"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联系方式</w:t>
            </w:r>
          </w:p>
        </w:tc>
        <w:tc>
          <w:tcPr>
            <w:tcW w:w="2982"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182</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7726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7095" w:type="dxa"/>
            <w:gridSpan w:val="3"/>
            <w:vAlign w:val="center"/>
          </w:tcPr>
          <w:p>
            <w:pPr>
              <w:adjustRightInd w:val="0"/>
              <w:snapToGrid w:val="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u w:val="none"/>
                <w:lang w:val="en-US" w:eastAsia="zh-CN"/>
              </w:rPr>
              <w:t>云南省昆明市寻甸特色产业园区金所片区YS2019-87号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7095" w:type="dxa"/>
            <w:gridSpan w:val="3"/>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u w:val="single"/>
                <w:lang w:val="en-US" w:eastAsia="zh-CN"/>
              </w:rPr>
              <w:t>103</w:t>
            </w:r>
            <w:r>
              <w:rPr>
                <w:rFonts w:hint="default" w:ascii="Times New Roman" w:hAnsi="Times New Roman" w:eastAsia="宋体" w:cs="Times New Roman"/>
                <w:color w:val="auto"/>
                <w:sz w:val="24"/>
                <w:szCs w:val="24"/>
                <w:highlight w:val="none"/>
              </w:rPr>
              <w:t>度</w:t>
            </w:r>
            <w:r>
              <w:rPr>
                <w:rFonts w:hint="default" w:ascii="Times New Roman" w:hAnsi="Times New Roman" w:eastAsia="宋体" w:cs="Times New Roman"/>
                <w:color w:val="auto"/>
                <w:sz w:val="24"/>
                <w:szCs w:val="24"/>
                <w:highlight w:val="none"/>
                <w:u w:val="single"/>
                <w:lang w:val="en-US" w:eastAsia="zh-CN"/>
              </w:rPr>
              <w:t>12</w:t>
            </w:r>
            <w:r>
              <w:rPr>
                <w:rFonts w:hint="default" w:ascii="Times New Roman" w:hAnsi="Times New Roman" w:eastAsia="宋体" w:cs="Times New Roman"/>
                <w:color w:val="auto"/>
                <w:sz w:val="24"/>
                <w:szCs w:val="24"/>
                <w:highlight w:val="none"/>
              </w:rPr>
              <w:t>分</w:t>
            </w:r>
            <w:r>
              <w:rPr>
                <w:rFonts w:hint="default" w:ascii="Times New Roman" w:hAnsi="Times New Roman" w:eastAsia="宋体" w:cs="Times New Roman"/>
                <w:color w:val="auto"/>
                <w:sz w:val="24"/>
                <w:szCs w:val="24"/>
                <w:highlight w:val="none"/>
                <w:u w:val="single"/>
                <w:lang w:val="en-US" w:eastAsia="zh-CN"/>
              </w:rPr>
              <w:t>46.303</w:t>
            </w:r>
            <w:r>
              <w:rPr>
                <w:rFonts w:hint="default" w:ascii="Times New Roman" w:hAnsi="Times New Roman" w:eastAsia="宋体" w:cs="Times New Roman"/>
                <w:color w:val="auto"/>
                <w:sz w:val="24"/>
                <w:szCs w:val="24"/>
                <w:highlight w:val="none"/>
              </w:rPr>
              <w:t>秒，</w:t>
            </w:r>
            <w:r>
              <w:rPr>
                <w:rFonts w:hint="default" w:ascii="Times New Roman" w:hAnsi="Times New Roman" w:eastAsia="宋体" w:cs="Times New Roman"/>
                <w:color w:val="auto"/>
                <w:sz w:val="24"/>
                <w:szCs w:val="24"/>
                <w:highlight w:val="none"/>
                <w:u w:val="single"/>
                <w:lang w:val="en-US" w:eastAsia="zh-CN"/>
              </w:rPr>
              <w:t>25</w:t>
            </w:r>
            <w:r>
              <w:rPr>
                <w:rFonts w:hint="default" w:ascii="Times New Roman" w:hAnsi="Times New Roman" w:eastAsia="宋体" w:cs="Times New Roman"/>
                <w:color w:val="auto"/>
                <w:sz w:val="24"/>
                <w:szCs w:val="24"/>
                <w:highlight w:val="none"/>
              </w:rPr>
              <w:t>度</w:t>
            </w:r>
            <w:r>
              <w:rPr>
                <w:rFonts w:hint="default" w:ascii="Times New Roman" w:hAnsi="Times New Roman" w:eastAsia="宋体" w:cs="Times New Roman"/>
                <w:color w:val="auto"/>
                <w:sz w:val="24"/>
                <w:szCs w:val="24"/>
                <w:highlight w:val="none"/>
                <w:u w:val="single"/>
                <w:lang w:val="en-US" w:eastAsia="zh-CN"/>
              </w:rPr>
              <w:t>35</w:t>
            </w:r>
            <w:r>
              <w:rPr>
                <w:rFonts w:hint="default" w:ascii="Times New Roman" w:hAnsi="Times New Roman" w:eastAsia="宋体" w:cs="Times New Roman"/>
                <w:color w:val="auto"/>
                <w:sz w:val="24"/>
                <w:szCs w:val="24"/>
                <w:highlight w:val="none"/>
              </w:rPr>
              <w:t>分</w:t>
            </w:r>
            <w:r>
              <w:rPr>
                <w:rFonts w:hint="default" w:ascii="Times New Roman" w:hAnsi="Times New Roman" w:eastAsia="宋体" w:cs="Times New Roman"/>
                <w:color w:val="auto"/>
                <w:sz w:val="24"/>
                <w:szCs w:val="24"/>
                <w:highlight w:val="none"/>
                <w:u w:val="single"/>
                <w:lang w:val="en-US" w:eastAsia="zh-CN"/>
              </w:rPr>
              <w:t>15.503</w:t>
            </w:r>
            <w:r>
              <w:rPr>
                <w:rFonts w:hint="default" w:ascii="Times New Roman" w:hAnsi="Times New Roman" w:eastAsia="宋体" w:cs="Times New Roman"/>
                <w:color w:val="auto"/>
                <w:sz w:val="24"/>
                <w:szCs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国民经济</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2136"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塑料薄膜制造（C2921）</w:t>
            </w:r>
          </w:p>
        </w:tc>
        <w:tc>
          <w:tcPr>
            <w:tcW w:w="1977" w:type="dxa"/>
            <w:vAlign w:val="center"/>
          </w:tcPr>
          <w:p>
            <w:pPr>
              <w:adjustRightInd w:val="0"/>
              <w:snapToGrid w:val="0"/>
              <w:jc w:val="center"/>
              <w:rPr>
                <w:rFonts w:hint="default" w:ascii="Times New Roman" w:hAnsi="Times New Roman" w:eastAsia="宋体" w:cs="Times New Roman"/>
                <w:color w:val="auto"/>
                <w:sz w:val="24"/>
                <w:szCs w:val="24"/>
                <w:highlight w:val="none"/>
              </w:rPr>
            </w:pPr>
            <w:bookmarkStart w:id="5" w:name="_Hlk49843745"/>
            <w:r>
              <w:rPr>
                <w:rFonts w:hint="default" w:ascii="Times New Roman" w:hAnsi="Times New Roman" w:eastAsia="宋体" w:cs="Times New Roman"/>
                <w:color w:val="auto"/>
                <w:sz w:val="24"/>
                <w:szCs w:val="24"/>
                <w:highlight w:val="none"/>
              </w:rPr>
              <w:t>建设项目</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bookmarkEnd w:id="5"/>
          </w:p>
        </w:tc>
        <w:tc>
          <w:tcPr>
            <w:tcW w:w="2982"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二十六、橡胶和塑料制品业29-53塑料制品业292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2136" w:type="dxa"/>
            <w:vAlign w:val="center"/>
          </w:tcPr>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szCs w:val="24"/>
                <w:highlight w:val="none"/>
              </w:rPr>
              <w:t>新建（迁建）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szCs w:val="24"/>
                <w:highlight w:val="none"/>
              </w:rPr>
              <w:t>改建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rPr>
              <w:sym w:font="Wingdings 2" w:char="0052"/>
            </w:r>
            <w:r>
              <w:rPr>
                <w:rFonts w:hint="default" w:ascii="Times New Roman" w:hAnsi="Times New Roman" w:eastAsia="宋体" w:cs="Times New Roman"/>
                <w:color w:val="auto"/>
                <w:sz w:val="24"/>
                <w:szCs w:val="24"/>
                <w:highlight w:val="none"/>
              </w:rPr>
              <w:t>扩建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szCs w:val="24"/>
                <w:highlight w:val="none"/>
              </w:rPr>
              <w:t>技术改造</w:t>
            </w:r>
          </w:p>
        </w:tc>
        <w:tc>
          <w:tcPr>
            <w:tcW w:w="1977" w:type="dxa"/>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2982" w:type="dxa"/>
            <w:vAlign w:val="center"/>
          </w:tcPr>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rPr>
              <w:sym w:font="Wingdings 2" w:char="0052"/>
            </w:r>
            <w:r>
              <w:rPr>
                <w:rFonts w:hint="default" w:ascii="Times New Roman" w:hAnsi="Times New Roman" w:eastAsia="宋体" w:cs="Times New Roman"/>
                <w:color w:val="auto"/>
                <w:sz w:val="24"/>
                <w:szCs w:val="24"/>
                <w:highlight w:val="none"/>
              </w:rPr>
              <w:t xml:space="preserve">首次申报项目             </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szCs w:val="24"/>
                <w:highlight w:val="none"/>
              </w:rPr>
              <w:t>不予批准后再次申报项目</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szCs w:val="24"/>
                <w:highlight w:val="none"/>
              </w:rPr>
              <w:t xml:space="preserve">超五年重新审核项目     </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szCs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备案）部门</w:t>
            </w:r>
          </w:p>
        </w:tc>
        <w:tc>
          <w:tcPr>
            <w:tcW w:w="2136"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寻甸回族彝族自治县发展和改革局</w:t>
            </w:r>
          </w:p>
        </w:tc>
        <w:tc>
          <w:tcPr>
            <w:tcW w:w="1977" w:type="dxa"/>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备案）文号</w:t>
            </w:r>
          </w:p>
        </w:tc>
        <w:tc>
          <w:tcPr>
            <w:tcW w:w="298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2302-530129-04-01-810251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2136"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2000</w:t>
            </w:r>
          </w:p>
        </w:tc>
        <w:tc>
          <w:tcPr>
            <w:tcW w:w="1977"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2982"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9.8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2136"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0.49</w:t>
            </w:r>
          </w:p>
        </w:tc>
        <w:tc>
          <w:tcPr>
            <w:tcW w:w="1977"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2982"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2136" w:type="dxa"/>
            <w:vAlign w:val="center"/>
          </w:tcPr>
          <w:p>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rPr>
              <w:sym w:font="Wingdings 2" w:char="0052"/>
            </w:r>
            <w:r>
              <w:rPr>
                <w:rFonts w:hint="default" w:ascii="Times New Roman" w:hAnsi="Times New Roman" w:eastAsia="宋体" w:cs="Times New Roman"/>
                <w:color w:val="auto"/>
                <w:sz w:val="24"/>
                <w:szCs w:val="24"/>
                <w:highlight w:val="none"/>
              </w:rPr>
              <w:t>否</w:t>
            </w:r>
          </w:p>
          <w:p>
            <w:pPr>
              <w:adjustRightInd w:val="0"/>
              <w:snapToGrid w:val="0"/>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szCs w:val="24"/>
                <w:highlight w:val="none"/>
              </w:rPr>
              <w:t>是：</w:t>
            </w:r>
            <w:r>
              <w:rPr>
                <w:rFonts w:hint="default" w:ascii="Times New Roman" w:hAnsi="Times New Roman" w:eastAsia="宋体" w:cs="Times New Roman"/>
                <w:color w:val="auto"/>
                <w:sz w:val="24"/>
                <w:szCs w:val="24"/>
                <w:highlight w:val="none"/>
                <w:u w:val="single"/>
                <w:lang w:val="en-US" w:eastAsia="zh-CN"/>
              </w:rPr>
              <w:t xml:space="preserve">            </w:t>
            </w:r>
          </w:p>
        </w:tc>
        <w:tc>
          <w:tcPr>
            <w:tcW w:w="1977"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6"/>
                <w:sz w:val="24"/>
                <w:szCs w:val="24"/>
                <w:highlight w:val="none"/>
              </w:rPr>
              <w:t>用地（用海）</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面积（m</w:t>
            </w:r>
            <w:r>
              <w:rPr>
                <w:rFonts w:hint="default" w:ascii="Times New Roman" w:hAnsi="Times New Roman" w:eastAsia="宋体" w:cs="Times New Roman"/>
                <w:color w:val="auto"/>
                <w:spacing w:val="-6"/>
                <w:sz w:val="24"/>
                <w:szCs w:val="24"/>
                <w:highlight w:val="none"/>
                <w:vertAlign w:val="superscript"/>
              </w:rPr>
              <w:t>2</w:t>
            </w:r>
            <w:r>
              <w:rPr>
                <w:rFonts w:hint="default" w:ascii="Times New Roman" w:hAnsi="Times New Roman" w:eastAsia="宋体" w:cs="Times New Roman"/>
                <w:color w:val="auto"/>
                <w:spacing w:val="-6"/>
                <w:sz w:val="24"/>
                <w:szCs w:val="24"/>
                <w:highlight w:val="none"/>
              </w:rPr>
              <w:t>）</w:t>
            </w:r>
          </w:p>
        </w:tc>
        <w:tc>
          <w:tcPr>
            <w:tcW w:w="2982"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2800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24" w:type="dxa"/>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专项评价设置情况</w:t>
            </w:r>
          </w:p>
        </w:tc>
        <w:tc>
          <w:tcPr>
            <w:tcW w:w="8105" w:type="dxa"/>
            <w:gridSpan w:val="4"/>
            <w:vAlign w:val="center"/>
          </w:tcPr>
          <w:p>
            <w:pPr>
              <w:keepNext w:val="0"/>
              <w:keepLines w:val="0"/>
              <w:pageBreakBefore w:val="0"/>
              <w:widowControl w:val="0"/>
              <w:kinsoku/>
              <w:wordWrap/>
              <w:overflowPunct/>
              <w:topLinePunct w:val="0"/>
              <w:autoSpaceDE w:val="0"/>
              <w:autoSpaceDN w:val="0"/>
              <w:bidi w:val="0"/>
              <w:adjustRightInd w:val="0"/>
              <w:snapToGrid w:val="0"/>
              <w:spacing w:line="288"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项目专项评价判定情况如下表所示。</w:t>
            </w:r>
          </w:p>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lang w:val="en-US" w:eastAsia="zh-CN"/>
              </w:rPr>
              <w:t>表1-1   项目专项评价判定表</w:t>
            </w:r>
          </w:p>
          <w:tbl>
            <w:tblPr>
              <w:tblStyle w:val="27"/>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3063"/>
              <w:gridCol w:w="3263"/>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6" w:type="pct"/>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专项评价类比</w:t>
                  </w:r>
                </w:p>
              </w:tc>
              <w:tc>
                <w:tcPr>
                  <w:tcW w:w="1944" w:type="pct"/>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设置原则</w:t>
                  </w:r>
                </w:p>
              </w:tc>
              <w:tc>
                <w:tcPr>
                  <w:tcW w:w="2071" w:type="pct"/>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本项目情况</w:t>
                  </w:r>
                </w:p>
              </w:tc>
              <w:tc>
                <w:tcPr>
                  <w:tcW w:w="497" w:type="pct"/>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是否设置专项评价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6" w:type="pct"/>
                  <w:noWrap w:val="0"/>
                  <w:vAlign w:val="center"/>
                </w:tcPr>
                <w:p>
                  <w:pPr>
                    <w:tabs>
                      <w:tab w:val="left" w:pos="3255"/>
                    </w:tabs>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大气</w:t>
                  </w:r>
                </w:p>
              </w:tc>
              <w:tc>
                <w:tcPr>
                  <w:tcW w:w="1944" w:type="pct"/>
                  <w:noWrap w:val="0"/>
                  <w:vAlign w:val="center"/>
                </w:tcPr>
                <w:p>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排放废气含有毒有害污染物</w:t>
                  </w:r>
                  <w:r>
                    <w:rPr>
                      <w:rFonts w:hint="default" w:ascii="Times New Roman" w:hAnsi="Times New Roman" w:eastAsia="宋体" w:cs="Times New Roman"/>
                      <w:color w:val="auto"/>
                      <w:kern w:val="0"/>
                      <w:sz w:val="21"/>
                      <w:szCs w:val="21"/>
                      <w:highlight w:val="none"/>
                      <w:vertAlign w:val="superscript"/>
                      <w:lang w:val="en-US" w:eastAsia="zh-CN"/>
                    </w:rPr>
                    <w:t>1</w:t>
                  </w:r>
                  <w:r>
                    <w:rPr>
                      <w:rFonts w:hint="default" w:ascii="Times New Roman" w:hAnsi="Times New Roman" w:eastAsia="宋体" w:cs="Times New Roman"/>
                      <w:color w:val="auto"/>
                      <w:kern w:val="0"/>
                      <w:sz w:val="21"/>
                      <w:szCs w:val="21"/>
                      <w:highlight w:val="none"/>
                      <w:vertAlign w:val="baseline"/>
                      <w:lang w:val="en-US" w:eastAsia="zh-CN"/>
                    </w:rPr>
                    <w:t>、二噁英、苯并[a]芘、氰化物、氯气且厂界500m范围内有环境空气保护目标</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vertAlign w:val="baseline"/>
                      <w:lang w:val="en-US" w:eastAsia="zh-CN"/>
                    </w:rPr>
                    <w:t>的建设项目。</w:t>
                  </w:r>
                </w:p>
              </w:tc>
              <w:tc>
                <w:tcPr>
                  <w:tcW w:w="2071" w:type="pct"/>
                  <w:noWrap w:val="0"/>
                  <w:vAlign w:val="center"/>
                </w:tcPr>
                <w:p>
                  <w:pPr>
                    <w:autoSpaceDE w:val="0"/>
                    <w:autoSpaceDN w:val="0"/>
                    <w:adjustRightInd w:val="0"/>
                    <w:snapToGrid w:val="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项目排放废气为挥发性有机废气（以非甲烷总烃计）及臭气浓度，不排放含有毒有害污染物、二噁英、苯并[a]芘、氰化物、氯气等废气。</w:t>
                  </w:r>
                </w:p>
              </w:tc>
              <w:tc>
                <w:tcPr>
                  <w:tcW w:w="497"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6"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地表水</w:t>
                  </w:r>
                </w:p>
              </w:tc>
              <w:tc>
                <w:tcPr>
                  <w:tcW w:w="1944"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新增工业废水直排建设项目（槽罐车外送污水处理厂的除外）；新增废水直排的污水集中处理厂。</w:t>
                  </w:r>
                </w:p>
              </w:tc>
              <w:tc>
                <w:tcPr>
                  <w:tcW w:w="2071" w:type="pct"/>
                  <w:noWrap w:val="0"/>
                  <w:vAlign w:val="center"/>
                </w:tcPr>
                <w:p>
                  <w:pPr>
                    <w:pStyle w:val="3"/>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w:t>
                  </w:r>
                  <w:r>
                    <w:rPr>
                      <w:rFonts w:hint="default" w:ascii="Times New Roman" w:hAnsi="Times New Roman" w:eastAsia="宋体" w:cs="Times New Roman"/>
                      <w:b w:val="0"/>
                      <w:bCs w:val="0"/>
                      <w:color w:val="auto"/>
                      <w:sz w:val="21"/>
                      <w:szCs w:val="21"/>
                      <w:highlight w:val="none"/>
                    </w:rPr>
                    <w:t>项目</w:t>
                  </w:r>
                  <w:r>
                    <w:rPr>
                      <w:rFonts w:hint="default" w:ascii="Times New Roman" w:hAnsi="Times New Roman" w:eastAsia="宋体" w:cs="Times New Roman"/>
                      <w:b w:val="0"/>
                      <w:bCs w:val="0"/>
                      <w:color w:val="auto"/>
                      <w:sz w:val="21"/>
                      <w:szCs w:val="21"/>
                      <w:highlight w:val="none"/>
                      <w:lang w:val="en-US" w:eastAsia="zh-CN"/>
                    </w:rPr>
                    <w:t>排水采用雨污分流的排水方式，项目区建筑物屋面及地面雨水经厂区雨水沟收集后排入园区市政雨水管网；生产过程不使用水，无生产废水产生；食堂含油废水经原项目</w:t>
                  </w:r>
                  <w:r>
                    <w:rPr>
                      <w:rFonts w:hint="default" w:ascii="Times New Roman" w:hAnsi="Times New Roman" w:eastAsia="宋体" w:cs="Times New Roman"/>
                      <w:b w:val="0"/>
                      <w:bCs w:val="0"/>
                      <w:color w:val="auto"/>
                      <w:kern w:val="2"/>
                      <w:sz w:val="21"/>
                      <w:szCs w:val="21"/>
                      <w:highlight w:val="none"/>
                      <w:vertAlign w:val="baseline"/>
                      <w:lang w:val="en-US" w:eastAsia="zh-CN" w:bidi="ar-SA"/>
                    </w:rPr>
                    <w:t>已建</w:t>
                  </w:r>
                  <w:r>
                    <w:rPr>
                      <w:rFonts w:hint="default" w:ascii="Times New Roman" w:hAnsi="Times New Roman" w:eastAsia="宋体" w:cs="Times New Roman"/>
                      <w:b w:val="0"/>
                      <w:bCs w:val="0"/>
                      <w:color w:val="auto"/>
                      <w:sz w:val="21"/>
                      <w:szCs w:val="21"/>
                      <w:highlight w:val="none"/>
                      <w:lang w:val="en-US" w:eastAsia="zh-CN"/>
                    </w:rPr>
                    <w:t>隔油池预处理后与其他办公生活污水一并进入已建化粪池、地埋式一体化污水处理站处理达《城市污水再生利用 城市杂用水水质》（GB/T18920-2020）中的城市绿化、道路清扫、消防、建筑施工标准后，用于项目区内绿化及道路场地洒水降尘，不外排。</w:t>
                  </w:r>
                </w:p>
              </w:tc>
              <w:tc>
                <w:tcPr>
                  <w:tcW w:w="497"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6"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环境风险</w:t>
                  </w:r>
                </w:p>
              </w:tc>
              <w:tc>
                <w:tcPr>
                  <w:tcW w:w="1944"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有毒有害和易燃易爆危险物质存储量超过临界量</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vertAlign w:val="baseline"/>
                      <w:lang w:val="en-US" w:eastAsia="zh-CN"/>
                    </w:rPr>
                    <w:t>的建设项目。</w:t>
                  </w:r>
                </w:p>
              </w:tc>
              <w:tc>
                <w:tcPr>
                  <w:tcW w:w="2071"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项目涉及有毒有害和易燃易爆危险物质最大暂存量未超过临界量。</w:t>
                  </w:r>
                </w:p>
              </w:tc>
              <w:tc>
                <w:tcPr>
                  <w:tcW w:w="497"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6"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生态</w:t>
                  </w:r>
                </w:p>
              </w:tc>
              <w:tc>
                <w:tcPr>
                  <w:tcW w:w="1944"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取水口下游500米范围内有重要水生生物的自然产卵场、索饵场、越冬场和洄游通道的新增河道取水的污染类建设项目。</w:t>
                  </w:r>
                </w:p>
              </w:tc>
              <w:tc>
                <w:tcPr>
                  <w:tcW w:w="2071"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本项目不涉及此项情况。</w:t>
                  </w:r>
                </w:p>
              </w:tc>
              <w:tc>
                <w:tcPr>
                  <w:tcW w:w="497"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6"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海洋</w:t>
                  </w:r>
                </w:p>
              </w:tc>
              <w:tc>
                <w:tcPr>
                  <w:tcW w:w="1944"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直接向海排放污染物的海洋工程建设项目。</w:t>
                  </w:r>
                </w:p>
              </w:tc>
              <w:tc>
                <w:tcPr>
                  <w:tcW w:w="2071"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项目不属于海洋工程建设项目，不向海洋排放污染物。</w:t>
                  </w:r>
                </w:p>
              </w:tc>
              <w:tc>
                <w:tcPr>
                  <w:tcW w:w="497"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4"/>
                  <w:noWrap w:val="0"/>
                  <w:vAlign w:val="center"/>
                </w:tcPr>
                <w:p>
                  <w:pPr>
                    <w:autoSpaceDE w:val="0"/>
                    <w:autoSpaceDN w:val="0"/>
                    <w:adjustRightInd w:val="0"/>
                    <w:snapToGrid w:val="0"/>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注：1.废气中有毒有害污染物指纳入《有毒有害大气污染物名录》的污染物（不包括无排放标准的污染物）。</w:t>
                  </w:r>
                </w:p>
                <w:p>
                  <w:pPr>
                    <w:autoSpaceDE w:val="0"/>
                    <w:autoSpaceDN w:val="0"/>
                    <w:adjustRightInd w:val="0"/>
                    <w:snapToGrid w:val="0"/>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2.环境空气保护目标指自然保护区、风景名胜区、居住区、文化区和农村地区中人群较集中的区域。</w:t>
                  </w:r>
                </w:p>
                <w:p>
                  <w:pPr>
                    <w:autoSpaceDE w:val="0"/>
                    <w:autoSpaceDN w:val="0"/>
                    <w:adjustRightInd w:val="0"/>
                    <w:snapToGrid w:val="0"/>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3.临界量及其计算方法可参考《建设项目环境风险评价技术导则》（HJ 169）附录B、附录C.。</w:t>
                  </w:r>
                </w:p>
              </w:tc>
            </w:tr>
          </w:tbl>
          <w:p>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vertAlign w:val="baseline"/>
                <w:lang w:val="en-US" w:eastAsia="zh-CN"/>
              </w:rPr>
              <w:t>由上表可知，本项目不设置专项评价。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规划情况</w:t>
            </w:r>
          </w:p>
        </w:tc>
        <w:tc>
          <w:tcPr>
            <w:tcW w:w="8105" w:type="dxa"/>
            <w:gridSpan w:val="4"/>
            <w:vAlign w:val="center"/>
          </w:tcPr>
          <w:p>
            <w:pPr>
              <w:autoSpaceDE w:val="0"/>
              <w:autoSpaceDN w:val="0"/>
              <w:adjustRightInd w:val="0"/>
              <w:snapToGrid w:val="0"/>
              <w:spacing w:line="360" w:lineRule="auto"/>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b/>
                <w:bCs/>
                <w:color w:val="auto"/>
                <w:sz w:val="24"/>
                <w:highlight w:val="none"/>
                <w:lang w:val="en-US"/>
              </w:rPr>
              <w:t>1、</w:t>
            </w:r>
            <w:r>
              <w:rPr>
                <w:rStyle w:val="70"/>
                <w:rFonts w:hint="default" w:ascii="Times New Roman" w:hAnsi="Times New Roman" w:eastAsia="宋体" w:cs="Times New Roman"/>
                <w:b/>
                <w:bCs/>
                <w:color w:val="auto"/>
                <w:sz w:val="24"/>
                <w:highlight w:val="none"/>
              </w:rPr>
              <w:t>规划名称：</w:t>
            </w:r>
            <w:r>
              <w:rPr>
                <w:rStyle w:val="70"/>
                <w:rFonts w:hint="default" w:ascii="Times New Roman" w:hAnsi="Times New Roman" w:eastAsia="宋体" w:cs="Times New Roman"/>
                <w:color w:val="auto"/>
                <w:sz w:val="24"/>
                <w:highlight w:val="none"/>
              </w:rPr>
              <w:t>《寻甸特色产业园区总体规划（修编）（2018</w:t>
            </w:r>
            <w:r>
              <w:rPr>
                <w:rStyle w:val="70"/>
                <w:rFonts w:hint="default" w:ascii="Times New Roman" w:hAnsi="Times New Roman" w:eastAsia="宋体" w:cs="Times New Roman"/>
                <w:color w:val="auto"/>
                <w:sz w:val="24"/>
                <w:highlight w:val="none"/>
                <w:lang w:val="en-US"/>
              </w:rPr>
              <w:t>-</w:t>
            </w:r>
            <w:r>
              <w:rPr>
                <w:rStyle w:val="70"/>
                <w:rFonts w:hint="default" w:ascii="Times New Roman" w:hAnsi="Times New Roman" w:eastAsia="宋体" w:cs="Times New Roman"/>
                <w:color w:val="auto"/>
                <w:sz w:val="24"/>
                <w:highlight w:val="none"/>
              </w:rPr>
              <w:t>2035年）》；</w:t>
            </w:r>
          </w:p>
          <w:p>
            <w:pPr>
              <w:autoSpaceDE w:val="0"/>
              <w:autoSpaceDN w:val="0"/>
              <w:adjustRightInd w:val="0"/>
              <w:snapToGrid w:val="0"/>
              <w:spacing w:line="360" w:lineRule="auto"/>
              <w:rPr>
                <w:rFonts w:hint="default" w:ascii="Times New Roman" w:hAnsi="Times New Roman" w:eastAsia="宋体" w:cs="Times New Roman"/>
                <w:color w:val="auto"/>
                <w:highlight w:val="none"/>
                <w:lang w:val="en-US" w:eastAsia="zh-CN"/>
              </w:rPr>
            </w:pPr>
            <w:r>
              <w:rPr>
                <w:rStyle w:val="70"/>
                <w:rFonts w:hint="default" w:ascii="Times New Roman" w:hAnsi="Times New Roman" w:eastAsia="宋体" w:cs="Times New Roman"/>
                <w:b/>
                <w:bCs/>
                <w:color w:val="auto"/>
                <w:sz w:val="24"/>
                <w:highlight w:val="none"/>
                <w:lang w:val="en-US"/>
              </w:rPr>
              <w:t>2、</w:t>
            </w:r>
            <w:r>
              <w:rPr>
                <w:rStyle w:val="70"/>
                <w:rFonts w:hint="default" w:ascii="Times New Roman" w:hAnsi="Times New Roman" w:eastAsia="宋体" w:cs="Times New Roman"/>
                <w:b/>
                <w:bCs/>
                <w:color w:val="auto"/>
                <w:sz w:val="24"/>
                <w:highlight w:val="none"/>
              </w:rPr>
              <w:t>审查机关：</w:t>
            </w:r>
            <w:r>
              <w:rPr>
                <w:rFonts w:hint="default" w:ascii="Times New Roman" w:hAnsi="Times New Roman" w:eastAsia="宋体" w:cs="Times New Roman"/>
                <w:color w:val="auto"/>
                <w:sz w:val="24"/>
                <w:highlight w:val="none"/>
                <w:lang w:val="zh-CN"/>
              </w:rPr>
              <w:t>云南省工业和信息化委。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724" w:type="dxa"/>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规划环境影响</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评价情况</w:t>
            </w:r>
          </w:p>
        </w:tc>
        <w:tc>
          <w:tcPr>
            <w:tcW w:w="8105" w:type="dxa"/>
            <w:gridSpan w:val="4"/>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1、规划环境影响评价文件名称：</w:t>
            </w:r>
            <w:r>
              <w:rPr>
                <w:rFonts w:hint="default" w:ascii="Times New Roman" w:hAnsi="Times New Roman" w:eastAsia="宋体" w:cs="Times New Roman"/>
                <w:b w:val="0"/>
                <w:bCs/>
                <w:color w:val="auto"/>
                <w:sz w:val="24"/>
                <w:szCs w:val="24"/>
                <w:highlight w:val="none"/>
                <w:lang w:val="en-US" w:eastAsia="zh-CN"/>
              </w:rPr>
              <w:t>《寻甸特色产业园区总体规划[修编]（2018-2035年）环境影响报告书》；</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2、审查机关：</w:t>
            </w:r>
            <w:r>
              <w:rPr>
                <w:rStyle w:val="70"/>
                <w:rFonts w:hint="default" w:ascii="Times New Roman" w:hAnsi="Times New Roman" w:eastAsia="宋体" w:cs="Times New Roman"/>
                <w:color w:val="auto"/>
                <w:sz w:val="24"/>
                <w:highlight w:val="none"/>
              </w:rPr>
              <w:t>云南省生态环境厅</w:t>
            </w:r>
            <w:r>
              <w:rPr>
                <w:rFonts w:hint="default" w:ascii="Times New Roman" w:hAnsi="Times New Roman" w:eastAsia="宋体" w:cs="Times New Roman"/>
                <w:b w:val="0"/>
                <w:bCs w:val="0"/>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3、审查文件名称及文号：</w:t>
            </w:r>
            <w:r>
              <w:rPr>
                <w:rFonts w:hint="default" w:ascii="Times New Roman" w:hAnsi="Times New Roman" w:eastAsia="宋体" w:cs="Times New Roman"/>
                <w:b w:val="0"/>
                <w:bCs w:val="0"/>
                <w:color w:val="auto"/>
                <w:sz w:val="24"/>
                <w:szCs w:val="24"/>
                <w:highlight w:val="none"/>
                <w:lang w:val="en-US" w:eastAsia="zh-CN"/>
              </w:rPr>
              <w:t>云南省生态环境厅关于</w:t>
            </w:r>
            <w:r>
              <w:rPr>
                <w:rFonts w:hint="default" w:ascii="Times New Roman" w:hAnsi="Times New Roman" w:eastAsia="宋体" w:cs="Times New Roman"/>
                <w:b w:val="0"/>
                <w:bCs/>
                <w:color w:val="auto"/>
                <w:sz w:val="24"/>
                <w:szCs w:val="24"/>
                <w:highlight w:val="none"/>
                <w:lang w:val="en-US" w:eastAsia="zh-CN"/>
              </w:rPr>
              <w:t>《寻甸特色产业园区总体规划[修编]（2018-2035年）环境影响报告书》审查意见的函（云环函【2020】261号）</w:t>
            </w:r>
            <w:r>
              <w:rPr>
                <w:rFonts w:hint="default" w:ascii="Times New Roman" w:hAnsi="Times New Roman" w:eastAsia="宋体" w:cs="Times New Roman"/>
                <w:b w:val="0"/>
                <w:bCs w:val="0"/>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24" w:type="dxa"/>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规划及规划环境影响评价符合性分析</w:t>
            </w:r>
          </w:p>
        </w:tc>
        <w:tc>
          <w:tcPr>
            <w:tcW w:w="8105" w:type="dxa"/>
            <w:gridSpan w:val="4"/>
            <w:vAlign w:val="center"/>
          </w:tcPr>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1、与《寻甸特色产业园区总体规划（修编）（2018—2035年）》的符合性分析</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规划简介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根据中共云南省政府《云南省人民政府关于推动产业园区转型升级的意见》、《云南省牛栏江保护条例》和《牛栏江流域（云南段）水环境保护规划》的要求，以保护生态环境为前提，发展县域工业经济；云南省融入国家“一带一路”</w:t>
            </w:r>
            <w:r>
              <w:rPr>
                <w:rFonts w:hint="eastAsia" w:cs="Times New Roman"/>
                <w:color w:val="auto"/>
                <w:sz w:val="24"/>
                <w:szCs w:val="24"/>
                <w:highlight w:val="none"/>
                <w:lang w:val="en-US" w:eastAsia="zh-CN"/>
              </w:rPr>
              <w:t>倡议</w:t>
            </w:r>
            <w:bookmarkStart w:id="68" w:name="_GoBack"/>
            <w:bookmarkEnd w:id="68"/>
            <w:r>
              <w:rPr>
                <w:rFonts w:hint="default" w:ascii="Times New Roman" w:hAnsi="Times New Roman" w:eastAsia="宋体" w:cs="Times New Roman"/>
                <w:color w:val="auto"/>
                <w:sz w:val="24"/>
                <w:szCs w:val="24"/>
                <w:highlight w:val="none"/>
                <w:lang w:val="zh-CN"/>
              </w:rPr>
              <w:t>，实施“一核两翼三轴两区”工业发展格局，为了与《寻甸县国民经济“十三五”发展规划纲要》相符合，寻甸县委、县政府决定对原有的两个规划进行修编，由寻甸特色产业园区管理委员会委托昆明开发规划设计院在《寻甸特色产业园区总体规划（2006-2020）》和《寻甸特色产业园区装备制造园专项规划（2009-2025）》的基础上编制了《寻甸特色产业园区总体规划（修编）（2018-2035年）》。</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规划相关内容</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1）规划空间结构</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结合云南省对工业园区的“瘦身强体”，集中精力做好核心区的发展要求，寻甸特色产业园区规划为“一园两片区”的空间结构：</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一园:即寻甸特色产业园区</w:t>
            </w:r>
            <w:r>
              <w:rPr>
                <w:rFonts w:hint="default" w:ascii="Times New Roman" w:hAnsi="Times New Roman" w:eastAsia="宋体" w:cs="Times New Roman"/>
                <w:b w:val="0"/>
                <w:bCs w:val="0"/>
                <w:color w:val="auto"/>
                <w:sz w:val="24"/>
                <w:szCs w:val="24"/>
                <w:highlight w:val="none"/>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两片区</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金所片区、羊街片区。</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2）规划范围</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rPr>
              <w:t>寻甸特色产业园区规划总用地面积为18.23平方公里</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1822.84hm</w:t>
            </w:r>
            <w:r>
              <w:rPr>
                <w:rFonts w:hint="default" w:ascii="Times New Roman" w:hAnsi="Times New Roman" w:eastAsia="宋体" w:cs="Times New Roman"/>
                <w:b w:val="0"/>
                <w:bCs w:val="0"/>
                <w:color w:val="auto"/>
                <w:sz w:val="24"/>
                <w:szCs w:val="24"/>
                <w:highlight w:val="none"/>
                <w:vertAlign w:val="superscript"/>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，包括两个片区，</w:t>
            </w:r>
            <w:r>
              <w:rPr>
                <w:rFonts w:hint="default" w:ascii="Times New Roman" w:hAnsi="Times New Roman" w:eastAsia="宋体" w:cs="Times New Roman"/>
                <w:color w:val="auto"/>
                <w:sz w:val="24"/>
                <w:szCs w:val="24"/>
                <w:highlight w:val="none"/>
              </w:rPr>
              <w:t>具体范围如下:</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①金所片区</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规划范围:位于金所街道办事处北侧，东至渝昆高速，南至金所收费站及金柯线一带，西至谓所村，北至种羊场围栏，规划占地面积9.59平方公里。</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功能定位:以服务现状企业、发展新型建材、现代家居制造、新型能源产业为主。</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②羊街片区</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规划范围:位于羊街镇东北侧，规划区东至丰乐村一带，南至观音山，西邻渝昆高速，北至狮子山脚下，规划占地面积8.64平方公里。</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szCs w:val="24"/>
                <w:highlight w:val="none"/>
              </w:rPr>
              <w:t>功能定位:以先进装备制造和家居制造产业为主。</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3）园区总体定位</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zh-CN"/>
              </w:rPr>
            </w:pPr>
            <w:r>
              <w:rPr>
                <w:rFonts w:hint="default" w:ascii="Times New Roman" w:hAnsi="Times New Roman" w:eastAsia="宋体" w:cs="Times New Roman"/>
                <w:b w:val="0"/>
                <w:bCs w:val="0"/>
                <w:color w:val="auto"/>
                <w:sz w:val="24"/>
                <w:szCs w:val="24"/>
                <w:highlight w:val="none"/>
              </w:rPr>
              <w:t>云南省</w:t>
            </w:r>
            <w:r>
              <w:rPr>
                <w:rFonts w:hint="default" w:ascii="Times New Roman" w:hAnsi="Times New Roman" w:eastAsia="宋体" w:cs="Times New Roman"/>
                <w:color w:val="auto"/>
                <w:sz w:val="24"/>
                <w:szCs w:val="24"/>
                <w:highlight w:val="none"/>
              </w:rPr>
              <w:t>重要的新能源及有关配套先进装备制造基地，是以先进装备制造为主导、特色</w:t>
            </w:r>
            <w:r>
              <w:rPr>
                <w:rFonts w:hint="default" w:ascii="Times New Roman" w:hAnsi="Times New Roman" w:eastAsia="宋体" w:cs="Times New Roman"/>
                <w:b w:val="0"/>
                <w:bCs w:val="0"/>
                <w:color w:val="auto"/>
                <w:sz w:val="24"/>
                <w:szCs w:val="24"/>
                <w:highlight w:val="none"/>
              </w:rPr>
              <w:t>消费品制造为辅助的现代化特色产业园区。</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rPr>
              <w:t>）规划功能布局</w:t>
            </w:r>
            <w:r>
              <w:rPr>
                <w:rFonts w:hint="default" w:ascii="Times New Roman" w:hAnsi="Times New Roman" w:eastAsia="宋体" w:cs="Times New Roman"/>
                <w:b w:val="0"/>
                <w:bCs w:val="0"/>
                <w:color w:val="auto"/>
                <w:sz w:val="24"/>
                <w:szCs w:val="24"/>
                <w:highlight w:val="none"/>
                <w:lang w:val="en-US" w:eastAsia="zh-CN"/>
              </w:rPr>
              <w:t>及产业发展方向</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金所片区</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以现状煤、磷、盐化工产业和新型建材、现代家居制造产业为主。依照产业功能分为现状产业区、新型建材、现代家居制造产业区，规划一个综合配套服务中心。</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羊街片区</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羊街片区规划分为三个区，分别为先进装备制造区、家居制造区和一个配套服务区。</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zh-CN"/>
              </w:rPr>
              <w:t>）相符性分析</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u w:val="none"/>
                <w:lang w:val="en-US" w:eastAsia="zh-CN"/>
              </w:rPr>
              <w:t>本项目位于云南省昆明市寻甸特色产业园区金所片区YS2019-87号，</w:t>
            </w:r>
            <w:r>
              <w:rPr>
                <w:rFonts w:hint="default" w:ascii="Times New Roman" w:hAnsi="Times New Roman" w:eastAsia="宋体" w:cs="Times New Roman"/>
                <w:color w:val="auto"/>
                <w:sz w:val="24"/>
                <w:szCs w:val="24"/>
                <w:u w:val="none"/>
              </w:rPr>
              <w:t>项目选址区域</w:t>
            </w:r>
            <w:r>
              <w:rPr>
                <w:rFonts w:hint="default" w:ascii="Times New Roman" w:hAnsi="Times New Roman" w:eastAsia="宋体" w:cs="Times New Roman"/>
                <w:color w:val="auto"/>
                <w:sz w:val="24"/>
                <w:szCs w:val="24"/>
                <w:u w:val="none"/>
                <w:lang w:val="en-US" w:eastAsia="zh-CN"/>
              </w:rPr>
              <w:t>金所片区</w:t>
            </w:r>
            <w:r>
              <w:rPr>
                <w:rFonts w:hint="default" w:ascii="Times New Roman" w:hAnsi="Times New Roman" w:eastAsia="宋体" w:cs="Times New Roman"/>
                <w:color w:val="auto"/>
                <w:sz w:val="24"/>
                <w:szCs w:val="24"/>
                <w:u w:val="none"/>
              </w:rPr>
              <w:t>规划定位为新型建材、现代家居制造产业区</w:t>
            </w:r>
            <w:r>
              <w:rPr>
                <w:rFonts w:hint="default" w:ascii="Times New Roman" w:hAnsi="Times New Roman" w:eastAsia="宋体" w:cs="Times New Roman"/>
                <w:color w:val="auto"/>
                <w:sz w:val="24"/>
                <w:szCs w:val="24"/>
                <w:u w:val="none"/>
                <w:lang w:val="en-US" w:eastAsia="zh-CN"/>
              </w:rPr>
              <w:t>为主</w:t>
            </w:r>
            <w:r>
              <w:rPr>
                <w:rFonts w:hint="default" w:ascii="Times New Roman" w:hAnsi="Times New Roman" w:eastAsia="宋体" w:cs="Times New Roman"/>
                <w:color w:val="auto"/>
                <w:sz w:val="24"/>
                <w:szCs w:val="24"/>
                <w:u w:val="none"/>
              </w:rPr>
              <w:t>，</w:t>
            </w:r>
            <w:r>
              <w:rPr>
                <w:rFonts w:hint="eastAsia" w:cs="Times New Roman"/>
                <w:color w:val="auto"/>
                <w:sz w:val="24"/>
                <w:szCs w:val="24"/>
                <w:u w:val="none"/>
                <w:lang w:eastAsia="zh-CN"/>
              </w:rPr>
              <w:t>根据</w:t>
            </w:r>
            <w:r>
              <w:rPr>
                <w:rFonts w:hint="default" w:ascii="Times New Roman" w:hAnsi="Times New Roman" w:eastAsia="宋体" w:cs="Times New Roman"/>
                <w:color w:val="auto"/>
                <w:sz w:val="24"/>
                <w:szCs w:val="24"/>
                <w:highlight w:val="none"/>
                <w:u w:val="none"/>
                <w:lang w:val="zh-CN"/>
              </w:rPr>
              <w:t>《寻甸特色产业园区总体规划（修编）（2018-2035年）》</w:t>
            </w:r>
            <w:r>
              <w:rPr>
                <w:rFonts w:hint="default" w:ascii="Times New Roman" w:hAnsi="Times New Roman" w:eastAsia="宋体" w:cs="Times New Roman"/>
                <w:color w:val="auto"/>
                <w:sz w:val="24"/>
                <w:szCs w:val="24"/>
                <w:highlight w:val="none"/>
                <w:u w:val="none"/>
                <w:lang w:val="en-US" w:eastAsia="zh-CN"/>
              </w:rPr>
              <w:t>中</w:t>
            </w:r>
            <w:r>
              <w:rPr>
                <w:rFonts w:hint="default" w:ascii="Times New Roman" w:hAnsi="Times New Roman" w:eastAsia="宋体" w:cs="Times New Roman"/>
                <w:color w:val="auto"/>
                <w:sz w:val="24"/>
                <w:szCs w:val="24"/>
                <w:highlight w:val="none"/>
                <w:u w:val="none"/>
                <w:lang w:val="zh-CN"/>
              </w:rPr>
              <w:t>的</w:t>
            </w:r>
            <w:r>
              <w:rPr>
                <w:rFonts w:hint="default" w:ascii="Times New Roman" w:hAnsi="Times New Roman" w:eastAsia="宋体" w:cs="Times New Roman"/>
                <w:color w:val="auto"/>
                <w:sz w:val="24"/>
                <w:szCs w:val="24"/>
                <w:highlight w:val="none"/>
                <w:u w:val="none"/>
                <w:lang w:val="en-US" w:eastAsia="zh-CN"/>
              </w:rPr>
              <w:t>金所</w:t>
            </w:r>
            <w:r>
              <w:rPr>
                <w:rFonts w:hint="default" w:ascii="Times New Roman" w:hAnsi="Times New Roman" w:eastAsia="宋体" w:cs="Times New Roman"/>
                <w:color w:val="auto"/>
                <w:sz w:val="24"/>
                <w:szCs w:val="24"/>
                <w:highlight w:val="none"/>
                <w:u w:val="none"/>
                <w:lang w:val="zh-CN"/>
              </w:rPr>
              <w:t>片区规划叠图分析，项目用地性质为工业用地；本项目为</w:t>
            </w:r>
            <w:r>
              <w:rPr>
                <w:rFonts w:hint="default" w:ascii="Times New Roman" w:hAnsi="Times New Roman" w:eastAsia="宋体" w:cs="Times New Roman"/>
                <w:color w:val="auto"/>
                <w:sz w:val="24"/>
                <w:szCs w:val="24"/>
                <w:highlight w:val="none"/>
                <w:u w:val="none"/>
                <w:lang w:val="en-US" w:eastAsia="zh-CN"/>
              </w:rPr>
              <w:t>塑料薄膜生产项目</w:t>
            </w:r>
            <w:r>
              <w:rPr>
                <w:rFonts w:hint="default" w:ascii="Times New Roman" w:hAnsi="Times New Roman" w:eastAsia="宋体" w:cs="Times New Roman"/>
                <w:color w:val="auto"/>
                <w:sz w:val="24"/>
                <w:szCs w:val="24"/>
                <w:highlight w:val="none"/>
                <w:u w:val="none"/>
                <w:lang w:val="zh-CN"/>
              </w:rPr>
              <w:t>，</w:t>
            </w:r>
            <w:r>
              <w:rPr>
                <w:rFonts w:hint="default" w:ascii="Times New Roman" w:hAnsi="Times New Roman" w:eastAsia="宋体" w:cs="Times New Roman"/>
                <w:color w:val="auto"/>
                <w:sz w:val="24"/>
                <w:szCs w:val="24"/>
                <w:highlight w:val="none"/>
                <w:u w:val="none"/>
                <w:lang w:val="en-US" w:eastAsia="zh-CN"/>
              </w:rPr>
              <w:t>排放污染物主要为有机废气（以非甲烷总烃计）及臭气浓度</w:t>
            </w:r>
            <w:r>
              <w:rPr>
                <w:rFonts w:hint="default" w:ascii="Times New Roman" w:hAnsi="Times New Roman" w:eastAsia="宋体" w:cs="Times New Roman"/>
                <w:color w:val="auto"/>
                <w:sz w:val="24"/>
                <w:szCs w:val="24"/>
                <w:u w:val="none"/>
              </w:rPr>
              <w:t>，排放污染物与区域相近，</w:t>
            </w:r>
            <w:r>
              <w:rPr>
                <w:rFonts w:hint="default" w:ascii="Times New Roman" w:hAnsi="Times New Roman" w:eastAsia="宋体" w:cs="Times New Roman"/>
                <w:color w:val="auto"/>
                <w:sz w:val="24"/>
                <w:szCs w:val="24"/>
                <w:u w:val="none"/>
                <w:lang w:val="en-US" w:eastAsia="zh-CN"/>
              </w:rPr>
              <w:t>且</w:t>
            </w:r>
            <w:r>
              <w:rPr>
                <w:rFonts w:hint="default" w:ascii="Times New Roman" w:hAnsi="Times New Roman" w:eastAsia="宋体" w:cs="Times New Roman"/>
                <w:color w:val="auto"/>
                <w:sz w:val="24"/>
                <w:szCs w:val="24"/>
                <w:highlight w:val="none"/>
                <w:lang w:val="en-US" w:eastAsia="zh-CN"/>
              </w:rPr>
              <w:t>2023</w:t>
            </w:r>
            <w:r>
              <w:rPr>
                <w:rFonts w:hint="default" w:ascii="Times New Roman" w:hAnsi="Times New Roman" w:eastAsia="宋体" w:cs="Times New Roman"/>
                <w:color w:val="auto"/>
                <w:sz w:val="24"/>
                <w:szCs w:val="24"/>
                <w:highlight w:val="none"/>
                <w:lang w:val="zh-CN"/>
              </w:rPr>
              <w:t>年</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zh-CN"/>
              </w:rPr>
              <w:t>月</w:t>
            </w:r>
            <w:r>
              <w:rPr>
                <w:rFonts w:hint="default"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lang w:val="zh-CN"/>
              </w:rPr>
              <w:t>日已取得寻甸特色产业园区管理委员会出具的</w:t>
            </w:r>
            <w:r>
              <w:rPr>
                <w:rFonts w:hint="default" w:ascii="Times New Roman" w:hAnsi="Times New Roman" w:eastAsia="宋体" w:cs="Times New Roman"/>
                <w:color w:val="auto"/>
                <w:sz w:val="24"/>
                <w:szCs w:val="24"/>
                <w:highlight w:val="none"/>
                <w:lang w:val="en-US" w:eastAsia="zh-CN"/>
              </w:rPr>
              <w:t>扩建</w:t>
            </w:r>
            <w:r>
              <w:rPr>
                <w:rFonts w:hint="default" w:ascii="Times New Roman" w:hAnsi="Times New Roman" w:eastAsia="宋体" w:cs="Times New Roman"/>
                <w:color w:val="auto"/>
                <w:sz w:val="24"/>
                <w:szCs w:val="24"/>
                <w:highlight w:val="none"/>
                <w:lang w:val="zh-CN"/>
              </w:rPr>
              <w:t>项目入园申请同意书，</w:t>
            </w:r>
            <w:r>
              <w:rPr>
                <w:rFonts w:hint="default" w:ascii="Times New Roman" w:hAnsi="Times New Roman" w:eastAsia="宋体" w:cs="Times New Roman"/>
                <w:color w:val="auto"/>
                <w:sz w:val="24"/>
                <w:szCs w:val="24"/>
                <w:highlight w:val="none"/>
                <w:lang w:val="en-US" w:eastAsia="zh-CN"/>
              </w:rPr>
              <w:t>同意书中明确“项目符合园区产业发展，同意项目入驻寻甸特色产业园区金所片区”。</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综上分析，</w:t>
            </w:r>
            <w:r>
              <w:rPr>
                <w:rFonts w:hint="default" w:ascii="Times New Roman" w:hAnsi="Times New Roman" w:eastAsia="宋体" w:cs="Times New Roman"/>
                <w:color w:val="auto"/>
                <w:sz w:val="24"/>
                <w:szCs w:val="24"/>
                <w:highlight w:val="none"/>
                <w:lang w:val="zh-CN"/>
              </w:rPr>
              <w:t>项目建设</w:t>
            </w:r>
            <w:r>
              <w:rPr>
                <w:rFonts w:hint="default" w:ascii="Times New Roman" w:hAnsi="Times New Roman" w:eastAsia="宋体" w:cs="Times New Roman"/>
                <w:color w:val="auto"/>
                <w:sz w:val="24"/>
                <w:szCs w:val="24"/>
                <w:highlight w:val="none"/>
                <w:lang w:val="en-US" w:eastAsia="zh-CN"/>
              </w:rPr>
              <w:t>与</w:t>
            </w:r>
            <w:r>
              <w:rPr>
                <w:rFonts w:hint="default" w:ascii="Times New Roman" w:hAnsi="Times New Roman" w:eastAsia="宋体" w:cs="Times New Roman"/>
                <w:color w:val="auto"/>
                <w:sz w:val="24"/>
                <w:szCs w:val="24"/>
                <w:highlight w:val="none"/>
                <w:lang w:val="zh-CN"/>
              </w:rPr>
              <w:t>《寻甸特色产业园区总体规划（修编）（2018-2035年）》</w:t>
            </w:r>
            <w:r>
              <w:rPr>
                <w:rFonts w:hint="default" w:ascii="Times New Roman" w:hAnsi="Times New Roman" w:eastAsia="宋体" w:cs="Times New Roman"/>
                <w:color w:val="auto"/>
                <w:sz w:val="24"/>
                <w:szCs w:val="24"/>
                <w:highlight w:val="none"/>
                <w:lang w:val="en-US" w:eastAsia="zh-CN"/>
              </w:rPr>
              <w:t>中的相关要求不冲突</w:t>
            </w:r>
            <w:r>
              <w:rPr>
                <w:rFonts w:hint="default" w:ascii="Times New Roman" w:hAnsi="Times New Roman" w:eastAsia="宋体" w:cs="Times New Roman"/>
                <w:color w:val="auto"/>
                <w:sz w:val="24"/>
                <w:szCs w:val="24"/>
                <w:highlight w:val="none"/>
                <w:lang w:val="zh-CN"/>
              </w:rPr>
              <w:t>。</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w:t>
            </w:r>
            <w:bookmarkStart w:id="6" w:name="_Toc31449"/>
            <w:r>
              <w:rPr>
                <w:rFonts w:hint="default" w:ascii="Times New Roman" w:hAnsi="Times New Roman" w:eastAsia="宋体" w:cs="Times New Roman"/>
                <w:b/>
                <w:bCs w:val="0"/>
                <w:color w:val="auto"/>
                <w:sz w:val="24"/>
                <w:szCs w:val="24"/>
                <w:highlight w:val="none"/>
                <w:lang w:val="zh-CN" w:bidi="ar"/>
              </w:rPr>
              <w:t>与《寻甸特色产业园区总体规划（修编）（2018-2035年）环境影响报告书》及其审查意见</w:t>
            </w:r>
            <w:r>
              <w:rPr>
                <w:rFonts w:hint="default" w:ascii="Times New Roman" w:hAnsi="Times New Roman" w:eastAsia="宋体" w:cs="Times New Roman"/>
                <w:b/>
                <w:bCs w:val="0"/>
                <w:color w:val="auto"/>
                <w:sz w:val="24"/>
                <w:szCs w:val="24"/>
                <w:highlight w:val="none"/>
                <w:lang w:val="en-US" w:eastAsia="zh-CN"/>
              </w:rPr>
              <w:t>（云环函【2020】261号）</w:t>
            </w:r>
            <w:r>
              <w:rPr>
                <w:rFonts w:hint="default" w:ascii="Times New Roman" w:hAnsi="Times New Roman" w:eastAsia="宋体" w:cs="Times New Roman"/>
                <w:b/>
                <w:bCs w:val="0"/>
                <w:color w:val="auto"/>
                <w:sz w:val="24"/>
                <w:szCs w:val="24"/>
                <w:highlight w:val="none"/>
                <w:lang w:val="zh-CN" w:bidi="ar"/>
              </w:rPr>
              <w:t>符合性分析</w:t>
            </w:r>
            <w:bookmarkEnd w:id="6"/>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zh-CN"/>
              </w:rPr>
              <w:t>）主要环境影响减缓措施</w:t>
            </w:r>
            <w:r>
              <w:rPr>
                <w:rFonts w:hint="default" w:ascii="Times New Roman" w:hAnsi="Times New Roman" w:eastAsia="宋体" w:cs="Times New Roman"/>
                <w:b/>
                <w:bCs/>
                <w:color w:val="auto"/>
                <w:sz w:val="24"/>
                <w:szCs w:val="24"/>
                <w:highlight w:val="none"/>
                <w:lang w:val="en-US" w:eastAsia="zh-CN"/>
              </w:rPr>
              <w:t>符合性分析</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根据《寻甸特色产业园区总体规划（修编）（2018-2035年）环境影响报告书》及其环评审查意见，</w:t>
            </w:r>
            <w:r>
              <w:rPr>
                <w:rFonts w:hint="default" w:ascii="Times New Roman" w:hAnsi="Times New Roman" w:eastAsia="宋体" w:cs="Times New Roman"/>
                <w:color w:val="auto"/>
                <w:sz w:val="24"/>
                <w:szCs w:val="24"/>
                <w:highlight w:val="none"/>
                <w:lang w:val="en-US" w:eastAsia="zh-CN"/>
              </w:rPr>
              <w:t>本项目与</w:t>
            </w:r>
            <w:r>
              <w:rPr>
                <w:rFonts w:hint="default" w:ascii="Times New Roman" w:hAnsi="Times New Roman" w:eastAsia="宋体" w:cs="Times New Roman"/>
                <w:color w:val="auto"/>
                <w:sz w:val="24"/>
                <w:szCs w:val="24"/>
                <w:highlight w:val="none"/>
                <w:lang w:val="zh-CN"/>
              </w:rPr>
              <w:t>园区的主要环境影响减缓措施</w:t>
            </w:r>
            <w:r>
              <w:rPr>
                <w:rFonts w:hint="default" w:ascii="Times New Roman" w:hAnsi="Times New Roman" w:eastAsia="宋体" w:cs="Times New Roman"/>
                <w:color w:val="auto"/>
                <w:sz w:val="24"/>
                <w:szCs w:val="24"/>
                <w:highlight w:val="none"/>
                <w:lang w:val="en-US" w:eastAsia="zh-CN"/>
              </w:rPr>
              <w:t>符合性分析</w:t>
            </w:r>
            <w:r>
              <w:rPr>
                <w:rFonts w:hint="default" w:ascii="Times New Roman" w:hAnsi="Times New Roman" w:eastAsia="宋体" w:cs="Times New Roman"/>
                <w:color w:val="auto"/>
                <w:sz w:val="24"/>
                <w:szCs w:val="24"/>
                <w:highlight w:val="none"/>
                <w:lang w:val="zh-CN"/>
              </w:rPr>
              <w:t>如下</w:t>
            </w:r>
            <w:r>
              <w:rPr>
                <w:rFonts w:hint="default" w:ascii="Times New Roman" w:hAnsi="Times New Roman" w:eastAsia="宋体" w:cs="Times New Roman"/>
                <w:color w:val="auto"/>
                <w:sz w:val="24"/>
                <w:szCs w:val="24"/>
                <w:highlight w:val="none"/>
                <w:lang w:val="en-US" w:eastAsia="zh-CN"/>
              </w:rPr>
              <w:t>表所示。</w:t>
            </w:r>
          </w:p>
          <w:p>
            <w:pPr>
              <w:adjustRightInd w:val="0"/>
              <w:snapToGrid w:val="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表1-</w:t>
            </w:r>
            <w:r>
              <w:rPr>
                <w:rFonts w:hint="default"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rPr>
              <w:t xml:space="preserve"> </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 xml:space="preserve"> 项目与规划环评相符性对比分析表</w:t>
            </w:r>
          </w:p>
          <w:tbl>
            <w:tblPr>
              <w:tblStyle w:val="26"/>
              <w:tblW w:w="7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4238"/>
              <w:gridCol w:w="2242"/>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26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内容要求</w:t>
                  </w:r>
                </w:p>
              </w:tc>
              <w:tc>
                <w:tcPr>
                  <w:tcW w:w="14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项目建设内容</w:t>
                  </w:r>
                </w:p>
              </w:tc>
              <w:tc>
                <w:tcPr>
                  <w:tcW w:w="4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性质定位</w:t>
                  </w:r>
                </w:p>
              </w:tc>
              <w:tc>
                <w:tcPr>
                  <w:tcW w:w="26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以现状煤、磷、盐化工产业和新型建材、现代家居制造产业为主</w:t>
                  </w:r>
                  <w:r>
                    <w:rPr>
                      <w:rFonts w:hint="default" w:ascii="Times New Roman" w:hAnsi="Times New Roman" w:eastAsia="宋体" w:cs="Times New Roman"/>
                      <w:color w:val="auto"/>
                      <w:sz w:val="21"/>
                      <w:szCs w:val="21"/>
                      <w:highlight w:val="none"/>
                      <w:lang w:eastAsia="zh-CN"/>
                    </w:rPr>
                    <w:t>。</w:t>
                  </w:r>
                </w:p>
              </w:tc>
              <w:tc>
                <w:tcPr>
                  <w:tcW w:w="14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u w:val="none"/>
                      <w:lang w:val="en-US" w:eastAsia="zh-CN"/>
                    </w:rPr>
                    <w:t>本</w:t>
                  </w:r>
                  <w:r>
                    <w:rPr>
                      <w:rFonts w:hint="default" w:ascii="Times New Roman" w:hAnsi="Times New Roman" w:eastAsia="宋体" w:cs="Times New Roman"/>
                      <w:color w:val="auto"/>
                      <w:sz w:val="21"/>
                      <w:szCs w:val="21"/>
                      <w:highlight w:val="none"/>
                      <w:u w:val="none"/>
                    </w:rPr>
                    <w:t>项目为</w:t>
                  </w:r>
                  <w:r>
                    <w:rPr>
                      <w:rFonts w:hint="default" w:ascii="Times New Roman" w:hAnsi="Times New Roman" w:eastAsia="宋体" w:cs="Times New Roman"/>
                      <w:color w:val="auto"/>
                      <w:sz w:val="21"/>
                      <w:szCs w:val="21"/>
                      <w:highlight w:val="none"/>
                      <w:u w:val="none"/>
                      <w:lang w:val="en-US" w:eastAsia="zh-CN"/>
                    </w:rPr>
                    <w:t>塑料薄膜生产项目，</w:t>
                  </w:r>
                  <w:r>
                    <w:rPr>
                      <w:rFonts w:hint="default" w:ascii="Times New Roman" w:hAnsi="Times New Roman" w:eastAsia="宋体" w:cs="Times New Roman"/>
                      <w:color w:val="auto"/>
                      <w:szCs w:val="21"/>
                      <w:u w:val="none"/>
                    </w:rPr>
                    <w:t>与园区规划定位不匹配，</w:t>
                  </w:r>
                  <w:r>
                    <w:rPr>
                      <w:rFonts w:hint="default" w:ascii="Times New Roman" w:hAnsi="Times New Roman" w:eastAsia="宋体" w:cs="Times New Roman"/>
                      <w:color w:val="auto"/>
                      <w:sz w:val="21"/>
                      <w:szCs w:val="21"/>
                      <w:highlight w:val="none"/>
                      <w:u w:val="none"/>
                      <w:lang w:val="en-US" w:eastAsia="zh-CN"/>
                    </w:rPr>
                    <w:t>排放污染物主要为有机废气（以非甲烷总烃计）及臭气浓度</w:t>
                  </w:r>
                  <w:r>
                    <w:rPr>
                      <w:rFonts w:hint="default" w:ascii="Times New Roman" w:hAnsi="Times New Roman" w:eastAsia="宋体" w:cs="Times New Roman"/>
                      <w:color w:val="auto"/>
                      <w:sz w:val="21"/>
                      <w:szCs w:val="21"/>
                      <w:u w:val="none"/>
                    </w:rPr>
                    <w:t>，排放污染物与区域相近，</w:t>
                  </w:r>
                  <w:r>
                    <w:rPr>
                      <w:rFonts w:hint="default" w:ascii="Times New Roman" w:hAnsi="Times New Roman" w:eastAsia="宋体" w:cs="Times New Roman"/>
                      <w:color w:val="auto"/>
                      <w:szCs w:val="21"/>
                      <w:u w:val="none"/>
                      <w:lang w:val="en-US" w:eastAsia="zh-CN"/>
                    </w:rPr>
                    <w:t>且</w:t>
                  </w:r>
                  <w:r>
                    <w:rPr>
                      <w:rFonts w:hint="default" w:ascii="Times New Roman" w:hAnsi="Times New Roman" w:eastAsia="宋体" w:cs="Times New Roman"/>
                      <w:color w:val="auto"/>
                      <w:sz w:val="21"/>
                      <w:szCs w:val="21"/>
                      <w:highlight w:val="none"/>
                      <w:lang w:val="en-US" w:eastAsia="zh-CN"/>
                    </w:rPr>
                    <w:t>2023</w:t>
                  </w:r>
                  <w:r>
                    <w:rPr>
                      <w:rFonts w:hint="default" w:ascii="Times New Roman" w:hAnsi="Times New Roman" w:eastAsia="宋体" w:cs="Times New Roman"/>
                      <w:color w:val="auto"/>
                      <w:sz w:val="21"/>
                      <w:szCs w:val="21"/>
                      <w:highlight w:val="none"/>
                      <w:lang w:val="zh-CN" w:eastAsia="zh-CN"/>
                    </w:rPr>
                    <w:t>年</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zh-CN" w:eastAsia="zh-CN"/>
                    </w:rPr>
                    <w:t>月</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lang w:val="zh-CN" w:eastAsia="zh-CN"/>
                    </w:rPr>
                    <w:t>日已取得寻甸特色产业园区管理委员会出具的</w:t>
                  </w:r>
                  <w:r>
                    <w:rPr>
                      <w:rFonts w:hint="default" w:ascii="Times New Roman" w:hAnsi="Times New Roman" w:eastAsia="宋体" w:cs="Times New Roman"/>
                      <w:color w:val="auto"/>
                      <w:sz w:val="21"/>
                      <w:szCs w:val="21"/>
                      <w:highlight w:val="none"/>
                      <w:lang w:val="en-US" w:eastAsia="zh-CN"/>
                    </w:rPr>
                    <w:t>扩建</w:t>
                  </w:r>
                  <w:r>
                    <w:rPr>
                      <w:rFonts w:hint="default" w:ascii="Times New Roman" w:hAnsi="Times New Roman" w:eastAsia="宋体" w:cs="Times New Roman"/>
                      <w:color w:val="auto"/>
                      <w:sz w:val="21"/>
                      <w:szCs w:val="21"/>
                      <w:highlight w:val="none"/>
                      <w:lang w:val="zh-CN" w:eastAsia="zh-CN"/>
                    </w:rPr>
                    <w:t>项目入园申请同意书，</w:t>
                  </w:r>
                  <w:r>
                    <w:rPr>
                      <w:rFonts w:hint="default" w:ascii="Times New Roman" w:hAnsi="Times New Roman" w:eastAsia="宋体" w:cs="Times New Roman"/>
                      <w:color w:val="auto"/>
                      <w:sz w:val="21"/>
                      <w:szCs w:val="21"/>
                      <w:highlight w:val="none"/>
                      <w:lang w:val="en-US" w:eastAsia="zh-CN"/>
                    </w:rPr>
                    <w:t>同意书中明确“项目符合园区产业发展，同意项目入驻寻甸特色产业园区金所片区”，因此本项目与规划环评性质定位不冲突。</w:t>
                  </w:r>
                </w:p>
              </w:tc>
              <w:tc>
                <w:tcPr>
                  <w:tcW w:w="4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不冲突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水污染减缓措施</w:t>
                  </w:r>
                </w:p>
              </w:tc>
              <w:tc>
                <w:tcPr>
                  <w:tcW w:w="26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根据《规划修编》实施对水环境的影响分析，规划建设覆盖规划区范围的“雨污分流”排水体制。园区雨水经过雨水管网收集后汇入附近地表水体；园区现状煤磷盐化工企业及废水实现零排放企业按现状处置方式，即由企业处理达标后循环回用或经已建的排污管道排至</w:t>
                  </w:r>
                  <w:r>
                    <w:rPr>
                      <w:rFonts w:hint="default" w:ascii="Times New Roman" w:hAnsi="Times New Roman" w:eastAsia="宋体" w:cs="Times New Roman"/>
                      <w:color w:val="auto"/>
                      <w:sz w:val="21"/>
                      <w:szCs w:val="21"/>
                      <w:highlight w:val="none"/>
                      <w:lang w:val="en-US" w:eastAsia="zh-CN"/>
                    </w:rPr>
                    <w:t>周边河流</w:t>
                  </w:r>
                  <w:r>
                    <w:rPr>
                      <w:rFonts w:hint="default" w:ascii="Times New Roman" w:hAnsi="Times New Roman" w:eastAsia="宋体" w:cs="Times New Roman"/>
                      <w:color w:val="auto"/>
                      <w:sz w:val="21"/>
                      <w:szCs w:val="21"/>
                      <w:highlight w:val="none"/>
                      <w:lang w:val="zh-CN"/>
                    </w:rPr>
                    <w:t>。后期入驻企业，要求企业自建污水处理设施，</w:t>
                  </w:r>
                  <w:r>
                    <w:rPr>
                      <w:rFonts w:hint="default" w:ascii="Times New Roman" w:hAnsi="Times New Roman" w:eastAsia="宋体" w:cs="Times New Roman"/>
                      <w:color w:val="auto"/>
                      <w:sz w:val="21"/>
                      <w:szCs w:val="21"/>
                      <w:highlight w:val="none"/>
                      <w:lang w:val="zh-CN" w:eastAsia="zh-CN"/>
                    </w:rPr>
                    <w:t>生产废水</w:t>
                  </w:r>
                  <w:r>
                    <w:rPr>
                      <w:rFonts w:hint="default" w:ascii="Times New Roman" w:hAnsi="Times New Roman" w:eastAsia="宋体" w:cs="Times New Roman"/>
                      <w:color w:val="auto"/>
                      <w:sz w:val="21"/>
                      <w:szCs w:val="21"/>
                      <w:highlight w:val="none"/>
                      <w:lang w:val="zh-CN"/>
                    </w:rPr>
                    <w:t>处理后循环回用不外排，生活污水处理达到《污水排入城市下水道水质标准》（GB/T31962-2015）A等级限值要求后，进入金所、羊街集镇污水处理厂，部分深度处理达标后回用于工业用水、绿化、道路、广场浇洒等，不能回用部分达到《城镇污水处理厂污染物排放标准》（GB18918-2002）一级A标准后再外排。</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园区规划实施时，应同步规划、建设再生水暂存、处理回用管网等污染治理设施。并采取园区产业结构调整、加强入园企业控制、促进园区再生水利用、加大对排污企业的执法力度、对超标的地表水体进行综合治理等措施。</w:t>
                  </w:r>
                </w:p>
              </w:tc>
              <w:tc>
                <w:tcPr>
                  <w:tcW w:w="14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本</w:t>
                  </w:r>
                  <w:r>
                    <w:rPr>
                      <w:rFonts w:hint="default" w:ascii="Times New Roman" w:hAnsi="Times New Roman" w:eastAsia="宋体" w:cs="Times New Roman"/>
                      <w:b w:val="0"/>
                      <w:bCs w:val="0"/>
                      <w:color w:val="auto"/>
                      <w:sz w:val="21"/>
                      <w:szCs w:val="21"/>
                      <w:highlight w:val="none"/>
                    </w:rPr>
                    <w:t>项目</w:t>
                  </w:r>
                  <w:r>
                    <w:rPr>
                      <w:rFonts w:hint="default" w:ascii="Times New Roman" w:hAnsi="Times New Roman" w:eastAsia="宋体" w:cs="Times New Roman"/>
                      <w:b w:val="0"/>
                      <w:bCs w:val="0"/>
                      <w:color w:val="auto"/>
                      <w:sz w:val="21"/>
                      <w:szCs w:val="21"/>
                      <w:highlight w:val="none"/>
                      <w:lang w:val="en-US" w:eastAsia="zh-CN"/>
                    </w:rPr>
                    <w:t>排水采用雨污分流的排水方式，项目区建筑物屋面及地面雨水经厂区雨水沟收集后排入园区市政雨水管网；生产过程不使用水，无生产废水产生；食堂含油废水经原项目</w:t>
                  </w:r>
                  <w:r>
                    <w:rPr>
                      <w:rFonts w:hint="default" w:ascii="Times New Roman" w:hAnsi="Times New Roman" w:eastAsia="宋体" w:cs="Times New Roman"/>
                      <w:b w:val="0"/>
                      <w:bCs w:val="0"/>
                      <w:color w:val="auto"/>
                      <w:kern w:val="2"/>
                      <w:sz w:val="21"/>
                      <w:szCs w:val="21"/>
                      <w:highlight w:val="none"/>
                      <w:vertAlign w:val="baseline"/>
                      <w:lang w:val="en-US" w:eastAsia="zh-CN" w:bidi="ar-SA"/>
                    </w:rPr>
                    <w:t>已建</w:t>
                  </w:r>
                  <w:r>
                    <w:rPr>
                      <w:rFonts w:hint="default" w:ascii="Times New Roman" w:hAnsi="Times New Roman" w:eastAsia="宋体" w:cs="Times New Roman"/>
                      <w:b w:val="0"/>
                      <w:bCs w:val="0"/>
                      <w:color w:val="auto"/>
                      <w:sz w:val="21"/>
                      <w:szCs w:val="21"/>
                      <w:highlight w:val="none"/>
                      <w:lang w:val="en-US" w:eastAsia="zh-CN"/>
                    </w:rPr>
                    <w:t>隔油池预处理后与其他办公生活污水一并进入已建化粪池、地埋式一体化污水处理站处理达《城市污水再生利用 城市杂用水水质》（GB/T18920-2020）中的城市绿化、道路清扫、消防、建筑施工标准后，用于项目区内绿化及道路场地洒水降尘，不外排。</w:t>
                  </w:r>
                </w:p>
              </w:tc>
              <w:tc>
                <w:tcPr>
                  <w:tcW w:w="455" w:type="pct"/>
                  <w:noWrap w:val="0"/>
                  <w:vAlign w:val="center"/>
                </w:tcPr>
                <w:p>
                  <w:pPr>
                    <w:bidi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大气污染减缓措施</w:t>
                  </w:r>
                </w:p>
              </w:tc>
              <w:tc>
                <w:tcPr>
                  <w:tcW w:w="26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根据对规划实施后大气环境影响预测结果，本评价提出规划区应合理调整产业、企业布局，羊街片区取消东侧深沟村处居住用地规划，各片区与周围村庄之间有大于30米以上的绿化带，并满足相应的卫生防护距离要求，推行清洁能源，建议考虑集中供热，实施循环经济，并对大气污染物实行总量控制。</w:t>
                  </w:r>
                </w:p>
              </w:tc>
              <w:tc>
                <w:tcPr>
                  <w:tcW w:w="14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项目加热采用电加热，</w:t>
                  </w:r>
                  <w:r>
                    <w:rPr>
                      <w:rFonts w:hint="default" w:ascii="Times New Roman" w:hAnsi="Times New Roman" w:eastAsia="宋体" w:cs="Times New Roman"/>
                      <w:color w:val="auto"/>
                      <w:sz w:val="21"/>
                      <w:szCs w:val="21"/>
                      <w:highlight w:val="none"/>
                      <w:lang w:val="en-US" w:eastAsia="zh-CN"/>
                    </w:rPr>
                    <w:t>无燃料燃烧废气产生</w:t>
                  </w:r>
                  <w:r>
                    <w:rPr>
                      <w:rFonts w:hint="default" w:ascii="Times New Roman" w:hAnsi="Times New Roman" w:eastAsia="宋体" w:cs="Times New Roman"/>
                      <w:color w:val="auto"/>
                      <w:sz w:val="21"/>
                      <w:szCs w:val="21"/>
                      <w:highlight w:val="none"/>
                    </w:rPr>
                    <w:t>。</w:t>
                  </w:r>
                </w:p>
              </w:tc>
              <w:tc>
                <w:tcPr>
                  <w:tcW w:w="4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噪声影响减缓措施</w:t>
                  </w:r>
                </w:p>
              </w:tc>
              <w:tc>
                <w:tcPr>
                  <w:tcW w:w="26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根据规划实施后对声环境的影响分析，本评价提出规划区应合理布局各企业位置，尽量远离居民点，加强园区内企业噪声环境管理，在村庄及居住区等噪声敏感目标与工业企业之间留出足够的退让距离，并在工业用地与居住区域之间设置绿化带以减小噪声影响；园区主要交通干道两侧与居住区之间应保持35m以上的退让距离，并在道路两侧布置绿化隔离带，从噪声传播途径中减小交通噪声对沿线敏感目标的影响。</w:t>
                  </w:r>
                </w:p>
              </w:tc>
              <w:tc>
                <w:tcPr>
                  <w:tcW w:w="14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val="en-US" w:eastAsia="zh-CN"/>
                    </w:rPr>
                    <w:t>所有设备均设置于厂房内部，高噪声设备安装消声、减震装置</w:t>
                  </w:r>
                  <w:r>
                    <w:rPr>
                      <w:rFonts w:hint="default" w:ascii="Times New Roman" w:hAnsi="Times New Roman" w:eastAsia="宋体" w:cs="Times New Roman"/>
                      <w:color w:val="auto"/>
                      <w:sz w:val="21"/>
                      <w:szCs w:val="21"/>
                      <w:highlight w:val="none"/>
                    </w:rPr>
                    <w:t>。根据预测结果，在采取噪声防治措施后，项目</w:t>
                  </w:r>
                  <w:r>
                    <w:rPr>
                      <w:rFonts w:hint="default" w:ascii="Times New Roman" w:hAnsi="Times New Roman" w:eastAsia="宋体" w:cs="Times New Roman"/>
                      <w:color w:val="auto"/>
                      <w:sz w:val="21"/>
                      <w:szCs w:val="21"/>
                      <w:highlight w:val="none"/>
                      <w:lang w:val="en-US" w:eastAsia="zh-CN"/>
                    </w:rPr>
                    <w:t>北、西、南厂界</w:t>
                  </w:r>
                  <w:r>
                    <w:rPr>
                      <w:rFonts w:hint="default" w:ascii="Times New Roman" w:hAnsi="Times New Roman" w:eastAsia="宋体" w:cs="Times New Roman"/>
                      <w:color w:val="auto"/>
                      <w:sz w:val="21"/>
                      <w:szCs w:val="21"/>
                      <w:highlight w:val="none"/>
                    </w:rPr>
                    <w:t>噪声</w:t>
                  </w:r>
                  <w:r>
                    <w:rPr>
                      <w:rFonts w:hint="default" w:ascii="Times New Roman" w:hAnsi="Times New Roman" w:eastAsia="宋体" w:cs="Times New Roman"/>
                      <w:color w:val="auto"/>
                      <w:sz w:val="21"/>
                      <w:szCs w:val="21"/>
                      <w:highlight w:val="none"/>
                      <w:lang w:val="en-US" w:eastAsia="zh-CN"/>
                    </w:rPr>
                    <w:t>均可满足</w:t>
                  </w:r>
                  <w:r>
                    <w:rPr>
                      <w:rFonts w:hint="default" w:ascii="Times New Roman" w:hAnsi="Times New Roman" w:eastAsia="宋体" w:cs="Times New Roman"/>
                      <w:color w:val="auto"/>
                      <w:sz w:val="21"/>
                      <w:szCs w:val="21"/>
                      <w:highlight w:val="none"/>
                    </w:rPr>
                    <w:t>《工业企业厂界环境噪声排放标准》（GB12348-2008）3类要求</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临1号路一侧</w:t>
                  </w:r>
                  <w:r>
                    <w:rPr>
                      <w:rFonts w:hint="default" w:ascii="Times New Roman" w:hAnsi="Times New Roman" w:eastAsia="宋体"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rPr>
                    <w:t>m范围内</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东厂界</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噪声</w:t>
                  </w:r>
                  <w:r>
                    <w:rPr>
                      <w:rFonts w:hint="default" w:ascii="Times New Roman" w:hAnsi="Times New Roman" w:eastAsia="宋体" w:cs="Times New Roman"/>
                      <w:color w:val="auto"/>
                      <w:sz w:val="21"/>
                      <w:szCs w:val="21"/>
                      <w:highlight w:val="none"/>
                      <w:lang w:val="en-US" w:eastAsia="zh-CN"/>
                    </w:rPr>
                    <w:t>可满足</w:t>
                  </w:r>
                  <w:r>
                    <w:rPr>
                      <w:rFonts w:hint="default" w:ascii="Times New Roman" w:hAnsi="Times New Roman" w:eastAsia="宋体" w:cs="Times New Roman"/>
                      <w:color w:val="auto"/>
                      <w:sz w:val="21"/>
                      <w:szCs w:val="21"/>
                      <w:highlight w:val="none"/>
                    </w:rPr>
                    <w:t>《工业企业厂界环境噪声排放标准》（GB12348-2008）</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类要求。项目周边</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0m范围无声环境敏感目标，不会降低区域声环境质量现状。</w:t>
                  </w:r>
                </w:p>
              </w:tc>
              <w:tc>
                <w:tcPr>
                  <w:tcW w:w="4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固体废物污染防治措施</w:t>
                  </w:r>
                </w:p>
              </w:tc>
              <w:tc>
                <w:tcPr>
                  <w:tcW w:w="26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根据《规划修编》实施后对固体废物的影响分析，本评价提出规划区应设置合理的产业链，实行循环经济，生活垃圾交由环卫部门统一处置；对于园区产生的危险废物，企业应委托有资质的单位进行处置，各企业要设置危险废物临时贮存场所，危险废物临时贮存设施要严格按照</w:t>
                  </w:r>
                  <w:r>
                    <w:rPr>
                      <w:rFonts w:hint="default" w:ascii="Times New Roman" w:hAnsi="Times New Roman" w:eastAsia="宋体" w:cs="Times New Roman"/>
                      <w:color w:val="auto"/>
                      <w:sz w:val="21"/>
                      <w:szCs w:val="21"/>
                      <w:highlight w:val="none"/>
                      <w:lang w:val="zh-CN" w:eastAsia="zh-CN"/>
                    </w:rPr>
                    <w:t>（</w:t>
                  </w:r>
                  <w:r>
                    <w:rPr>
                      <w:rFonts w:hint="default" w:ascii="Times New Roman" w:hAnsi="Times New Roman" w:eastAsia="宋体" w:cs="Times New Roman"/>
                      <w:color w:val="auto"/>
                      <w:sz w:val="21"/>
                      <w:szCs w:val="21"/>
                      <w:highlight w:val="none"/>
                      <w:lang w:val="zh-CN"/>
                    </w:rPr>
                    <w:t>GB18597-2001</w:t>
                  </w:r>
                  <w:r>
                    <w:rPr>
                      <w:rFonts w:hint="default" w:ascii="Times New Roman" w:hAnsi="Times New Roman" w:eastAsia="宋体" w:cs="Times New Roman"/>
                      <w:color w:val="auto"/>
                      <w:sz w:val="21"/>
                      <w:szCs w:val="21"/>
                      <w:highlight w:val="none"/>
                      <w:lang w:val="zh-CN" w:eastAsia="zh-CN"/>
                    </w:rPr>
                    <w:t>）</w:t>
                  </w:r>
                  <w:r>
                    <w:rPr>
                      <w:rFonts w:hint="default" w:ascii="Times New Roman" w:hAnsi="Times New Roman" w:eastAsia="宋体" w:cs="Times New Roman"/>
                      <w:color w:val="auto"/>
                      <w:sz w:val="21"/>
                      <w:szCs w:val="21"/>
                      <w:highlight w:val="none"/>
                      <w:lang w:val="zh-CN"/>
                    </w:rPr>
                    <w:t>《危险废物贮存污染控制标准》进行建设和管理；一般工业固体废物通过综合利用后，剩余部分根据规范处置要求进行相应处置。</w:t>
                  </w:r>
                </w:p>
              </w:tc>
              <w:tc>
                <w:tcPr>
                  <w:tcW w:w="14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val="zh-CN"/>
                    </w:rPr>
                    <w:t>固体废弃物100%处置；</w:t>
                  </w:r>
                  <w:r>
                    <w:rPr>
                      <w:rFonts w:hint="default" w:ascii="Times New Roman" w:hAnsi="Times New Roman" w:eastAsia="宋体" w:cs="Times New Roman"/>
                      <w:color w:val="auto"/>
                      <w:sz w:val="21"/>
                      <w:szCs w:val="21"/>
                      <w:highlight w:val="none"/>
                      <w:lang w:val="en-US" w:eastAsia="zh-CN"/>
                    </w:rPr>
                    <w:t>本项目危险废物暂存间按照</w:t>
                  </w:r>
                  <w:r>
                    <w:rPr>
                      <w:rFonts w:hint="default" w:ascii="Times New Roman" w:hAnsi="Times New Roman" w:eastAsia="宋体" w:cs="Times New Roman"/>
                      <w:color w:val="auto"/>
                      <w:sz w:val="21"/>
                      <w:szCs w:val="21"/>
                      <w:highlight w:val="none"/>
                      <w:lang w:val="zh-CN"/>
                    </w:rPr>
                    <w:t>《危险废物贮存污染控制标准》</w:t>
                  </w:r>
                  <w:r>
                    <w:rPr>
                      <w:rFonts w:hint="default" w:ascii="Times New Roman" w:hAnsi="Times New Roman" w:eastAsia="宋体" w:cs="Times New Roman"/>
                      <w:color w:val="auto"/>
                      <w:sz w:val="21"/>
                      <w:szCs w:val="21"/>
                      <w:highlight w:val="none"/>
                      <w:lang w:val="zh-CN" w:eastAsia="zh-CN"/>
                    </w:rPr>
                    <w:t>（</w:t>
                  </w:r>
                  <w:r>
                    <w:rPr>
                      <w:rFonts w:hint="default" w:ascii="Times New Roman" w:hAnsi="Times New Roman" w:eastAsia="宋体" w:cs="Times New Roman"/>
                      <w:color w:val="auto"/>
                      <w:sz w:val="21"/>
                      <w:szCs w:val="21"/>
                      <w:highlight w:val="none"/>
                      <w:lang w:val="zh-CN"/>
                    </w:rPr>
                    <w:t>GB18597-20</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lang w:val="zh-CN" w:eastAsia="zh-CN"/>
                    </w:rPr>
                    <w:t>）</w:t>
                  </w:r>
                  <w:r>
                    <w:rPr>
                      <w:rFonts w:hint="default" w:ascii="Times New Roman" w:hAnsi="Times New Roman" w:eastAsia="宋体" w:cs="Times New Roman"/>
                      <w:color w:val="auto"/>
                      <w:sz w:val="21"/>
                      <w:szCs w:val="21"/>
                      <w:highlight w:val="none"/>
                      <w:lang w:val="en-US" w:eastAsia="zh-CN"/>
                    </w:rPr>
                    <w:t>中的要求</w:t>
                  </w:r>
                  <w:r>
                    <w:rPr>
                      <w:rFonts w:hint="default" w:ascii="Times New Roman" w:hAnsi="Times New Roman" w:eastAsia="宋体" w:cs="Times New Roman"/>
                      <w:color w:val="auto"/>
                      <w:sz w:val="21"/>
                      <w:szCs w:val="21"/>
                      <w:highlight w:val="none"/>
                      <w:lang w:val="zh-CN"/>
                    </w:rPr>
                    <w:t>进行建设和管理。</w:t>
                  </w:r>
                </w:p>
              </w:tc>
              <w:tc>
                <w:tcPr>
                  <w:tcW w:w="4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生态环境影响减缓措施</w:t>
                  </w:r>
                </w:p>
              </w:tc>
              <w:tc>
                <w:tcPr>
                  <w:tcW w:w="26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根据对规划实施后对生态环境的影响分析，本评价提出规划区建设中绿化率不低于总体规划中要求，尽量保留现有的主干防护林，园区外围种植绿化带等措施。</w:t>
                  </w:r>
                </w:p>
              </w:tc>
              <w:tc>
                <w:tcPr>
                  <w:tcW w:w="14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项目厂区内设置了一定面积的绿化。</w:t>
                  </w:r>
                </w:p>
              </w:tc>
              <w:tc>
                <w:tcPr>
                  <w:tcW w:w="4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事故及风险防范措施</w:t>
                  </w:r>
                </w:p>
              </w:tc>
              <w:tc>
                <w:tcPr>
                  <w:tcW w:w="26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园区组织编制环境风险应急预案，通过风险源的识别，制定不同风险源的应急处理处置方案，形成应对突发事故应急处理处置能力。加强突发性环境污染事故风险防范能力，有效预防、及时控制和消除突发性环境污染事故的危害，尤其应避免或防止潘所海、羊街河及牛栏江等流域水源受到污染；园区各企业需建设风险事故废水排放管道及处置池，如若发生事故，事故废水必须进入事故处置池，并及时处理处置事故废水。</w:t>
                  </w:r>
                </w:p>
              </w:tc>
              <w:tc>
                <w:tcPr>
                  <w:tcW w:w="14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本项目建设完成后按照要求重新编制突发环境事件应急预案，并报当地环保部门备案。</w:t>
                  </w:r>
                </w:p>
              </w:tc>
              <w:tc>
                <w:tcPr>
                  <w:tcW w:w="4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综上</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本项目与</w:t>
            </w:r>
            <w:r>
              <w:rPr>
                <w:rFonts w:hint="default" w:ascii="Times New Roman" w:hAnsi="Times New Roman" w:eastAsia="宋体" w:cs="Times New Roman"/>
                <w:color w:val="auto"/>
                <w:sz w:val="24"/>
                <w:szCs w:val="24"/>
                <w:highlight w:val="none"/>
                <w:lang w:val="zh-CN"/>
              </w:rPr>
              <w:t>《寻甸特色产业园区总体规划（修编）（2018-2035年）环境影响报告书》的相关要求</w:t>
            </w:r>
            <w:r>
              <w:rPr>
                <w:rFonts w:hint="default" w:ascii="Times New Roman" w:hAnsi="Times New Roman" w:eastAsia="宋体" w:cs="Times New Roman"/>
                <w:color w:val="auto"/>
                <w:sz w:val="24"/>
                <w:szCs w:val="24"/>
                <w:highlight w:val="none"/>
                <w:lang w:val="en-US" w:eastAsia="zh-CN"/>
              </w:rPr>
              <w:t>不冲突</w:t>
            </w:r>
            <w:r>
              <w:rPr>
                <w:rFonts w:hint="default" w:ascii="Times New Roman" w:hAnsi="Times New Roman" w:eastAsia="宋体" w:cs="Times New Roman"/>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）园区准入负面清单</w:t>
            </w:r>
            <w:r>
              <w:rPr>
                <w:rFonts w:hint="default" w:ascii="Times New Roman" w:hAnsi="Times New Roman" w:eastAsia="宋体" w:cs="Times New Roman"/>
                <w:b/>
                <w:bCs/>
                <w:color w:val="auto"/>
                <w:sz w:val="24"/>
                <w:szCs w:val="24"/>
                <w:highlight w:val="none"/>
                <w:lang w:val="en-US" w:eastAsia="zh-CN"/>
              </w:rPr>
              <w:t>符合性分析</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根据《寻甸特色产业园区总体规划（修编）（2018-2035年）环境影响报告书》，园区准入负面清单及对照情况如下：</w:t>
            </w:r>
          </w:p>
          <w:p>
            <w:pPr>
              <w:keepNext w:val="0"/>
              <w:keepLines w:val="0"/>
              <w:pageBreakBefore w:val="0"/>
              <w:widowControl/>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表1-3   园区准入负面清单对照情况表</w:t>
            </w:r>
          </w:p>
          <w:tbl>
            <w:tblPr>
              <w:tblStyle w:val="26"/>
              <w:tblW w:w="78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
              <w:gridCol w:w="641"/>
              <w:gridCol w:w="3222"/>
              <w:gridCol w:w="3225"/>
              <w:gridCol w:w="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限制和禁止引进的项目和行业</w:t>
                  </w:r>
                </w:p>
              </w:tc>
              <w:tc>
                <w:tcPr>
                  <w:tcW w:w="32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46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总体要求</w:t>
                  </w:r>
                </w:p>
              </w:tc>
              <w:tc>
                <w:tcPr>
                  <w:tcW w:w="64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禁入行业</w:t>
                  </w:r>
                </w:p>
              </w:tc>
              <w:tc>
                <w:tcPr>
                  <w:tcW w:w="322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（1）《产业结构调整指导目录（2011年本）》（2013年修正）（或更新）中禁止、限制类的行业。</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（2）《外商投资产业指导目录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2017年修订</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》中禁止类。</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（3）生产《环境保护综合名录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2017年版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》中“高污染、环境风险”产品。</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（4）禁止引入其他不在园区产业定位、不符合园区环保要求项目，如化工、造纸制浆、印染、染料、制革、电镀、医药、食品、水泥、炼焦、炼硫、炼砷、炼油、电镀、农药、氮肥、有色金属等项目。</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（5）禁止引入造纸、印染、食品饮料、农副产品加工等需水量大，生产废水不能实现循环回用不外排的企业。</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（6）污水成分复杂或废水、废液按现有技术无法</w:t>
                  </w:r>
                  <w:r>
                    <w:rPr>
                      <w:rFonts w:hint="eastAsia" w:cs="Times New Roman"/>
                      <w:color w:val="auto"/>
                      <w:sz w:val="21"/>
                      <w:szCs w:val="21"/>
                      <w:highlight w:val="none"/>
                      <w:lang w:eastAsia="zh-CN"/>
                    </w:rPr>
                    <w:t>完善</w:t>
                  </w:r>
                  <w:r>
                    <w:rPr>
                      <w:rFonts w:hint="default" w:ascii="Times New Roman" w:hAnsi="Times New Roman" w:eastAsia="宋体" w:cs="Times New Roman"/>
                      <w:color w:val="auto"/>
                      <w:sz w:val="21"/>
                      <w:szCs w:val="21"/>
                      <w:highlight w:val="none"/>
                    </w:rPr>
                    <w:t>处置的产业。</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7</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物耗、能耗相对较高，产生的大气污染类型复杂、环境风险较大的产业、项目或工艺；且产生的大气污染物无法自身治理或妥善处置或处理成本较高的产生。</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8</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不能严格按“三同时”要求建厂的企业，无法满足卫生防护距离、大气环境防护距离的企业。</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9</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与《云南省牛栏江保护条例》存在冲突的项目。</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禁止引入单位产品能耗、物耗、污染物产生量和排放量等清洁生产指标达不到国内先进水平的产业</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；资源综合利用率低、产生废物量大，且按近期技术水平不能综合利用的行业；高耗水且排放污水、废液按现有技术经济无法治理或妥善处置的产业。</w:t>
                  </w:r>
                </w:p>
              </w:tc>
              <w:tc>
                <w:tcPr>
                  <w:tcW w:w="32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本项目属于</w:t>
                  </w:r>
                  <w:r>
                    <w:rPr>
                      <w:rFonts w:hint="default" w:ascii="Times New Roman" w:hAnsi="Times New Roman" w:eastAsia="宋体" w:cs="Times New Roman"/>
                      <w:color w:val="auto"/>
                      <w:sz w:val="21"/>
                      <w:szCs w:val="21"/>
                      <w:highlight w:val="none"/>
                      <w:lang w:val="en-US" w:eastAsia="zh-CN"/>
                    </w:rPr>
                    <w:t>塑料薄膜生产项目</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不生产厚度低于0.01毫米的聚乙烯农用地膜，</w:t>
                  </w:r>
                  <w:r>
                    <w:rPr>
                      <w:rFonts w:hint="default" w:ascii="Times New Roman" w:hAnsi="Times New Roman" w:eastAsia="宋体" w:cs="Times New Roman"/>
                      <w:color w:val="auto"/>
                      <w:sz w:val="21"/>
                      <w:szCs w:val="21"/>
                      <w:highlight w:val="none"/>
                    </w:rPr>
                    <w:t>根据《产业结构调整指导目录（2019年本）》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项目不属于限制类和淘汰类项目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属于允许类</w:t>
                  </w:r>
                  <w:r>
                    <w:rPr>
                      <w:rFonts w:hint="default" w:ascii="Times New Roman" w:hAnsi="Times New Roman" w:eastAsia="宋体" w:cs="Times New Roman"/>
                      <w:color w:val="auto"/>
                      <w:sz w:val="21"/>
                      <w:szCs w:val="21"/>
                      <w:highlight w:val="none"/>
                    </w:rPr>
                    <w:t>；不属于《外商投资产业指导目录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2017年修订</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》中禁止类项目；本项目使用</w:t>
                  </w:r>
                  <w:r>
                    <w:rPr>
                      <w:rFonts w:hint="default" w:ascii="Times New Roman" w:hAnsi="Times New Roman" w:eastAsia="宋体" w:cs="Times New Roman"/>
                      <w:color w:val="auto"/>
                      <w:sz w:val="21"/>
                      <w:szCs w:val="21"/>
                      <w:highlight w:val="none"/>
                      <w:lang w:val="en-US" w:eastAsia="zh-CN"/>
                    </w:rPr>
                    <w:t>的原辅料</w:t>
                  </w:r>
                  <w:r>
                    <w:rPr>
                      <w:rFonts w:hint="default" w:ascii="Times New Roman" w:hAnsi="Times New Roman" w:eastAsia="宋体" w:cs="Times New Roman"/>
                      <w:color w:val="auto"/>
                      <w:sz w:val="21"/>
                      <w:szCs w:val="21"/>
                      <w:highlight w:val="none"/>
                    </w:rPr>
                    <w:t>不属于《环境保护综合名录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2017年版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》中“高污染、环境风险”产品；</w:t>
                  </w:r>
                  <w:r>
                    <w:rPr>
                      <w:rFonts w:hint="default" w:ascii="Times New Roman" w:hAnsi="Times New Roman" w:eastAsia="宋体"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不属于化工、造纸制浆、印染、染料、制革、电镀、医药、食品、水泥、炼焦、炼硫、炼砷、炼油、电镀、农药、氮肥、有色金属等其他不在园区产业定位、不符合园区环保要求项目；不属于造纸、印染、食品饮料、农副产品加工等需水量大，</w:t>
                  </w:r>
                  <w:r>
                    <w:rPr>
                      <w:rFonts w:hint="default" w:ascii="Times New Roman" w:hAnsi="Times New Roman" w:eastAsia="宋体" w:cs="Times New Roman"/>
                      <w:b w:val="0"/>
                      <w:bCs w:val="0"/>
                      <w:color w:val="auto"/>
                      <w:sz w:val="21"/>
                      <w:szCs w:val="21"/>
                      <w:highlight w:val="none"/>
                      <w:lang w:val="en-US" w:eastAsia="zh-CN"/>
                    </w:rPr>
                    <w:t>生产过程不使用水，无生产废水产生；</w:t>
                  </w:r>
                  <w:r>
                    <w:rPr>
                      <w:rFonts w:hint="default" w:ascii="Times New Roman" w:hAnsi="Times New Roman" w:eastAsia="宋体" w:cs="Times New Roman"/>
                      <w:color w:val="auto"/>
                      <w:sz w:val="21"/>
                      <w:szCs w:val="21"/>
                      <w:highlight w:val="none"/>
                    </w:rPr>
                    <w:t>运营期废水主要为员工办公生活废水，不属于污水成分复杂或废水、废液按现有技术无法</w:t>
                  </w:r>
                  <w:r>
                    <w:rPr>
                      <w:rFonts w:hint="eastAsia" w:cs="Times New Roman"/>
                      <w:color w:val="auto"/>
                      <w:sz w:val="21"/>
                      <w:szCs w:val="21"/>
                      <w:highlight w:val="none"/>
                      <w:lang w:eastAsia="zh-CN"/>
                    </w:rPr>
                    <w:t>完善</w:t>
                  </w:r>
                  <w:r>
                    <w:rPr>
                      <w:rFonts w:hint="default" w:ascii="Times New Roman" w:hAnsi="Times New Roman" w:eastAsia="宋体" w:cs="Times New Roman"/>
                      <w:color w:val="auto"/>
                      <w:sz w:val="21"/>
                      <w:szCs w:val="21"/>
                      <w:highlight w:val="none"/>
                    </w:rPr>
                    <w:t>处置的产业；本项目物耗、能耗相对较低，产生的大气污染类型主要为有机废气</w:t>
                  </w:r>
                  <w:r>
                    <w:rPr>
                      <w:rFonts w:hint="default" w:ascii="Times New Roman" w:hAnsi="Times New Roman" w:eastAsia="宋体" w:cs="Times New Roman"/>
                      <w:color w:val="auto"/>
                      <w:sz w:val="21"/>
                      <w:szCs w:val="21"/>
                      <w:highlight w:val="none"/>
                      <w:lang w:val="en-US" w:eastAsia="zh-CN"/>
                    </w:rPr>
                    <w:t>及臭气浓度</w:t>
                  </w:r>
                  <w:r>
                    <w:rPr>
                      <w:rFonts w:hint="default" w:ascii="Times New Roman" w:hAnsi="Times New Roman" w:eastAsia="宋体" w:cs="Times New Roman"/>
                      <w:color w:val="auto"/>
                      <w:sz w:val="21"/>
                      <w:szCs w:val="21"/>
                      <w:highlight w:val="none"/>
                    </w:rPr>
                    <w:t>，不复杂，环境风险为一般环境风险，产生的大气污染物</w:t>
                  </w:r>
                  <w:r>
                    <w:rPr>
                      <w:rFonts w:hint="default" w:ascii="Times New Roman" w:hAnsi="Times New Roman" w:eastAsia="宋体" w:cs="Times New Roman"/>
                      <w:color w:val="auto"/>
                      <w:sz w:val="21"/>
                      <w:szCs w:val="21"/>
                      <w:highlight w:val="none"/>
                      <w:lang w:val="en-US" w:eastAsia="zh-CN"/>
                    </w:rPr>
                    <w:t>经采取措施治理后</w:t>
                  </w:r>
                  <w:r>
                    <w:rPr>
                      <w:rFonts w:hint="default" w:ascii="Times New Roman" w:hAnsi="Times New Roman" w:eastAsia="宋体" w:cs="Times New Roman"/>
                      <w:color w:val="auto"/>
                      <w:sz w:val="21"/>
                      <w:szCs w:val="21"/>
                      <w:highlight w:val="none"/>
                    </w:rPr>
                    <w:t>达标排放，处理成本一般；本项目为</w:t>
                  </w:r>
                  <w:r>
                    <w:rPr>
                      <w:rFonts w:hint="default" w:ascii="Times New Roman" w:hAnsi="Times New Roman" w:eastAsia="宋体" w:cs="Times New Roman"/>
                      <w:color w:val="auto"/>
                      <w:sz w:val="21"/>
                      <w:szCs w:val="21"/>
                      <w:highlight w:val="none"/>
                      <w:lang w:val="en-US" w:eastAsia="zh-CN"/>
                    </w:rPr>
                    <w:t>扩</w:t>
                  </w:r>
                  <w:r>
                    <w:rPr>
                      <w:rFonts w:hint="default" w:ascii="Times New Roman" w:hAnsi="Times New Roman" w:eastAsia="宋体" w:cs="Times New Roman"/>
                      <w:color w:val="auto"/>
                      <w:sz w:val="21"/>
                      <w:szCs w:val="21"/>
                      <w:highlight w:val="none"/>
                    </w:rPr>
                    <w:t>建项目，能严格按“三同时”要求建厂，</w:t>
                  </w:r>
                  <w:r>
                    <w:rPr>
                      <w:rFonts w:hint="default" w:ascii="Times New Roman" w:hAnsi="Times New Roman" w:eastAsia="宋体" w:cs="Times New Roman"/>
                      <w:color w:val="auto"/>
                      <w:sz w:val="21"/>
                      <w:szCs w:val="21"/>
                      <w:highlight w:val="none"/>
                      <w:lang w:val="en-US" w:eastAsia="zh-CN"/>
                    </w:rPr>
                    <w:t>本项目未设置</w:t>
                  </w:r>
                  <w:r>
                    <w:rPr>
                      <w:rFonts w:hint="default" w:ascii="Times New Roman" w:hAnsi="Times New Roman" w:eastAsia="宋体" w:cs="Times New Roman"/>
                      <w:color w:val="auto"/>
                      <w:sz w:val="21"/>
                      <w:szCs w:val="21"/>
                      <w:highlight w:val="none"/>
                    </w:rPr>
                    <w:t>卫生防护距离、大气环境防护距离；项目与《云南省牛栏江保护条例》不冲突；本项目不属于单位产品能耗、物耗、污染物产生量和排放量等清洁生产指标达不到国内先进水平的产业</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；资源综合利用率低、产生废物量大，且按近期技术水平不能综合利用的行业；高耗水且排放污水、废液按现有技术经济无法治理或妥善处置的产业。</w:t>
                  </w:r>
                </w:p>
              </w:tc>
              <w:tc>
                <w:tcPr>
                  <w:tcW w:w="46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32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禁入工艺</w:t>
                  </w:r>
                </w:p>
              </w:tc>
              <w:tc>
                <w:tcPr>
                  <w:tcW w:w="322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《产业结构调整指导目录（2011年本）》（2013年修正）（或更新）中淘汰、落后的生产工艺</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2010年本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》的生产工艺</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现有污染治理技术不成熟，或现有技术经济条件难以承受污染物治理成本的。</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4</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装备制造产业中含电镀、钝化、传统磷化等不能实现工业废水循环回用的企业禁止入驻。</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5</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涂装、印刷、粘合、工业清洗行业中淘汰以三氟氯乙烷、</w:t>
                  </w:r>
                  <w:r>
                    <w:rPr>
                      <w:rFonts w:hint="eastAsia" w:cs="Times New Roman"/>
                      <w:color w:val="auto"/>
                      <w:sz w:val="21"/>
                      <w:szCs w:val="21"/>
                      <w:highlight w:val="none"/>
                      <w:lang w:eastAsia="zh-CN"/>
                    </w:rPr>
                    <w:t>甲基苯</w:t>
                  </w:r>
                  <w:r>
                    <w:rPr>
                      <w:rFonts w:hint="default" w:ascii="Times New Roman" w:hAnsi="Times New Roman" w:eastAsia="宋体" w:cs="Times New Roman"/>
                      <w:color w:val="auto"/>
                      <w:sz w:val="21"/>
                      <w:szCs w:val="21"/>
                      <w:highlight w:val="none"/>
                    </w:rPr>
                    <w:t>和四化碳为清洗剂或溶剂的生产工艺。</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6</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园区不再统一规划固废处置场，未来入驻企业禁止在园区内新建永久性工业固废处置场。</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7</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禁止入园企业开采地下水作为生产、生活用水。</w:t>
                  </w:r>
                </w:p>
              </w:tc>
              <w:tc>
                <w:tcPr>
                  <w:tcW w:w="32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本项目属于</w:t>
                  </w:r>
                  <w:r>
                    <w:rPr>
                      <w:rFonts w:hint="default" w:ascii="Times New Roman" w:hAnsi="Times New Roman" w:eastAsia="宋体" w:cs="Times New Roman"/>
                      <w:color w:val="auto"/>
                      <w:sz w:val="21"/>
                      <w:szCs w:val="21"/>
                      <w:highlight w:val="none"/>
                      <w:lang w:val="en-US" w:eastAsia="zh-CN"/>
                    </w:rPr>
                    <w:t>塑料薄膜生产项目</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不生产厚度低于0.01毫米的聚乙烯农用地膜，</w:t>
                  </w:r>
                  <w:r>
                    <w:rPr>
                      <w:rFonts w:hint="default" w:ascii="Times New Roman" w:hAnsi="Times New Roman" w:eastAsia="宋体" w:cs="Times New Roman"/>
                      <w:color w:val="auto"/>
                      <w:sz w:val="21"/>
                      <w:szCs w:val="21"/>
                      <w:highlight w:val="none"/>
                    </w:rPr>
                    <w:t>根据《产业结构调整指导目录（2019年本）》，本项目所用工艺不属于该目录中淘汰、落后的生产工艺；不属于《部分工业行业淘汰落后生产工艺装备和产品指导目录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2010年本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》的生产工艺；本项目</w:t>
                  </w:r>
                  <w:r>
                    <w:rPr>
                      <w:rFonts w:hint="default" w:ascii="Times New Roman" w:hAnsi="Times New Roman" w:eastAsia="宋体" w:cs="Times New Roman"/>
                      <w:color w:val="auto"/>
                      <w:sz w:val="21"/>
                      <w:szCs w:val="21"/>
                      <w:highlight w:val="none"/>
                      <w:lang w:eastAsia="zh-CN"/>
                    </w:rPr>
                    <w:t>拟采取的废气污染</w:t>
                  </w:r>
                  <w:r>
                    <w:rPr>
                      <w:rFonts w:hint="eastAsia" w:cs="Times New Roman"/>
                      <w:color w:val="auto"/>
                      <w:sz w:val="21"/>
                      <w:szCs w:val="21"/>
                      <w:highlight w:val="none"/>
                      <w:lang w:eastAsia="zh-CN"/>
                    </w:rPr>
                    <w:t>防治</w:t>
                  </w:r>
                  <w:r>
                    <w:rPr>
                      <w:rFonts w:hint="default" w:ascii="Times New Roman" w:hAnsi="Times New Roman" w:eastAsia="宋体" w:cs="Times New Roman"/>
                      <w:color w:val="auto"/>
                      <w:sz w:val="21"/>
                      <w:szCs w:val="21"/>
                      <w:highlight w:val="none"/>
                      <w:lang w:eastAsia="zh-CN"/>
                    </w:rPr>
                    <w:t>技术、废水处理技术均为成熟技术，且技术经济成本可承受</w:t>
                  </w:r>
                  <w:r>
                    <w:rPr>
                      <w:rFonts w:hint="default" w:ascii="Times New Roman" w:hAnsi="Times New Roman" w:eastAsia="宋体" w:cs="Times New Roman"/>
                      <w:color w:val="auto"/>
                      <w:sz w:val="21"/>
                      <w:szCs w:val="21"/>
                      <w:highlight w:val="none"/>
                    </w:rPr>
                    <w:t>；不属于装备制造产业中含电镀、钝化、传统磷化等不能实现工业废水循环回用的企业；不属于以三氟氯乙烷、</w:t>
                  </w:r>
                  <w:r>
                    <w:rPr>
                      <w:rFonts w:hint="eastAsia" w:cs="Times New Roman"/>
                      <w:color w:val="auto"/>
                      <w:sz w:val="21"/>
                      <w:szCs w:val="21"/>
                      <w:highlight w:val="none"/>
                      <w:lang w:eastAsia="zh-CN"/>
                    </w:rPr>
                    <w:t>甲基苯</w:t>
                  </w:r>
                  <w:r>
                    <w:rPr>
                      <w:rFonts w:hint="default" w:ascii="Times New Roman" w:hAnsi="Times New Roman" w:eastAsia="宋体" w:cs="Times New Roman"/>
                      <w:color w:val="auto"/>
                      <w:sz w:val="21"/>
                      <w:szCs w:val="21"/>
                      <w:highlight w:val="none"/>
                    </w:rPr>
                    <w:t>和四化碳为清洗剂或溶剂的生产工艺；本项目不在园区内新建永久性工业固废处置场；本项目供水由市政供水，不开采地下水作为生产、生活用水。</w:t>
                  </w:r>
                </w:p>
              </w:tc>
              <w:tc>
                <w:tcPr>
                  <w:tcW w:w="46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禁入产品</w:t>
                  </w:r>
                </w:p>
              </w:tc>
              <w:tc>
                <w:tcPr>
                  <w:tcW w:w="322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2010年本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》的产品</w:t>
                  </w:r>
                  <w:r>
                    <w:rPr>
                      <w:rFonts w:hint="default" w:ascii="Times New Roman" w:hAnsi="Times New Roman" w:eastAsia="宋体" w:cs="Times New Roman"/>
                      <w:color w:val="auto"/>
                      <w:sz w:val="21"/>
                      <w:szCs w:val="21"/>
                      <w:highlight w:val="none"/>
                      <w:lang w:eastAsia="zh-CN"/>
                    </w:rPr>
                    <w:t>。</w:t>
                  </w:r>
                </w:p>
              </w:tc>
              <w:tc>
                <w:tcPr>
                  <w:tcW w:w="32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本项目产品不属于《部分工业行业淘汰落后生产工艺装备和产品指导目录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2010年本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》的产品。</w:t>
                  </w:r>
                </w:p>
              </w:tc>
              <w:tc>
                <w:tcPr>
                  <w:tcW w:w="46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清洁生产水平</w:t>
                  </w:r>
                </w:p>
              </w:tc>
              <w:tc>
                <w:tcPr>
                  <w:tcW w:w="322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清洁生产水平低于国家清洁生产标准的国内先进水平。</w:t>
                  </w:r>
                </w:p>
              </w:tc>
              <w:tc>
                <w:tcPr>
                  <w:tcW w:w="32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本项目清洁生产水平不低于国家清洁生产标准的国内先进水平。</w:t>
                  </w:r>
                </w:p>
              </w:tc>
              <w:tc>
                <w:tcPr>
                  <w:tcW w:w="46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限制禁入</w:t>
                  </w:r>
                </w:p>
              </w:tc>
              <w:tc>
                <w:tcPr>
                  <w:tcW w:w="322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（1）严格限制引进《产业结构调整指导目录（2011年本）》（2013年修正）中所列的限制类项目。</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《外商投资产业指导目录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2015 年修订</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》中所列的限制类项目。</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严格限制引进涉及《中国严格限制进出口的有毒化学品目录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2012年本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》中所列有毒化学品的项目。</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4</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严禁引入技术含量较低的加工类产业。</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5</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严禁引入物耗、水耗和能耗相对较高，但符合园区总体规划产业类别的其他产业</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①属于规划既定行业，但污染类型复杂、环境风险较大的产业、项目或工艺;②产生废物，且按自有技术水平无法治理或妥善处置的;③现有污染治理技术不成熟，或现有技术经济条件难以承受污染物治理成本的</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p>
              </w:tc>
              <w:tc>
                <w:tcPr>
                  <w:tcW w:w="32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本项目属于</w:t>
                  </w:r>
                  <w:r>
                    <w:rPr>
                      <w:rFonts w:hint="default" w:ascii="Times New Roman" w:hAnsi="Times New Roman" w:eastAsia="宋体" w:cs="Times New Roman"/>
                      <w:color w:val="auto"/>
                      <w:sz w:val="21"/>
                      <w:szCs w:val="21"/>
                      <w:highlight w:val="none"/>
                      <w:lang w:val="en-US" w:eastAsia="zh-CN"/>
                    </w:rPr>
                    <w:t>塑料薄膜生产项目</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不生产厚度低于0.01毫米的聚乙烯农用地膜，</w:t>
                  </w:r>
                  <w:r>
                    <w:rPr>
                      <w:rFonts w:hint="default" w:ascii="Times New Roman" w:hAnsi="Times New Roman" w:eastAsia="宋体" w:cs="Times New Roman"/>
                      <w:color w:val="auto"/>
                      <w:sz w:val="21"/>
                      <w:szCs w:val="21"/>
                      <w:highlight w:val="none"/>
                    </w:rPr>
                    <w:t>根据《产业结构调整指导目录（2019年本）》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项目不属于限制类和淘汰类项目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属于允许类</w:t>
                  </w:r>
                  <w:r>
                    <w:rPr>
                      <w:rFonts w:hint="default" w:ascii="Times New Roman" w:hAnsi="Times New Roman" w:eastAsia="宋体" w:cs="Times New Roman"/>
                      <w:color w:val="auto"/>
                      <w:sz w:val="21"/>
                      <w:szCs w:val="21"/>
                      <w:highlight w:val="none"/>
                    </w:rPr>
                    <w:t>；也不属于《外商投资产业指导目录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2015年修订</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》中所列的限制类项目；不涉及《中国严格限制进出口的有毒化学品目录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2012年本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》中所列有毒化学品；不属于技术含量较低的加工类产业；不属于物耗、水耗和能耗相对较高，但符合园区总体规划产业类别的其他产业</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①属于规划既定行业，但污染类型复杂、环境风险较大的产业、项目或工艺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②产生废物，且按自有技术水平无法治理或妥善处置的</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③现有污染治理技术不成熟，或现有技术经济条件难以承受污染物治理成本的</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p>
              </w:tc>
              <w:tc>
                <w:tcPr>
                  <w:tcW w:w="46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规划产业要求</w:t>
                  </w:r>
                </w:p>
              </w:tc>
              <w:tc>
                <w:tcPr>
                  <w:tcW w:w="64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现状产业区</w:t>
                  </w:r>
                </w:p>
              </w:tc>
              <w:tc>
                <w:tcPr>
                  <w:tcW w:w="322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有煤磷盐化工企业、水泥熟料生产企业严禁新增、扩建重污染的煤磷盐化工项目，严禁新增三类工业用地，现有煤磷盐化工项目通过技术改造、产业升级、环保整改等进行节能减排，推行污染物超低排放改造，禁止新的煤、磷、盐化工产业、水泥熟料生产企业入驻。</w:t>
                  </w:r>
                </w:p>
              </w:tc>
              <w:tc>
                <w:tcPr>
                  <w:tcW w:w="32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本项目为</w:t>
                  </w:r>
                  <w:r>
                    <w:rPr>
                      <w:rFonts w:hint="default" w:ascii="Times New Roman" w:hAnsi="Times New Roman" w:eastAsia="宋体" w:cs="Times New Roman"/>
                      <w:color w:val="auto"/>
                      <w:sz w:val="21"/>
                      <w:szCs w:val="21"/>
                      <w:highlight w:val="none"/>
                      <w:lang w:val="en-US" w:eastAsia="zh-CN"/>
                    </w:rPr>
                    <w:t>扩建</w:t>
                  </w:r>
                  <w:r>
                    <w:rPr>
                      <w:rFonts w:hint="default" w:ascii="Times New Roman" w:hAnsi="Times New Roman" w:eastAsia="宋体" w:cs="Times New Roman"/>
                      <w:color w:val="auto"/>
                      <w:sz w:val="21"/>
                      <w:szCs w:val="21"/>
                      <w:highlight w:val="none"/>
                    </w:rPr>
                    <w:t>项目，不涉及</w:t>
                  </w:r>
                  <w:r>
                    <w:rPr>
                      <w:rFonts w:hint="default" w:ascii="Times New Roman" w:hAnsi="Times New Roman" w:eastAsia="宋体" w:cs="Times New Roman"/>
                      <w:color w:val="auto"/>
                      <w:sz w:val="21"/>
                      <w:szCs w:val="21"/>
                      <w:highlight w:val="none"/>
                      <w:lang w:val="en-US" w:eastAsia="zh-CN"/>
                    </w:rPr>
                    <w:t>该条内容</w:t>
                  </w:r>
                  <w:r>
                    <w:rPr>
                      <w:rFonts w:hint="default" w:ascii="Times New Roman" w:hAnsi="Times New Roman" w:eastAsia="宋体" w:cs="Times New Roman"/>
                      <w:color w:val="auto"/>
                      <w:sz w:val="21"/>
                      <w:szCs w:val="21"/>
                      <w:highlight w:val="none"/>
                    </w:rPr>
                    <w:t>。</w:t>
                  </w:r>
                </w:p>
              </w:tc>
              <w:tc>
                <w:tcPr>
                  <w:tcW w:w="46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新型建材产业</w:t>
                  </w:r>
                </w:p>
              </w:tc>
              <w:tc>
                <w:tcPr>
                  <w:tcW w:w="322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入驻企业为新型墙体材料、新型防水密封材料、新型保温隔热材料和装饰装修材料等新型建材企业，禁止水泥生产、矿渣棉、玻璃棉、手工制作墙板生产线、非烧结、非蒸压粉煤灰生产线企业入驻。</w:t>
                  </w:r>
                </w:p>
              </w:tc>
              <w:tc>
                <w:tcPr>
                  <w:tcW w:w="32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val="en-US" w:eastAsia="zh-CN"/>
                    </w:rPr>
                    <w:t>不属于</w:t>
                  </w:r>
                  <w:r>
                    <w:rPr>
                      <w:rFonts w:hint="default" w:ascii="Times New Roman" w:hAnsi="Times New Roman" w:eastAsia="宋体" w:cs="Times New Roman"/>
                      <w:color w:val="auto"/>
                      <w:sz w:val="21"/>
                      <w:szCs w:val="21"/>
                      <w:highlight w:val="none"/>
                    </w:rPr>
                    <w:t>水泥生产、矿渣棉、玻璃棉、手工制作墙板生产线、非烧结、非蒸压粉煤灰生产线企业。</w:t>
                  </w:r>
                </w:p>
              </w:tc>
              <w:tc>
                <w:tcPr>
                  <w:tcW w:w="46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32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装备制造产业</w:t>
                  </w:r>
                </w:p>
              </w:tc>
              <w:tc>
                <w:tcPr>
                  <w:tcW w:w="322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禁止采用电镀、钝化、传统磷化工艺企业、包括电子器件和电路板生产制造，生产废水不能循环回用的企业入驻。</w:t>
                  </w:r>
                </w:p>
              </w:tc>
              <w:tc>
                <w:tcPr>
                  <w:tcW w:w="32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本项目不属于采用电镀、钝化、传统磷化工艺企业、包括电子器件和电路板生产制造</w:t>
                  </w:r>
                  <w:r>
                    <w:rPr>
                      <w:rFonts w:hint="default" w:ascii="Times New Roman" w:hAnsi="Times New Roman" w:eastAsia="宋体" w:cs="Times New Roman"/>
                      <w:color w:val="auto"/>
                      <w:sz w:val="21"/>
                      <w:szCs w:val="21"/>
                      <w:highlight w:val="none"/>
                      <w:lang w:val="en-US" w:eastAsia="zh-CN"/>
                    </w:rPr>
                    <w:t>的企业</w:t>
                  </w:r>
                  <w:r>
                    <w:rPr>
                      <w:rFonts w:hint="default" w:ascii="Times New Roman" w:hAnsi="Times New Roman" w:eastAsia="宋体" w:cs="Times New Roman"/>
                      <w:color w:val="auto"/>
                      <w:sz w:val="21"/>
                      <w:szCs w:val="21"/>
                      <w:highlight w:val="none"/>
                    </w:rPr>
                    <w:t>。</w:t>
                  </w:r>
                </w:p>
              </w:tc>
              <w:tc>
                <w:tcPr>
                  <w:tcW w:w="46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家居制造</w:t>
                  </w:r>
                </w:p>
              </w:tc>
              <w:tc>
                <w:tcPr>
                  <w:tcW w:w="322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禁止采用传统制胶工艺，生产废水不能循环回用的企业入驻。</w:t>
                  </w:r>
                </w:p>
              </w:tc>
              <w:tc>
                <w:tcPr>
                  <w:tcW w:w="32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val="en-US" w:eastAsia="zh-CN"/>
                    </w:rPr>
                    <w:t>不涉及传统制胶工艺</w:t>
                  </w:r>
                  <w:r>
                    <w:rPr>
                      <w:rFonts w:hint="default" w:ascii="Times New Roman" w:hAnsi="Times New Roman" w:eastAsia="宋体" w:cs="Times New Roman"/>
                      <w:color w:val="auto"/>
                      <w:sz w:val="21"/>
                      <w:szCs w:val="21"/>
                      <w:highlight w:val="none"/>
                    </w:rPr>
                    <w:t>。</w:t>
                  </w:r>
                </w:p>
              </w:tc>
              <w:tc>
                <w:tcPr>
                  <w:tcW w:w="46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pPr>
              <w:pStyle w:val="71"/>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根据上表分析</w:t>
            </w:r>
            <w:r>
              <w:rPr>
                <w:rFonts w:hint="default" w:ascii="Times New Roman" w:hAnsi="Times New Roman" w:eastAsia="宋体" w:cs="Times New Roman"/>
                <w:color w:val="auto"/>
                <w:sz w:val="24"/>
                <w:szCs w:val="24"/>
                <w:highlight w:val="none"/>
              </w:rPr>
              <w:t>，本项目不属于工业园区</w:t>
            </w:r>
            <w:r>
              <w:rPr>
                <w:rFonts w:hint="default" w:ascii="Times New Roman" w:hAnsi="Times New Roman" w:eastAsia="宋体" w:cs="Times New Roman"/>
                <w:color w:val="auto"/>
                <w:sz w:val="24"/>
                <w:szCs w:val="24"/>
                <w:highlight w:val="none"/>
                <w:lang w:val="en-US" w:eastAsia="zh-CN"/>
              </w:rPr>
              <w:t>环境准入</w:t>
            </w:r>
            <w:r>
              <w:rPr>
                <w:rFonts w:hint="default" w:ascii="Times New Roman" w:hAnsi="Times New Roman" w:eastAsia="宋体" w:cs="Times New Roman"/>
                <w:color w:val="auto"/>
                <w:sz w:val="24"/>
                <w:szCs w:val="24"/>
                <w:highlight w:val="none"/>
              </w:rPr>
              <w:t>负面清单规定的范围内，符合</w:t>
            </w:r>
            <w:r>
              <w:rPr>
                <w:rFonts w:hint="default" w:ascii="Times New Roman" w:hAnsi="Times New Roman" w:eastAsia="宋体" w:cs="Times New Roman"/>
                <w:color w:val="auto"/>
                <w:sz w:val="24"/>
                <w:szCs w:val="24"/>
                <w:highlight w:val="none"/>
                <w:lang w:val="en-US" w:eastAsia="zh-CN"/>
              </w:rPr>
              <w:t>园区</w:t>
            </w:r>
            <w:r>
              <w:rPr>
                <w:rFonts w:hint="default" w:ascii="Times New Roman" w:hAnsi="Times New Roman" w:eastAsia="宋体" w:cs="Times New Roman"/>
                <w:color w:val="auto"/>
                <w:sz w:val="24"/>
                <w:szCs w:val="24"/>
                <w:highlight w:val="none"/>
              </w:rPr>
              <w:t>环境准入负面清单要求。</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（3）本项目与规划环评审查意见（云环函[2020]261号）的符合性分析</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项目与规划环评审查意见</w:t>
            </w:r>
            <w:r>
              <w:rPr>
                <w:rFonts w:hint="default" w:ascii="Times New Roman" w:hAnsi="Times New Roman" w:eastAsia="宋体" w:cs="Times New Roman"/>
                <w:color w:val="auto"/>
                <w:sz w:val="24"/>
                <w:szCs w:val="24"/>
                <w:highlight w:val="none"/>
                <w:lang w:val="zh-CN"/>
              </w:rPr>
              <w:t>对照情况如下：</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表1-4   与审查意见相符性分析</w:t>
            </w:r>
          </w:p>
          <w:tbl>
            <w:tblPr>
              <w:tblStyle w:val="26"/>
              <w:tblW w:w="7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3"/>
              <w:gridCol w:w="2535"/>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3" w:type="dxa"/>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审查意见提出要求</w:t>
                  </w:r>
                </w:p>
              </w:tc>
              <w:tc>
                <w:tcPr>
                  <w:tcW w:w="2535" w:type="dxa"/>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726" w:type="dxa"/>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守环境质量底线，严格入园项目环境管理。根据国家和云南省有关大气、水、土壤污染防治行动计划相关要求，采取有效措施减少主要污染物、挥发性有机物和臭气异味等特征污染物的排放总量，确保实现区域环境质量改善目标。南磷集团处理达标后的废水和先锋化工清净下水由既有管道排至功山河，应当符合污染物排放标准和化学需氧量、氨氮、总磷等重点水污染物排放总量控制指标。园区应当建设污水集中和分散处理设施，工业污水处理达标后，在园区内综合回用，实现工业污水零排放。积极与地方政府沟通协调，强化片区环境综合整治，加强园区生活污水的收集处理，提高污水回用率，有效改善区域水环境质量。规划区金所片区地表水、地下水存在连通关系，区域地下水为岩溶地质构造，是规划区与牛栏江相连的通道，须强化园区地下水污染防控措施。入园企业禁止抽取地下水。加强金所片区现有企业大气污染防治，先锋化工应认真落实异味整治方案，并加强监测监控，切实消除臭气对周围村庄和县城的影响。引进项目应符合国家产业政策和园区规划，并从生产工艺、设备、单位产品能耗、物耗、污染物排放和资源利用等方面，进一步提高清洁生产水平。</w:t>
                  </w:r>
                </w:p>
              </w:tc>
              <w:tc>
                <w:tcPr>
                  <w:tcW w:w="253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生产过程不使用水，无生产废水产生；</w:t>
                  </w:r>
                  <w:r>
                    <w:rPr>
                      <w:rFonts w:hint="default" w:ascii="Times New Roman" w:hAnsi="Times New Roman" w:eastAsia="宋体" w:cs="Times New Roman"/>
                      <w:color w:val="auto"/>
                      <w:sz w:val="21"/>
                      <w:szCs w:val="21"/>
                      <w:highlight w:val="none"/>
                      <w:lang w:eastAsia="zh-CN"/>
                    </w:rPr>
                    <w:t>生活污水处理达标后，</w:t>
                  </w:r>
                  <w:r>
                    <w:rPr>
                      <w:rFonts w:hint="default" w:ascii="Times New Roman" w:hAnsi="Times New Roman" w:eastAsia="宋体" w:cs="Times New Roman"/>
                      <w:b w:val="0"/>
                      <w:bCs w:val="0"/>
                      <w:color w:val="auto"/>
                      <w:sz w:val="21"/>
                      <w:szCs w:val="21"/>
                      <w:highlight w:val="none"/>
                      <w:lang w:val="en-US" w:eastAsia="zh-CN"/>
                    </w:rPr>
                    <w:t>用于项目区内绿化及道路场地洒水降尘，不外排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废气统一收集进入1套</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UV光氧催化+三级活性炭吸附</w:t>
                  </w:r>
                  <w:r>
                    <w:rPr>
                      <w:rFonts w:hint="default" w:ascii="Times New Roman" w:hAnsi="Times New Roman" w:eastAsia="宋体" w:cs="Times New Roman"/>
                      <w:color w:val="auto"/>
                      <w:sz w:val="21"/>
                      <w:szCs w:val="21"/>
                      <w:highlight w:val="none"/>
                    </w:rPr>
                    <w:t>装置</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 w:val="21"/>
                      <w:szCs w:val="21"/>
                      <w:highlight w:val="none"/>
                      <w:lang w:val="en-US" w:eastAsia="zh-CN"/>
                    </w:rPr>
                    <w:t>处理达标后由1根</w:t>
                  </w:r>
                  <w:r>
                    <w:rPr>
                      <w:rFonts w:hint="default" w:ascii="Times New Roman" w:hAnsi="Times New Roman" w:eastAsia="宋体" w:cs="Times New Roman"/>
                      <w:color w:val="auto"/>
                      <w:sz w:val="21"/>
                      <w:szCs w:val="21"/>
                      <w:highlight w:val="none"/>
                    </w:rPr>
                    <w:t>15m高排气筒</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color w:val="auto"/>
                      <w:sz w:val="21"/>
                      <w:szCs w:val="21"/>
                      <w:highlight w:val="none"/>
                      <w:lang w:eastAsia="zh-CN"/>
                    </w:rPr>
                    <w:t>；项目采取的污染治理措施</w:t>
                  </w:r>
                  <w:r>
                    <w:rPr>
                      <w:rFonts w:hint="default" w:ascii="Times New Roman" w:hAnsi="Times New Roman" w:eastAsia="宋体" w:cs="Times New Roman"/>
                      <w:color w:val="auto"/>
                      <w:sz w:val="21"/>
                      <w:szCs w:val="21"/>
                      <w:highlight w:val="none"/>
                    </w:rPr>
                    <w:t>可有效减少主要污染物、挥发性有机物等特征污染物的排放总量，符合国家和云南省有关大气、水、土壤污染防治行动计划相关要求。</w:t>
                  </w:r>
                  <w:r>
                    <w:rPr>
                      <w:rFonts w:hint="default" w:ascii="Times New Roman" w:hAnsi="Times New Roman" w:eastAsia="宋体" w:cs="Times New Roman"/>
                      <w:color w:val="auto"/>
                      <w:sz w:val="21"/>
                      <w:szCs w:val="21"/>
                      <w:highlight w:val="none"/>
                      <w:lang w:eastAsia="zh-CN"/>
                    </w:rPr>
                    <w:t>本项目使用自来水，不</w:t>
                  </w:r>
                  <w:r>
                    <w:rPr>
                      <w:rFonts w:hint="default" w:ascii="Times New Roman" w:hAnsi="Times New Roman" w:eastAsia="宋体" w:cs="Times New Roman"/>
                      <w:color w:val="auto"/>
                      <w:sz w:val="21"/>
                      <w:szCs w:val="21"/>
                      <w:highlight w:val="none"/>
                    </w:rPr>
                    <w:t>抽取地下水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项目符合国家产业政策和园区规划，并从生产工艺、设备、单位产品能耗、物耗、污染物排放和资源利用等方面，进一步提高</w:t>
                  </w:r>
                  <w:r>
                    <w:rPr>
                      <w:rFonts w:hint="default" w:ascii="Times New Roman" w:hAnsi="Times New Roman" w:eastAsia="宋体" w:cs="Times New Roman"/>
                      <w:color w:val="auto"/>
                      <w:sz w:val="21"/>
                      <w:szCs w:val="21"/>
                      <w:highlight w:val="none"/>
                      <w:lang w:eastAsia="zh-CN"/>
                    </w:rPr>
                    <w:t>了</w:t>
                  </w:r>
                  <w:r>
                    <w:rPr>
                      <w:rFonts w:hint="default" w:ascii="Times New Roman" w:hAnsi="Times New Roman" w:eastAsia="宋体" w:cs="Times New Roman"/>
                      <w:color w:val="auto"/>
                      <w:sz w:val="21"/>
                      <w:szCs w:val="21"/>
                      <w:highlight w:val="none"/>
                    </w:rPr>
                    <w:t>清洁生产水平。</w:t>
                  </w:r>
                </w:p>
              </w:tc>
              <w:tc>
                <w:tcPr>
                  <w:tcW w:w="726"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立健全区域环境风险防范和生态安全保障体系。加强区内重要环境风险源管控，统筹区内污染防治、生态恢复与建设、环境风险防范、环境管理等工作。强化园区危险化学品储运的环境风险管理和金所片区煤、磷、盐化工企业环境风险管控，建立相应的应急联动机制，确保环境安全。</w:t>
                  </w:r>
                </w:p>
              </w:tc>
              <w:tc>
                <w:tcPr>
                  <w:tcW w:w="253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本项目不涉及危险化学品储运，也不属于煤、磷、盐化工企业，环境风险一般，在采取相应的措施后，环境风险能达可接受水平。</w:t>
                  </w:r>
                </w:p>
              </w:tc>
              <w:tc>
                <w:tcPr>
                  <w:tcW w:w="726"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拟入园建设项目，应结合规划环评提出的指导意见做好环境影响评价工作，落实规划环评提出的要求，加强与规划环评的联动，重点开展工程分析、污染物允许排放量测算和环保措施的可行性论证等内容，强化环境监测和环境保护相关措施的落实。规划环评中环境协调性分析、环境现状、污染源调查等资料可供建设项目环评引用，建设项目相应环境影响评价内容可结合实际情况予以简化。</w:t>
                  </w:r>
                </w:p>
              </w:tc>
              <w:tc>
                <w:tcPr>
                  <w:tcW w:w="253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次评价结合了规划环评提出的指导意见，落实了规划环评提出的要求，加强与规划环评的联动，重点开展了工程分析、污染物允许排放量测算和环保措施的可行性论证等内容，强化环境监测和环境保护相关措施的落实。</w:t>
                  </w:r>
                </w:p>
              </w:tc>
              <w:tc>
                <w:tcPr>
                  <w:tcW w:w="726"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bl>
          <w:p>
            <w:pPr>
              <w:pStyle w:val="71"/>
              <w:adjustRightInd/>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综上所述，项目建设与《寻甸特色产业园区总体规划（修编）（2018-2035年）环境影响报告书》</w:t>
            </w:r>
            <w:r>
              <w:rPr>
                <w:rFonts w:hint="default" w:ascii="Times New Roman" w:hAnsi="Times New Roman" w:eastAsia="宋体" w:cs="Times New Roman"/>
                <w:b w:val="0"/>
                <w:bCs w:val="0"/>
                <w:color w:val="auto"/>
                <w:sz w:val="24"/>
                <w:highlight w:val="none"/>
              </w:rPr>
              <w:t>及审查意见</w:t>
            </w:r>
            <w:r>
              <w:rPr>
                <w:rFonts w:hint="default" w:ascii="Times New Roman" w:hAnsi="Times New Roman" w:eastAsia="宋体" w:cs="Times New Roman"/>
                <w:b w:val="0"/>
                <w:bCs w:val="0"/>
                <w:color w:val="auto"/>
                <w:sz w:val="24"/>
                <w:szCs w:val="24"/>
                <w:highlight w:val="none"/>
                <w:lang w:val="en-US" w:eastAsia="zh-CN"/>
              </w:rPr>
              <w:t>（云环函【2020】261号）不冲突</w:t>
            </w:r>
            <w:r>
              <w:rPr>
                <w:rFonts w:hint="default" w:ascii="Times New Roman" w:hAnsi="Times New Roman" w:eastAsia="宋体" w:cs="Times New Roman"/>
                <w:color w:val="auto"/>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24" w:type="dxa"/>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其他符合性分析</w:t>
            </w:r>
          </w:p>
        </w:tc>
        <w:tc>
          <w:tcPr>
            <w:tcW w:w="8105" w:type="dxa"/>
            <w:gridSpan w:val="4"/>
            <w:vAlign w:val="center"/>
          </w:tcPr>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1、项目与</w:t>
            </w:r>
            <w:bookmarkStart w:id="7" w:name="_Toc1839"/>
            <w:bookmarkStart w:id="8" w:name="_Toc14631_WPSOffice_Level2"/>
            <w:bookmarkStart w:id="9" w:name="_Toc11005"/>
            <w:r>
              <w:rPr>
                <w:rFonts w:hint="default" w:ascii="Times New Roman" w:hAnsi="Times New Roman" w:eastAsia="宋体" w:cs="Times New Roman"/>
                <w:b/>
                <w:bCs w:val="0"/>
                <w:color w:val="auto"/>
                <w:sz w:val="24"/>
                <w:szCs w:val="24"/>
                <w:highlight w:val="none"/>
                <w:lang w:val="zh-CN" w:eastAsia="zh-CN"/>
              </w:rPr>
              <w:t>《昆明市人民政府关于昆明市“三线一单”生态环境分区管控的实施意见》（</w:t>
            </w:r>
            <w:r>
              <w:rPr>
                <w:rFonts w:hint="default" w:ascii="Times New Roman" w:hAnsi="Times New Roman" w:eastAsia="宋体" w:cs="Times New Roman"/>
                <w:b/>
                <w:bCs w:val="0"/>
                <w:color w:val="auto"/>
                <w:sz w:val="24"/>
                <w:szCs w:val="24"/>
                <w:highlight w:val="none"/>
                <w:lang w:val="en-US" w:eastAsia="zh-CN"/>
              </w:rPr>
              <w:t>昆政发2021[21号]</w:t>
            </w:r>
            <w:r>
              <w:rPr>
                <w:rFonts w:hint="default" w:ascii="Times New Roman" w:hAnsi="Times New Roman" w:eastAsia="宋体" w:cs="Times New Roman"/>
                <w:b/>
                <w:bCs w:val="0"/>
                <w:color w:val="auto"/>
                <w:sz w:val="24"/>
                <w:szCs w:val="24"/>
                <w:highlight w:val="none"/>
                <w:lang w:val="zh-CN" w:eastAsia="zh-CN"/>
              </w:rPr>
              <w:t>）</w:t>
            </w:r>
            <w:r>
              <w:rPr>
                <w:rFonts w:hint="default" w:ascii="Times New Roman" w:hAnsi="Times New Roman" w:eastAsia="宋体" w:cs="Times New Roman"/>
                <w:b/>
                <w:bCs w:val="0"/>
                <w:color w:val="auto"/>
                <w:sz w:val="24"/>
                <w:szCs w:val="24"/>
                <w:highlight w:val="none"/>
                <w:lang w:val="en-US" w:eastAsia="zh-CN"/>
              </w:rPr>
              <w:t>符合性分析</w:t>
            </w:r>
          </w:p>
          <w:p>
            <w:pPr>
              <w:pStyle w:val="79"/>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项目与</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highlight w:val="none"/>
                <w:lang w:val="zh-CN"/>
              </w:rPr>
              <w:t>昆明市人民政府关于昆明市“三线一单”生态环境分区管控的实施意见</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szCs w:val="24"/>
                <w:highlight w:val="none"/>
              </w:rPr>
              <w:t>昆政发2021[21号]</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szCs w:val="24"/>
                <w:highlight w:val="none"/>
              </w:rPr>
              <w:t>符合性分析详见下表。</w:t>
            </w:r>
          </w:p>
          <w:p>
            <w:pPr>
              <w:pStyle w:val="97"/>
              <w:spacing w:before="120" w:after="48"/>
              <w:outlineLvl w:val="9"/>
              <w:rPr>
                <w:rFonts w:hint="default" w:ascii="Times New Roman" w:hAnsi="Times New Roman" w:eastAsia="宋体" w:cs="Times New Roman"/>
                <w:bCs/>
                <w:snapToGrid w:val="0"/>
                <w:color w:val="auto"/>
                <w:kern w:val="0"/>
                <w:szCs w:val="21"/>
                <w:highlight w:val="none"/>
              </w:rPr>
            </w:pPr>
            <w:bookmarkStart w:id="10" w:name="_Toc2480"/>
            <w:r>
              <w:rPr>
                <w:rFonts w:hint="default" w:ascii="Times New Roman" w:hAnsi="Times New Roman" w:eastAsia="宋体" w:cs="Times New Roman"/>
                <w:bCs/>
                <w:snapToGrid w:val="0"/>
                <w:color w:val="auto"/>
                <w:kern w:val="0"/>
                <w:szCs w:val="21"/>
                <w:highlight w:val="none"/>
              </w:rPr>
              <w:t>表</w:t>
            </w:r>
            <w:r>
              <w:rPr>
                <w:rFonts w:hint="default" w:ascii="Times New Roman" w:hAnsi="Times New Roman" w:eastAsia="宋体" w:cs="Times New Roman"/>
                <w:bCs/>
                <w:snapToGrid w:val="0"/>
                <w:color w:val="auto"/>
                <w:kern w:val="0"/>
                <w:szCs w:val="21"/>
                <w:highlight w:val="none"/>
                <w:lang w:val="en-US" w:eastAsia="zh-CN"/>
              </w:rPr>
              <w:t xml:space="preserve">1-5 </w:t>
            </w:r>
            <w:r>
              <w:rPr>
                <w:rFonts w:hint="default" w:ascii="Times New Roman" w:hAnsi="Times New Roman" w:eastAsia="宋体" w:cs="Times New Roman"/>
                <w:bCs/>
                <w:snapToGrid w:val="0"/>
                <w:color w:val="auto"/>
                <w:kern w:val="0"/>
                <w:szCs w:val="21"/>
                <w:highlight w:val="none"/>
              </w:rPr>
              <w:t xml:space="preserve">  项目与昆明市“三线一单”文件相符性分析</w:t>
            </w:r>
            <w:bookmarkEnd w:id="10"/>
          </w:p>
          <w:tbl>
            <w:tblPr>
              <w:tblStyle w:val="26"/>
              <w:tblW w:w="4996"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394"/>
              <w:gridCol w:w="688"/>
              <w:gridCol w:w="421"/>
              <w:gridCol w:w="2996"/>
              <w:gridCol w:w="2679"/>
              <w:gridCol w:w="69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686" w:type="pct"/>
                  <w:gridSpan w:val="2"/>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类别</w:t>
                  </w:r>
                </w:p>
              </w:tc>
              <w:tc>
                <w:tcPr>
                  <w:tcW w:w="2169" w:type="pct"/>
                  <w:gridSpan w:val="2"/>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文件要求</w:t>
                  </w:r>
                </w:p>
              </w:tc>
              <w:tc>
                <w:tcPr>
                  <w:tcW w:w="1700" w:type="pct"/>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相符性分析</w:t>
                  </w:r>
                </w:p>
              </w:tc>
              <w:tc>
                <w:tcPr>
                  <w:tcW w:w="443" w:type="pct"/>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符合性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686"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生态保护红线</w:t>
                  </w:r>
                </w:p>
              </w:tc>
              <w:tc>
                <w:tcPr>
                  <w:tcW w:w="2169"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执行《云南省人民政府关于发布云南省生态保护红线的通知》（云政发〔2018〕32号），将未划入生态保护红线的自然保护区、国家公园、森林公园、风景名胜区、地质公园、湿地公园、县城集中式饮用水水源地、水产种质资源保护区等生态功能重要区、生态环境敏感区划入一般生态空间。</w:t>
                  </w:r>
                </w:p>
              </w:tc>
              <w:tc>
                <w:tcPr>
                  <w:tcW w:w="1700"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经</w:t>
                  </w:r>
                  <w:r>
                    <w:rPr>
                      <w:rFonts w:hint="default" w:ascii="Times New Roman" w:hAnsi="Times New Roman" w:eastAsia="宋体" w:cs="Times New Roman"/>
                      <w:color w:val="auto"/>
                      <w:szCs w:val="21"/>
                      <w:highlight w:val="none"/>
                      <w:lang w:val="zh-CN"/>
                    </w:rPr>
                    <w:t>查阅《云南省生态保护红线分布图》可知，项目位于</w:t>
                  </w:r>
                  <w:r>
                    <w:rPr>
                      <w:rFonts w:hint="default" w:ascii="Times New Roman" w:hAnsi="Times New Roman" w:eastAsia="宋体" w:cs="Times New Roman"/>
                      <w:color w:val="auto"/>
                      <w:kern w:val="0"/>
                      <w:szCs w:val="21"/>
                      <w:highlight w:val="none"/>
                      <w:lang w:eastAsia="zh-CN"/>
                    </w:rPr>
                    <w:t>云南省昆明市寻甸特色产业园区金所片区YS2019-87号</w:t>
                  </w:r>
                  <w:r>
                    <w:rPr>
                      <w:rFonts w:hint="default" w:ascii="Times New Roman" w:hAnsi="Times New Roman" w:eastAsia="宋体" w:cs="Times New Roman"/>
                      <w:color w:val="auto"/>
                      <w:szCs w:val="21"/>
                      <w:highlight w:val="none"/>
                      <w:lang w:val="zh-CN"/>
                    </w:rPr>
                    <w:t>，属规划的工业用地，不在生态红线范围内，项目符合生态保护红线的相关要求。</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环境质量底线</w:t>
                  </w:r>
                </w:p>
              </w:tc>
              <w:tc>
                <w:tcPr>
                  <w:tcW w:w="436"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生态环境质量</w:t>
                  </w:r>
                </w:p>
              </w:tc>
              <w:tc>
                <w:tcPr>
                  <w:tcW w:w="2169"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生态环境质量。</w:t>
                  </w:r>
                  <w:r>
                    <w:rPr>
                      <w:rFonts w:hint="default" w:ascii="Times New Roman" w:hAnsi="Times New Roman" w:eastAsia="宋体" w:cs="Times New Roman"/>
                      <w:color w:val="auto"/>
                      <w:szCs w:val="21"/>
                      <w:highlight w:val="none"/>
                      <w:lang w:val="zh-CN"/>
                    </w:rPr>
                    <w:t>到2025年，全市生态环境质量持续改善，生态空间得到优化和有效保护，区域生态安全屏障更加牢固。到2035年，全市生态环境质量实现根本好转，生态功能显著提升，区域生态安全得到全面保障。</w:t>
                  </w:r>
                </w:p>
              </w:tc>
              <w:tc>
                <w:tcPr>
                  <w:tcW w:w="1700"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本项目为扩建项目，在原项目已建成厂房内进行使用，不新增征地，对生态环境影响较小，不会突破当地生态环境质量底线。</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436"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大气环境质量底线</w:t>
                  </w:r>
                </w:p>
              </w:tc>
              <w:tc>
                <w:tcPr>
                  <w:tcW w:w="2169"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大气环境质量底线。</w:t>
                  </w:r>
                  <w:r>
                    <w:rPr>
                      <w:rFonts w:hint="default" w:ascii="Times New Roman" w:hAnsi="Times New Roman" w:eastAsia="宋体" w:cs="Times New Roman"/>
                      <w:color w:val="auto"/>
                      <w:szCs w:val="21"/>
                      <w:highlight w:val="none"/>
                      <w:lang w:val="zh-CN"/>
                    </w:rPr>
                    <w:t>到2025年，全市环境空气质量总体保持优良，主城建成区空气质量优良天数占比达99%以上，二氧化硫（SO</w:t>
                  </w:r>
                  <w:r>
                    <w:rPr>
                      <w:rFonts w:hint="default" w:ascii="Times New Roman" w:hAnsi="Times New Roman" w:eastAsia="宋体" w:cs="Times New Roman"/>
                      <w:color w:val="auto"/>
                      <w:szCs w:val="21"/>
                      <w:highlight w:val="none"/>
                      <w:vertAlign w:val="subscript"/>
                      <w:lang w:val="zh-CN"/>
                    </w:rPr>
                    <w:t>2</w:t>
                  </w:r>
                  <w:r>
                    <w:rPr>
                      <w:rFonts w:hint="default" w:ascii="Times New Roman" w:hAnsi="Times New Roman" w:eastAsia="宋体" w:cs="Times New Roman"/>
                      <w:color w:val="auto"/>
                      <w:szCs w:val="21"/>
                      <w:highlight w:val="none"/>
                      <w:lang w:val="zh-CN"/>
                    </w:rPr>
                    <w:t>）和氮氧化物（NOx）排放总量控制在省下达的目标以内，主城区空气中颗粒物（PM</w:t>
                  </w:r>
                  <w:r>
                    <w:rPr>
                      <w:rFonts w:hint="default" w:ascii="Times New Roman" w:hAnsi="Times New Roman" w:eastAsia="宋体" w:cs="Times New Roman"/>
                      <w:color w:val="auto"/>
                      <w:szCs w:val="21"/>
                      <w:highlight w:val="none"/>
                      <w:vertAlign w:val="subscript"/>
                      <w:lang w:val="zh-CN"/>
                    </w:rPr>
                    <w:t>10</w:t>
                  </w:r>
                  <w:r>
                    <w:rPr>
                      <w:rFonts w:hint="default" w:ascii="Times New Roman" w:hAnsi="Times New Roman" w:eastAsia="宋体" w:cs="Times New Roman"/>
                      <w:color w:val="auto"/>
                      <w:szCs w:val="21"/>
                      <w:highlight w:val="none"/>
                      <w:lang w:val="zh-CN"/>
                    </w:rPr>
                    <w:t>、PM</w:t>
                  </w:r>
                  <w:r>
                    <w:rPr>
                      <w:rFonts w:hint="default" w:ascii="Times New Roman" w:hAnsi="Times New Roman" w:eastAsia="宋体" w:cs="Times New Roman"/>
                      <w:color w:val="auto"/>
                      <w:szCs w:val="21"/>
                      <w:highlight w:val="none"/>
                      <w:vertAlign w:val="subscript"/>
                      <w:lang w:val="en-US" w:eastAsia="zh-CN"/>
                    </w:rPr>
                    <w:t>2.5</w:t>
                  </w:r>
                  <w:r>
                    <w:rPr>
                      <w:rFonts w:hint="default" w:ascii="Times New Roman" w:hAnsi="Times New Roman" w:eastAsia="宋体" w:cs="Times New Roman"/>
                      <w:color w:val="auto"/>
                      <w:szCs w:val="21"/>
                      <w:highlight w:val="none"/>
                      <w:lang w:val="zh-CN"/>
                    </w:rPr>
                    <w:t>）稳定达《环境空气质量标准》二级标准以上。到2035年，全市环境空气质量全面改善，各县（市）区、开发（度假）区环境空气质量稳定达到国家二级标准。</w:t>
                  </w:r>
                </w:p>
              </w:tc>
              <w:tc>
                <w:tcPr>
                  <w:tcW w:w="1700"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项目区属于环境空气质量达标区，</w:t>
                  </w:r>
                  <w:r>
                    <w:rPr>
                      <w:rFonts w:hint="default" w:ascii="Times New Roman" w:hAnsi="Times New Roman" w:eastAsia="宋体" w:cs="Times New Roman"/>
                      <w:color w:val="auto"/>
                      <w:szCs w:val="21"/>
                      <w:highlight w:val="none"/>
                      <w:lang w:val="zh-CN"/>
                    </w:rPr>
                    <w:t>本项目建设排放的废气均经过有效治理，实现达标排放，满足区域环境质量要求，不会改变区域大气环境功能区划</w:t>
                  </w:r>
                  <w:r>
                    <w:rPr>
                      <w:rFonts w:hint="default" w:ascii="Times New Roman" w:hAnsi="Times New Roman" w:eastAsia="宋体" w:cs="Times New Roman"/>
                      <w:color w:val="auto"/>
                      <w:szCs w:val="21"/>
                      <w:highlight w:val="none"/>
                    </w:rPr>
                    <w:t>，对大气环境质量影响较小，不会突破当地环境质量底线。</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436"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水环境质量底线</w:t>
                  </w:r>
                </w:p>
              </w:tc>
              <w:tc>
                <w:tcPr>
                  <w:tcW w:w="2169"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到2025年，</w:t>
                  </w:r>
                  <w:r>
                    <w:rPr>
                      <w:rFonts w:hint="default" w:ascii="Times New Roman" w:hAnsi="Times New Roman" w:eastAsia="宋体" w:cs="Times New Roman"/>
                      <w:color w:val="auto"/>
                      <w:szCs w:val="21"/>
                      <w:highlight w:val="none"/>
                      <w:lang w:val="zh-CN"/>
                    </w:rPr>
                    <w:t>纳入国家和省级考核的地表水监测断面水质优良率稳步提升，滇池流域、阳宗海流域水环境质量明显改善，水生态系统功能逐步恢复，滇池草海水质达IV类，滇池外海水质达IV类（化学需氧量≤40毫克/升），阳宗海水质达Ⅲ类，集中式饮用水源水质巩固改善。</w:t>
                  </w:r>
                  <w:r>
                    <w:rPr>
                      <w:rFonts w:hint="default" w:ascii="Times New Roman" w:hAnsi="Times New Roman" w:eastAsia="宋体" w:cs="Times New Roman"/>
                      <w:color w:val="auto"/>
                      <w:szCs w:val="21"/>
                      <w:highlight w:val="none"/>
                    </w:rPr>
                    <w:t>到2035年，</w:t>
                  </w:r>
                  <w:r>
                    <w:rPr>
                      <w:rFonts w:hint="default" w:ascii="Times New Roman" w:hAnsi="Times New Roman" w:eastAsia="宋体" w:cs="Times New Roman"/>
                      <w:color w:val="auto"/>
                      <w:szCs w:val="21"/>
                      <w:highlight w:val="none"/>
                      <w:lang w:val="zh-CN"/>
                    </w:rPr>
                    <w:t>地表水体水质优良率全面提升，各监测断面水质达到水环境功能要求，消除劣V类水体，集中式饮用水水源水质稳定达标。</w:t>
                  </w:r>
                </w:p>
              </w:tc>
              <w:tc>
                <w:tcPr>
                  <w:tcW w:w="1700"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bCs w:val="0"/>
                      <w:color w:val="auto"/>
                      <w:sz w:val="21"/>
                      <w:szCs w:val="21"/>
                      <w:highlight w:val="none"/>
                      <w:lang w:val="en-US" w:eastAsia="zh-CN"/>
                    </w:rPr>
                    <w:t>本</w:t>
                  </w:r>
                  <w:r>
                    <w:rPr>
                      <w:rFonts w:hint="default" w:ascii="Times New Roman" w:hAnsi="Times New Roman" w:eastAsia="宋体" w:cs="Times New Roman"/>
                      <w:b w:val="0"/>
                      <w:bCs w:val="0"/>
                      <w:color w:val="auto"/>
                      <w:sz w:val="21"/>
                      <w:szCs w:val="21"/>
                      <w:highlight w:val="none"/>
                    </w:rPr>
                    <w:t>项目</w:t>
                  </w:r>
                  <w:r>
                    <w:rPr>
                      <w:rFonts w:hint="default" w:ascii="Times New Roman" w:hAnsi="Times New Roman" w:eastAsia="宋体" w:cs="Times New Roman"/>
                      <w:b w:val="0"/>
                      <w:bCs w:val="0"/>
                      <w:color w:val="auto"/>
                      <w:sz w:val="21"/>
                      <w:szCs w:val="21"/>
                      <w:highlight w:val="none"/>
                      <w:lang w:val="en-US" w:eastAsia="zh-CN"/>
                    </w:rPr>
                    <w:t>排水采用雨污分流的排水方式，项目区建筑物屋面及地面雨水经厂区雨水沟收集后排入园区市政雨水管网；生产过程不使用水，无生产废水产生；食堂含油废水经原项目</w:t>
                  </w:r>
                  <w:r>
                    <w:rPr>
                      <w:rFonts w:hint="default" w:ascii="Times New Roman" w:hAnsi="Times New Roman" w:eastAsia="宋体" w:cs="Times New Roman"/>
                      <w:b w:val="0"/>
                      <w:bCs w:val="0"/>
                      <w:color w:val="auto"/>
                      <w:kern w:val="2"/>
                      <w:sz w:val="21"/>
                      <w:szCs w:val="21"/>
                      <w:highlight w:val="none"/>
                      <w:vertAlign w:val="baseline"/>
                      <w:lang w:val="en-US" w:eastAsia="zh-CN" w:bidi="ar-SA"/>
                    </w:rPr>
                    <w:t>已建</w:t>
                  </w:r>
                  <w:r>
                    <w:rPr>
                      <w:rFonts w:hint="default" w:ascii="Times New Roman" w:hAnsi="Times New Roman" w:eastAsia="宋体" w:cs="Times New Roman"/>
                      <w:b w:val="0"/>
                      <w:bCs w:val="0"/>
                      <w:color w:val="auto"/>
                      <w:sz w:val="21"/>
                      <w:szCs w:val="21"/>
                      <w:highlight w:val="none"/>
                      <w:lang w:val="en-US" w:eastAsia="zh-CN"/>
                    </w:rPr>
                    <w:t>隔油池预处理后与其他办公生活污水一并进入已建化粪池、地埋式一体化污水处理站处理达《城市污水再生利用 城市杂用水水质》（GB/T18920-2020）中的城市绿化、道路清扫、消防、建筑施工标准后，用于项目区内绿化及道路场地洒水降尘，不外排。</w:t>
                  </w:r>
                  <w:r>
                    <w:rPr>
                      <w:rFonts w:hint="default" w:ascii="Times New Roman" w:hAnsi="Times New Roman" w:eastAsia="宋体" w:cs="Times New Roman"/>
                      <w:color w:val="auto"/>
                      <w:szCs w:val="21"/>
                      <w:highlight w:val="none"/>
                      <w:lang w:val="zh-CN"/>
                    </w:rPr>
                    <w:t>不会对区域地表水环境造成影响，不会改变区域地表水环境功能区划</w:t>
                  </w:r>
                  <w:r>
                    <w:rPr>
                      <w:rFonts w:hint="default" w:ascii="Times New Roman" w:hAnsi="Times New Roman" w:eastAsia="宋体" w:cs="Times New Roman"/>
                      <w:color w:val="auto"/>
                      <w:szCs w:val="21"/>
                      <w:highlight w:val="none"/>
                    </w:rPr>
                    <w:t>。</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436"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土壤环境风险防控底线</w:t>
                  </w:r>
                </w:p>
              </w:tc>
              <w:tc>
                <w:tcPr>
                  <w:tcW w:w="2169"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到2025年，</w:t>
                  </w:r>
                  <w:r>
                    <w:rPr>
                      <w:rFonts w:hint="default" w:ascii="Times New Roman" w:hAnsi="Times New Roman" w:eastAsia="宋体" w:cs="Times New Roman"/>
                      <w:color w:val="auto"/>
                      <w:szCs w:val="21"/>
                      <w:highlight w:val="none"/>
                      <w:lang w:val="zh-CN"/>
                    </w:rPr>
                    <w:t>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w:t>
                  </w:r>
                  <w:r>
                    <w:rPr>
                      <w:rFonts w:hint="default" w:ascii="Times New Roman" w:hAnsi="Times New Roman" w:eastAsia="宋体" w:cs="Times New Roman"/>
                      <w:color w:val="auto"/>
                      <w:szCs w:val="21"/>
                      <w:highlight w:val="none"/>
                    </w:rPr>
                    <w:t>到2035年，</w:t>
                  </w:r>
                  <w:r>
                    <w:rPr>
                      <w:rFonts w:hint="default" w:ascii="Times New Roman" w:hAnsi="Times New Roman" w:eastAsia="宋体" w:cs="Times New Roman"/>
                      <w:color w:val="auto"/>
                      <w:szCs w:val="21"/>
                      <w:highlight w:val="none"/>
                      <w:lang w:val="zh-CN"/>
                    </w:rPr>
                    <w:t>土壤环境质量稳中向好，农用地和建设用地土壤环境安全得到有效保障，土壤环境风险得到全面管控。</w:t>
                  </w:r>
                </w:p>
              </w:tc>
              <w:tc>
                <w:tcPr>
                  <w:tcW w:w="1700"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危险废物设置危险废物暂存间暂存，委托有资质单位定期清运处置，危废间地面和四周墙裙</w:t>
                  </w:r>
                  <w:r>
                    <w:rPr>
                      <w:rFonts w:hint="default" w:ascii="Times New Roman" w:hAnsi="Times New Roman" w:eastAsia="宋体" w:cs="Times New Roman"/>
                      <w:color w:val="auto"/>
                      <w:szCs w:val="21"/>
                      <w:highlight w:val="none"/>
                      <w:lang w:val="zh-CN"/>
                    </w:rPr>
                    <w:t>采用“</w:t>
                  </w:r>
                  <w:r>
                    <w:rPr>
                      <w:rFonts w:hint="default" w:ascii="Times New Roman" w:hAnsi="Times New Roman" w:eastAsia="宋体" w:cs="Times New Roman"/>
                      <w:color w:val="auto"/>
                      <w:szCs w:val="21"/>
                      <w:highlight w:val="none"/>
                    </w:rPr>
                    <w:t>抗渗混凝土</w:t>
                  </w:r>
                  <w:r>
                    <w:rPr>
                      <w:rFonts w:hint="default" w:ascii="Times New Roman" w:hAnsi="Times New Roman" w:eastAsia="宋体" w:cs="Times New Roman"/>
                      <w:color w:val="auto"/>
                      <w:szCs w:val="21"/>
                      <w:highlight w:val="none"/>
                      <w:lang w:val="zh-CN"/>
                    </w:rPr>
                    <w:t>+2mm厚HDPE+环氧树脂”</w:t>
                  </w:r>
                  <w:r>
                    <w:rPr>
                      <w:rFonts w:hint="default" w:ascii="Times New Roman" w:hAnsi="Times New Roman" w:eastAsia="宋体" w:cs="Times New Roman"/>
                      <w:color w:val="auto"/>
                      <w:szCs w:val="21"/>
                      <w:highlight w:val="none"/>
                    </w:rPr>
                    <w:t>进行重点防渗处理</w:t>
                  </w:r>
                  <w:r>
                    <w:rPr>
                      <w:rFonts w:hint="default" w:ascii="Times New Roman" w:hAnsi="Times New Roman" w:eastAsia="宋体" w:cs="Times New Roman"/>
                      <w:color w:val="auto"/>
                      <w:szCs w:val="21"/>
                      <w:highlight w:val="none"/>
                      <w:lang w:val="zh-CN"/>
                    </w:rPr>
                    <w:t>，渗透系数≤10</w:t>
                  </w:r>
                  <w:r>
                    <w:rPr>
                      <w:rFonts w:hint="default" w:ascii="Times New Roman" w:hAnsi="Times New Roman" w:eastAsia="宋体" w:cs="Times New Roman"/>
                      <w:color w:val="auto"/>
                      <w:szCs w:val="21"/>
                      <w:highlight w:val="none"/>
                      <w:vertAlign w:val="superscript"/>
                      <w:lang w:val="zh-CN"/>
                    </w:rPr>
                    <w:t>-</w:t>
                  </w:r>
                  <w:r>
                    <w:rPr>
                      <w:rFonts w:hint="default" w:ascii="Times New Roman" w:hAnsi="Times New Roman" w:eastAsia="宋体" w:cs="Times New Roman"/>
                      <w:color w:val="auto"/>
                      <w:szCs w:val="21"/>
                      <w:highlight w:val="none"/>
                      <w:vertAlign w:val="superscript"/>
                      <w:lang w:val="en-US" w:eastAsia="zh-CN"/>
                    </w:rPr>
                    <w:t>10</w:t>
                  </w:r>
                  <w:r>
                    <w:rPr>
                      <w:rFonts w:hint="default" w:ascii="Times New Roman" w:hAnsi="Times New Roman" w:eastAsia="宋体" w:cs="Times New Roman"/>
                      <w:color w:val="auto"/>
                      <w:szCs w:val="21"/>
                      <w:highlight w:val="none"/>
                      <w:lang w:val="zh-CN"/>
                    </w:rPr>
                    <w:t>cm/s</w:t>
                  </w:r>
                  <w:r>
                    <w:rPr>
                      <w:rFonts w:hint="default" w:ascii="Times New Roman" w:hAnsi="Times New Roman" w:eastAsia="宋体" w:cs="Times New Roman"/>
                      <w:color w:val="auto"/>
                      <w:szCs w:val="21"/>
                      <w:highlight w:val="none"/>
                    </w:rPr>
                    <w:t>，并设置围堰等应急设施。项目采取了土壤污染防控措施，对土壤环境质量影响较小。</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50" w:type="pct"/>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资源利用上线</w:t>
                  </w:r>
                </w:p>
              </w:tc>
              <w:tc>
                <w:tcPr>
                  <w:tcW w:w="436"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水资源利用上线</w:t>
                  </w:r>
                </w:p>
              </w:tc>
              <w:tc>
                <w:tcPr>
                  <w:tcW w:w="2169"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按照国家、省、市有关要求和规划，按时完成全市用水总量、用水效率、限制纳污“三条红线”水资源上限控制指标；</w:t>
                  </w:r>
                </w:p>
              </w:tc>
              <w:tc>
                <w:tcPr>
                  <w:tcW w:w="1700"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bCs w:val="0"/>
                      <w:color w:val="auto"/>
                      <w:sz w:val="21"/>
                      <w:szCs w:val="21"/>
                      <w:highlight w:val="none"/>
                      <w:lang w:val="en-US" w:eastAsia="zh-CN"/>
                    </w:rPr>
                    <w:t>生产过程不使用水，无生产废水产生</w:t>
                  </w:r>
                  <w:r>
                    <w:rPr>
                      <w:rFonts w:hint="default" w:ascii="Times New Roman" w:hAnsi="Times New Roman" w:eastAsia="宋体" w:cs="Times New Roman"/>
                      <w:color w:val="auto"/>
                      <w:szCs w:val="21"/>
                      <w:highlight w:val="none"/>
                    </w:rPr>
                    <w:t>，不属于高耗水项目。</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50" w:type="pct"/>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436"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能源利用上线</w:t>
                  </w:r>
                </w:p>
              </w:tc>
              <w:tc>
                <w:tcPr>
                  <w:tcW w:w="2169"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按时完成单位GDP能耗下降率、能源消费总量等能源控制指标。</w:t>
                  </w:r>
                </w:p>
              </w:tc>
              <w:tc>
                <w:tcPr>
                  <w:tcW w:w="1700"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项目生产过程中仅使用电能，不属于高耗能项目。</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50" w:type="pct"/>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436"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土地资源利用上线</w:t>
                  </w:r>
                </w:p>
              </w:tc>
              <w:tc>
                <w:tcPr>
                  <w:tcW w:w="2169"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按时完成耕地保有量、基本农田保护面积、建设用地总规模等土地资源利用上限控制指标。</w:t>
                  </w:r>
                </w:p>
              </w:tc>
              <w:tc>
                <w:tcPr>
                  <w:tcW w:w="1700"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项目不占用耕地及基本农田，用地类型为工业工地，不会突破当地土地资源利用</w:t>
                  </w:r>
                  <w:r>
                    <w:rPr>
                      <w:rFonts w:hint="eastAsia" w:cs="Times New Roman"/>
                      <w:color w:val="auto"/>
                      <w:szCs w:val="21"/>
                      <w:highlight w:val="none"/>
                      <w:lang w:eastAsia="zh-CN"/>
                    </w:rPr>
                    <w:t>上限</w:t>
                  </w:r>
                  <w:r>
                    <w:rPr>
                      <w:rFonts w:hint="default" w:ascii="Times New Roman" w:hAnsi="Times New Roman" w:eastAsia="宋体" w:cs="Times New Roman"/>
                      <w:color w:val="auto"/>
                      <w:szCs w:val="21"/>
                      <w:highlight w:val="none"/>
                    </w:rPr>
                    <w:t>。</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生态环境准入清单</w:t>
                  </w:r>
                </w:p>
              </w:tc>
              <w:tc>
                <w:tcPr>
                  <w:tcW w:w="436" w:type="pct"/>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重点管控单元（云南寻甸特色产业园区重点管控单元）</w:t>
                  </w:r>
                </w:p>
              </w:tc>
              <w:tc>
                <w:tcPr>
                  <w:tcW w:w="421" w:type="dxa"/>
                  <w:tcBorders>
                    <w:tl2br w:val="nil"/>
                    <w:tr2bl w:val="nil"/>
                  </w:tcBorders>
                  <w:noWrap w:val="0"/>
                  <w:vAlign w:val="center"/>
                </w:tcPr>
                <w:p>
                  <w:pPr>
                    <w:snapToGrid w:val="0"/>
                    <w:jc w:val="center"/>
                    <w:rPr>
                      <w:rStyle w:val="98"/>
                      <w:rFonts w:hint="default" w:ascii="Times New Roman" w:hAnsi="Times New Roman" w:eastAsia="宋体" w:cs="Times New Roman"/>
                      <w:color w:val="auto"/>
                      <w:kern w:val="0"/>
                      <w:szCs w:val="21"/>
                      <w:highlight w:val="none"/>
                    </w:rPr>
                  </w:pPr>
                  <w:r>
                    <w:rPr>
                      <w:rStyle w:val="98"/>
                      <w:rFonts w:hint="default" w:ascii="Times New Roman" w:hAnsi="Times New Roman" w:eastAsia="宋体" w:cs="Times New Roman"/>
                      <w:color w:val="auto"/>
                      <w:kern w:val="0"/>
                      <w:szCs w:val="21"/>
                      <w:highlight w:val="none"/>
                    </w:rPr>
                    <w:t>空间布局</w:t>
                  </w:r>
                </w:p>
                <w:p>
                  <w:pPr>
                    <w:snapToGrid w:val="0"/>
                    <w:jc w:val="center"/>
                    <w:rPr>
                      <w:rFonts w:hint="default" w:ascii="Times New Roman" w:hAnsi="Times New Roman" w:eastAsia="宋体" w:cs="Times New Roman"/>
                      <w:color w:val="auto"/>
                      <w:szCs w:val="21"/>
                      <w:highlight w:val="none"/>
                    </w:rPr>
                  </w:pPr>
                  <w:r>
                    <w:rPr>
                      <w:rStyle w:val="98"/>
                      <w:rFonts w:hint="default" w:ascii="Times New Roman" w:hAnsi="Times New Roman" w:eastAsia="宋体" w:cs="Times New Roman"/>
                      <w:color w:val="auto"/>
                      <w:kern w:val="0"/>
                      <w:szCs w:val="21"/>
                      <w:highlight w:val="none"/>
                    </w:rPr>
                    <w:t>约束</w:t>
                  </w:r>
                </w:p>
              </w:tc>
              <w:tc>
                <w:tcPr>
                  <w:tcW w:w="2996" w:type="dxa"/>
                  <w:tcBorders>
                    <w:tl2br w:val="nil"/>
                    <w:tr2bl w:val="nil"/>
                  </w:tcBorders>
                  <w:noWrap w:val="0"/>
                  <w:vAlign w:val="center"/>
                </w:tcPr>
                <w:p>
                  <w:pPr>
                    <w:snapToGrid/>
                    <w:spacing w:line="240" w:lineRule="auto"/>
                    <w:jc w:val="center"/>
                    <w:outlineLvl w:val="9"/>
                    <w:rPr>
                      <w:rStyle w:val="98"/>
                      <w:rFonts w:hint="default" w:ascii="Times New Roman" w:hAnsi="Times New Roman" w:eastAsia="宋体" w:cs="Times New Roman"/>
                      <w:color w:val="auto"/>
                      <w:kern w:val="0"/>
                      <w:szCs w:val="21"/>
                      <w:highlight w:val="none"/>
                    </w:rPr>
                  </w:pPr>
                  <w:r>
                    <w:rPr>
                      <w:rStyle w:val="98"/>
                      <w:rFonts w:hint="default" w:ascii="Times New Roman" w:hAnsi="Times New Roman" w:eastAsia="宋体" w:cs="Times New Roman"/>
                      <w:color w:val="auto"/>
                      <w:kern w:val="0"/>
                      <w:szCs w:val="21"/>
                      <w:highlight w:val="none"/>
                    </w:rPr>
                    <w:t>1.金所片区重点发展新型材料和家具制造产业，羊街片区重点发展先进装备制造和家具制造产业。</w:t>
                  </w:r>
                </w:p>
                <w:p>
                  <w:pPr>
                    <w:snapToGrid/>
                    <w:spacing w:line="240" w:lineRule="auto"/>
                    <w:jc w:val="center"/>
                    <w:outlineLvl w:val="9"/>
                    <w:rPr>
                      <w:rStyle w:val="98"/>
                      <w:rFonts w:hint="default" w:ascii="Times New Roman" w:hAnsi="Times New Roman" w:eastAsia="宋体" w:cs="Times New Roman"/>
                      <w:color w:val="auto"/>
                      <w:spacing w:val="-6"/>
                      <w:kern w:val="0"/>
                      <w:szCs w:val="21"/>
                      <w:highlight w:val="none"/>
                    </w:rPr>
                  </w:pPr>
                  <w:r>
                    <w:rPr>
                      <w:rStyle w:val="98"/>
                      <w:rFonts w:hint="default" w:ascii="Times New Roman" w:hAnsi="Times New Roman" w:eastAsia="宋体" w:cs="Times New Roman"/>
                      <w:color w:val="auto"/>
                      <w:kern w:val="0"/>
                      <w:szCs w:val="21"/>
                      <w:highlight w:val="none"/>
                    </w:rPr>
                    <w:t>2.禁止引入造纸、印染等需水量大，生产废水不能实现循环回用不外排的企业。</w:t>
                  </w:r>
                </w:p>
              </w:tc>
              <w:tc>
                <w:tcPr>
                  <w:tcW w:w="2679" w:type="dxa"/>
                  <w:tcBorders>
                    <w:tl2br w:val="nil"/>
                    <w:tr2bl w:val="nil"/>
                  </w:tcBorders>
                  <w:noWrap w:val="0"/>
                  <w:vAlign w:val="center"/>
                </w:tcPr>
                <w:p>
                  <w:pPr>
                    <w:snapToGrid/>
                    <w:spacing w:line="240" w:lineRule="auto"/>
                    <w:jc w:val="center"/>
                    <w:outlineLvl w:val="9"/>
                    <w:rPr>
                      <w:rStyle w:val="98"/>
                      <w:rFonts w:hint="default" w:ascii="Times New Roman" w:hAnsi="Times New Roman" w:eastAsia="宋体" w:cs="Times New Roman"/>
                      <w:color w:val="auto"/>
                      <w:kern w:val="0"/>
                      <w:szCs w:val="21"/>
                      <w:highlight w:val="none"/>
                      <w:lang w:val="en-US" w:eastAsia="zh-CN"/>
                    </w:rPr>
                  </w:pPr>
                  <w:r>
                    <w:rPr>
                      <w:rStyle w:val="98"/>
                      <w:rFonts w:hint="default" w:ascii="Times New Roman" w:hAnsi="Times New Roman" w:eastAsia="宋体" w:cs="Times New Roman"/>
                      <w:color w:val="auto"/>
                      <w:kern w:val="0"/>
                      <w:szCs w:val="21"/>
                      <w:highlight w:val="none"/>
                      <w:lang w:val="en-US" w:eastAsia="zh-CN"/>
                    </w:rPr>
                    <w:t>1.本项目位于金所片区，属于塑料薄膜制造，与金所片区发展规划不冲突</w:t>
                  </w:r>
                  <w:r>
                    <w:rPr>
                      <w:rStyle w:val="98"/>
                      <w:rFonts w:hint="default" w:ascii="Times New Roman" w:hAnsi="Times New Roman" w:eastAsia="宋体" w:cs="Times New Roman"/>
                      <w:color w:val="auto"/>
                      <w:kern w:val="0"/>
                      <w:szCs w:val="21"/>
                      <w:highlight w:val="none"/>
                    </w:rPr>
                    <w:t>。</w:t>
                  </w:r>
                </w:p>
                <w:p>
                  <w:pPr>
                    <w:snapToGrid/>
                    <w:spacing w:line="240" w:lineRule="auto"/>
                    <w:jc w:val="center"/>
                    <w:outlineLvl w:val="9"/>
                    <w:rPr>
                      <w:rStyle w:val="98"/>
                      <w:rFonts w:hint="default" w:ascii="Times New Roman" w:hAnsi="Times New Roman" w:eastAsia="宋体" w:cs="Times New Roman"/>
                      <w:color w:val="auto"/>
                      <w:kern w:val="0"/>
                      <w:szCs w:val="21"/>
                      <w:highlight w:val="none"/>
                    </w:rPr>
                  </w:pPr>
                  <w:r>
                    <w:rPr>
                      <w:rStyle w:val="98"/>
                      <w:rFonts w:hint="default" w:ascii="Times New Roman" w:hAnsi="Times New Roman" w:eastAsia="宋体" w:cs="Times New Roman"/>
                      <w:color w:val="auto"/>
                      <w:kern w:val="0"/>
                      <w:szCs w:val="21"/>
                      <w:highlight w:val="none"/>
                      <w:lang w:val="en-US" w:eastAsia="zh-CN"/>
                    </w:rPr>
                    <w:t>2</w:t>
                  </w:r>
                  <w:r>
                    <w:rPr>
                      <w:rStyle w:val="98"/>
                      <w:rFonts w:hint="default" w:ascii="Times New Roman" w:hAnsi="Times New Roman" w:eastAsia="宋体" w:cs="Times New Roman"/>
                      <w:color w:val="auto"/>
                      <w:kern w:val="0"/>
                      <w:szCs w:val="21"/>
                      <w:highlight w:val="none"/>
                    </w:rPr>
                    <w:t>.</w:t>
                  </w:r>
                  <w:r>
                    <w:rPr>
                      <w:rStyle w:val="98"/>
                      <w:rFonts w:hint="default" w:ascii="Times New Roman" w:hAnsi="Times New Roman" w:eastAsia="宋体" w:cs="Times New Roman"/>
                      <w:color w:val="auto"/>
                      <w:kern w:val="0"/>
                      <w:szCs w:val="21"/>
                      <w:highlight w:val="none"/>
                      <w:lang w:val="en-US" w:eastAsia="zh-CN"/>
                    </w:rPr>
                    <w:t>本项目不属于造纸、印染类企业，同时生产过程</w:t>
                  </w:r>
                  <w:r>
                    <w:rPr>
                      <w:rFonts w:hint="default" w:ascii="Times New Roman" w:hAnsi="Times New Roman" w:eastAsia="宋体" w:cs="Times New Roman"/>
                      <w:b w:val="0"/>
                      <w:bCs w:val="0"/>
                      <w:color w:val="auto"/>
                      <w:sz w:val="21"/>
                      <w:szCs w:val="21"/>
                      <w:highlight w:val="none"/>
                      <w:lang w:val="en-US" w:eastAsia="zh-CN"/>
                    </w:rPr>
                    <w:t>不使用水，无生产废水产生</w:t>
                  </w:r>
                  <w:r>
                    <w:rPr>
                      <w:rStyle w:val="98"/>
                      <w:rFonts w:hint="default" w:ascii="Times New Roman" w:hAnsi="Times New Roman" w:eastAsia="宋体" w:cs="Times New Roman"/>
                      <w:color w:val="auto"/>
                      <w:kern w:val="0"/>
                      <w:szCs w:val="21"/>
                      <w:highlight w:val="none"/>
                    </w:rPr>
                    <w:t>。</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436" w:type="pct"/>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421" w:type="dxa"/>
                  <w:tcBorders>
                    <w:tl2br w:val="nil"/>
                    <w:tr2bl w:val="nil"/>
                  </w:tcBorders>
                  <w:noWrap w:val="0"/>
                  <w:vAlign w:val="center"/>
                </w:tcPr>
                <w:p>
                  <w:pPr>
                    <w:snapToGrid w:val="0"/>
                    <w:spacing w:line="240" w:lineRule="auto"/>
                    <w:jc w:val="center"/>
                    <w:rPr>
                      <w:rStyle w:val="98"/>
                      <w:rFonts w:hint="default" w:ascii="Times New Roman" w:hAnsi="Times New Roman" w:eastAsia="宋体" w:cs="Times New Roman"/>
                      <w:color w:val="auto"/>
                      <w:kern w:val="0"/>
                      <w:szCs w:val="21"/>
                      <w:highlight w:val="none"/>
                    </w:rPr>
                  </w:pPr>
                  <w:r>
                    <w:rPr>
                      <w:rStyle w:val="98"/>
                      <w:rFonts w:hint="default" w:ascii="Times New Roman" w:hAnsi="Times New Roman" w:eastAsia="宋体" w:cs="Times New Roman"/>
                      <w:color w:val="auto"/>
                      <w:kern w:val="0"/>
                      <w:szCs w:val="21"/>
                      <w:highlight w:val="none"/>
                    </w:rPr>
                    <w:t>污染物</w:t>
                  </w:r>
                </w:p>
                <w:p>
                  <w:pPr>
                    <w:bidi w:val="0"/>
                    <w:snapToGrid w:val="0"/>
                    <w:jc w:val="center"/>
                    <w:outlineLvl w:val="9"/>
                    <w:rPr>
                      <w:rFonts w:hint="default" w:ascii="Times New Roman" w:hAnsi="Times New Roman" w:eastAsia="宋体" w:cs="Times New Roman"/>
                      <w:color w:val="auto"/>
                      <w:szCs w:val="21"/>
                      <w:highlight w:val="none"/>
                    </w:rPr>
                  </w:pPr>
                  <w:r>
                    <w:rPr>
                      <w:rStyle w:val="98"/>
                      <w:rFonts w:hint="default" w:ascii="Times New Roman" w:hAnsi="Times New Roman" w:eastAsia="宋体" w:cs="Times New Roman"/>
                      <w:color w:val="auto"/>
                      <w:kern w:val="0"/>
                      <w:szCs w:val="21"/>
                      <w:highlight w:val="none"/>
                    </w:rPr>
                    <w:t>排放管控</w:t>
                  </w:r>
                </w:p>
              </w:tc>
              <w:tc>
                <w:tcPr>
                  <w:tcW w:w="2996" w:type="dxa"/>
                  <w:tcBorders>
                    <w:tl2br w:val="nil"/>
                    <w:tr2bl w:val="nil"/>
                  </w:tcBorders>
                  <w:noWrap w:val="0"/>
                  <w:vAlign w:val="center"/>
                </w:tcPr>
                <w:p>
                  <w:pPr>
                    <w:snapToGrid/>
                    <w:spacing w:line="240" w:lineRule="auto"/>
                    <w:jc w:val="center"/>
                    <w:outlineLvl w:val="9"/>
                    <w:rPr>
                      <w:rStyle w:val="98"/>
                      <w:rFonts w:hint="default" w:ascii="Times New Roman" w:hAnsi="Times New Roman" w:eastAsia="宋体" w:cs="Times New Roman"/>
                      <w:color w:val="auto"/>
                      <w:kern w:val="0"/>
                      <w:szCs w:val="21"/>
                      <w:highlight w:val="none"/>
                    </w:rPr>
                  </w:pPr>
                  <w:r>
                    <w:rPr>
                      <w:rStyle w:val="98"/>
                      <w:rFonts w:hint="default" w:ascii="Times New Roman" w:hAnsi="Times New Roman" w:eastAsia="宋体" w:cs="Times New Roman"/>
                      <w:color w:val="auto"/>
                      <w:kern w:val="0"/>
                      <w:szCs w:val="21"/>
                      <w:highlight w:val="none"/>
                    </w:rPr>
                    <w:t>1.主要指标二氧化硫、二氧化氮、可吸入颗粒物达到《环境空气质量标准》（GB3095-2012）Ⅱ级标准。</w:t>
                  </w:r>
                </w:p>
                <w:p>
                  <w:pPr>
                    <w:snapToGrid/>
                    <w:spacing w:line="240" w:lineRule="auto"/>
                    <w:jc w:val="center"/>
                    <w:outlineLvl w:val="9"/>
                    <w:rPr>
                      <w:rStyle w:val="98"/>
                      <w:rFonts w:hint="eastAsia" w:ascii="Times New Roman" w:hAnsi="Times New Roman" w:eastAsia="宋体" w:cs="Times New Roman"/>
                      <w:color w:val="auto"/>
                      <w:kern w:val="0"/>
                      <w:szCs w:val="21"/>
                      <w:highlight w:val="none"/>
                      <w:lang w:eastAsia="zh-CN"/>
                    </w:rPr>
                  </w:pPr>
                  <w:r>
                    <w:rPr>
                      <w:rStyle w:val="98"/>
                      <w:rFonts w:hint="default" w:ascii="Times New Roman" w:hAnsi="Times New Roman" w:eastAsia="宋体" w:cs="Times New Roman"/>
                      <w:color w:val="auto"/>
                      <w:kern w:val="0"/>
                      <w:szCs w:val="21"/>
                      <w:highlight w:val="none"/>
                    </w:rPr>
                    <w:t>2.现状已发展成熟的煤磷盐化工企业及目前做到零排放的企业按现状方式排水，未来</w:t>
                  </w:r>
                  <w:r>
                    <w:rPr>
                      <w:rStyle w:val="98"/>
                      <w:rFonts w:hint="eastAsia" w:cs="Times New Roman"/>
                      <w:color w:val="auto"/>
                      <w:kern w:val="0"/>
                      <w:szCs w:val="21"/>
                      <w:highlight w:val="none"/>
                      <w:lang w:eastAsia="zh-CN"/>
                    </w:rPr>
                    <w:t>入驻</w:t>
                  </w:r>
                  <w:r>
                    <w:rPr>
                      <w:rStyle w:val="98"/>
                      <w:rFonts w:hint="default" w:ascii="Times New Roman" w:hAnsi="Times New Roman" w:eastAsia="宋体" w:cs="Times New Roman"/>
                      <w:color w:val="auto"/>
                      <w:kern w:val="0"/>
                      <w:szCs w:val="21"/>
                      <w:highlight w:val="none"/>
                    </w:rPr>
                    <w:t>企业生产废水由企业自行处理达标后循环回用不外排。</w:t>
                  </w:r>
                </w:p>
                <w:p>
                  <w:pPr>
                    <w:snapToGrid/>
                    <w:spacing w:line="240" w:lineRule="auto"/>
                    <w:jc w:val="center"/>
                    <w:outlineLvl w:val="9"/>
                    <w:rPr>
                      <w:rStyle w:val="98"/>
                      <w:rFonts w:hint="default" w:ascii="Times New Roman" w:hAnsi="Times New Roman" w:eastAsia="宋体" w:cs="Times New Roman"/>
                      <w:color w:val="auto"/>
                      <w:spacing w:val="-6"/>
                      <w:kern w:val="0"/>
                      <w:szCs w:val="21"/>
                      <w:highlight w:val="none"/>
                    </w:rPr>
                  </w:pPr>
                  <w:r>
                    <w:rPr>
                      <w:rStyle w:val="98"/>
                      <w:rFonts w:hint="default" w:ascii="Times New Roman" w:hAnsi="Times New Roman" w:eastAsia="宋体" w:cs="Times New Roman"/>
                      <w:color w:val="auto"/>
                      <w:kern w:val="0"/>
                      <w:szCs w:val="21"/>
                      <w:highlight w:val="none"/>
                    </w:rPr>
                    <w:t>3.生活垃圾无害化处理率90%以上，工业固废处置利用率不小于95%。</w:t>
                  </w:r>
                </w:p>
              </w:tc>
              <w:tc>
                <w:tcPr>
                  <w:tcW w:w="2679" w:type="dxa"/>
                  <w:tcBorders>
                    <w:tl2br w:val="nil"/>
                    <w:tr2bl w:val="nil"/>
                  </w:tcBorders>
                  <w:noWrap w:val="0"/>
                  <w:vAlign w:val="center"/>
                </w:tcPr>
                <w:p>
                  <w:pPr>
                    <w:snapToGrid/>
                    <w:spacing w:line="240" w:lineRule="auto"/>
                    <w:jc w:val="center"/>
                    <w:outlineLvl w:val="9"/>
                    <w:rPr>
                      <w:rStyle w:val="98"/>
                      <w:rFonts w:hint="default" w:ascii="Times New Roman" w:hAnsi="Times New Roman" w:eastAsia="宋体" w:cs="Times New Roman"/>
                      <w:color w:val="auto"/>
                      <w:kern w:val="0"/>
                      <w:szCs w:val="21"/>
                      <w:highlight w:val="none"/>
                    </w:rPr>
                  </w:pPr>
                  <w:r>
                    <w:rPr>
                      <w:rStyle w:val="98"/>
                      <w:rFonts w:hint="default" w:ascii="Times New Roman" w:hAnsi="Times New Roman" w:eastAsia="宋体" w:cs="Times New Roman"/>
                      <w:color w:val="auto"/>
                      <w:kern w:val="0"/>
                      <w:szCs w:val="21"/>
                      <w:highlight w:val="none"/>
                    </w:rPr>
                    <w:t>1.</w:t>
                  </w:r>
                  <w:r>
                    <w:rPr>
                      <w:rStyle w:val="98"/>
                      <w:rFonts w:hint="default" w:ascii="Times New Roman" w:hAnsi="Times New Roman" w:eastAsia="宋体" w:cs="Times New Roman"/>
                      <w:color w:val="auto"/>
                      <w:kern w:val="0"/>
                      <w:szCs w:val="21"/>
                      <w:highlight w:val="none"/>
                      <w:lang w:val="en-US" w:eastAsia="zh-CN"/>
                    </w:rPr>
                    <w:t>项目所在</w:t>
                  </w:r>
                  <w:r>
                    <w:rPr>
                      <w:rStyle w:val="98"/>
                      <w:rFonts w:hint="default" w:ascii="Times New Roman" w:hAnsi="Times New Roman" w:eastAsia="宋体" w:cs="Times New Roman"/>
                      <w:color w:val="auto"/>
                      <w:kern w:val="0"/>
                      <w:szCs w:val="21"/>
                      <w:highlight w:val="none"/>
                    </w:rPr>
                    <w:t>园区空气质量</w:t>
                  </w:r>
                  <w:r>
                    <w:rPr>
                      <w:rStyle w:val="98"/>
                      <w:rFonts w:hint="default" w:ascii="Times New Roman" w:hAnsi="Times New Roman" w:eastAsia="宋体" w:cs="Times New Roman"/>
                      <w:color w:val="auto"/>
                      <w:kern w:val="0"/>
                      <w:szCs w:val="21"/>
                      <w:highlight w:val="none"/>
                      <w:lang w:val="en-US" w:eastAsia="zh-CN"/>
                    </w:rPr>
                    <w:t>满足</w:t>
                  </w:r>
                  <w:r>
                    <w:rPr>
                      <w:rStyle w:val="98"/>
                      <w:rFonts w:hint="default" w:ascii="Times New Roman" w:hAnsi="Times New Roman" w:eastAsia="宋体" w:cs="Times New Roman"/>
                      <w:color w:val="auto"/>
                      <w:kern w:val="0"/>
                      <w:szCs w:val="21"/>
                      <w:highlight w:val="none"/>
                    </w:rPr>
                    <w:t>《环境空气质量标准》（GB3095－2012）中二级标准</w:t>
                  </w:r>
                  <w:r>
                    <w:rPr>
                      <w:rStyle w:val="98"/>
                      <w:rFonts w:hint="default" w:ascii="Times New Roman" w:hAnsi="Times New Roman" w:eastAsia="宋体" w:cs="Times New Roman"/>
                      <w:color w:val="auto"/>
                      <w:kern w:val="0"/>
                      <w:szCs w:val="21"/>
                      <w:highlight w:val="none"/>
                      <w:lang w:val="en-US" w:eastAsia="zh-CN"/>
                    </w:rPr>
                    <w:t>要求</w:t>
                  </w:r>
                  <w:r>
                    <w:rPr>
                      <w:rStyle w:val="98"/>
                      <w:rFonts w:hint="default" w:ascii="Times New Roman" w:hAnsi="Times New Roman" w:eastAsia="宋体" w:cs="Times New Roman"/>
                      <w:color w:val="auto"/>
                      <w:kern w:val="0"/>
                      <w:szCs w:val="21"/>
                      <w:highlight w:val="none"/>
                    </w:rPr>
                    <w:t>。</w:t>
                  </w:r>
                </w:p>
                <w:p>
                  <w:pPr>
                    <w:snapToGrid/>
                    <w:spacing w:line="240" w:lineRule="auto"/>
                    <w:jc w:val="center"/>
                    <w:outlineLvl w:val="9"/>
                    <w:rPr>
                      <w:rStyle w:val="98"/>
                      <w:rFonts w:hint="default" w:ascii="Times New Roman" w:hAnsi="Times New Roman" w:eastAsia="宋体" w:cs="Times New Roman"/>
                      <w:color w:val="auto"/>
                      <w:kern w:val="0"/>
                      <w:szCs w:val="21"/>
                      <w:highlight w:val="none"/>
                      <w:lang w:val="en-US" w:eastAsia="zh-CN"/>
                    </w:rPr>
                  </w:pPr>
                  <w:r>
                    <w:rPr>
                      <w:rStyle w:val="98"/>
                      <w:rFonts w:hint="default" w:ascii="Times New Roman" w:hAnsi="Times New Roman" w:eastAsia="宋体" w:cs="Times New Roman"/>
                      <w:color w:val="auto"/>
                      <w:kern w:val="0"/>
                      <w:szCs w:val="21"/>
                      <w:highlight w:val="none"/>
                    </w:rPr>
                    <w:t>2.</w:t>
                  </w:r>
                  <w:r>
                    <w:rPr>
                      <w:rStyle w:val="98"/>
                      <w:rFonts w:hint="default" w:ascii="Times New Roman" w:hAnsi="Times New Roman" w:eastAsia="宋体" w:cs="Times New Roman"/>
                      <w:color w:val="auto"/>
                      <w:kern w:val="0"/>
                      <w:szCs w:val="21"/>
                      <w:highlight w:val="none"/>
                      <w:lang w:val="en-US" w:eastAsia="zh-CN"/>
                    </w:rPr>
                    <w:t>本项目</w:t>
                  </w:r>
                  <w:r>
                    <w:rPr>
                      <w:rFonts w:hint="default" w:ascii="Times New Roman" w:hAnsi="Times New Roman" w:eastAsia="宋体" w:cs="Times New Roman"/>
                      <w:b w:val="0"/>
                      <w:bCs w:val="0"/>
                      <w:color w:val="auto"/>
                      <w:sz w:val="21"/>
                      <w:szCs w:val="21"/>
                      <w:highlight w:val="none"/>
                      <w:lang w:val="en-US" w:eastAsia="zh-CN"/>
                    </w:rPr>
                    <w:t>生产过程不使用水，无生产废水产生</w:t>
                  </w:r>
                  <w:r>
                    <w:rPr>
                      <w:rStyle w:val="98"/>
                      <w:rFonts w:hint="default" w:ascii="Times New Roman" w:hAnsi="Times New Roman" w:eastAsia="宋体" w:cs="Times New Roman"/>
                      <w:color w:val="auto"/>
                      <w:kern w:val="0"/>
                      <w:szCs w:val="21"/>
                      <w:highlight w:val="none"/>
                      <w:lang w:val="en-US" w:eastAsia="zh-CN"/>
                    </w:rPr>
                    <w:t>。</w:t>
                  </w:r>
                </w:p>
                <w:p>
                  <w:pPr>
                    <w:snapToGrid/>
                    <w:spacing w:line="240" w:lineRule="auto"/>
                    <w:jc w:val="center"/>
                    <w:outlineLvl w:val="9"/>
                    <w:rPr>
                      <w:rStyle w:val="98"/>
                      <w:rFonts w:hint="default" w:ascii="Times New Roman" w:hAnsi="Times New Roman" w:eastAsia="宋体" w:cs="Times New Roman"/>
                      <w:color w:val="auto"/>
                      <w:kern w:val="0"/>
                      <w:szCs w:val="21"/>
                      <w:highlight w:val="none"/>
                    </w:rPr>
                  </w:pPr>
                  <w:r>
                    <w:rPr>
                      <w:rStyle w:val="98"/>
                      <w:rFonts w:hint="default" w:ascii="Times New Roman" w:hAnsi="Times New Roman" w:eastAsia="宋体" w:cs="Times New Roman"/>
                      <w:color w:val="auto"/>
                      <w:kern w:val="0"/>
                      <w:szCs w:val="21"/>
                      <w:highlight w:val="none"/>
                    </w:rPr>
                    <w:t>3.</w:t>
                  </w:r>
                  <w:r>
                    <w:rPr>
                      <w:rStyle w:val="98"/>
                      <w:rFonts w:hint="default" w:ascii="Times New Roman" w:hAnsi="Times New Roman" w:eastAsia="宋体" w:cs="Times New Roman"/>
                      <w:color w:val="auto"/>
                      <w:kern w:val="0"/>
                      <w:szCs w:val="21"/>
                      <w:highlight w:val="none"/>
                      <w:lang w:val="en-US" w:eastAsia="zh-CN"/>
                    </w:rPr>
                    <w:t>本项目产生的生活垃圾委托</w:t>
                  </w:r>
                  <w:r>
                    <w:rPr>
                      <w:rStyle w:val="98"/>
                      <w:rFonts w:hint="default" w:ascii="Times New Roman" w:hAnsi="Times New Roman" w:eastAsia="宋体" w:cs="Times New Roman"/>
                      <w:color w:val="auto"/>
                      <w:kern w:val="0"/>
                      <w:szCs w:val="21"/>
                      <w:highlight w:val="none"/>
                    </w:rPr>
                    <w:t>工业园区</w:t>
                  </w:r>
                  <w:r>
                    <w:rPr>
                      <w:rStyle w:val="98"/>
                      <w:rFonts w:hint="default" w:ascii="Times New Roman" w:hAnsi="Times New Roman" w:eastAsia="宋体" w:cs="Times New Roman"/>
                      <w:color w:val="auto"/>
                      <w:kern w:val="0"/>
                      <w:szCs w:val="21"/>
                      <w:highlight w:val="none"/>
                      <w:lang w:val="en-US" w:eastAsia="zh-CN"/>
                    </w:rPr>
                    <w:t>环卫部门统一收集后进行</w:t>
                  </w:r>
                  <w:r>
                    <w:rPr>
                      <w:rStyle w:val="98"/>
                      <w:rFonts w:hint="default" w:ascii="Times New Roman" w:hAnsi="Times New Roman" w:eastAsia="宋体" w:cs="Times New Roman"/>
                      <w:color w:val="auto"/>
                      <w:kern w:val="0"/>
                      <w:szCs w:val="21"/>
                      <w:highlight w:val="none"/>
                    </w:rPr>
                    <w:t>无害化处理</w:t>
                  </w:r>
                  <w:r>
                    <w:rPr>
                      <w:rStyle w:val="98"/>
                      <w:rFonts w:hint="default" w:ascii="Times New Roman" w:hAnsi="Times New Roman" w:eastAsia="宋体" w:cs="Times New Roman"/>
                      <w:color w:val="auto"/>
                      <w:kern w:val="0"/>
                      <w:szCs w:val="21"/>
                      <w:highlight w:val="none"/>
                      <w:lang w:eastAsia="zh-CN"/>
                    </w:rPr>
                    <w:t>，</w:t>
                  </w:r>
                  <w:r>
                    <w:rPr>
                      <w:rStyle w:val="98"/>
                      <w:rFonts w:hint="default" w:ascii="Times New Roman" w:hAnsi="Times New Roman" w:eastAsia="宋体" w:cs="Times New Roman"/>
                      <w:color w:val="auto"/>
                      <w:kern w:val="0"/>
                      <w:szCs w:val="21"/>
                      <w:highlight w:val="none"/>
                      <w:lang w:val="en-US" w:eastAsia="zh-CN"/>
                    </w:rPr>
                    <w:t>处理</w:t>
                  </w:r>
                  <w:r>
                    <w:rPr>
                      <w:rStyle w:val="98"/>
                      <w:rFonts w:hint="default" w:ascii="Times New Roman" w:hAnsi="Times New Roman" w:eastAsia="宋体" w:cs="Times New Roman"/>
                      <w:color w:val="auto"/>
                      <w:kern w:val="0"/>
                      <w:szCs w:val="21"/>
                      <w:highlight w:val="none"/>
                    </w:rPr>
                    <w:t>率达到100%。</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436" w:type="pct"/>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421" w:type="dxa"/>
                  <w:tcBorders>
                    <w:tl2br w:val="nil"/>
                    <w:tr2bl w:val="nil"/>
                  </w:tcBorders>
                  <w:noWrap w:val="0"/>
                  <w:vAlign w:val="center"/>
                </w:tcPr>
                <w:p>
                  <w:pPr>
                    <w:snapToGrid w:val="0"/>
                    <w:jc w:val="center"/>
                    <w:rPr>
                      <w:rStyle w:val="98"/>
                      <w:rFonts w:hint="default" w:ascii="Times New Roman" w:hAnsi="Times New Roman" w:eastAsia="宋体" w:cs="Times New Roman"/>
                      <w:color w:val="auto"/>
                      <w:kern w:val="0"/>
                      <w:szCs w:val="21"/>
                      <w:highlight w:val="none"/>
                    </w:rPr>
                  </w:pPr>
                  <w:r>
                    <w:rPr>
                      <w:rStyle w:val="98"/>
                      <w:rFonts w:hint="default" w:ascii="Times New Roman" w:hAnsi="Times New Roman" w:eastAsia="宋体" w:cs="Times New Roman"/>
                      <w:color w:val="auto"/>
                      <w:kern w:val="0"/>
                      <w:szCs w:val="21"/>
                      <w:highlight w:val="none"/>
                    </w:rPr>
                    <w:t>环境风险</w:t>
                  </w:r>
                </w:p>
                <w:p>
                  <w:pPr>
                    <w:bidi w:val="0"/>
                    <w:snapToGrid w:val="0"/>
                    <w:jc w:val="center"/>
                    <w:outlineLvl w:val="9"/>
                    <w:rPr>
                      <w:rFonts w:hint="default" w:ascii="Times New Roman" w:hAnsi="Times New Roman" w:eastAsia="宋体" w:cs="Times New Roman"/>
                      <w:color w:val="auto"/>
                      <w:szCs w:val="21"/>
                      <w:highlight w:val="none"/>
                    </w:rPr>
                  </w:pPr>
                  <w:r>
                    <w:rPr>
                      <w:rStyle w:val="98"/>
                      <w:rFonts w:hint="default" w:ascii="Times New Roman" w:hAnsi="Times New Roman" w:eastAsia="宋体" w:cs="Times New Roman"/>
                      <w:color w:val="auto"/>
                      <w:kern w:val="0"/>
                      <w:szCs w:val="21"/>
                      <w:highlight w:val="none"/>
                    </w:rPr>
                    <w:t>防控</w:t>
                  </w:r>
                </w:p>
              </w:tc>
              <w:tc>
                <w:tcPr>
                  <w:tcW w:w="2996" w:type="dxa"/>
                  <w:tcBorders>
                    <w:tl2br w:val="nil"/>
                    <w:tr2bl w:val="nil"/>
                  </w:tcBorders>
                  <w:noWrap w:val="0"/>
                  <w:vAlign w:val="center"/>
                </w:tcPr>
                <w:p>
                  <w:pPr>
                    <w:snapToGrid/>
                    <w:spacing w:line="240" w:lineRule="auto"/>
                    <w:jc w:val="center"/>
                    <w:outlineLvl w:val="9"/>
                    <w:rPr>
                      <w:rStyle w:val="98"/>
                      <w:rFonts w:hint="default" w:ascii="Times New Roman" w:hAnsi="Times New Roman" w:eastAsia="宋体" w:cs="Times New Roman"/>
                      <w:color w:val="auto"/>
                      <w:kern w:val="0"/>
                      <w:szCs w:val="21"/>
                      <w:highlight w:val="none"/>
                    </w:rPr>
                  </w:pPr>
                  <w:r>
                    <w:rPr>
                      <w:rStyle w:val="98"/>
                      <w:rFonts w:hint="default" w:ascii="Times New Roman" w:hAnsi="Times New Roman" w:eastAsia="宋体" w:cs="Times New Roman"/>
                      <w:color w:val="auto"/>
                      <w:kern w:val="0"/>
                      <w:szCs w:val="21"/>
                      <w:highlight w:val="none"/>
                    </w:rPr>
                    <w:t>1.组织编制环境风险应急预案，通过风险源的识别，制定不同风险源的应急处理处置方案，形成应对突发事故应急处理处置能力。</w:t>
                  </w:r>
                </w:p>
                <w:p>
                  <w:pPr>
                    <w:snapToGrid/>
                    <w:spacing w:line="240" w:lineRule="auto"/>
                    <w:jc w:val="center"/>
                    <w:outlineLvl w:val="9"/>
                    <w:rPr>
                      <w:rStyle w:val="98"/>
                      <w:rFonts w:hint="default" w:ascii="Times New Roman" w:hAnsi="Times New Roman" w:eastAsia="宋体" w:cs="Times New Roman"/>
                      <w:color w:val="auto"/>
                      <w:spacing w:val="-6"/>
                      <w:kern w:val="0"/>
                      <w:szCs w:val="21"/>
                      <w:highlight w:val="none"/>
                    </w:rPr>
                  </w:pPr>
                  <w:r>
                    <w:rPr>
                      <w:rStyle w:val="98"/>
                      <w:rFonts w:hint="default" w:ascii="Times New Roman" w:hAnsi="Times New Roman" w:eastAsia="宋体" w:cs="Times New Roman"/>
                      <w:color w:val="auto"/>
                      <w:kern w:val="0"/>
                      <w:szCs w:val="21"/>
                      <w:highlight w:val="none"/>
                    </w:rPr>
                    <w:t>2.建设风险事故废水排放管道及处置池。</w:t>
                  </w:r>
                </w:p>
              </w:tc>
              <w:tc>
                <w:tcPr>
                  <w:tcW w:w="2679" w:type="dxa"/>
                  <w:tcBorders>
                    <w:tl2br w:val="nil"/>
                    <w:tr2bl w:val="nil"/>
                  </w:tcBorders>
                  <w:noWrap w:val="0"/>
                  <w:vAlign w:val="center"/>
                </w:tcPr>
                <w:p>
                  <w:pPr>
                    <w:snapToGrid/>
                    <w:spacing w:line="240" w:lineRule="auto"/>
                    <w:jc w:val="center"/>
                    <w:outlineLvl w:val="9"/>
                    <w:rPr>
                      <w:rStyle w:val="98"/>
                      <w:rFonts w:hint="default" w:ascii="Times New Roman" w:hAnsi="Times New Roman" w:eastAsia="宋体" w:cs="Times New Roman"/>
                      <w:color w:val="auto"/>
                      <w:kern w:val="0"/>
                      <w:szCs w:val="21"/>
                      <w:highlight w:val="none"/>
                      <w:lang w:val="en-US" w:eastAsia="zh-CN"/>
                    </w:rPr>
                  </w:pPr>
                  <w:r>
                    <w:rPr>
                      <w:rStyle w:val="98"/>
                      <w:rFonts w:hint="default" w:ascii="Times New Roman" w:hAnsi="Times New Roman" w:eastAsia="宋体" w:cs="Times New Roman"/>
                      <w:color w:val="auto"/>
                      <w:kern w:val="0"/>
                      <w:szCs w:val="21"/>
                      <w:highlight w:val="none"/>
                      <w:lang w:val="en-US" w:eastAsia="zh-CN"/>
                    </w:rPr>
                    <w:t>1.本次环评提出企业建成后按照要求重新编制</w:t>
                  </w:r>
                  <w:r>
                    <w:rPr>
                      <w:rStyle w:val="98"/>
                      <w:rFonts w:hint="default" w:ascii="Times New Roman" w:hAnsi="Times New Roman" w:eastAsia="宋体" w:cs="Times New Roman"/>
                      <w:color w:val="auto"/>
                      <w:kern w:val="0"/>
                      <w:szCs w:val="21"/>
                      <w:highlight w:val="none"/>
                    </w:rPr>
                    <w:t>环境风险应急预案，</w:t>
                  </w:r>
                  <w:r>
                    <w:rPr>
                      <w:rStyle w:val="98"/>
                      <w:rFonts w:hint="default" w:ascii="Times New Roman" w:hAnsi="Times New Roman" w:eastAsia="宋体" w:cs="Times New Roman"/>
                      <w:color w:val="auto"/>
                      <w:kern w:val="0"/>
                      <w:szCs w:val="21"/>
                      <w:highlight w:val="none"/>
                      <w:lang w:val="en-US" w:eastAsia="zh-CN"/>
                    </w:rPr>
                    <w:t>并报当地环保部门备案。</w:t>
                  </w:r>
                </w:p>
                <w:p>
                  <w:pPr>
                    <w:snapToGrid/>
                    <w:spacing w:line="240" w:lineRule="auto"/>
                    <w:jc w:val="center"/>
                    <w:outlineLvl w:val="9"/>
                    <w:rPr>
                      <w:rStyle w:val="98"/>
                      <w:rFonts w:hint="default" w:ascii="Times New Roman" w:hAnsi="Times New Roman" w:eastAsia="宋体" w:cs="Times New Roman"/>
                      <w:color w:val="auto"/>
                      <w:kern w:val="0"/>
                      <w:szCs w:val="21"/>
                      <w:highlight w:val="none"/>
                    </w:rPr>
                  </w:pPr>
                  <w:r>
                    <w:rPr>
                      <w:rStyle w:val="98"/>
                      <w:rFonts w:hint="default" w:ascii="Times New Roman" w:hAnsi="Times New Roman" w:eastAsia="宋体" w:cs="Times New Roman"/>
                      <w:color w:val="auto"/>
                      <w:kern w:val="0"/>
                      <w:szCs w:val="21"/>
                      <w:highlight w:val="none"/>
                      <w:lang w:val="en-US" w:eastAsia="zh-CN"/>
                    </w:rPr>
                    <w:t>2.本项目后期按照实际需求进行风险事故废水排放管道及处置池的建设。</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436" w:type="pct"/>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421" w:type="dxa"/>
                  <w:tcBorders>
                    <w:tl2br w:val="nil"/>
                    <w:tr2bl w:val="nil"/>
                  </w:tcBorders>
                  <w:noWrap w:val="0"/>
                  <w:vAlign w:val="center"/>
                </w:tcPr>
                <w:p>
                  <w:pPr>
                    <w:bidi w:val="0"/>
                    <w:snapToGrid w:val="0"/>
                    <w:jc w:val="center"/>
                    <w:outlineLvl w:val="9"/>
                    <w:rPr>
                      <w:rFonts w:hint="default" w:ascii="Times New Roman" w:hAnsi="Times New Roman" w:eastAsia="宋体" w:cs="Times New Roman"/>
                      <w:color w:val="auto"/>
                      <w:szCs w:val="21"/>
                      <w:highlight w:val="none"/>
                    </w:rPr>
                  </w:pPr>
                  <w:r>
                    <w:rPr>
                      <w:rStyle w:val="98"/>
                      <w:rFonts w:hint="default" w:ascii="Times New Roman" w:hAnsi="Times New Roman" w:eastAsia="宋体" w:cs="Times New Roman"/>
                      <w:color w:val="auto"/>
                      <w:kern w:val="0"/>
                      <w:szCs w:val="21"/>
                      <w:highlight w:val="none"/>
                    </w:rPr>
                    <w:t>资源开发效率要求</w:t>
                  </w:r>
                </w:p>
              </w:tc>
              <w:tc>
                <w:tcPr>
                  <w:tcW w:w="2996" w:type="dxa"/>
                  <w:tcBorders>
                    <w:tl2br w:val="nil"/>
                    <w:tr2bl w:val="nil"/>
                  </w:tcBorders>
                  <w:noWrap w:val="0"/>
                  <w:vAlign w:val="center"/>
                </w:tcPr>
                <w:p>
                  <w:pPr>
                    <w:bidi w:val="0"/>
                    <w:jc w:val="center"/>
                    <w:outlineLvl w:val="9"/>
                    <w:rPr>
                      <w:rStyle w:val="98"/>
                      <w:rFonts w:hint="default" w:ascii="Times New Roman" w:hAnsi="Times New Roman" w:eastAsia="宋体" w:cs="Times New Roman"/>
                      <w:color w:val="auto"/>
                      <w:spacing w:val="-6"/>
                      <w:kern w:val="0"/>
                      <w:szCs w:val="21"/>
                      <w:highlight w:val="none"/>
                      <w:lang w:val="en-US" w:eastAsia="zh-CN"/>
                    </w:rPr>
                  </w:pPr>
                  <w:r>
                    <w:rPr>
                      <w:rStyle w:val="98"/>
                      <w:rFonts w:hint="default" w:ascii="Times New Roman" w:hAnsi="Times New Roman" w:eastAsia="宋体" w:cs="Times New Roman"/>
                      <w:color w:val="auto"/>
                      <w:spacing w:val="-6"/>
                      <w:kern w:val="0"/>
                      <w:szCs w:val="21"/>
                      <w:highlight w:val="none"/>
                      <w:lang w:val="en-US" w:eastAsia="zh-CN"/>
                    </w:rPr>
                    <w:t>1.清洁生产水平不低于国家清洁生产标准规定的国内先进水平。</w:t>
                  </w:r>
                </w:p>
                <w:p>
                  <w:pPr>
                    <w:bidi w:val="0"/>
                    <w:jc w:val="center"/>
                    <w:outlineLvl w:val="9"/>
                    <w:rPr>
                      <w:rStyle w:val="98"/>
                      <w:rFonts w:hint="default" w:ascii="Times New Roman" w:hAnsi="Times New Roman" w:eastAsia="宋体" w:cs="Times New Roman"/>
                      <w:color w:val="auto"/>
                      <w:spacing w:val="-6"/>
                      <w:kern w:val="0"/>
                      <w:szCs w:val="21"/>
                      <w:highlight w:val="none"/>
                    </w:rPr>
                  </w:pPr>
                  <w:r>
                    <w:rPr>
                      <w:rStyle w:val="98"/>
                      <w:rFonts w:hint="default" w:ascii="Times New Roman" w:hAnsi="Times New Roman" w:eastAsia="宋体" w:cs="Times New Roman"/>
                      <w:color w:val="auto"/>
                      <w:spacing w:val="-6"/>
                      <w:kern w:val="0"/>
                      <w:szCs w:val="21"/>
                      <w:highlight w:val="none"/>
                      <w:lang w:val="en-US" w:eastAsia="zh-CN"/>
                    </w:rPr>
                    <w:t>2.工业固废综合利用率≥70%，再生水回用率100%，工业用水重复利用率100%，单位工业增加值综合耗能≤0.5吨标煤/万元。</w:t>
                  </w:r>
                </w:p>
              </w:tc>
              <w:tc>
                <w:tcPr>
                  <w:tcW w:w="2679" w:type="dxa"/>
                  <w:tcBorders>
                    <w:tl2br w:val="nil"/>
                    <w:tr2bl w:val="nil"/>
                  </w:tcBorders>
                  <w:noWrap w:val="0"/>
                  <w:vAlign w:val="center"/>
                </w:tcPr>
                <w:p>
                  <w:pPr>
                    <w:bidi w:val="0"/>
                    <w:jc w:val="center"/>
                    <w:outlineLvl w:val="9"/>
                    <w:rPr>
                      <w:rStyle w:val="98"/>
                      <w:rFonts w:hint="default" w:ascii="Times New Roman" w:hAnsi="Times New Roman" w:eastAsia="宋体" w:cs="Times New Roman"/>
                      <w:color w:val="auto"/>
                      <w:spacing w:val="-6"/>
                      <w:kern w:val="0"/>
                      <w:szCs w:val="21"/>
                      <w:highlight w:val="none"/>
                      <w:lang w:val="en-US" w:eastAsia="zh-CN"/>
                    </w:rPr>
                  </w:pPr>
                  <w:r>
                    <w:rPr>
                      <w:rStyle w:val="98"/>
                      <w:rFonts w:hint="default" w:ascii="Times New Roman" w:hAnsi="Times New Roman" w:eastAsia="宋体" w:cs="Times New Roman"/>
                      <w:color w:val="auto"/>
                      <w:spacing w:val="-6"/>
                      <w:kern w:val="0"/>
                      <w:szCs w:val="21"/>
                      <w:highlight w:val="none"/>
                      <w:lang w:val="en-US" w:eastAsia="zh-CN"/>
                    </w:rPr>
                    <w:t>1.本项目清洁生产水平不低于国家清洁生产标准规定的国内先进水平。</w:t>
                  </w:r>
                </w:p>
                <w:p>
                  <w:pPr>
                    <w:bidi w:val="0"/>
                    <w:jc w:val="center"/>
                    <w:outlineLvl w:val="9"/>
                    <w:rPr>
                      <w:rStyle w:val="98"/>
                      <w:rFonts w:hint="default" w:ascii="Times New Roman" w:hAnsi="Times New Roman" w:eastAsia="宋体" w:cs="Times New Roman"/>
                      <w:color w:val="auto"/>
                      <w:spacing w:val="-6"/>
                      <w:kern w:val="0"/>
                      <w:szCs w:val="21"/>
                      <w:highlight w:val="none"/>
                    </w:rPr>
                  </w:pPr>
                  <w:r>
                    <w:rPr>
                      <w:rStyle w:val="98"/>
                      <w:rFonts w:hint="default" w:ascii="Times New Roman" w:hAnsi="Times New Roman" w:eastAsia="宋体" w:cs="Times New Roman"/>
                      <w:color w:val="auto"/>
                      <w:spacing w:val="-6"/>
                      <w:kern w:val="0"/>
                      <w:szCs w:val="21"/>
                      <w:highlight w:val="none"/>
                      <w:lang w:val="en-US" w:eastAsia="zh-CN"/>
                    </w:rPr>
                    <w:t>2.工业固体废物综合利用率≥70%。本项目</w:t>
                  </w:r>
                  <w:r>
                    <w:rPr>
                      <w:rFonts w:hint="default" w:ascii="Times New Roman" w:hAnsi="Times New Roman" w:eastAsia="宋体" w:cs="Times New Roman"/>
                      <w:b w:val="0"/>
                      <w:bCs w:val="0"/>
                      <w:color w:val="auto"/>
                      <w:sz w:val="21"/>
                      <w:szCs w:val="21"/>
                      <w:highlight w:val="none"/>
                      <w:lang w:val="en-US" w:eastAsia="zh-CN"/>
                    </w:rPr>
                    <w:t>生产过程不使用水，无生产废水产生。</w:t>
                  </w:r>
                  <w:r>
                    <w:rPr>
                      <w:rStyle w:val="98"/>
                      <w:rFonts w:hint="default" w:ascii="Times New Roman" w:hAnsi="Times New Roman" w:eastAsia="宋体" w:cs="Times New Roman"/>
                      <w:color w:val="auto"/>
                      <w:spacing w:val="-6"/>
                      <w:kern w:val="0"/>
                      <w:szCs w:val="21"/>
                      <w:highlight w:val="none"/>
                      <w:lang w:val="en-US" w:eastAsia="zh-CN"/>
                    </w:rPr>
                    <w:t>单位工业增加值综合能耗≤0.5吨标煤/万元。</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bl>
          <w:p>
            <w:pPr>
              <w:pStyle w:val="79"/>
              <w:shd w:val="clear"/>
              <w:ind w:firstLine="482"/>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highlight w:val="none"/>
              </w:rPr>
              <w:t>由上表可知，本项目建设符合</w:t>
            </w:r>
            <w:r>
              <w:rPr>
                <w:rFonts w:hint="default" w:ascii="Times New Roman" w:hAnsi="Times New Roman" w:eastAsia="宋体" w:cs="Times New Roman"/>
                <w:color w:val="auto"/>
                <w:sz w:val="24"/>
                <w:highlight w:val="none"/>
                <w:lang w:val="zh-CN"/>
              </w:rPr>
              <w:t>《昆明市人民政府关于昆明市“三线一单”生态环境分区管控的实施意见》（</w:t>
            </w:r>
            <w:r>
              <w:rPr>
                <w:rFonts w:hint="default" w:ascii="Times New Roman" w:hAnsi="Times New Roman" w:eastAsia="宋体" w:cs="Times New Roman"/>
                <w:color w:val="auto"/>
                <w:sz w:val="24"/>
                <w:highlight w:val="none"/>
              </w:rPr>
              <w:t>昆政发2021[21号]</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中相关要求。</w:t>
            </w:r>
          </w:p>
          <w:bookmarkEnd w:id="7"/>
          <w:bookmarkEnd w:id="8"/>
          <w:bookmarkEnd w:id="9"/>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2、产业政策符合性分析</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pacing w:val="-3"/>
                <w:sz w:val="24"/>
                <w:highlight w:val="none"/>
              </w:rPr>
            </w:pPr>
            <w:r>
              <w:rPr>
                <w:rFonts w:hint="default" w:ascii="Times New Roman" w:hAnsi="Times New Roman" w:eastAsia="宋体" w:cs="Times New Roman"/>
                <w:color w:val="auto"/>
                <w:sz w:val="24"/>
                <w:szCs w:val="24"/>
                <w:highlight w:val="none"/>
              </w:rPr>
              <w:t>本项目为</w:t>
            </w:r>
            <w:r>
              <w:rPr>
                <w:rFonts w:hint="default" w:ascii="Times New Roman" w:hAnsi="Times New Roman" w:eastAsia="宋体" w:cs="Times New Roman"/>
                <w:color w:val="auto"/>
                <w:sz w:val="24"/>
                <w:szCs w:val="24"/>
                <w:highlight w:val="none"/>
                <w:lang w:val="en-US" w:eastAsia="zh-CN"/>
              </w:rPr>
              <w:t>塑料薄膜制造项目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根据《产业结构调整指导目录（2019年本）》（国家发改委第29号令</w:t>
            </w:r>
            <w:r>
              <w:rPr>
                <w:rFonts w:hint="default" w:ascii="Times New Roman" w:hAnsi="Times New Roman" w:eastAsia="宋体" w:cs="Times New Roman"/>
                <w:color w:val="auto"/>
                <w:sz w:val="24"/>
                <w:szCs w:val="24"/>
                <w:highlight w:val="none"/>
                <w:shd w:val="clear" w:color="auto" w:fill="FFFFFF"/>
                <w:lang w:bidi="ar"/>
              </w:rPr>
              <w:t>，</w:t>
            </w:r>
            <w:r>
              <w:rPr>
                <w:rFonts w:hint="default" w:ascii="Times New Roman" w:hAnsi="Times New Roman" w:eastAsia="宋体" w:cs="Times New Roman"/>
                <w:color w:val="auto"/>
                <w:sz w:val="24"/>
                <w:szCs w:val="24"/>
                <w:highlight w:val="none"/>
              </w:rPr>
              <w:t>2020年1月1日起实施）</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本项目不属于鼓励类、限制类和淘汰类，同时也不生产厚度低于0.01毫米的聚乙烯农用地膜，故项目属于允许类。同时，</w:t>
            </w:r>
            <w:r>
              <w:rPr>
                <w:rFonts w:hint="default" w:ascii="Times New Roman" w:hAnsi="Times New Roman" w:eastAsia="宋体" w:cs="Times New Roman"/>
                <w:color w:val="auto"/>
                <w:kern w:val="0"/>
                <w:sz w:val="24"/>
                <w:highlight w:val="none"/>
                <w:lang w:eastAsia="zh-CN"/>
              </w:rPr>
              <w:t>本项目设备不属于国家明令淘汰的落后设备</w:t>
            </w:r>
            <w:r>
              <w:rPr>
                <w:rFonts w:hint="default" w:ascii="Times New Roman" w:hAnsi="Times New Roman" w:eastAsia="宋体" w:cs="Times New Roman"/>
                <w:color w:val="auto"/>
                <w:spacing w:val="-3"/>
                <w:sz w:val="24"/>
                <w:highlight w:val="none"/>
              </w:rPr>
              <w:t>，符合国家和云南省</w:t>
            </w:r>
            <w:r>
              <w:rPr>
                <w:rFonts w:hint="default" w:ascii="Times New Roman" w:hAnsi="Times New Roman" w:eastAsia="宋体" w:cs="Times New Roman"/>
                <w:color w:val="auto"/>
                <w:spacing w:val="-3"/>
                <w:sz w:val="24"/>
                <w:highlight w:val="none"/>
                <w:lang w:val="en-US" w:eastAsia="zh-CN"/>
              </w:rPr>
              <w:t>现行相关</w:t>
            </w:r>
            <w:r>
              <w:rPr>
                <w:rFonts w:hint="default" w:ascii="Times New Roman" w:hAnsi="Times New Roman" w:eastAsia="宋体" w:cs="Times New Roman"/>
                <w:color w:val="auto"/>
                <w:spacing w:val="-3"/>
                <w:sz w:val="24"/>
                <w:highlight w:val="none"/>
              </w:rPr>
              <w:t>产业政策。</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68"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pacing w:val="-3"/>
                <w:sz w:val="24"/>
                <w:highlight w:val="none"/>
                <w:lang w:val="en-US" w:eastAsia="zh-CN"/>
              </w:rPr>
              <w:t>综上，本项目</w:t>
            </w:r>
            <w:r>
              <w:rPr>
                <w:rFonts w:hint="default" w:ascii="Times New Roman" w:hAnsi="Times New Roman" w:eastAsia="宋体" w:cs="Times New Roman"/>
                <w:color w:val="auto"/>
                <w:sz w:val="24"/>
                <w:szCs w:val="24"/>
                <w:highlight w:val="none"/>
                <w:lang w:val="en-US" w:eastAsia="zh-CN"/>
              </w:rPr>
              <w:t>符合国家和地方相关产业政策。</w:t>
            </w:r>
          </w:p>
          <w:p>
            <w:pPr>
              <w:keepNext w:val="0"/>
              <w:keepLines w:val="0"/>
              <w:pageBreakBefore w:val="0"/>
              <w:kinsoku/>
              <w:wordWrap/>
              <w:overflowPunct/>
              <w:topLinePunct w:val="0"/>
              <w:bidi w:val="0"/>
              <w:spacing w:line="360" w:lineRule="auto"/>
              <w:ind w:firstLine="482"/>
              <w:textAlignment w:val="auto"/>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3、与《云南省牛栏江保护条例》符合性分析</w:t>
            </w:r>
          </w:p>
          <w:p>
            <w:pPr>
              <w:pStyle w:val="71"/>
              <w:keepNext w:val="0"/>
              <w:keepLines w:val="0"/>
              <w:pageBreakBefore w:val="0"/>
              <w:kinsoku/>
              <w:wordWrap/>
              <w:overflowPunct/>
              <w:topLinePunct w:val="0"/>
              <w:bidi w:val="0"/>
              <w:spacing w:line="360" w:lineRule="auto"/>
              <w:textAlignment w:val="auto"/>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根据《云南省牛栏江保护条例》牛栏江流域上游保护区划分为水源保护核心区、重点污染控制区和重点水源涵养区。</w:t>
            </w:r>
          </w:p>
          <w:p>
            <w:pPr>
              <w:pStyle w:val="71"/>
              <w:keepNext w:val="0"/>
              <w:keepLines w:val="0"/>
              <w:pageBreakBefore w:val="0"/>
              <w:kinsoku/>
              <w:wordWrap/>
              <w:overflowPunct/>
              <w:topLinePunct w:val="0"/>
              <w:bidi w:val="0"/>
              <w:spacing w:line="360" w:lineRule="auto"/>
              <w:textAlignment w:val="auto"/>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一）水源保护核心区包括德泽水库库区和德泽水库以上牛栏江干流区。德泽水库库区为德泽水库正常蓄水位1790m水面及沿岸外延2000m的范围，区域范围超过一级山脊线的，按照一级山脊线划定；德泽水库以上牛栏江干流区指德泽水库以上干流（包括干流源头矣纳岔口至嘉丽泽对龙河河段）水域及两岸外延1000m的范围，区域范围超过一级山脊线的，按照一级山脊线划定。</w:t>
            </w:r>
          </w:p>
          <w:p>
            <w:pPr>
              <w:pStyle w:val="71"/>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二）重点污染控制区为水源保护核心区以外，流域范围内的坝区以及花庄河、果马河、普沙河、弥良河、对龙河、杨林河、匡郎河、前进河、马龙河水域及两岸外延3000m的区域，区域范围超过一级山脊线的，按照一级山脊线划定。</w:t>
            </w:r>
          </w:p>
          <w:p>
            <w:pPr>
              <w:pStyle w:val="71"/>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（三）重点水源涵养区为流域范围内除水源保护核心区、重点污染控制区以外的集水区域。</w:t>
            </w:r>
          </w:p>
          <w:p>
            <w:pPr>
              <w:pStyle w:val="71"/>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本项目位于云南省昆明市寻甸特色产业园区</w:t>
            </w:r>
            <w:r>
              <w:rPr>
                <w:rStyle w:val="70"/>
                <w:rFonts w:hint="default" w:ascii="Times New Roman" w:hAnsi="Times New Roman" w:eastAsia="宋体" w:cs="Times New Roman"/>
                <w:color w:val="auto"/>
                <w:sz w:val="24"/>
                <w:highlight w:val="none"/>
                <w:lang w:val="en-US"/>
              </w:rPr>
              <w:t>金所</w:t>
            </w:r>
            <w:r>
              <w:rPr>
                <w:rStyle w:val="70"/>
                <w:rFonts w:hint="default" w:ascii="Times New Roman" w:hAnsi="Times New Roman" w:eastAsia="宋体" w:cs="Times New Roman"/>
                <w:color w:val="auto"/>
                <w:sz w:val="24"/>
                <w:highlight w:val="none"/>
              </w:rPr>
              <w:t>片区</w:t>
            </w:r>
            <w:r>
              <w:rPr>
                <w:rStyle w:val="70"/>
                <w:rFonts w:hint="default" w:ascii="Times New Roman" w:hAnsi="Times New Roman" w:eastAsia="宋体" w:cs="Times New Roman"/>
                <w:color w:val="auto"/>
                <w:sz w:val="24"/>
                <w:highlight w:val="none"/>
                <w:lang w:val="en-US"/>
              </w:rPr>
              <w:t>内</w:t>
            </w:r>
            <w:r>
              <w:rPr>
                <w:rStyle w:val="70"/>
                <w:rFonts w:hint="default" w:ascii="Times New Roman" w:hAnsi="Times New Roman" w:eastAsia="宋体" w:cs="Times New Roman"/>
                <w:color w:val="auto"/>
                <w:sz w:val="24"/>
                <w:highlight w:val="none"/>
              </w:rPr>
              <w:t>，根据牛栏江水系功能规划图可知，项目区属于</w:t>
            </w:r>
            <w:r>
              <w:rPr>
                <w:rStyle w:val="70"/>
                <w:rFonts w:hint="default" w:ascii="Times New Roman" w:hAnsi="Times New Roman" w:eastAsia="宋体" w:cs="Times New Roman"/>
                <w:color w:val="auto"/>
                <w:sz w:val="24"/>
                <w:highlight w:val="none"/>
                <w:lang w:val="en-US"/>
              </w:rPr>
              <w:t>重点</w:t>
            </w:r>
            <w:r>
              <w:rPr>
                <w:rStyle w:val="70"/>
                <w:rFonts w:hint="default" w:ascii="Times New Roman" w:hAnsi="Times New Roman" w:eastAsia="宋体" w:cs="Times New Roman"/>
                <w:color w:val="auto"/>
                <w:sz w:val="24"/>
                <w:highlight w:val="none"/>
              </w:rPr>
              <w:t>污染控制区，本项目与牛栏江流域的位置关系详见附图</w:t>
            </w:r>
            <w:r>
              <w:rPr>
                <w:rStyle w:val="70"/>
                <w:rFonts w:hint="default" w:ascii="Times New Roman" w:hAnsi="Times New Roman" w:eastAsia="宋体" w:cs="Times New Roman"/>
                <w:color w:val="auto"/>
                <w:sz w:val="24"/>
                <w:highlight w:val="none"/>
                <w:lang w:val="en-US"/>
              </w:rPr>
              <w:t>6</w:t>
            </w:r>
            <w:r>
              <w:rPr>
                <w:rStyle w:val="70"/>
                <w:rFonts w:hint="default" w:ascii="Times New Roman" w:hAnsi="Times New Roman" w:eastAsia="宋体" w:cs="Times New Roman"/>
                <w:color w:val="auto"/>
                <w:sz w:val="24"/>
                <w:highlight w:val="none"/>
              </w:rPr>
              <w:t>。根据《云南省牛栏江保护条例》中第三十二、三十三条中规定的禁止行为分析项目选址符合性。</w:t>
            </w:r>
          </w:p>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1-6</w:t>
            </w:r>
            <w:r>
              <w:rPr>
                <w:rFonts w:hint="default" w:ascii="Times New Roman" w:hAnsi="Times New Roman" w:eastAsia="宋体" w:cs="Times New Roman"/>
                <w:b/>
                <w:bCs/>
                <w:color w:val="auto"/>
                <w:spacing w:val="-2"/>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建设内容与《云南省牛栏江保护条例》符合性分析</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3153"/>
              <w:gridCol w:w="3224"/>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b/>
                      <w:bCs/>
                      <w:color w:val="auto"/>
                      <w:sz w:val="21"/>
                      <w:szCs w:val="21"/>
                      <w:highlight w:val="none"/>
                    </w:rPr>
                  </w:pPr>
                  <w:r>
                    <w:rPr>
                      <w:rStyle w:val="70"/>
                      <w:rFonts w:hint="default" w:ascii="Times New Roman" w:hAnsi="Times New Roman" w:eastAsia="宋体" w:cs="Times New Roman"/>
                      <w:b/>
                      <w:bCs/>
                      <w:color w:val="auto"/>
                      <w:sz w:val="21"/>
                      <w:szCs w:val="21"/>
                      <w:highlight w:val="none"/>
                    </w:rPr>
                    <w:t>保护区划分</w:t>
                  </w:r>
                </w:p>
              </w:tc>
              <w:tc>
                <w:tcPr>
                  <w:tcW w:w="2001" w:type="pct"/>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b/>
                      <w:bCs/>
                      <w:color w:val="auto"/>
                      <w:sz w:val="21"/>
                      <w:szCs w:val="21"/>
                      <w:highlight w:val="none"/>
                    </w:rPr>
                  </w:pPr>
                  <w:r>
                    <w:rPr>
                      <w:rStyle w:val="70"/>
                      <w:rFonts w:hint="default" w:ascii="Times New Roman" w:hAnsi="Times New Roman" w:eastAsia="宋体" w:cs="Times New Roman"/>
                      <w:b/>
                      <w:bCs/>
                      <w:color w:val="auto"/>
                      <w:sz w:val="21"/>
                      <w:szCs w:val="21"/>
                      <w:highlight w:val="none"/>
                    </w:rPr>
                    <w:t>禁止行为</w:t>
                  </w:r>
                </w:p>
              </w:tc>
              <w:tc>
                <w:tcPr>
                  <w:tcW w:w="2046" w:type="pct"/>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b/>
                      <w:bCs/>
                      <w:color w:val="auto"/>
                      <w:sz w:val="21"/>
                      <w:szCs w:val="21"/>
                      <w:highlight w:val="none"/>
                    </w:rPr>
                  </w:pPr>
                  <w:r>
                    <w:rPr>
                      <w:rStyle w:val="70"/>
                      <w:rFonts w:hint="default" w:ascii="Times New Roman" w:hAnsi="Times New Roman" w:eastAsia="宋体" w:cs="Times New Roman"/>
                      <w:b/>
                      <w:bCs/>
                      <w:color w:val="auto"/>
                      <w:sz w:val="21"/>
                      <w:szCs w:val="21"/>
                      <w:highlight w:val="none"/>
                    </w:rPr>
                    <w:t>建设内容</w:t>
                  </w:r>
                </w:p>
              </w:tc>
              <w:tc>
                <w:tcPr>
                  <w:tcW w:w="431" w:type="pct"/>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b/>
                      <w:bCs/>
                      <w:color w:val="auto"/>
                      <w:sz w:val="21"/>
                      <w:szCs w:val="21"/>
                      <w:highlight w:val="none"/>
                    </w:rPr>
                  </w:pPr>
                  <w:r>
                    <w:rPr>
                      <w:rStyle w:val="70"/>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520" w:type="pct"/>
                  <w:vMerge w:val="restart"/>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lang w:val="en-US"/>
                    </w:rPr>
                    <w:t>重点</w:t>
                  </w:r>
                  <w:r>
                    <w:rPr>
                      <w:rStyle w:val="70"/>
                      <w:rFonts w:hint="default" w:ascii="Times New Roman" w:hAnsi="Times New Roman" w:eastAsia="宋体" w:cs="Times New Roman"/>
                      <w:color w:val="auto"/>
                      <w:sz w:val="21"/>
                      <w:szCs w:val="21"/>
                      <w:highlight w:val="none"/>
                    </w:rPr>
                    <w:t>污染控制区</w:t>
                  </w:r>
                </w:p>
              </w:tc>
              <w:tc>
                <w:tcPr>
                  <w:tcW w:w="2001" w:type="pct"/>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（一）盗伐、滥伐林木和破坏草地；</w:t>
                  </w:r>
                </w:p>
              </w:tc>
              <w:tc>
                <w:tcPr>
                  <w:tcW w:w="2046" w:type="pct"/>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项目位于</w:t>
                  </w:r>
                  <w:r>
                    <w:rPr>
                      <w:rStyle w:val="70"/>
                      <w:rFonts w:hint="default" w:ascii="Times New Roman" w:hAnsi="Times New Roman" w:eastAsia="宋体" w:cs="Times New Roman"/>
                      <w:color w:val="auto"/>
                      <w:sz w:val="21"/>
                      <w:szCs w:val="21"/>
                      <w:highlight w:val="none"/>
                      <w:lang w:val="en-US"/>
                    </w:rPr>
                    <w:t>金所</w:t>
                  </w:r>
                  <w:r>
                    <w:rPr>
                      <w:rStyle w:val="70"/>
                      <w:rFonts w:hint="default" w:ascii="Times New Roman" w:hAnsi="Times New Roman" w:eastAsia="宋体" w:cs="Times New Roman"/>
                      <w:color w:val="auto"/>
                      <w:sz w:val="21"/>
                      <w:szCs w:val="21"/>
                      <w:highlight w:val="none"/>
                    </w:rPr>
                    <w:t>片区，为</w:t>
                  </w:r>
                  <w:r>
                    <w:rPr>
                      <w:rStyle w:val="70"/>
                      <w:rFonts w:hint="default" w:ascii="Times New Roman" w:hAnsi="Times New Roman" w:eastAsia="宋体" w:cs="Times New Roman"/>
                      <w:color w:val="auto"/>
                      <w:sz w:val="21"/>
                      <w:szCs w:val="21"/>
                      <w:highlight w:val="none"/>
                      <w:lang w:val="en-US"/>
                    </w:rPr>
                    <w:t>扩建</w:t>
                  </w:r>
                  <w:r>
                    <w:rPr>
                      <w:rStyle w:val="70"/>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18"/>
                      <w:highlight w:val="none"/>
                    </w:rPr>
                    <w:t>项目用地属于园区工业用地，不存在盗伐、滥伐林木和破坏草地行为</w:t>
                  </w:r>
                  <w:r>
                    <w:rPr>
                      <w:rStyle w:val="70"/>
                      <w:rFonts w:hint="default" w:ascii="Times New Roman" w:hAnsi="Times New Roman" w:eastAsia="宋体" w:cs="Times New Roman"/>
                      <w:color w:val="auto"/>
                      <w:sz w:val="21"/>
                      <w:szCs w:val="21"/>
                      <w:highlight w:val="none"/>
                    </w:rPr>
                    <w:t>。</w:t>
                  </w:r>
                </w:p>
              </w:tc>
              <w:tc>
                <w:tcPr>
                  <w:tcW w:w="431" w:type="pct"/>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（二）使用高毒、高残留农药；</w:t>
                  </w:r>
                </w:p>
              </w:tc>
              <w:tc>
                <w:tcPr>
                  <w:tcW w:w="2046" w:type="pct"/>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不涉及。</w:t>
                  </w:r>
                </w:p>
              </w:tc>
              <w:tc>
                <w:tcPr>
                  <w:tcW w:w="431" w:type="pct"/>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（三）利用溶洞、渗井、渗坑、裂隙排放、倾倒含有毒有害物质的废水、废渣；</w:t>
                  </w:r>
                </w:p>
              </w:tc>
              <w:tc>
                <w:tcPr>
                  <w:tcW w:w="2046" w:type="pct"/>
                  <w:vMerge w:val="restart"/>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1.项目无废水外排。</w:t>
                  </w:r>
                </w:p>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2.项目所有固体废弃物均得到合理有效的利用和处置，处置率为100%。</w:t>
                  </w:r>
                </w:p>
              </w:tc>
              <w:tc>
                <w:tcPr>
                  <w:tcW w:w="431" w:type="pct"/>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（四）向水体排放废水、倾倒工业废渣、城镇垃圾或者其他废弃物；</w:t>
                  </w:r>
                </w:p>
              </w:tc>
              <w:tc>
                <w:tcPr>
                  <w:tcW w:w="2046" w:type="pct"/>
                  <w:vMerge w:val="continue"/>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431" w:type="pct"/>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（五）在江河、渠道、水库最高水位线以下的滩地、岸坡堆放、存贮固体废弃物或者其他污染物；</w:t>
                  </w:r>
                </w:p>
              </w:tc>
              <w:tc>
                <w:tcPr>
                  <w:tcW w:w="2046" w:type="pct"/>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项目设置危险废物暂存间暂存危险废物，并委托资质单位进行处置，危险废物贮存设施的选址与设计、运行与管理、安全防护、环境监测及应急措施以及关闭等遵循《危险废物贮存污染控制标准》（GB18597-20</w:t>
                  </w:r>
                  <w:r>
                    <w:rPr>
                      <w:rStyle w:val="70"/>
                      <w:rFonts w:hint="default" w:ascii="Times New Roman" w:hAnsi="Times New Roman" w:eastAsia="宋体" w:cs="Times New Roman"/>
                      <w:color w:val="auto"/>
                      <w:sz w:val="21"/>
                      <w:szCs w:val="21"/>
                      <w:highlight w:val="none"/>
                      <w:lang w:val="en-US"/>
                    </w:rPr>
                    <w:t>23</w:t>
                  </w:r>
                  <w:r>
                    <w:rPr>
                      <w:rStyle w:val="70"/>
                      <w:rFonts w:hint="default" w:ascii="Times New Roman" w:hAnsi="Times New Roman" w:eastAsia="宋体" w:cs="Times New Roman"/>
                      <w:color w:val="auto"/>
                      <w:sz w:val="21"/>
                      <w:szCs w:val="21"/>
                      <w:highlight w:val="none"/>
                    </w:rPr>
                    <w:t>）</w:t>
                  </w:r>
                  <w:r>
                    <w:rPr>
                      <w:rStyle w:val="70"/>
                      <w:rFonts w:hint="default" w:ascii="Times New Roman" w:hAnsi="Times New Roman" w:eastAsia="宋体" w:cs="Times New Roman"/>
                      <w:color w:val="auto"/>
                      <w:sz w:val="21"/>
                      <w:szCs w:val="21"/>
                      <w:highlight w:val="none"/>
                      <w:lang w:val="en-US"/>
                    </w:rPr>
                    <w:t>中</w:t>
                  </w:r>
                  <w:r>
                    <w:rPr>
                      <w:rStyle w:val="70"/>
                      <w:rFonts w:hint="default" w:ascii="Times New Roman" w:hAnsi="Times New Roman" w:eastAsia="宋体" w:cs="Times New Roman"/>
                      <w:color w:val="auto"/>
                      <w:sz w:val="21"/>
                      <w:szCs w:val="21"/>
                      <w:highlight w:val="none"/>
                    </w:rPr>
                    <w:t>的规定。</w:t>
                  </w:r>
                </w:p>
              </w:tc>
              <w:tc>
                <w:tcPr>
                  <w:tcW w:w="431" w:type="pct"/>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（六）利用无防渗漏措施的沟渠、坑塘等输送或者存贮含有毒污染物的废水、含病原体的污水或者其他废弃物。</w:t>
                  </w:r>
                </w:p>
              </w:tc>
              <w:tc>
                <w:tcPr>
                  <w:tcW w:w="2046" w:type="pct"/>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项目不产生含有毒、病原体的污水，项目各污染物均得到妥善处置，无此行为</w:t>
                  </w:r>
                </w:p>
              </w:tc>
              <w:tc>
                <w:tcPr>
                  <w:tcW w:w="431" w:type="pct"/>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（七）新建、扩建工业园区；</w:t>
                  </w:r>
                </w:p>
              </w:tc>
              <w:tc>
                <w:tcPr>
                  <w:tcW w:w="2046" w:type="pct"/>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无此行为。</w:t>
                  </w:r>
                </w:p>
              </w:tc>
              <w:tc>
                <w:tcPr>
                  <w:tcW w:w="431" w:type="pct"/>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（八）新建、扩建重点水污染物排放的工业项目；</w:t>
                  </w:r>
                </w:p>
              </w:tc>
              <w:tc>
                <w:tcPr>
                  <w:tcW w:w="2046" w:type="pct"/>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项目不是重点水污染物排放的工业项目。</w:t>
                  </w:r>
                </w:p>
              </w:tc>
              <w:tc>
                <w:tcPr>
                  <w:tcW w:w="431" w:type="pct"/>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（九）新建、改建、扩建经营性陵园、公墓。</w:t>
                  </w:r>
                </w:p>
              </w:tc>
              <w:tc>
                <w:tcPr>
                  <w:tcW w:w="2046" w:type="pct"/>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与项目无关。</w:t>
                  </w:r>
                </w:p>
              </w:tc>
              <w:tc>
                <w:tcPr>
                  <w:tcW w:w="431" w:type="pct"/>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Style w:val="70"/>
                <w:rFonts w:hint="default" w:ascii="Times New Roman" w:hAnsi="Times New Roman" w:eastAsia="宋体" w:cs="Times New Roman"/>
                <w:color w:val="auto"/>
                <w:sz w:val="24"/>
                <w:highlight w:val="none"/>
              </w:rPr>
              <w:t>综上所述，本项目生产中不涉及高毒、高残留农药，项目废水不外排；固废均能得到有效处置，处置率达100%。项目建设和运营期不存在牛栏江污染控制区禁止的行为，故项目与《云南省牛栏江保护条例》相符。</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4、与《牛栏江流域（云南部分）水环境保护规划（2009~2030）》的相符性分析</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牛栏江流域（云南部分）水环境保护规划（2009~2030）》，牛栏江流域（云南段）水环境保护划分为两大控制区，即牛栏江上游（德泽水库坝址以上）重点保护区、牛栏江下游生态与环境保护区。其中牛栏江上游（德泽水库坝址以上）重点保护区包括水源保护核心区、重点污染控制区、水源涵养区。水源保护核心区包括牛栏江干流水面，河岸外围陆域1000米范围；德泽水库水面，库岸外围陆域2000m范围。涉及乡镇主要有牛栏江镇、塘子镇、河口乡、七星乡、德泽乡，面积为625.3km²，属于重点保护区。重点污染控制区主要是水源保护核心区边界外的坝区。涉及小哨乡、嵩阳镇、小街镇、杨桥乡、羊街镇、金所乡、月望乡、大坡乡、菱角乡、田坝乡十个乡镇，面积1892.56km²，属于污染重点治理区。水源涵养区包括除水源保护核心区、重点污染控制区以外的山地。涉及杨林镇、仁德镇、通泉镇、王家庄镇、马过河镇、旧县镇六个乡镇，面积1764.16km²。</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位于云南省昆明市寻甸特色产业园区金所片区YS2019-87号，根据牛栏江水系功能规划图，项目属于重点污染控制区。根据《牛栏江流域（云南部分）水环境保护规划（2009~2030）》中的工业园区污染源控制规划，开展杨林工业园区、寻甸特色工业园区和马龙工业园区的综合环境执法检查，清查园区内现有工业企业，对违反国家法律法规、产业政策及入园规定的企业实行关停或限期整改，建设完善污水处理设施、有毒有害固体废弃物处置设施。</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2"/>
                <w:sz w:val="24"/>
                <w:szCs w:val="24"/>
                <w:highlight w:val="none"/>
                <w:shd w:val="clear" w:color="auto" w:fill="auto"/>
                <w:lang w:val="zh-CN" w:eastAsia="zh-CN" w:bidi="ar-SA"/>
              </w:rPr>
              <w:t>本项目</w:t>
            </w:r>
            <w:r>
              <w:rPr>
                <w:rFonts w:hint="default" w:ascii="Times New Roman" w:hAnsi="Times New Roman" w:eastAsia="宋体" w:cs="Times New Roman"/>
                <w:b w:val="0"/>
                <w:bCs w:val="0"/>
                <w:color w:val="auto"/>
                <w:sz w:val="24"/>
                <w:szCs w:val="24"/>
                <w:highlight w:val="none"/>
                <w:lang w:val="en-US" w:eastAsia="zh-CN"/>
              </w:rPr>
              <w:t>生产过程不使用水，无生产废水产生；</w:t>
            </w:r>
            <w:r>
              <w:rPr>
                <w:rFonts w:hint="default" w:ascii="Times New Roman" w:hAnsi="Times New Roman" w:eastAsia="宋体" w:cs="Times New Roman"/>
                <w:color w:val="auto"/>
                <w:kern w:val="2"/>
                <w:sz w:val="24"/>
                <w:szCs w:val="24"/>
                <w:highlight w:val="none"/>
                <w:shd w:val="clear" w:color="auto" w:fill="auto"/>
                <w:lang w:val="zh-CN" w:eastAsia="zh-CN" w:bidi="ar-SA"/>
              </w:rPr>
              <w:t>生活污水</w:t>
            </w:r>
            <w:r>
              <w:rPr>
                <w:rFonts w:hint="default" w:ascii="Times New Roman" w:hAnsi="Times New Roman" w:eastAsia="宋体" w:cs="Times New Roman"/>
                <w:color w:val="auto"/>
                <w:kern w:val="2"/>
                <w:sz w:val="24"/>
                <w:szCs w:val="24"/>
                <w:highlight w:val="none"/>
                <w:shd w:val="clear" w:color="auto" w:fill="auto"/>
                <w:lang w:val="en-US" w:eastAsia="zh-CN" w:bidi="ar-SA"/>
              </w:rPr>
              <w:t>经处理达标后，</w:t>
            </w:r>
            <w:r>
              <w:rPr>
                <w:rFonts w:hint="default" w:ascii="Times New Roman" w:hAnsi="Times New Roman" w:eastAsia="宋体" w:cs="Times New Roman"/>
                <w:b w:val="0"/>
                <w:bCs w:val="0"/>
                <w:color w:val="auto"/>
                <w:sz w:val="24"/>
                <w:szCs w:val="24"/>
                <w:highlight w:val="none"/>
                <w:lang w:val="en-US" w:eastAsia="zh-CN"/>
              </w:rPr>
              <w:t>用于项目区内绿化及道路场地洒水降尘，不外排</w:t>
            </w:r>
            <w:r>
              <w:rPr>
                <w:rFonts w:hint="default" w:ascii="Times New Roman" w:hAnsi="Times New Roman" w:eastAsia="宋体" w:cs="Times New Roman"/>
                <w:color w:val="auto"/>
                <w:kern w:val="2"/>
                <w:sz w:val="24"/>
                <w:szCs w:val="24"/>
                <w:highlight w:val="none"/>
                <w:shd w:val="clear" w:color="auto" w:fill="auto"/>
                <w:lang w:val="en-US" w:eastAsia="zh-CN" w:bidi="ar-SA"/>
              </w:rPr>
              <w:t>。</w:t>
            </w:r>
            <w:r>
              <w:rPr>
                <w:rFonts w:hint="default" w:ascii="Times New Roman" w:hAnsi="Times New Roman" w:eastAsia="宋体" w:cs="Times New Roman"/>
                <w:color w:val="auto"/>
                <w:kern w:val="0"/>
                <w:sz w:val="24"/>
                <w:szCs w:val="24"/>
                <w:highlight w:val="none"/>
                <w:lang w:val="en-US" w:eastAsia="zh-CN" w:bidi="ar-SA"/>
              </w:rPr>
              <w:t>项目内设有垃圾和危废收集设施，可保证固废合理收集处置，一般生活固废由环卫部门进行处置，危废收集后委托有资质单位处理。项目选址符合《云南省牛栏江保护条例》中的选址要求。</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综上所述，项目选址符合《牛栏江流域（云南部分）水环境保护规划（2009~2030）》对重点污染控制区的水环境保护要求。</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5、与《牛栏江流域（寻甸段）水环境保护规划（2011~2030）》的相符性分析</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牛栏江流域（寻甸段）水环境保护规划（2011~2030）》可知，牛栏江流域（寻甸段）水环境分区范围涉及规划区干流及主要支流（前进河、羊街河、马龙河等）河流径流区，规划分为三个保护区：水源保护核心区、重点污染控制区、重点水源涵养区；本项目位于寻甸特色产业园区金所片区内，属于重点污染控制区。对照《牛栏江（寻甸段）水环境保护规划（2011~2030）》对重点污染控制区的水环境保护策略，项目符合性见下表。</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表1-7   《牛栏江（寻甸段）水环境保护规划（2011~2030）》符合表</w:t>
            </w:r>
          </w:p>
          <w:tbl>
            <w:tblPr>
              <w:tblStyle w:val="26"/>
              <w:tblW w:w="7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4063"/>
              <w:gridCol w:w="2505"/>
              <w:gridCol w:w="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 w:hRule="atLeast"/>
                <w:jc w:val="center"/>
              </w:trPr>
              <w:tc>
                <w:tcPr>
                  <w:tcW w:w="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序号</w:t>
                  </w:r>
                </w:p>
              </w:tc>
              <w:tc>
                <w:tcPr>
                  <w:tcW w:w="406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《牛栏江流域（寻甸段）水环境保护规划》重点污染控制区水环境保护策略</w:t>
                  </w:r>
                </w:p>
              </w:tc>
              <w:tc>
                <w:tcPr>
                  <w:tcW w:w="25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该项目情况</w:t>
                  </w:r>
                </w:p>
              </w:tc>
              <w:tc>
                <w:tcPr>
                  <w:tcW w:w="70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w:t>
                  </w:r>
                </w:p>
              </w:tc>
              <w:tc>
                <w:tcPr>
                  <w:tcW w:w="406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加强对重点工业污染源的监督，确保牛栏江流域（寻甸段）内重点企业污水稳定达标排放并实现“零排放”，固体废弃物最大程度重复利用和安全处置，消除工业企业的环境安全隐患，确保环保设施的正常运行，杜绝工业企业偷排、漏排污染物的现象。</w:t>
                  </w:r>
                </w:p>
              </w:tc>
              <w:tc>
                <w:tcPr>
                  <w:tcW w:w="25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lang w:val="zh-CN" w:eastAsia="zh-CN"/>
                    </w:rPr>
                    <w:t>本项目</w:t>
                  </w:r>
                  <w:r>
                    <w:rPr>
                      <w:rFonts w:hint="default" w:ascii="Times New Roman" w:hAnsi="Times New Roman" w:eastAsia="宋体" w:cs="Times New Roman"/>
                      <w:b w:val="0"/>
                      <w:bCs w:val="0"/>
                      <w:color w:val="auto"/>
                      <w:sz w:val="21"/>
                      <w:szCs w:val="21"/>
                      <w:highlight w:val="none"/>
                      <w:lang w:val="en-US" w:eastAsia="zh-CN"/>
                    </w:rPr>
                    <w:t>生产过程不使用水，无生产废水产生；</w:t>
                  </w:r>
                  <w:r>
                    <w:rPr>
                      <w:rFonts w:hint="default" w:ascii="Times New Roman" w:hAnsi="Times New Roman" w:eastAsia="宋体" w:cs="Times New Roman"/>
                      <w:color w:val="auto"/>
                      <w:sz w:val="21"/>
                      <w:szCs w:val="21"/>
                      <w:highlight w:val="none"/>
                      <w:lang w:val="zh-CN" w:eastAsia="zh-CN"/>
                    </w:rPr>
                    <w:t>生活污水</w:t>
                  </w:r>
                  <w:r>
                    <w:rPr>
                      <w:rFonts w:hint="default" w:ascii="Times New Roman" w:hAnsi="Times New Roman" w:eastAsia="宋体" w:cs="Times New Roman"/>
                      <w:color w:val="auto"/>
                      <w:sz w:val="21"/>
                      <w:szCs w:val="21"/>
                      <w:highlight w:val="none"/>
                      <w:lang w:val="en-US" w:eastAsia="zh-CN"/>
                    </w:rPr>
                    <w:t>经处理达标后，</w:t>
                  </w:r>
                  <w:r>
                    <w:rPr>
                      <w:rFonts w:hint="default" w:ascii="Times New Roman" w:hAnsi="Times New Roman" w:eastAsia="宋体" w:cs="Times New Roman"/>
                      <w:b w:val="0"/>
                      <w:bCs w:val="0"/>
                      <w:color w:val="auto"/>
                      <w:sz w:val="21"/>
                      <w:szCs w:val="21"/>
                      <w:highlight w:val="none"/>
                      <w:lang w:val="en-US" w:eastAsia="zh-CN"/>
                    </w:rPr>
                    <w:t>用于项目区内绿化及道路场地洒水降尘，不外排。</w:t>
                  </w:r>
                  <w:r>
                    <w:rPr>
                      <w:rFonts w:hint="default" w:ascii="Times New Roman" w:hAnsi="Times New Roman" w:eastAsia="宋体" w:cs="Times New Roman"/>
                      <w:b w:val="0"/>
                      <w:bCs/>
                      <w:color w:val="auto"/>
                      <w:sz w:val="21"/>
                      <w:szCs w:val="21"/>
                      <w:highlight w:val="none"/>
                    </w:rPr>
                    <w:t>本项目废水能够</w:t>
                  </w:r>
                  <w:r>
                    <w:rPr>
                      <w:rFonts w:hint="default" w:ascii="Times New Roman" w:hAnsi="Times New Roman" w:eastAsia="宋体" w:cs="Times New Roman"/>
                      <w:b w:val="0"/>
                      <w:bCs/>
                      <w:color w:val="auto"/>
                      <w:sz w:val="21"/>
                      <w:szCs w:val="21"/>
                      <w:highlight w:val="none"/>
                      <w:lang w:val="en-US" w:eastAsia="zh-CN"/>
                    </w:rPr>
                    <w:t>实现</w:t>
                  </w:r>
                  <w:r>
                    <w:rPr>
                      <w:rFonts w:hint="default" w:ascii="Times New Roman" w:hAnsi="Times New Roman" w:eastAsia="宋体" w:cs="Times New Roman"/>
                      <w:b w:val="0"/>
                      <w:bCs/>
                      <w:color w:val="auto"/>
                      <w:sz w:val="21"/>
                      <w:szCs w:val="21"/>
                      <w:highlight w:val="none"/>
                    </w:rPr>
                    <w:t>“零排放”；固废处置率100%。</w:t>
                  </w:r>
                </w:p>
              </w:tc>
              <w:tc>
                <w:tcPr>
                  <w:tcW w:w="70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2</w:t>
                  </w:r>
                </w:p>
              </w:tc>
              <w:tc>
                <w:tcPr>
                  <w:tcW w:w="406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建设再生水回用系统，污染控制区内不得建设不符合国家产业政策的工业项目及高污染工业项目；新增工业项目废水不得排放有毒有害物质，改扩建项目不得新增COD、TN、TP排放量；新增、改建、扩建工业项目应采用先进的生产工艺和污染防治技术，其清洁生产水平达到国家清洁生产标准中的国内先进水平。</w:t>
                  </w:r>
                </w:p>
              </w:tc>
              <w:tc>
                <w:tcPr>
                  <w:tcW w:w="25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本项目不属于不符合国家产业政策的工业项目及高污染工业项目；</w:t>
                  </w:r>
                  <w:r>
                    <w:rPr>
                      <w:rFonts w:hint="default" w:ascii="Times New Roman" w:hAnsi="Times New Roman" w:eastAsia="宋体" w:cs="Times New Roman"/>
                      <w:b w:val="0"/>
                      <w:bCs w:val="0"/>
                      <w:color w:val="auto"/>
                      <w:sz w:val="21"/>
                      <w:szCs w:val="21"/>
                      <w:highlight w:val="none"/>
                      <w:lang w:val="en-US" w:eastAsia="zh-CN"/>
                    </w:rPr>
                    <w:t>生产过程不使用水，无生产废水产生；</w:t>
                  </w:r>
                  <w:r>
                    <w:rPr>
                      <w:rFonts w:hint="default" w:ascii="Times New Roman" w:hAnsi="Times New Roman" w:eastAsia="宋体" w:cs="Times New Roman"/>
                      <w:b w:val="0"/>
                      <w:bCs/>
                      <w:color w:val="auto"/>
                      <w:sz w:val="21"/>
                      <w:szCs w:val="21"/>
                      <w:highlight w:val="none"/>
                    </w:rPr>
                    <w:t>生活污水经处理达标后</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用于项目区内绿化及道路场地洒水降尘，不外排。</w:t>
                  </w:r>
                </w:p>
              </w:tc>
              <w:tc>
                <w:tcPr>
                  <w:tcW w:w="70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符合</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SA"/>
              </w:rPr>
              <w:t>由上表可知，项目符合《牛栏江流域（寻甸段）水环境保护规划》对重点污染控制区的相关要求。</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6、《长江经济带发展负面清单指南》（试行，2022年版）的通知》的符合性分析</w:t>
            </w:r>
          </w:p>
          <w:p>
            <w:pPr>
              <w:spacing w:line="360" w:lineRule="auto"/>
              <w:ind w:firstLine="480" w:firstLineChars="200"/>
              <w:rPr>
                <w:rFonts w:hint="default" w:ascii="Times New Roman" w:hAnsi="Times New Roman" w:eastAsia="宋体" w:cs="Times New Roman"/>
                <w:b/>
                <w:color w:val="auto"/>
                <w:szCs w:val="21"/>
                <w:highlight w:val="none"/>
              </w:rPr>
            </w:pPr>
            <w:r>
              <w:rPr>
                <w:rFonts w:hint="default" w:ascii="Times New Roman" w:hAnsi="Times New Roman" w:eastAsia="宋体" w:cs="Times New Roman"/>
                <w:color w:val="auto"/>
                <w:sz w:val="24"/>
                <w:highlight w:val="none"/>
              </w:rPr>
              <w:t>项目与《《长江经济带发展负面清单指南》（试行，2022年版）的通知》对比分析情况见下表1-</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表1-</w:t>
            </w:r>
            <w:r>
              <w:rPr>
                <w:rFonts w:hint="default" w:ascii="Times New Roman" w:hAnsi="Times New Roman" w:eastAsia="宋体" w:cs="Times New Roman"/>
                <w:b/>
                <w:color w:val="auto"/>
                <w:szCs w:val="21"/>
                <w:highlight w:val="none"/>
                <w:lang w:val="en-US" w:eastAsia="zh-CN"/>
              </w:rPr>
              <w:t>8</w:t>
            </w:r>
            <w:r>
              <w:rPr>
                <w:rFonts w:hint="default" w:ascii="Times New Roman" w:hAnsi="Times New Roman" w:eastAsia="宋体" w:cs="Times New Roman"/>
                <w:b/>
                <w:color w:val="auto"/>
                <w:szCs w:val="21"/>
                <w:highlight w:val="none"/>
              </w:rPr>
              <w:t xml:space="preserve">  与《长江经济带发展负面清单指南》（试行，2022年版）的通知》相符性分析</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3"/>
              <w:gridCol w:w="2556"/>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81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《指南》要求</w:t>
                  </w: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2813" w:type="pct"/>
                  <w:noWrap w:val="0"/>
                  <w:vAlign w:val="center"/>
                </w:tcPr>
                <w:p>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w:t>
                  </w:r>
                  <w:r>
                    <w:rPr>
                      <w:rFonts w:hint="default" w:ascii="Times New Roman" w:hAnsi="Times New Roman" w:eastAsia="宋体" w:cs="Times New Roman"/>
                      <w:color w:val="auto"/>
                      <w:sz w:val="21"/>
                      <w:szCs w:val="21"/>
                      <w:highlight w:val="none"/>
                      <w:lang w:val="zh-CN"/>
                    </w:rPr>
                    <w:t>禁止建设不符合全国和省级港口布局规划以及港口</w:t>
                  </w:r>
                  <w:r>
                    <w:rPr>
                      <w:rFonts w:hint="eastAsia" w:cs="Times New Roman"/>
                      <w:color w:val="auto"/>
                      <w:sz w:val="21"/>
                      <w:szCs w:val="21"/>
                      <w:highlight w:val="none"/>
                      <w:lang w:val="zh-CN"/>
                    </w:rPr>
                    <w:t>总体规划</w:t>
                  </w:r>
                  <w:r>
                    <w:rPr>
                      <w:rFonts w:hint="default" w:ascii="Times New Roman" w:hAnsi="Times New Roman" w:eastAsia="宋体" w:cs="Times New Roman"/>
                      <w:color w:val="auto"/>
                      <w:sz w:val="21"/>
                      <w:szCs w:val="21"/>
                      <w:highlight w:val="none"/>
                      <w:lang w:val="zh-CN"/>
                    </w:rPr>
                    <w:t>的码头项目，禁止建设不符合《长江</w:t>
                  </w:r>
                  <w:r>
                    <w:rPr>
                      <w:rFonts w:hint="eastAsia" w:cs="Times New Roman"/>
                      <w:color w:val="auto"/>
                      <w:sz w:val="21"/>
                      <w:szCs w:val="21"/>
                      <w:highlight w:val="none"/>
                      <w:lang w:val="zh-CN"/>
                    </w:rPr>
                    <w:t>干线</w:t>
                  </w:r>
                  <w:r>
                    <w:rPr>
                      <w:rFonts w:hint="default" w:ascii="Times New Roman" w:hAnsi="Times New Roman" w:eastAsia="宋体" w:cs="Times New Roman"/>
                      <w:color w:val="auto"/>
                      <w:sz w:val="21"/>
                      <w:szCs w:val="21"/>
                      <w:highlight w:val="none"/>
                      <w:lang w:val="zh-CN"/>
                    </w:rPr>
                    <w:t>过江通道布局规划》的过长江通道项目。</w:t>
                  </w:r>
                </w:p>
              </w:tc>
              <w:tc>
                <w:tcPr>
                  <w:tcW w:w="162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项目位于</w:t>
                  </w:r>
                  <w:r>
                    <w:rPr>
                      <w:rFonts w:hint="default" w:ascii="Times New Roman" w:hAnsi="Times New Roman" w:eastAsia="宋体" w:cs="Times New Roman"/>
                      <w:color w:val="auto"/>
                      <w:kern w:val="0"/>
                      <w:sz w:val="21"/>
                      <w:szCs w:val="21"/>
                      <w:highlight w:val="none"/>
                      <w:lang w:val="en-US" w:eastAsia="zh-CN" w:bidi="ar-SA"/>
                    </w:rPr>
                    <w:t>寻甸特色产业园区金所片区</w:t>
                  </w:r>
                  <w:r>
                    <w:rPr>
                      <w:rFonts w:hint="default" w:ascii="Times New Roman" w:hAnsi="Times New Roman" w:eastAsia="宋体" w:cs="Times New Roman"/>
                      <w:color w:val="auto"/>
                      <w:sz w:val="21"/>
                      <w:szCs w:val="21"/>
                      <w:highlight w:val="none"/>
                    </w:rPr>
                    <w:t>内，不属于码头或过长江通道项目。</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2813" w:type="pct"/>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w:t>
                  </w:r>
                  <w:r>
                    <w:rPr>
                      <w:rFonts w:hint="default" w:ascii="Times New Roman" w:hAnsi="Times New Roman" w:eastAsia="宋体" w:cs="Times New Roman"/>
                      <w:color w:val="auto"/>
                      <w:szCs w:val="21"/>
                      <w:highlight w:val="none"/>
                      <w:lang w:val="zh-CN"/>
                    </w:rPr>
                    <w:t>禁止在自然保护区核心区、缓冲区的岸线和河段范围内投资建设旅游和生产经营项目。禁止在风景名胜区核心景区的岸线和河段范围内投资建设与风景名胜资源保护无关的项目。</w:t>
                  </w: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项目位于</w:t>
                  </w:r>
                  <w:r>
                    <w:rPr>
                      <w:rFonts w:hint="default" w:ascii="Times New Roman" w:hAnsi="Times New Roman" w:eastAsia="宋体" w:cs="Times New Roman"/>
                      <w:color w:val="auto"/>
                      <w:kern w:val="0"/>
                      <w:sz w:val="21"/>
                      <w:szCs w:val="21"/>
                      <w:highlight w:val="none"/>
                      <w:lang w:val="en-US" w:eastAsia="zh-CN" w:bidi="ar-SA"/>
                    </w:rPr>
                    <w:t>寻甸特色产业园区金所片区</w:t>
                  </w:r>
                  <w:r>
                    <w:rPr>
                      <w:rFonts w:hint="default" w:ascii="Times New Roman" w:hAnsi="Times New Roman" w:eastAsia="宋体" w:cs="Times New Roman"/>
                      <w:color w:val="auto"/>
                      <w:sz w:val="21"/>
                      <w:szCs w:val="21"/>
                      <w:highlight w:val="none"/>
                    </w:rPr>
                    <w:t>内</w:t>
                  </w:r>
                  <w:r>
                    <w:rPr>
                      <w:rFonts w:hint="default" w:ascii="Times New Roman" w:hAnsi="Times New Roman" w:eastAsia="宋体" w:cs="Times New Roman"/>
                      <w:color w:val="auto"/>
                      <w:highlight w:val="none"/>
                    </w:rPr>
                    <w:t>，项目选址区域不涉及自然保护区、风景名胜区等，不涉及条款禁止行为</w:t>
                  </w:r>
                  <w:r>
                    <w:rPr>
                      <w:rFonts w:hint="default" w:ascii="Times New Roman" w:hAnsi="Times New Roman" w:eastAsia="宋体" w:cs="Times New Roman"/>
                      <w:color w:val="auto"/>
                      <w:szCs w:val="21"/>
                      <w:highlight w:val="none"/>
                    </w:rPr>
                    <w:t>。</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813" w:type="pct"/>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（三）</w:t>
                  </w:r>
                  <w:r>
                    <w:rPr>
                      <w:rFonts w:hint="default" w:ascii="Times New Roman" w:hAnsi="Times New Roman" w:eastAsia="宋体" w:cs="Times New Roman"/>
                      <w:color w:val="auto"/>
                      <w:szCs w:val="21"/>
                      <w:highlight w:val="none"/>
                      <w:lang w:val="zh-CN"/>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项目位于</w:t>
                  </w:r>
                  <w:r>
                    <w:rPr>
                      <w:rFonts w:hint="default" w:ascii="Times New Roman" w:hAnsi="Times New Roman" w:eastAsia="宋体" w:cs="Times New Roman"/>
                      <w:color w:val="auto"/>
                      <w:kern w:val="0"/>
                      <w:sz w:val="21"/>
                      <w:szCs w:val="21"/>
                      <w:highlight w:val="none"/>
                      <w:lang w:val="en-US" w:eastAsia="zh-CN" w:bidi="ar-SA"/>
                    </w:rPr>
                    <w:t>寻甸特色产业园区金所片区</w:t>
                  </w:r>
                  <w:r>
                    <w:rPr>
                      <w:rFonts w:hint="default" w:ascii="Times New Roman" w:hAnsi="Times New Roman" w:eastAsia="宋体" w:cs="Times New Roman"/>
                      <w:color w:val="auto"/>
                      <w:sz w:val="21"/>
                      <w:szCs w:val="21"/>
                      <w:highlight w:val="none"/>
                    </w:rPr>
                    <w:t>内</w:t>
                  </w:r>
                  <w:r>
                    <w:rPr>
                      <w:rFonts w:hint="default" w:ascii="Times New Roman" w:hAnsi="Times New Roman" w:eastAsia="宋体" w:cs="Times New Roman"/>
                      <w:color w:val="auto"/>
                      <w:highlight w:val="none"/>
                    </w:rPr>
                    <w:t>，项目选址区域不涉及</w:t>
                  </w:r>
                  <w:r>
                    <w:rPr>
                      <w:rFonts w:hint="default" w:ascii="Times New Roman" w:hAnsi="Times New Roman" w:eastAsia="宋体" w:cs="Times New Roman"/>
                      <w:color w:val="auto"/>
                      <w:szCs w:val="21"/>
                      <w:highlight w:val="none"/>
                      <w:lang w:val="zh-CN"/>
                    </w:rPr>
                    <w:t>饮用水水源一、二级保护区，</w:t>
                  </w:r>
                  <w:r>
                    <w:rPr>
                      <w:rFonts w:hint="default" w:ascii="Times New Roman" w:hAnsi="Times New Roman" w:eastAsia="宋体" w:cs="Times New Roman"/>
                      <w:color w:val="auto"/>
                      <w:highlight w:val="none"/>
                    </w:rPr>
                    <w:t>不涉及条款禁止行为</w:t>
                  </w:r>
                  <w:r>
                    <w:rPr>
                      <w:rFonts w:hint="default" w:ascii="Times New Roman" w:hAnsi="Times New Roman" w:eastAsia="宋体" w:cs="Times New Roman"/>
                      <w:color w:val="auto"/>
                      <w:szCs w:val="21"/>
                      <w:highlight w:val="none"/>
                    </w:rPr>
                    <w:t>。</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2813" w:type="pct"/>
                  <w:noWrap w:val="0"/>
                  <w:vAlign w:val="center"/>
                </w:tcPr>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（四）</w:t>
                  </w:r>
                  <w:r>
                    <w:rPr>
                      <w:rFonts w:hint="default" w:ascii="Times New Roman" w:hAnsi="Times New Roman" w:eastAsia="宋体" w:cs="Times New Roman"/>
                      <w:color w:val="auto"/>
                      <w:highlight w:val="none"/>
                      <w:lang w:val="zh-CN"/>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22" w:type="pct"/>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zh-CN"/>
                    </w:rPr>
                    <w:t>项目不属于在水产种质资源保护区的岸线和河段范围内新建围湖造田、围海造地或围填海等投资建设项目，项目符合主体功能定位的投资建设项目</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6" w:hRule="atLeast"/>
              </w:trPr>
              <w:tc>
                <w:tcPr>
                  <w:tcW w:w="2813" w:type="pct"/>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（五）</w:t>
                  </w:r>
                  <w:r>
                    <w:rPr>
                      <w:rFonts w:hint="default" w:ascii="Times New Roman" w:hAnsi="Times New Roman" w:eastAsia="宋体" w:cs="Times New Roman"/>
                      <w:color w:val="auto"/>
                      <w:szCs w:val="21"/>
                      <w:highlight w:val="none"/>
                      <w:lang w:val="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项目在工业园区内，不属于</w:t>
                  </w:r>
                  <w:r>
                    <w:rPr>
                      <w:rFonts w:hint="default" w:ascii="Times New Roman" w:hAnsi="Times New Roman" w:eastAsia="宋体" w:cs="Times New Roman"/>
                      <w:color w:val="auto"/>
                      <w:szCs w:val="21"/>
                      <w:highlight w:val="none"/>
                      <w:lang w:val="zh-CN"/>
                    </w:rPr>
                    <w:t>违法利用、占用长江流域河湖岸线和投资建设不利于水资源及自然生态保护的项目</w:t>
                  </w:r>
                  <w:r>
                    <w:rPr>
                      <w:rFonts w:hint="default" w:ascii="Times New Roman" w:hAnsi="Times New Roman" w:eastAsia="宋体" w:cs="Times New Roman"/>
                      <w:color w:val="auto"/>
                      <w:szCs w:val="21"/>
                      <w:highlight w:val="none"/>
                    </w:rPr>
                    <w:t>。</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13" w:type="pct"/>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（六）</w:t>
                  </w:r>
                  <w:r>
                    <w:rPr>
                      <w:rFonts w:hint="default" w:ascii="Times New Roman" w:hAnsi="Times New Roman" w:eastAsia="宋体" w:cs="Times New Roman"/>
                      <w:color w:val="auto"/>
                      <w:szCs w:val="21"/>
                      <w:highlight w:val="none"/>
                      <w:lang w:val="zh-CN"/>
                    </w:rPr>
                    <w:t>禁止未经许可在长江干支流及湖泊新设、改设或扩大排污口。</w:t>
                  </w: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项目废水不外排。</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13" w:type="pct"/>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（七）</w:t>
                  </w:r>
                  <w:r>
                    <w:rPr>
                      <w:rFonts w:hint="default" w:ascii="Times New Roman" w:hAnsi="Times New Roman" w:eastAsia="宋体" w:cs="Times New Roman"/>
                      <w:color w:val="auto"/>
                      <w:szCs w:val="21"/>
                      <w:highlight w:val="none"/>
                      <w:lang w:val="zh-CN"/>
                    </w:rPr>
                    <w:t>禁止在“一江一口两湖七河”和332个水生生物保护区开展生产性捕捞。</w:t>
                  </w: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项目不涉及捕捞。</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2813" w:type="pct"/>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（八）</w:t>
                  </w:r>
                  <w:r>
                    <w:rPr>
                      <w:rFonts w:hint="default" w:ascii="Times New Roman" w:hAnsi="Times New Roman" w:eastAsia="宋体" w:cs="Times New Roman"/>
                      <w:color w:val="auto"/>
                      <w:szCs w:val="21"/>
                      <w:highlight w:val="none"/>
                      <w:lang w:val="zh-CN"/>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w:t>
                  </w:r>
                  <w:r>
                    <w:rPr>
                      <w:rFonts w:hint="default" w:ascii="Times New Roman" w:hAnsi="Times New Roman" w:eastAsia="宋体" w:cs="Times New Roman"/>
                      <w:color w:val="auto"/>
                      <w:highlight w:val="none"/>
                    </w:rPr>
                    <w:t>位于</w:t>
                  </w:r>
                  <w:r>
                    <w:rPr>
                      <w:rFonts w:hint="default" w:ascii="Times New Roman" w:hAnsi="Times New Roman" w:eastAsia="宋体" w:cs="Times New Roman"/>
                      <w:color w:val="auto"/>
                      <w:kern w:val="0"/>
                      <w:sz w:val="21"/>
                      <w:szCs w:val="21"/>
                      <w:highlight w:val="none"/>
                      <w:lang w:val="en-US" w:eastAsia="zh-CN" w:bidi="ar-SA"/>
                    </w:rPr>
                    <w:t>寻甸特色产业园区金所片区</w:t>
                  </w:r>
                  <w:r>
                    <w:rPr>
                      <w:rFonts w:hint="default" w:ascii="Times New Roman" w:hAnsi="Times New Roman" w:eastAsia="宋体" w:cs="Times New Roman"/>
                      <w:color w:val="auto"/>
                      <w:sz w:val="21"/>
                      <w:szCs w:val="21"/>
                      <w:highlight w:val="none"/>
                    </w:rPr>
                    <w:t>内</w:t>
                  </w:r>
                  <w:r>
                    <w:rPr>
                      <w:rFonts w:hint="default" w:ascii="Times New Roman" w:hAnsi="Times New Roman" w:eastAsia="宋体" w:cs="Times New Roman"/>
                      <w:color w:val="auto"/>
                      <w:highlight w:val="none"/>
                    </w:rPr>
                    <w:t>，位于合规园区内，项目不属于</w:t>
                  </w:r>
                  <w:r>
                    <w:rPr>
                      <w:rFonts w:hint="default" w:ascii="Times New Roman" w:hAnsi="Times New Roman" w:eastAsia="宋体" w:cs="Times New Roman"/>
                      <w:color w:val="auto"/>
                      <w:szCs w:val="21"/>
                      <w:highlight w:val="none"/>
                      <w:lang w:val="zh-CN"/>
                    </w:rPr>
                    <w:t>尾矿库、冶炼渣库和磷石膏库的项目</w:t>
                  </w:r>
                  <w:r>
                    <w:rPr>
                      <w:rFonts w:hint="default" w:ascii="Times New Roman" w:hAnsi="Times New Roman" w:eastAsia="宋体" w:cs="Times New Roman"/>
                      <w:color w:val="auto"/>
                      <w:highlight w:val="none"/>
                    </w:rPr>
                    <w:t>。</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2813" w:type="pct"/>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（九）</w:t>
                  </w:r>
                  <w:r>
                    <w:rPr>
                      <w:rFonts w:hint="default" w:ascii="Times New Roman" w:hAnsi="Times New Roman" w:eastAsia="宋体" w:cs="Times New Roman"/>
                      <w:color w:val="auto"/>
                      <w:szCs w:val="21"/>
                      <w:highlight w:val="none"/>
                      <w:lang w:val="zh-CN"/>
                    </w:rPr>
                    <w:t>禁止在合规园区外新建、扩建钢铁、石化、化工、焦化、建材、有色、制浆造纸等高污染项目。</w:t>
                  </w: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项目位于</w:t>
                  </w:r>
                  <w:r>
                    <w:rPr>
                      <w:rFonts w:hint="default" w:ascii="Times New Roman" w:hAnsi="Times New Roman" w:eastAsia="宋体" w:cs="Times New Roman"/>
                      <w:color w:val="auto"/>
                      <w:szCs w:val="21"/>
                      <w:highlight w:val="none"/>
                      <w:lang w:val="zh-CN"/>
                    </w:rPr>
                    <w:t>合规园区内</w:t>
                  </w:r>
                  <w:r>
                    <w:rPr>
                      <w:rFonts w:hint="default" w:ascii="Times New Roman" w:hAnsi="Times New Roman" w:eastAsia="宋体" w:cs="Times New Roman"/>
                      <w:color w:val="auto"/>
                      <w:szCs w:val="21"/>
                      <w:highlight w:val="none"/>
                    </w:rPr>
                    <w:t>。</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5" w:hRule="atLeast"/>
              </w:trPr>
              <w:tc>
                <w:tcPr>
                  <w:tcW w:w="2813" w:type="pct"/>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（十）</w:t>
                  </w:r>
                  <w:r>
                    <w:rPr>
                      <w:rFonts w:hint="default" w:ascii="Times New Roman" w:hAnsi="Times New Roman" w:eastAsia="宋体" w:cs="Times New Roman"/>
                      <w:color w:val="auto"/>
                      <w:szCs w:val="21"/>
                      <w:highlight w:val="none"/>
                      <w:lang w:val="zh-CN"/>
                    </w:rPr>
                    <w:t>禁止新建、扩建法律法规和相关政策明令禁止的落后产能项目。禁止新建、扩建不符合国家产能置换要求的严重过剩产能行业的项目。禁止新建、扩建不符合要求的高耗能高排放项目。</w:t>
                  </w: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项目不属于</w:t>
                  </w:r>
                  <w:r>
                    <w:rPr>
                      <w:rFonts w:hint="default" w:ascii="Times New Roman" w:hAnsi="Times New Roman" w:eastAsia="宋体" w:cs="Times New Roman"/>
                      <w:color w:val="auto"/>
                      <w:szCs w:val="21"/>
                      <w:highlight w:val="none"/>
                      <w:lang w:val="zh-CN"/>
                    </w:rPr>
                    <w:t>新建、扩建法律法规和相关政策明令禁止的落后产能项目，不属于禁止新建、扩建不符合国家产能置换要求的严重过剩产能行业的项目，不属于禁止新建、扩建不符合要求的高耗能高排放项目</w:t>
                  </w:r>
                  <w:r>
                    <w:rPr>
                      <w:rFonts w:hint="default" w:ascii="Times New Roman" w:hAnsi="Times New Roman" w:eastAsia="宋体" w:cs="Times New Roman"/>
                      <w:color w:val="auto"/>
                      <w:szCs w:val="21"/>
                      <w:highlight w:val="none"/>
                    </w:rPr>
                    <w:t>。</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ind w:leftChars="0" w:right="0" w:rightChars="0" w:firstLine="482" w:firstLineChars="200"/>
              <w:jc w:val="both"/>
              <w:textAlignment w:val="auto"/>
              <w:outlineLvl w:val="2"/>
              <w:rPr>
                <w:rFonts w:hint="default" w:ascii="Times New Roman" w:hAnsi="Times New Roman" w:eastAsia="宋体" w:cs="Times New Roman"/>
                <w:b/>
                <w:bCs/>
                <w:color w:val="auto"/>
                <w:kern w:val="0"/>
                <w:sz w:val="24"/>
                <w:szCs w:val="24"/>
                <w:highlight w:val="none"/>
                <w:lang w:val="en-US" w:eastAsia="zh-CN"/>
              </w:rPr>
            </w:pPr>
            <w:bookmarkStart w:id="11" w:name="_Toc15006"/>
            <w:r>
              <w:rPr>
                <w:rFonts w:hint="default" w:ascii="Times New Roman" w:hAnsi="Times New Roman" w:eastAsia="宋体" w:cs="Times New Roman"/>
                <w:b/>
                <w:bCs/>
                <w:color w:val="auto"/>
                <w:kern w:val="0"/>
                <w:sz w:val="24"/>
                <w:szCs w:val="24"/>
                <w:highlight w:val="none"/>
                <w:lang w:val="en-US" w:eastAsia="zh-CN"/>
              </w:rPr>
              <w:t>7、与《云南省长江经济带发展负面清单指南实施细则（试行，2022年版）》的符合性分析</w:t>
            </w:r>
            <w:bookmarkEnd w:id="11"/>
          </w:p>
          <w:p>
            <w:pPr>
              <w:keepNext w:val="0"/>
              <w:keepLines w:val="0"/>
              <w:pageBreakBefore w:val="0"/>
              <w:kinsoku/>
              <w:wordWrap/>
              <w:overflowPunct/>
              <w:topLinePunct w:val="0"/>
              <w:bidi w:val="0"/>
              <w:snapToGrid w:val="0"/>
              <w:spacing w:beforeAutospacing="0" w:afterAutospacing="0" w:line="240"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表</w:t>
            </w:r>
            <w:r>
              <w:rPr>
                <w:rFonts w:hint="default" w:ascii="Times New Roman" w:hAnsi="Times New Roman" w:eastAsia="宋体" w:cs="Times New Roman"/>
                <w:b/>
                <w:bCs/>
                <w:color w:val="auto"/>
                <w:sz w:val="18"/>
                <w:szCs w:val="18"/>
                <w:highlight w:val="none"/>
                <w:lang w:val="en-US" w:eastAsia="zh-CN"/>
              </w:rPr>
              <w:t>1-9</w:t>
            </w:r>
            <w:r>
              <w:rPr>
                <w:rFonts w:hint="default" w:ascii="Times New Roman" w:hAnsi="Times New Roman" w:eastAsia="宋体" w:cs="Times New Roman"/>
                <w:b/>
                <w:bCs/>
                <w:color w:val="auto"/>
                <w:sz w:val="18"/>
                <w:szCs w:val="18"/>
                <w:highlight w:val="none"/>
              </w:rPr>
              <w:t>《云南省长江经济带发展负面清单指南实施细则（试行</w:t>
            </w:r>
            <w:r>
              <w:rPr>
                <w:rFonts w:hint="default" w:ascii="Times New Roman" w:hAnsi="Times New Roman" w:eastAsia="宋体" w:cs="Times New Roman"/>
                <w:b/>
                <w:bCs/>
                <w:color w:val="auto"/>
                <w:sz w:val="18"/>
                <w:szCs w:val="18"/>
                <w:highlight w:val="none"/>
                <w:lang w:eastAsia="zh-CN"/>
              </w:rPr>
              <w:t>，</w:t>
            </w:r>
            <w:r>
              <w:rPr>
                <w:rFonts w:hint="default" w:ascii="Times New Roman" w:hAnsi="Times New Roman" w:eastAsia="宋体" w:cs="Times New Roman"/>
                <w:b/>
                <w:bCs/>
                <w:color w:val="auto"/>
                <w:sz w:val="18"/>
                <w:szCs w:val="18"/>
                <w:highlight w:val="none"/>
                <w:lang w:val="en-US" w:eastAsia="zh-CN"/>
              </w:rPr>
              <w:t>2022年版</w:t>
            </w:r>
            <w:r>
              <w:rPr>
                <w:rFonts w:hint="default" w:ascii="Times New Roman" w:hAnsi="Times New Roman" w:eastAsia="宋体" w:cs="Times New Roman"/>
                <w:b/>
                <w:bCs/>
                <w:color w:val="auto"/>
                <w:sz w:val="18"/>
                <w:szCs w:val="18"/>
                <w:highlight w:val="none"/>
              </w:rPr>
              <w:t>）》符合性分析</w:t>
            </w:r>
          </w:p>
          <w:tbl>
            <w:tblPr>
              <w:tblStyle w:val="26"/>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66"/>
              <w:gridCol w:w="2352"/>
              <w:gridCol w:w="5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shd w:val="clear" w:color="auto" w:fill="FFFFFF"/>
                    </w:rPr>
                    <w:t>规范要求</w:t>
                  </w:r>
                </w:p>
              </w:tc>
              <w:tc>
                <w:tcPr>
                  <w:tcW w:w="149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rPr>
                    <w:t>项目实际情况</w:t>
                  </w:r>
                </w:p>
              </w:tc>
              <w:tc>
                <w:tcPr>
                  <w:tcW w:w="354"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sz w:val="21"/>
                      <w:szCs w:val="21"/>
                    </w:rPr>
                    <w:t>相符性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禁止新建、改建和扩建不符合《全国内河航道与港</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口布局规划》等全国港口规划和《昭通市港口码头岸线规划（金沙江段 2019 年—2035年）》、《景洪港总体规划（2019—2035年）》等州（市）级以上港口布局规划以及港口总体规划的码头项目。</w:t>
                  </w:r>
                </w:p>
              </w:tc>
              <w:tc>
                <w:tcPr>
                  <w:tcW w:w="149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eastAsia="zh-CN"/>
                    </w:rPr>
                    <w:t>不属于港口布局规划以及港口总体规划的码头项目。</w:t>
                  </w:r>
                </w:p>
              </w:tc>
              <w:tc>
                <w:tcPr>
                  <w:tcW w:w="354"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禁止在自然保护区核心区、缓冲区的岸线和河段范</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49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本项目不</w:t>
                  </w:r>
                  <w:r>
                    <w:rPr>
                      <w:rFonts w:hint="default" w:ascii="Times New Roman" w:hAnsi="Times New Roman" w:eastAsia="宋体" w:cs="Times New Roman"/>
                      <w:color w:val="auto"/>
                      <w:sz w:val="21"/>
                      <w:szCs w:val="21"/>
                      <w:lang w:eastAsia="zh-CN"/>
                    </w:rPr>
                    <w:t>涉及</w:t>
                  </w:r>
                  <w:r>
                    <w:rPr>
                      <w:rFonts w:hint="default" w:ascii="Times New Roman" w:hAnsi="Times New Roman" w:eastAsia="宋体" w:cs="Times New Roman"/>
                      <w:color w:val="auto"/>
                      <w:sz w:val="21"/>
                      <w:szCs w:val="21"/>
                      <w:shd w:val="clear" w:color="auto" w:fill="FFFFFF"/>
                    </w:rPr>
                    <w:t>《长江岸线保护和开发利用总体规划》划定的岸线保护区、《全国重要江河湖泊水功能区划》划定的河段保护区、保留区</w:t>
                  </w:r>
                  <w:r>
                    <w:rPr>
                      <w:rFonts w:hint="default" w:ascii="Times New Roman" w:hAnsi="Times New Roman" w:eastAsia="宋体" w:cs="Times New Roman"/>
                      <w:color w:val="auto"/>
                      <w:sz w:val="21"/>
                      <w:szCs w:val="21"/>
                      <w:shd w:val="clear" w:color="auto" w:fill="FFFFFF"/>
                      <w:lang w:eastAsia="zh-CN"/>
                    </w:rPr>
                    <w:t>。本项目不属于旅游项目，不</w:t>
                  </w:r>
                  <w:r>
                    <w:rPr>
                      <w:rFonts w:hint="default" w:ascii="Times New Roman" w:hAnsi="Times New Roman" w:eastAsia="宋体" w:cs="Times New Roman"/>
                      <w:color w:val="auto"/>
                      <w:sz w:val="21"/>
                      <w:szCs w:val="21"/>
                      <w:shd w:val="clear" w:color="auto" w:fill="FFFFFF"/>
                    </w:rPr>
                    <w:t>进行开矿、采石、挖沙等活动</w:t>
                  </w:r>
                  <w:r>
                    <w:rPr>
                      <w:rFonts w:hint="default" w:ascii="Times New Roman" w:hAnsi="Times New Roman" w:eastAsia="宋体" w:cs="Times New Roman"/>
                      <w:color w:val="auto"/>
                      <w:sz w:val="21"/>
                      <w:szCs w:val="21"/>
                      <w:shd w:val="clear" w:color="auto" w:fill="FFFFFF"/>
                      <w:lang w:eastAsia="zh-CN"/>
                    </w:rPr>
                    <w:t>；本项目不属于自然保护区的核心区、缓冲区和试验区内。</w:t>
                  </w:r>
                </w:p>
              </w:tc>
              <w:tc>
                <w:tcPr>
                  <w:tcW w:w="354"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禁止在风景名胜区核心景区的岸线和河段范围内</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49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项目</w:t>
                  </w:r>
                  <w:r>
                    <w:rPr>
                      <w:rFonts w:hint="default" w:ascii="Times New Roman" w:hAnsi="Times New Roman" w:eastAsia="宋体" w:cs="Times New Roman"/>
                      <w:color w:val="auto"/>
                      <w:sz w:val="21"/>
                      <w:szCs w:val="21"/>
                    </w:rPr>
                    <w:t>用地不涉及</w:t>
                  </w:r>
                  <w:r>
                    <w:rPr>
                      <w:rFonts w:hint="default" w:ascii="Times New Roman" w:hAnsi="Times New Roman" w:eastAsia="宋体" w:cs="Times New Roman"/>
                      <w:color w:val="auto"/>
                      <w:sz w:val="21"/>
                      <w:szCs w:val="21"/>
                      <w:lang w:eastAsia="zh-CN"/>
                    </w:rPr>
                    <w:t>风景名胜区。</w:t>
                  </w:r>
                </w:p>
              </w:tc>
              <w:tc>
                <w:tcPr>
                  <w:tcW w:w="354"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禁止在饮用水水源一级保护区的岸线和河段范围</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49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本项目不</w:t>
                  </w:r>
                  <w:r>
                    <w:rPr>
                      <w:rFonts w:hint="default" w:ascii="Times New Roman" w:hAnsi="Times New Roman" w:eastAsia="宋体" w:cs="Times New Roman"/>
                      <w:color w:val="auto"/>
                      <w:sz w:val="21"/>
                      <w:szCs w:val="21"/>
                      <w:lang w:eastAsia="zh-CN"/>
                    </w:rPr>
                    <w:t>涉及饮用水水源一级保护区</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 w:val="21"/>
                      <w:szCs w:val="21"/>
                      <w:shd w:val="clear" w:color="auto" w:fill="FFFFFF"/>
                    </w:rPr>
                    <w:t>饮用水水源二级保护区</w:t>
                  </w:r>
                  <w:r>
                    <w:rPr>
                      <w:rFonts w:hint="default" w:ascii="Times New Roman" w:hAnsi="Times New Roman" w:eastAsia="宋体" w:cs="Times New Roman"/>
                      <w:color w:val="auto"/>
                      <w:sz w:val="21"/>
                      <w:szCs w:val="21"/>
                      <w:lang w:eastAsia="zh-CN"/>
                    </w:rPr>
                    <w:t>。</w:t>
                  </w:r>
                </w:p>
              </w:tc>
              <w:tc>
                <w:tcPr>
                  <w:tcW w:w="354"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禁止在水产种质资源保护区的岸线和河段范围内</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49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本项目不</w:t>
                  </w:r>
                  <w:r>
                    <w:rPr>
                      <w:rFonts w:hint="default" w:ascii="Times New Roman" w:hAnsi="Times New Roman" w:eastAsia="宋体" w:cs="Times New Roman"/>
                      <w:color w:val="auto"/>
                      <w:sz w:val="21"/>
                      <w:szCs w:val="21"/>
                      <w:lang w:eastAsia="zh-CN"/>
                    </w:rPr>
                    <w:t>涉及水产种质资源保护区的岸线或河段范围；本项目不涉及国家湿地公园的土地。</w:t>
                  </w:r>
                </w:p>
              </w:tc>
              <w:tc>
                <w:tcPr>
                  <w:tcW w:w="354"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禁止违法利用、占用长江流域河湖岸线。禁止在金</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49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本项目不涉及</w:t>
                  </w:r>
                  <w:r>
                    <w:rPr>
                      <w:rFonts w:hint="default" w:ascii="Times New Roman" w:hAnsi="Times New Roman" w:eastAsia="宋体" w:cs="Times New Roman"/>
                      <w:color w:val="auto"/>
                      <w:sz w:val="21"/>
                      <w:szCs w:val="21"/>
                      <w:shd w:val="clear" w:color="auto" w:fill="FFFFFF"/>
                    </w:rPr>
                    <w:t>占用长江流域河湖岸线</w:t>
                  </w:r>
                  <w:r>
                    <w:rPr>
                      <w:rFonts w:hint="default" w:ascii="Times New Roman" w:hAnsi="Times New Roman" w:eastAsia="宋体" w:cs="Times New Roman"/>
                      <w:color w:val="auto"/>
                      <w:sz w:val="21"/>
                      <w:szCs w:val="21"/>
                      <w:shd w:val="clear" w:color="auto" w:fill="FFFFFF"/>
                      <w:lang w:eastAsia="zh-CN"/>
                    </w:rPr>
                    <w:t>项目。</w:t>
                  </w:r>
                </w:p>
              </w:tc>
              <w:tc>
                <w:tcPr>
                  <w:tcW w:w="354"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49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lang w:eastAsia="zh-CN"/>
                    </w:rPr>
                    <w:t>项目不属于过江基础设施项目，项目不涉及</w:t>
                  </w:r>
                  <w:r>
                    <w:rPr>
                      <w:rFonts w:hint="default" w:ascii="Times New Roman" w:hAnsi="Times New Roman" w:eastAsia="宋体" w:cs="Times New Roman"/>
                      <w:color w:val="auto"/>
                      <w:szCs w:val="21"/>
                    </w:rPr>
                    <w:t>新设、改设或扩大排污口</w:t>
                  </w:r>
                  <w:r>
                    <w:rPr>
                      <w:rFonts w:hint="default" w:ascii="Times New Roman" w:hAnsi="Times New Roman" w:eastAsia="宋体" w:cs="Times New Roman"/>
                      <w:color w:val="auto"/>
                      <w:szCs w:val="21"/>
                      <w:lang w:eastAsia="zh-CN"/>
                    </w:rPr>
                    <w:t>。</w:t>
                  </w:r>
                </w:p>
              </w:tc>
              <w:tc>
                <w:tcPr>
                  <w:tcW w:w="354"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禁止在金沙江干流、长江一级支流、水生生物保护区和长江流域禁捕水域开展天然渔业资源生产性捕捞。</w:t>
                  </w:r>
                </w:p>
              </w:tc>
              <w:tc>
                <w:tcPr>
                  <w:tcW w:w="149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本项目不涉及</w:t>
                  </w:r>
                  <w:r>
                    <w:rPr>
                      <w:rFonts w:hint="default" w:ascii="Times New Roman" w:hAnsi="Times New Roman" w:eastAsia="宋体" w:cs="Times New Roman"/>
                      <w:color w:val="auto"/>
                      <w:sz w:val="21"/>
                      <w:szCs w:val="21"/>
                      <w:shd w:val="clear" w:color="auto" w:fill="FFFFFF"/>
                    </w:rPr>
                    <w:t>天然渔业资源生产性捕捞</w:t>
                  </w:r>
                  <w:r>
                    <w:rPr>
                      <w:rFonts w:hint="default" w:ascii="Times New Roman" w:hAnsi="Times New Roman" w:eastAsia="宋体" w:cs="Times New Roman"/>
                      <w:color w:val="auto"/>
                      <w:sz w:val="21"/>
                      <w:szCs w:val="21"/>
                      <w:lang w:eastAsia="zh-CN"/>
                    </w:rPr>
                    <w:t>。</w:t>
                  </w:r>
                </w:p>
              </w:tc>
              <w:tc>
                <w:tcPr>
                  <w:tcW w:w="354"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49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所在区域不属于</w:t>
                  </w:r>
                  <w:r>
                    <w:rPr>
                      <w:rFonts w:hint="default" w:ascii="Times New Roman" w:hAnsi="Times New Roman" w:eastAsia="宋体" w:cs="Times New Roman"/>
                      <w:color w:val="auto"/>
                      <w:sz w:val="21"/>
                      <w:szCs w:val="21"/>
                      <w:shd w:val="clear" w:color="auto" w:fill="FFFFFF"/>
                    </w:rPr>
                    <w:t>金沙江干流、长江一级支流、水生生物保护区</w:t>
                  </w:r>
                  <w:r>
                    <w:rPr>
                      <w:rFonts w:hint="default" w:ascii="Times New Roman" w:hAnsi="Times New Roman" w:eastAsia="宋体" w:cs="Times New Roman"/>
                      <w:color w:val="auto"/>
                      <w:sz w:val="21"/>
                      <w:szCs w:val="21"/>
                      <w:shd w:val="clear" w:color="auto" w:fill="FFFFFF"/>
                      <w:lang w:eastAsia="zh-CN"/>
                    </w:rPr>
                    <w:t>、</w:t>
                  </w:r>
                  <w:r>
                    <w:rPr>
                      <w:rFonts w:hint="default" w:ascii="Times New Roman" w:hAnsi="Times New Roman" w:eastAsia="宋体" w:cs="Times New Roman"/>
                      <w:color w:val="auto"/>
                      <w:sz w:val="21"/>
                      <w:szCs w:val="21"/>
                      <w:shd w:val="clear" w:color="auto" w:fill="FFFFFF"/>
                    </w:rPr>
                    <w:t>九大高原湖泊岸线一公里范围</w:t>
                  </w:r>
                  <w:r>
                    <w:rPr>
                      <w:rFonts w:hint="default" w:ascii="Times New Roman" w:hAnsi="Times New Roman" w:eastAsia="宋体" w:cs="Times New Roman"/>
                      <w:color w:val="auto"/>
                      <w:sz w:val="21"/>
                      <w:szCs w:val="21"/>
                      <w:shd w:val="clear" w:color="auto" w:fill="FFFFFF"/>
                      <w:lang w:eastAsia="zh-CN"/>
                    </w:rPr>
                    <w:t>。</w:t>
                  </w:r>
                </w:p>
              </w:tc>
              <w:tc>
                <w:tcPr>
                  <w:tcW w:w="354"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禁止在合规园区外新建、扩建钢铁、石化、化工、焦化、建材、有色、制浆造纸行业中的高污染项目。</w:t>
                  </w:r>
                </w:p>
              </w:tc>
              <w:tc>
                <w:tcPr>
                  <w:tcW w:w="149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本项目建设地址为合规园区。</w:t>
                  </w:r>
                </w:p>
              </w:tc>
              <w:tc>
                <w:tcPr>
                  <w:tcW w:w="354"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禁止新建、扩建不符合国家石化、现代煤化工等产业布局规划的项目。禁止列入《云南省城镇人口密集区危险化学品生产企业搬迁改造名单》的搬迁改造企业在原址新建、扩建危险化学品生产项目</w:t>
                  </w:r>
                  <w:r>
                    <w:rPr>
                      <w:rFonts w:hint="default" w:ascii="Times New Roman" w:hAnsi="Times New Roman" w:eastAsia="宋体" w:cs="Times New Roman"/>
                      <w:color w:val="auto"/>
                      <w:sz w:val="21"/>
                      <w:szCs w:val="21"/>
                      <w:shd w:val="clear" w:color="auto" w:fill="FFFFFF"/>
                      <w:lang w:eastAsia="zh-CN"/>
                    </w:rPr>
                    <w:t>。</w:t>
                  </w:r>
                </w:p>
              </w:tc>
              <w:tc>
                <w:tcPr>
                  <w:tcW w:w="149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本项目不属于不符合</w:t>
                  </w:r>
                  <w:r>
                    <w:rPr>
                      <w:rFonts w:hint="default" w:ascii="Times New Roman" w:hAnsi="Times New Roman" w:eastAsia="宋体" w:cs="Times New Roman"/>
                      <w:color w:val="auto"/>
                      <w:sz w:val="21"/>
                      <w:szCs w:val="21"/>
                      <w:shd w:val="clear" w:color="auto" w:fill="FFFFFF"/>
                    </w:rPr>
                    <w:t>国家石化、现代煤化工等产业布局规划的项目</w:t>
                  </w:r>
                  <w:r>
                    <w:rPr>
                      <w:rFonts w:hint="default" w:ascii="Times New Roman" w:hAnsi="Times New Roman" w:eastAsia="宋体" w:cs="Times New Roman"/>
                      <w:color w:val="auto"/>
                      <w:sz w:val="21"/>
                      <w:szCs w:val="21"/>
                      <w:shd w:val="clear" w:color="auto" w:fill="FFFFFF"/>
                      <w:lang w:eastAsia="zh-CN"/>
                    </w:rPr>
                    <w:t>；本项目不属于危险化学品生产项目。</w:t>
                  </w:r>
                </w:p>
              </w:tc>
              <w:tc>
                <w:tcPr>
                  <w:tcW w:w="354"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149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本项目不属于落后产能项目、过剩产能行业的项目、高能耗、高排放项目。本项目不涉及建设</w:t>
                  </w:r>
                  <w:r>
                    <w:rPr>
                      <w:rFonts w:hint="default" w:ascii="Times New Roman" w:hAnsi="Times New Roman" w:eastAsia="宋体" w:cs="Times New Roman"/>
                      <w:color w:val="auto"/>
                      <w:sz w:val="21"/>
                      <w:szCs w:val="21"/>
                      <w:shd w:val="clear" w:color="auto" w:fill="FFFFFF"/>
                    </w:rPr>
                    <w:t>高毒高残留以及对环境影响大的农药原药生产装置，</w:t>
                  </w:r>
                  <w:r>
                    <w:rPr>
                      <w:rFonts w:hint="default" w:ascii="Times New Roman" w:hAnsi="Times New Roman" w:eastAsia="宋体" w:cs="Times New Roman"/>
                      <w:color w:val="auto"/>
                      <w:sz w:val="21"/>
                      <w:szCs w:val="21"/>
                      <w:shd w:val="clear" w:color="auto" w:fill="FFFFFF"/>
                      <w:lang w:eastAsia="zh-CN"/>
                    </w:rPr>
                    <w:t>不属于</w:t>
                  </w:r>
                  <w:r>
                    <w:rPr>
                      <w:rFonts w:hint="default" w:ascii="Times New Roman" w:hAnsi="Times New Roman" w:eastAsia="宋体" w:cs="Times New Roman"/>
                      <w:color w:val="auto"/>
                      <w:sz w:val="21"/>
                      <w:szCs w:val="21"/>
                      <w:shd w:val="clear" w:color="auto" w:fill="FFFFFF"/>
                    </w:rPr>
                    <w:t>尿素、磷铵、电石、焦炭、黄磷、烧碱、纯碱、聚氯乙烯等行业。</w:t>
                  </w:r>
                </w:p>
              </w:tc>
              <w:tc>
                <w:tcPr>
                  <w:tcW w:w="354"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sz w:val="24"/>
                <w:highlight w:val="none"/>
              </w:rPr>
              <w:t>综上，本项目与《云南省长江经济带发展负面清单指南实施细则（试行</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2022年版</w:t>
            </w:r>
            <w:r>
              <w:rPr>
                <w:rFonts w:hint="default" w:ascii="Times New Roman" w:hAnsi="Times New Roman" w:eastAsia="宋体" w:cs="Times New Roman"/>
                <w:color w:val="auto"/>
                <w:sz w:val="24"/>
                <w:highlight w:val="none"/>
              </w:rPr>
              <w:t>）》规定的内容相符合。</w:t>
            </w:r>
          </w:p>
          <w:p>
            <w:pPr>
              <w:adjustRightInd w:val="0"/>
              <w:snapToGrid w:val="0"/>
              <w:spacing w:line="360" w:lineRule="auto"/>
              <w:ind w:firstLine="482" w:firstLineChars="200"/>
              <w:rPr>
                <w:rFonts w:hint="default" w:ascii="Times New Roman" w:hAnsi="Times New Roman" w:eastAsia="宋体" w:cs="Times New Roman"/>
                <w:b/>
                <w:color w:val="auto"/>
                <w:sz w:val="24"/>
                <w:highlight w:val="none"/>
              </w:rPr>
            </w:pPr>
            <w:bookmarkStart w:id="12" w:name="_Toc26297"/>
            <w:r>
              <w:rPr>
                <w:rFonts w:hint="default" w:ascii="Times New Roman" w:hAnsi="Times New Roman" w:eastAsia="宋体" w:cs="Times New Roman"/>
                <w:b/>
                <w:color w:val="auto"/>
                <w:sz w:val="24"/>
                <w:highlight w:val="none"/>
                <w:lang w:val="en-US" w:eastAsia="zh-CN"/>
              </w:rPr>
              <w:t>8</w:t>
            </w:r>
            <w:r>
              <w:rPr>
                <w:rFonts w:hint="default" w:ascii="Times New Roman" w:hAnsi="Times New Roman" w:eastAsia="宋体" w:cs="Times New Roman"/>
                <w:b/>
                <w:color w:val="auto"/>
                <w:sz w:val="24"/>
                <w:highlight w:val="none"/>
              </w:rPr>
              <w:t>、与《云南省重点行业挥发性有机物综合治理实施方案》符合性分析</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2019年9月4日，云南省生态环境厅印发了《云南省重点行业挥发性有机物综合治理实施方案》（云环通〔2019〕125号）。项目与《云南省重点行业挥发性有机物综合治理实施方案》的相符性分析见表</w:t>
            </w:r>
            <w:r>
              <w:rPr>
                <w:rFonts w:hint="default" w:ascii="Times New Roman" w:hAnsi="Times New Roman" w:eastAsia="宋体" w:cs="Times New Roman"/>
                <w:color w:val="auto"/>
                <w:sz w:val="24"/>
                <w:highlight w:val="none"/>
                <w:lang w:val="en-US" w:eastAsia="zh-CN"/>
              </w:rPr>
              <w:t>1-10</w:t>
            </w:r>
            <w:r>
              <w:rPr>
                <w:rFonts w:hint="default" w:ascii="Times New Roman" w:hAnsi="Times New Roman" w:eastAsia="宋体" w:cs="Times New Roman"/>
                <w:color w:val="auto"/>
                <w:sz w:val="24"/>
                <w:highlight w:val="none"/>
              </w:rPr>
              <w:t>。</w:t>
            </w:r>
          </w:p>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1-10</w:t>
            </w:r>
            <w:r>
              <w:rPr>
                <w:rFonts w:hint="default" w:ascii="Times New Roman" w:hAnsi="Times New Roman" w:eastAsia="宋体" w:cs="Times New Roman"/>
                <w:b/>
                <w:color w:val="auto"/>
                <w:szCs w:val="21"/>
                <w:highlight w:val="none"/>
              </w:rPr>
              <w:t xml:space="preserve">   项目与《云南省重点行业挥发性有机物综合治理实施方案》的相符性分析</w:t>
            </w:r>
          </w:p>
          <w:tbl>
            <w:tblPr>
              <w:tblStyle w:val="26"/>
              <w:tblW w:w="4972" w:type="pct"/>
              <w:tblInd w:w="-4"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4017"/>
              <w:gridCol w:w="3107"/>
              <w:gridCol w:w="715"/>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2562" w:type="pct"/>
                  <w:tcBorders>
                    <w:tl2br w:val="nil"/>
                    <w:tr2bl w:val="nil"/>
                  </w:tcBorders>
                  <w:noWrap w:val="0"/>
                  <w:vAlign w:val="center"/>
                </w:tcPr>
                <w:p>
                  <w:pPr>
                    <w:pStyle w:val="23"/>
                    <w:widowControl w:val="0"/>
                    <w:adjustRightInd w:val="0"/>
                    <w:snapToGrid w:val="0"/>
                    <w:spacing w:before="0" w:beforeAutospacing="0" w:after="0" w:afterAutospacing="0"/>
                    <w:jc w:val="center"/>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bidi="ar"/>
                    </w:rPr>
                    <w:t>《云南省重点行业挥发性有机物综合治理实施方案》</w:t>
                  </w:r>
                </w:p>
              </w:tc>
              <w:tc>
                <w:tcPr>
                  <w:tcW w:w="1981" w:type="pct"/>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本项目</w:t>
                  </w:r>
                </w:p>
              </w:tc>
              <w:tc>
                <w:tcPr>
                  <w:tcW w:w="455" w:type="pct"/>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相符性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2562" w:type="pct"/>
                  <w:tcBorders>
                    <w:tl2br w:val="nil"/>
                    <w:tr2bl w:val="nil"/>
                  </w:tcBorders>
                  <w:noWrap w:val="0"/>
                  <w:vAlign w:val="center"/>
                </w:tcPr>
                <w:p>
                  <w:pPr>
                    <w:pStyle w:val="23"/>
                    <w:adjustRightInd w:val="0"/>
                    <w:snapToGrid w:val="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重点对含 VOCs 物料（包括含 VOCs 原辅材料、含 VOCs 产品、含 VOCs 废料以及有机聚合物材料等）储存、转移和输送、设备与管线组件泄漏、敞开液面逸散以及工艺过程等五类排放源实施管控，通过采取设备与场所密闭、工艺改进、废气有效收集等措施，削减 VOCs 无组织排放。</w:t>
                  </w:r>
                </w:p>
              </w:tc>
              <w:tc>
                <w:tcPr>
                  <w:tcW w:w="1981" w:type="pct"/>
                  <w:vMerge w:val="restart"/>
                  <w:tcBorders>
                    <w:tl2br w:val="nil"/>
                    <w:tr2bl w:val="nil"/>
                  </w:tcBorders>
                  <w:noWrap w:val="0"/>
                  <w:vAlign w:val="center"/>
                </w:tcPr>
                <w:p>
                  <w:pPr>
                    <w:adjustRightInd w:val="0"/>
                    <w:snapToGrid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本项目吹膜机出口上方分别设置集气罩将废气统一收集进入</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UV光氧催化+三级活性炭吸附</w:t>
                  </w:r>
                  <w:r>
                    <w:rPr>
                      <w:rFonts w:hint="default" w:ascii="Times New Roman" w:hAnsi="Times New Roman" w:eastAsia="宋体" w:cs="Times New Roman"/>
                      <w:color w:val="auto"/>
                      <w:szCs w:val="21"/>
                      <w:highlight w:val="none"/>
                    </w:rPr>
                    <w:t>装置”</w:t>
                  </w:r>
                  <w:r>
                    <w:rPr>
                      <w:rFonts w:hint="default" w:ascii="Times New Roman" w:hAnsi="Times New Roman" w:eastAsia="宋体" w:cs="Times New Roman"/>
                      <w:color w:val="auto"/>
                      <w:szCs w:val="21"/>
                      <w:highlight w:val="none"/>
                      <w:lang w:val="en-US" w:eastAsia="zh-CN"/>
                    </w:rPr>
                    <w:t>处理达标后由</w:t>
                  </w:r>
                  <w:r>
                    <w:rPr>
                      <w:rFonts w:hint="default" w:ascii="Times New Roman" w:hAnsi="Times New Roman" w:eastAsia="宋体" w:cs="Times New Roman"/>
                      <w:color w:val="auto"/>
                      <w:szCs w:val="21"/>
                      <w:highlight w:val="none"/>
                    </w:rPr>
                    <w:t>1根15m高排气筒（</w:t>
                  </w:r>
                  <w:r>
                    <w:rPr>
                      <w:rFonts w:hint="default" w:ascii="Times New Roman" w:hAnsi="Times New Roman" w:eastAsia="宋体" w:cs="Times New Roman"/>
                      <w:color w:val="auto"/>
                      <w:szCs w:val="21"/>
                      <w:highlight w:val="none"/>
                      <w:lang w:val="en-US" w:eastAsia="zh-CN"/>
                    </w:rPr>
                    <w:t>DA001</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排放，配套</w:t>
                  </w:r>
                  <w:r>
                    <w:rPr>
                      <w:rFonts w:hint="default" w:ascii="Times New Roman" w:hAnsi="Times New Roman" w:eastAsia="宋体" w:cs="Times New Roman"/>
                      <w:color w:val="auto"/>
                      <w:szCs w:val="21"/>
                      <w:highlight w:val="none"/>
                    </w:rPr>
                    <w:t>风机风量</w:t>
                  </w:r>
                  <w:r>
                    <w:rPr>
                      <w:rFonts w:hint="default" w:ascii="Times New Roman" w:hAnsi="Times New Roman" w:eastAsia="宋体" w:cs="Times New Roman"/>
                      <w:color w:val="auto"/>
                      <w:szCs w:val="21"/>
                      <w:highlight w:val="none"/>
                      <w:lang w:val="en-US" w:eastAsia="zh-CN"/>
                    </w:rPr>
                    <w:t>为75600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/h</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废气收集效率为</w:t>
                  </w:r>
                  <w:r>
                    <w:rPr>
                      <w:rFonts w:hint="default" w:ascii="Times New Roman" w:hAnsi="Times New Roman" w:eastAsia="宋体" w:cs="Times New Roman"/>
                      <w:color w:val="auto"/>
                      <w:szCs w:val="21"/>
                      <w:highlight w:val="none"/>
                      <w:lang w:val="en-US" w:eastAsia="zh-CN"/>
                    </w:rPr>
                    <w:t>80</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UV光氧催化+三级活性炭吸附</w:t>
                  </w:r>
                  <w:r>
                    <w:rPr>
                      <w:rFonts w:hint="default" w:ascii="Times New Roman" w:hAnsi="Times New Roman" w:eastAsia="宋体" w:cs="Times New Roman"/>
                      <w:color w:val="auto"/>
                      <w:szCs w:val="21"/>
                      <w:highlight w:val="none"/>
                    </w:rPr>
                    <w:t>装置”去除效率</w:t>
                  </w:r>
                  <w:r>
                    <w:rPr>
                      <w:rFonts w:hint="default" w:ascii="Times New Roman" w:hAnsi="Times New Roman" w:eastAsia="宋体" w:cs="Times New Roman"/>
                      <w:color w:val="auto"/>
                      <w:szCs w:val="21"/>
                      <w:highlight w:val="none"/>
                      <w:lang w:val="en-US" w:eastAsia="zh-CN"/>
                    </w:rPr>
                    <w:t>78%</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b w:val="0"/>
                      <w:bCs w:val="0"/>
                      <w:color w:val="auto"/>
                      <w:szCs w:val="21"/>
                      <w:highlight w:val="none"/>
                      <w:lang w:val="en-US" w:eastAsia="zh-CN"/>
                    </w:rPr>
                    <w:t>排气筒内径0.8m</w:t>
                  </w:r>
                  <w:r>
                    <w:rPr>
                      <w:rFonts w:hint="default" w:ascii="Times New Roman" w:hAnsi="Times New Roman" w:eastAsia="宋体" w:cs="Times New Roman"/>
                      <w:b w:val="0"/>
                      <w:bCs w:val="0"/>
                      <w:color w:val="auto"/>
                      <w:szCs w:val="21"/>
                      <w:highlight w:val="none"/>
                    </w:rPr>
                    <w:t>。</w:t>
                  </w:r>
                  <w:r>
                    <w:rPr>
                      <w:rFonts w:hint="default" w:ascii="Times New Roman" w:hAnsi="Times New Roman" w:eastAsia="宋体" w:cs="Times New Roman"/>
                      <w:b w:val="0"/>
                      <w:bCs w:val="0"/>
                      <w:color w:val="auto"/>
                      <w:sz w:val="21"/>
                      <w:szCs w:val="21"/>
                      <w:highlight w:val="none"/>
                      <w:lang w:val="en-US" w:eastAsia="zh-CN"/>
                    </w:rPr>
                    <w:t>本项目</w:t>
                  </w:r>
                  <w:r>
                    <w:rPr>
                      <w:rFonts w:hint="default" w:ascii="Times New Roman" w:hAnsi="Times New Roman" w:eastAsia="宋体" w:cs="Times New Roman"/>
                      <w:b w:val="0"/>
                      <w:bCs w:val="0"/>
                      <w:color w:val="auto"/>
                      <w:sz w:val="21"/>
                      <w:szCs w:val="21"/>
                      <w:highlight w:val="none"/>
                    </w:rPr>
                    <w:t>单台设备集气罩</w:t>
                  </w:r>
                  <w:r>
                    <w:rPr>
                      <w:rFonts w:hint="default" w:ascii="Times New Roman" w:hAnsi="Times New Roman" w:eastAsia="宋体" w:cs="Times New Roman"/>
                      <w:color w:val="auto"/>
                      <w:sz w:val="21"/>
                      <w:szCs w:val="21"/>
                      <w:highlight w:val="none"/>
                      <w:lang w:val="en-US" w:eastAsia="zh-CN"/>
                    </w:rPr>
                    <w:t>对应的气体控制风速按照</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局部排风设施控制风速检测与评估技术规范</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AQ/T 4274-2016</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表1中局部排风设施控制风速限值标准进行确定为1.0m/s，此时可保证</w:t>
                  </w:r>
                  <w:r>
                    <w:rPr>
                      <w:rFonts w:hint="default" w:ascii="Times New Roman" w:hAnsi="Times New Roman" w:eastAsia="宋体" w:cs="Times New Roman"/>
                      <w:color w:val="auto"/>
                      <w:kern w:val="2"/>
                      <w:sz w:val="21"/>
                      <w:szCs w:val="21"/>
                      <w:highlight w:val="none"/>
                      <w:lang w:val="en-US" w:eastAsia="zh-CN" w:bidi="ar"/>
                    </w:rPr>
                    <w:t>排风罩开口面最远处的 VOCs 无组织排放位置控制风速不低于0.3m/s。</w:t>
                  </w:r>
                </w:p>
              </w:tc>
              <w:tc>
                <w:tcPr>
                  <w:tcW w:w="455" w:type="pct"/>
                  <w:tcBorders>
                    <w:tl2br w:val="nil"/>
                    <w:tr2bl w:val="nil"/>
                  </w:tcBorders>
                  <w:noWrap w:val="0"/>
                  <w:vAlign w:val="center"/>
                </w:tcPr>
                <w:p>
                  <w:pPr>
                    <w:pStyle w:val="23"/>
                    <w:widowControl w:val="0"/>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相符</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2562" w:type="pct"/>
                  <w:tcBorders>
                    <w:tl2br w:val="nil"/>
                    <w:tr2bl w:val="nil"/>
                  </w:tcBorders>
                  <w:noWrap w:val="0"/>
                  <w:vAlign w:val="center"/>
                </w:tcPr>
                <w:p>
                  <w:pPr>
                    <w:pStyle w:val="23"/>
                    <w:adjustRightInd w:val="0"/>
                    <w:snapToGrid w:val="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 VOCs 无组织排放位置，控制风速应不低于 0.3米/秒，有行业要求的按相关规定执行。</w:t>
                  </w:r>
                </w:p>
              </w:tc>
              <w:tc>
                <w:tcPr>
                  <w:tcW w:w="1981" w:type="pct"/>
                  <w:vMerge w:val="continue"/>
                  <w:tcBorders>
                    <w:tl2br w:val="nil"/>
                    <w:tr2bl w:val="nil"/>
                  </w:tcBorders>
                  <w:noWrap w:val="0"/>
                  <w:vAlign w:val="center"/>
                </w:tcPr>
                <w:p>
                  <w:pPr>
                    <w:pStyle w:val="23"/>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lang w:bidi="ar"/>
                    </w:rPr>
                  </w:pPr>
                </w:p>
              </w:tc>
              <w:tc>
                <w:tcPr>
                  <w:tcW w:w="455" w:type="pct"/>
                  <w:tcBorders>
                    <w:tl2br w:val="nil"/>
                    <w:tr2bl w:val="nil"/>
                  </w:tcBorders>
                  <w:noWrap w:val="0"/>
                  <w:vAlign w:val="center"/>
                </w:tcPr>
                <w:p>
                  <w:pPr>
                    <w:pStyle w:val="23"/>
                    <w:widowControl w:val="0"/>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相符</w:t>
                  </w:r>
                </w:p>
              </w:tc>
            </w:tr>
          </w:tbl>
          <w:p>
            <w:pPr>
              <w:pageBreakBefore w:val="0"/>
              <w:kinsoku/>
              <w:wordWrap/>
              <w:overflowPunct/>
              <w:topLinePunct w:val="0"/>
              <w:bidi w:val="0"/>
              <w:snapToGrid w:val="0"/>
              <w:spacing w:line="360" w:lineRule="auto"/>
              <w:ind w:firstLine="480" w:firstLineChars="200"/>
              <w:jc w:val="both"/>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color w:val="auto"/>
                <w:sz w:val="24"/>
                <w:highlight w:val="none"/>
              </w:rPr>
              <w:t>综上所述，项目与《云南省重点行业挥发性有机物综合治理实施方案》（云环通〔2019〕125号）相符。</w:t>
            </w:r>
          </w:p>
          <w:bookmarkEnd w:id="12"/>
          <w:p>
            <w:pPr>
              <w:pStyle w:val="13"/>
              <w:numPr>
                <w:ilvl w:val="-1"/>
                <w:numId w:val="0"/>
              </w:numPr>
              <w:spacing w:line="360" w:lineRule="auto"/>
              <w:ind w:firstLine="498" w:firstLineChars="200"/>
              <w:rPr>
                <w:rFonts w:hint="default" w:ascii="Times New Roman" w:hAnsi="Times New Roman" w:eastAsia="宋体" w:cs="Times New Roman"/>
                <w:color w:val="auto"/>
                <w:spacing w:val="4"/>
                <w:kern w:val="24"/>
                <w:sz w:val="24"/>
                <w:highlight w:val="none"/>
                <w:lang w:bidi="ar"/>
              </w:rPr>
            </w:pPr>
            <w:r>
              <w:rPr>
                <w:rFonts w:hint="default" w:ascii="Times New Roman" w:hAnsi="Times New Roman" w:eastAsia="宋体" w:cs="Times New Roman"/>
                <w:b/>
                <w:bCs/>
                <w:color w:val="auto"/>
                <w:spacing w:val="4"/>
                <w:kern w:val="24"/>
                <w:sz w:val="24"/>
                <w:highlight w:val="none"/>
                <w:lang w:val="en-US" w:eastAsia="zh-CN" w:bidi="ar"/>
              </w:rPr>
              <w:t>9、</w:t>
            </w:r>
            <w:r>
              <w:rPr>
                <w:rFonts w:hint="default" w:ascii="Times New Roman" w:hAnsi="Times New Roman" w:eastAsia="宋体" w:cs="Times New Roman"/>
                <w:b/>
                <w:bCs/>
                <w:color w:val="auto"/>
                <w:spacing w:val="4"/>
                <w:kern w:val="24"/>
                <w:sz w:val="24"/>
                <w:highlight w:val="none"/>
                <w:lang w:bidi="ar"/>
              </w:rPr>
              <w:t>与《挥发性有机物污染防治技术政策》符合性分析</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rPr>
              <w:t>项目与</w:t>
            </w:r>
            <w:r>
              <w:rPr>
                <w:rFonts w:hint="default" w:ascii="Times New Roman" w:hAnsi="Times New Roman" w:eastAsia="宋体" w:cs="Times New Roman"/>
                <w:color w:val="auto"/>
                <w:sz w:val="24"/>
                <w:highlight w:val="none"/>
              </w:rPr>
              <w:t>《挥发性有机物污染防治技术政策》相符性分析见表1-</w:t>
            </w:r>
            <w:r>
              <w:rPr>
                <w:rFonts w:hint="default" w:ascii="Times New Roman" w:hAnsi="Times New Roman" w:eastAsia="宋体" w:cs="Times New Roman"/>
                <w:color w:val="auto"/>
                <w:sz w:val="24"/>
                <w:highlight w:val="none"/>
                <w:lang w:val="en-US" w:eastAsia="zh-CN"/>
              </w:rPr>
              <w:t>11</w:t>
            </w:r>
            <w:r>
              <w:rPr>
                <w:rFonts w:hint="default" w:ascii="Times New Roman" w:hAnsi="Times New Roman" w:eastAsia="宋体" w:cs="Times New Roman"/>
                <w:color w:val="auto"/>
                <w:sz w:val="24"/>
                <w:highlight w:val="none"/>
              </w:rPr>
              <w:t>。</w:t>
            </w:r>
          </w:p>
          <w:p>
            <w:pPr>
              <w:spacing w:line="240" w:lineRule="auto"/>
              <w:ind w:firstLine="0" w:firstLineChars="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表1-</w:t>
            </w:r>
            <w:r>
              <w:rPr>
                <w:rFonts w:hint="default" w:ascii="Times New Roman" w:hAnsi="Times New Roman" w:eastAsia="宋体" w:cs="Times New Roman"/>
                <w:b/>
                <w:bCs/>
                <w:color w:val="auto"/>
                <w:szCs w:val="21"/>
                <w:highlight w:val="none"/>
                <w:lang w:val="en-US" w:eastAsia="zh-CN"/>
              </w:rPr>
              <w:t xml:space="preserve">11  </w:t>
            </w:r>
            <w:r>
              <w:rPr>
                <w:rFonts w:hint="default" w:ascii="Times New Roman" w:hAnsi="Times New Roman" w:eastAsia="宋体" w:cs="Times New Roman"/>
                <w:b/>
                <w:bCs/>
                <w:color w:val="auto"/>
                <w:szCs w:val="21"/>
                <w:highlight w:val="none"/>
              </w:rPr>
              <w:t xml:space="preserve"> </w:t>
            </w:r>
            <w:r>
              <w:rPr>
                <w:rFonts w:hint="default" w:ascii="Times New Roman" w:hAnsi="Times New Roman" w:eastAsia="宋体" w:cs="Times New Roman"/>
                <w:b/>
                <w:bCs/>
                <w:color w:val="auto"/>
                <w:kern w:val="0"/>
                <w:szCs w:val="21"/>
                <w:highlight w:val="none"/>
              </w:rPr>
              <w:t>与</w:t>
            </w:r>
            <w:r>
              <w:rPr>
                <w:rFonts w:hint="default" w:ascii="Times New Roman" w:hAnsi="Times New Roman" w:eastAsia="宋体" w:cs="Times New Roman"/>
                <w:b/>
                <w:bCs/>
                <w:color w:val="auto"/>
                <w:szCs w:val="21"/>
                <w:highlight w:val="none"/>
              </w:rPr>
              <w:t>《挥发性有机物污染防治技术政策》符合性分析</w:t>
            </w:r>
          </w:p>
          <w:tbl>
            <w:tblPr>
              <w:tblStyle w:val="26"/>
              <w:tblW w:w="79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398"/>
              <w:gridCol w:w="3172"/>
              <w:gridCol w:w="3303"/>
              <w:gridCol w:w="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3570" w:type="dxa"/>
                  <w:gridSpan w:val="2"/>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color w:val="auto"/>
                      <w:spacing w:val="4"/>
                      <w:kern w:val="24"/>
                      <w:szCs w:val="21"/>
                      <w:highlight w:val="none"/>
                      <w:lang w:bidi="ar"/>
                    </w:rPr>
                    <w:t>《挥发性有机物污染防治技术政策》内容如下</w:t>
                  </w:r>
                </w:p>
              </w:tc>
              <w:tc>
                <w:tcPr>
                  <w:tcW w:w="3303" w:type="dxa"/>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该项目情况</w:t>
                  </w:r>
                </w:p>
              </w:tc>
              <w:tc>
                <w:tcPr>
                  <w:tcW w:w="683" w:type="dxa"/>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398" w:type="dxa"/>
                  <w:vMerge w:val="restart"/>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源头和过程控制</w:t>
                  </w:r>
                </w:p>
              </w:tc>
              <w:tc>
                <w:tcPr>
                  <w:tcW w:w="3172"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鼓励使用通过环境标志产品认证的环保型涂料、油墨、胶粘剂和清洗剂。</w:t>
                  </w:r>
                </w:p>
              </w:tc>
              <w:tc>
                <w:tcPr>
                  <w:tcW w:w="3303"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本</w:t>
                  </w:r>
                  <w:r>
                    <w:rPr>
                      <w:rFonts w:hint="default" w:ascii="Times New Roman" w:hAnsi="Times New Roman" w:eastAsia="宋体" w:cs="Times New Roman"/>
                      <w:color w:val="auto"/>
                      <w:szCs w:val="21"/>
                      <w:highlight w:val="none"/>
                    </w:rPr>
                    <w:t>项目</w:t>
                  </w:r>
                  <w:r>
                    <w:rPr>
                      <w:rFonts w:hint="default" w:ascii="Times New Roman" w:hAnsi="Times New Roman" w:eastAsia="宋体" w:cs="Times New Roman"/>
                      <w:color w:val="auto"/>
                      <w:szCs w:val="21"/>
                      <w:highlight w:val="none"/>
                      <w:lang w:val="en-US" w:eastAsia="zh-CN"/>
                    </w:rPr>
                    <w:t>不</w:t>
                  </w:r>
                  <w:r>
                    <w:rPr>
                      <w:rFonts w:hint="default" w:ascii="Times New Roman" w:hAnsi="Times New Roman" w:eastAsia="宋体" w:cs="Times New Roman"/>
                      <w:color w:val="auto"/>
                      <w:szCs w:val="21"/>
                      <w:highlight w:val="none"/>
                    </w:rPr>
                    <w:t>使用</w:t>
                  </w:r>
                  <w:r>
                    <w:rPr>
                      <w:rFonts w:hint="default" w:ascii="Times New Roman" w:hAnsi="Times New Roman" w:eastAsia="宋体" w:cs="Times New Roman"/>
                      <w:color w:val="auto"/>
                      <w:szCs w:val="21"/>
                      <w:highlight w:val="none"/>
                      <w:lang w:val="zh-CN"/>
                    </w:rPr>
                    <w:t>涂料、油墨、胶粘剂和清洗剂。</w:t>
                  </w:r>
                </w:p>
              </w:tc>
              <w:tc>
                <w:tcPr>
                  <w:tcW w:w="683"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27"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398" w:type="dxa"/>
                  <w:vMerge w:val="continue"/>
                  <w:vAlign w:val="center"/>
                </w:tcPr>
                <w:p>
                  <w:pPr>
                    <w:jc w:val="center"/>
                    <w:rPr>
                      <w:rFonts w:hint="default" w:ascii="Times New Roman" w:hAnsi="Times New Roman" w:eastAsia="宋体" w:cs="Times New Roman"/>
                      <w:color w:val="auto"/>
                      <w:szCs w:val="21"/>
                      <w:highlight w:val="none"/>
                    </w:rPr>
                  </w:pPr>
                </w:p>
              </w:tc>
              <w:tc>
                <w:tcPr>
                  <w:tcW w:w="3172" w:type="dxa"/>
                  <w:vAlign w:val="center"/>
                </w:tcPr>
                <w:p>
                  <w:pPr>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根据涂装工艺的不同，鼓励使用水性涂料、高固份涂料、</w:t>
                  </w:r>
                  <w:r>
                    <w:rPr>
                      <w:rFonts w:hint="eastAsia" w:cs="Times New Roman"/>
                      <w:color w:val="auto"/>
                      <w:sz w:val="21"/>
                      <w:szCs w:val="21"/>
                      <w:highlight w:val="none"/>
                      <w:lang w:val="zh-CN"/>
                    </w:rPr>
                    <w:t>粉末</w:t>
                  </w:r>
                  <w:r>
                    <w:rPr>
                      <w:rFonts w:hint="default" w:ascii="Times New Roman" w:hAnsi="Times New Roman" w:eastAsia="宋体" w:cs="Times New Roman"/>
                      <w:color w:val="auto"/>
                      <w:sz w:val="21"/>
                      <w:szCs w:val="21"/>
                      <w:highlight w:val="none"/>
                      <w:lang w:val="zh-CN"/>
                    </w:rPr>
                    <w:t>涂料、紫外光固化（UV）涂料等环保型涂料；推广采用静电喷涂、淋涂、辊涂、浸涂等效率较高的涂装工艺；应尽量避免无VoCs净化、回收措施的露天喷涂作业。</w:t>
                  </w:r>
                </w:p>
              </w:tc>
              <w:tc>
                <w:tcPr>
                  <w:tcW w:w="3303"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本项目吹膜机出口上方分别设置集气罩将废气统一收集进入</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UV光氧催化+三级活性炭吸附</w:t>
                  </w:r>
                  <w:r>
                    <w:rPr>
                      <w:rFonts w:hint="default" w:ascii="Times New Roman" w:hAnsi="Times New Roman" w:eastAsia="宋体" w:cs="Times New Roman"/>
                      <w:color w:val="auto"/>
                      <w:sz w:val="21"/>
                      <w:szCs w:val="21"/>
                      <w:highlight w:val="none"/>
                    </w:rPr>
                    <w:t>装置</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 w:val="21"/>
                      <w:szCs w:val="21"/>
                      <w:highlight w:val="none"/>
                      <w:lang w:val="en-US" w:eastAsia="zh-CN"/>
                    </w:rPr>
                    <w:t>处理达标后由1根</w:t>
                  </w:r>
                  <w:r>
                    <w:rPr>
                      <w:rFonts w:hint="default" w:ascii="Times New Roman" w:hAnsi="Times New Roman" w:eastAsia="宋体" w:cs="Times New Roman"/>
                      <w:color w:val="auto"/>
                      <w:sz w:val="21"/>
                      <w:szCs w:val="21"/>
                      <w:highlight w:val="none"/>
                    </w:rPr>
                    <w:t>15m高排气筒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color w:val="auto"/>
                      <w:sz w:val="21"/>
                      <w:szCs w:val="21"/>
                      <w:highlight w:val="none"/>
                      <w:lang w:eastAsia="zh-CN"/>
                    </w:rPr>
                    <w:t>。</w:t>
                  </w:r>
                </w:p>
              </w:tc>
              <w:tc>
                <w:tcPr>
                  <w:tcW w:w="683"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427"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p>
              </w:tc>
              <w:tc>
                <w:tcPr>
                  <w:tcW w:w="398" w:type="dxa"/>
                  <w:vMerge w:val="continue"/>
                  <w:vAlign w:val="center"/>
                </w:tcPr>
                <w:p>
                  <w:pPr>
                    <w:jc w:val="center"/>
                    <w:rPr>
                      <w:rFonts w:hint="default" w:ascii="Times New Roman" w:hAnsi="Times New Roman" w:eastAsia="宋体" w:cs="Times New Roman"/>
                      <w:color w:val="auto"/>
                      <w:szCs w:val="21"/>
                      <w:highlight w:val="none"/>
                    </w:rPr>
                  </w:pPr>
                </w:p>
              </w:tc>
              <w:tc>
                <w:tcPr>
                  <w:tcW w:w="3172"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淘汰以三氟三氯乙烷、甲基氯仿和四氯化碳为清洗剂或溶剂的生产工艺。清洗过程中产生的废溶剂宜密闭收集，有回收价值的废溶剂经处理后回用，其他废溶剂应妥善处置。</w:t>
                  </w:r>
                </w:p>
              </w:tc>
              <w:tc>
                <w:tcPr>
                  <w:tcW w:w="3303"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本项目不涉及</w:t>
                  </w:r>
                  <w:r>
                    <w:rPr>
                      <w:rFonts w:hint="default" w:ascii="Times New Roman" w:hAnsi="Times New Roman" w:eastAsia="宋体" w:cs="Times New Roman"/>
                      <w:color w:val="auto"/>
                      <w:szCs w:val="21"/>
                      <w:highlight w:val="none"/>
                      <w:lang w:val="zh-CN"/>
                    </w:rPr>
                    <w:t>以三氟三氯乙烷、甲基氯仿和四氯化碳为清洗剂或溶剂的生产工艺。</w:t>
                  </w:r>
                </w:p>
              </w:tc>
              <w:tc>
                <w:tcPr>
                  <w:tcW w:w="683"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w:t>
                  </w:r>
                </w:p>
              </w:tc>
              <w:tc>
                <w:tcPr>
                  <w:tcW w:w="398" w:type="dxa"/>
                  <w:vMerge w:val="continue"/>
                  <w:vAlign w:val="center"/>
                </w:tcPr>
                <w:p>
                  <w:pPr>
                    <w:jc w:val="center"/>
                    <w:rPr>
                      <w:rFonts w:hint="default" w:ascii="Times New Roman" w:hAnsi="Times New Roman" w:eastAsia="宋体" w:cs="Times New Roman"/>
                      <w:color w:val="auto"/>
                      <w:szCs w:val="21"/>
                      <w:highlight w:val="none"/>
                    </w:rPr>
                  </w:pPr>
                </w:p>
              </w:tc>
              <w:tc>
                <w:tcPr>
                  <w:tcW w:w="3172"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含VOCs产品的使用过程中，应采取废气收集措施，提高废气收集效率，减少废气的无组织排放与逸散，并对收集后的废气进行回收或处理后达标排放。</w:t>
                  </w:r>
                </w:p>
              </w:tc>
              <w:tc>
                <w:tcPr>
                  <w:tcW w:w="3303" w:type="dxa"/>
                  <w:vMerge w:val="restar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本项目吹膜机出口上方分别设置集气罩将废气统一收集进入</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UV光氧催化+三级活性炭吸附</w:t>
                  </w:r>
                  <w:r>
                    <w:rPr>
                      <w:rFonts w:hint="default" w:ascii="Times New Roman" w:hAnsi="Times New Roman" w:eastAsia="宋体" w:cs="Times New Roman"/>
                      <w:color w:val="auto"/>
                      <w:sz w:val="21"/>
                      <w:szCs w:val="21"/>
                      <w:highlight w:val="none"/>
                    </w:rPr>
                    <w:t>装置</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 w:val="21"/>
                      <w:szCs w:val="21"/>
                      <w:highlight w:val="none"/>
                      <w:lang w:val="en-US" w:eastAsia="zh-CN"/>
                    </w:rPr>
                    <w:t>处理达标后由1根</w:t>
                  </w:r>
                  <w:r>
                    <w:rPr>
                      <w:rFonts w:hint="default" w:ascii="Times New Roman" w:hAnsi="Times New Roman" w:eastAsia="宋体" w:cs="Times New Roman"/>
                      <w:color w:val="auto"/>
                      <w:sz w:val="21"/>
                      <w:szCs w:val="21"/>
                      <w:highlight w:val="none"/>
                    </w:rPr>
                    <w:t>15m高排气筒</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在采取相应的对策措施后，项目废气污染物均能达标排放。</w:t>
                  </w:r>
                </w:p>
              </w:tc>
              <w:tc>
                <w:tcPr>
                  <w:tcW w:w="683"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w:t>
                  </w:r>
                </w:p>
              </w:tc>
              <w:tc>
                <w:tcPr>
                  <w:tcW w:w="398" w:type="dxa"/>
                  <w:vMerge w:val="restart"/>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末端治理与综合利用</w:t>
                  </w:r>
                </w:p>
              </w:tc>
              <w:tc>
                <w:tcPr>
                  <w:tcW w:w="3172"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在工业生产过程中鼓励VOCs的回收利用，并优先鼓励在生产系统内回用。</w:t>
                  </w:r>
                </w:p>
              </w:tc>
              <w:tc>
                <w:tcPr>
                  <w:tcW w:w="3303" w:type="dxa"/>
                  <w:vMerge w:val="continue"/>
                  <w:vAlign w:val="center"/>
                </w:tcPr>
                <w:p>
                  <w:pPr>
                    <w:jc w:val="center"/>
                    <w:rPr>
                      <w:rFonts w:hint="default" w:ascii="Times New Roman" w:hAnsi="Times New Roman" w:eastAsia="宋体" w:cs="Times New Roman"/>
                      <w:color w:val="auto"/>
                      <w:sz w:val="21"/>
                      <w:szCs w:val="21"/>
                      <w:highlight w:val="none"/>
                    </w:rPr>
                  </w:pPr>
                </w:p>
              </w:tc>
              <w:tc>
                <w:tcPr>
                  <w:tcW w:w="683"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w:t>
                  </w:r>
                </w:p>
              </w:tc>
              <w:tc>
                <w:tcPr>
                  <w:tcW w:w="398" w:type="dxa"/>
                  <w:vMerge w:val="continue"/>
                  <w:vAlign w:val="center"/>
                </w:tcPr>
                <w:p>
                  <w:pPr>
                    <w:jc w:val="center"/>
                    <w:rPr>
                      <w:rFonts w:hint="default" w:ascii="Times New Roman" w:hAnsi="Times New Roman" w:eastAsia="宋体" w:cs="Times New Roman"/>
                      <w:color w:val="auto"/>
                      <w:szCs w:val="21"/>
                      <w:highlight w:val="none"/>
                    </w:rPr>
                  </w:pPr>
                </w:p>
              </w:tc>
              <w:tc>
                <w:tcPr>
                  <w:tcW w:w="3172"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对于含高浓度VOCs的废气，宜优先采用冷凝回收、吸附回收技术进行回收利用，并</w:t>
                  </w:r>
                  <w:r>
                    <w:rPr>
                      <w:rFonts w:hint="eastAsia" w:cs="Times New Roman"/>
                      <w:color w:val="auto"/>
                      <w:sz w:val="21"/>
                      <w:szCs w:val="21"/>
                      <w:highlight w:val="none"/>
                      <w:lang w:val="zh-CN"/>
                    </w:rPr>
                    <w:t>辅助</w:t>
                  </w:r>
                  <w:r>
                    <w:rPr>
                      <w:rFonts w:hint="default" w:ascii="Times New Roman" w:hAnsi="Times New Roman" w:eastAsia="宋体" w:cs="Times New Roman"/>
                      <w:color w:val="auto"/>
                      <w:sz w:val="21"/>
                      <w:szCs w:val="21"/>
                      <w:highlight w:val="none"/>
                      <w:lang w:val="zh-CN"/>
                    </w:rPr>
                    <w:t>其他治理技术实现达标排放。</w:t>
                  </w:r>
                </w:p>
              </w:tc>
              <w:tc>
                <w:tcPr>
                  <w:tcW w:w="3303" w:type="dxa"/>
                  <w:vMerge w:val="continue"/>
                  <w:vAlign w:val="center"/>
                </w:tcPr>
                <w:p>
                  <w:pPr>
                    <w:jc w:val="center"/>
                    <w:rPr>
                      <w:rFonts w:hint="default" w:ascii="Times New Roman" w:hAnsi="Times New Roman" w:eastAsia="宋体" w:cs="Times New Roman"/>
                      <w:color w:val="auto"/>
                      <w:sz w:val="21"/>
                      <w:szCs w:val="21"/>
                      <w:highlight w:val="none"/>
                    </w:rPr>
                  </w:pPr>
                </w:p>
              </w:tc>
              <w:tc>
                <w:tcPr>
                  <w:tcW w:w="683"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w:t>
                  </w:r>
                </w:p>
              </w:tc>
              <w:tc>
                <w:tcPr>
                  <w:tcW w:w="398" w:type="dxa"/>
                  <w:vMerge w:val="continue"/>
                  <w:vAlign w:val="center"/>
                </w:tcPr>
                <w:p>
                  <w:pPr>
                    <w:jc w:val="center"/>
                    <w:rPr>
                      <w:rFonts w:hint="default" w:ascii="Times New Roman" w:hAnsi="Times New Roman" w:eastAsia="宋体" w:cs="Times New Roman"/>
                      <w:color w:val="auto"/>
                      <w:szCs w:val="21"/>
                      <w:highlight w:val="none"/>
                    </w:rPr>
                  </w:pPr>
                </w:p>
              </w:tc>
              <w:tc>
                <w:tcPr>
                  <w:tcW w:w="3172"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对于含中等浓度VOCs的废气，可采用吸附技术回收有机溶剂，或采用催化燃烧和热力焚烧技术净化后达标排放。当采用催化燃烧和热力焚烧技术进行净化时，应进行余热回收利用。</w:t>
                  </w:r>
                </w:p>
              </w:tc>
              <w:tc>
                <w:tcPr>
                  <w:tcW w:w="3303" w:type="dxa"/>
                  <w:vMerge w:val="continue"/>
                  <w:vAlign w:val="center"/>
                </w:tcPr>
                <w:p>
                  <w:pPr>
                    <w:jc w:val="center"/>
                    <w:rPr>
                      <w:rFonts w:hint="default" w:ascii="Times New Roman" w:hAnsi="Times New Roman" w:eastAsia="宋体" w:cs="Times New Roman"/>
                      <w:color w:val="auto"/>
                      <w:szCs w:val="21"/>
                      <w:highlight w:val="none"/>
                    </w:rPr>
                  </w:pPr>
                </w:p>
              </w:tc>
              <w:tc>
                <w:tcPr>
                  <w:tcW w:w="683"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w:t>
                  </w:r>
                </w:p>
              </w:tc>
              <w:tc>
                <w:tcPr>
                  <w:tcW w:w="398" w:type="dxa"/>
                  <w:vMerge w:val="continue"/>
                  <w:vAlign w:val="center"/>
                </w:tcPr>
                <w:p>
                  <w:pPr>
                    <w:jc w:val="center"/>
                    <w:rPr>
                      <w:rFonts w:hint="default" w:ascii="Times New Roman" w:hAnsi="Times New Roman" w:eastAsia="宋体" w:cs="Times New Roman"/>
                      <w:color w:val="auto"/>
                      <w:szCs w:val="21"/>
                      <w:highlight w:val="none"/>
                    </w:rPr>
                  </w:pPr>
                </w:p>
              </w:tc>
              <w:tc>
                <w:tcPr>
                  <w:tcW w:w="3172"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3303" w:type="dxa"/>
                  <w:vMerge w:val="continue"/>
                  <w:vAlign w:val="center"/>
                </w:tcPr>
                <w:p>
                  <w:pPr>
                    <w:jc w:val="center"/>
                    <w:rPr>
                      <w:rFonts w:hint="default" w:ascii="Times New Roman" w:hAnsi="Times New Roman" w:eastAsia="宋体" w:cs="Times New Roman"/>
                      <w:color w:val="auto"/>
                      <w:szCs w:val="21"/>
                      <w:highlight w:val="none"/>
                    </w:rPr>
                  </w:pPr>
                </w:p>
              </w:tc>
              <w:tc>
                <w:tcPr>
                  <w:tcW w:w="683"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w:t>
                  </w:r>
                </w:p>
              </w:tc>
              <w:tc>
                <w:tcPr>
                  <w:tcW w:w="398" w:type="dxa"/>
                  <w:vMerge w:val="continue"/>
                  <w:vAlign w:val="center"/>
                </w:tcPr>
                <w:p>
                  <w:pPr>
                    <w:jc w:val="center"/>
                    <w:rPr>
                      <w:rFonts w:hint="default" w:ascii="Times New Roman" w:hAnsi="Times New Roman" w:eastAsia="宋体" w:cs="Times New Roman"/>
                      <w:color w:val="auto"/>
                      <w:szCs w:val="21"/>
                      <w:highlight w:val="none"/>
                    </w:rPr>
                  </w:pPr>
                </w:p>
              </w:tc>
              <w:tc>
                <w:tcPr>
                  <w:tcW w:w="3172" w:type="dxa"/>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含有有机卤素成分VOCs的废气，宜采用非焚烧技术处理。</w:t>
                  </w:r>
                </w:p>
              </w:tc>
              <w:tc>
                <w:tcPr>
                  <w:tcW w:w="3303"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本项目不涉及。</w:t>
                  </w:r>
                </w:p>
              </w:tc>
              <w:tc>
                <w:tcPr>
                  <w:tcW w:w="683"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w:t>
                  </w:r>
                </w:p>
              </w:tc>
              <w:tc>
                <w:tcPr>
                  <w:tcW w:w="398" w:type="dxa"/>
                  <w:vMerge w:val="continue"/>
                  <w:vAlign w:val="center"/>
                </w:tcPr>
                <w:p>
                  <w:pPr>
                    <w:jc w:val="center"/>
                    <w:rPr>
                      <w:rFonts w:hint="default" w:ascii="Times New Roman" w:hAnsi="Times New Roman" w:eastAsia="宋体" w:cs="Times New Roman"/>
                      <w:color w:val="auto"/>
                      <w:szCs w:val="21"/>
                      <w:highlight w:val="none"/>
                    </w:rPr>
                  </w:pPr>
                </w:p>
              </w:tc>
              <w:tc>
                <w:tcPr>
                  <w:tcW w:w="3172"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恶臭气体污染源可采用生物技术、等离子体技术、吸附技术、吸收技术、紫外光高级氧化技术或组合技术等进行净化。净化后的恶臭气体除满足达标排放的要求外，还应采取高空排放等措施，避免产生扰民问题。</w:t>
                  </w:r>
                </w:p>
              </w:tc>
              <w:tc>
                <w:tcPr>
                  <w:tcW w:w="3303"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本项目不涉及。</w:t>
                  </w:r>
                </w:p>
              </w:tc>
              <w:tc>
                <w:tcPr>
                  <w:tcW w:w="683"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13</w:t>
                  </w:r>
                </w:p>
              </w:tc>
              <w:tc>
                <w:tcPr>
                  <w:tcW w:w="398" w:type="dxa"/>
                  <w:vMerge w:val="continue"/>
                  <w:vAlign w:val="center"/>
                </w:tcPr>
                <w:p>
                  <w:pPr>
                    <w:jc w:val="center"/>
                    <w:rPr>
                      <w:rFonts w:hint="default" w:ascii="Times New Roman" w:hAnsi="Times New Roman" w:eastAsia="宋体" w:cs="Times New Roman"/>
                      <w:color w:val="auto"/>
                      <w:szCs w:val="21"/>
                      <w:highlight w:val="none"/>
                    </w:rPr>
                  </w:pPr>
                </w:p>
              </w:tc>
              <w:tc>
                <w:tcPr>
                  <w:tcW w:w="3172"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严格控制VOCs处理过程中产生的二次污染，对于催化燃烧和热力焚烧过程中产生的含硫、氮、氯等无机废气，以及吸附、吸收、冷凝、生物等治理过程中所产生的含有机物废水，应处理后达标排放。</w:t>
                  </w:r>
                </w:p>
              </w:tc>
              <w:tc>
                <w:tcPr>
                  <w:tcW w:w="3303"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本项目吹膜机出口上方分别设置集气罩将废气统一收集进入</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UV光氧催化+三级活性炭吸附</w:t>
                  </w:r>
                  <w:r>
                    <w:rPr>
                      <w:rFonts w:hint="default" w:ascii="Times New Roman" w:hAnsi="Times New Roman" w:eastAsia="宋体" w:cs="Times New Roman"/>
                      <w:color w:val="auto"/>
                      <w:sz w:val="21"/>
                      <w:szCs w:val="21"/>
                      <w:highlight w:val="none"/>
                    </w:rPr>
                    <w:t>装置</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 w:val="21"/>
                      <w:szCs w:val="21"/>
                      <w:highlight w:val="none"/>
                      <w:lang w:val="en-US" w:eastAsia="zh-CN"/>
                    </w:rPr>
                    <w:t>处理达标后由1根</w:t>
                  </w:r>
                  <w:r>
                    <w:rPr>
                      <w:rFonts w:hint="default" w:ascii="Times New Roman" w:hAnsi="Times New Roman" w:eastAsia="宋体" w:cs="Times New Roman"/>
                      <w:color w:val="auto"/>
                      <w:sz w:val="21"/>
                      <w:szCs w:val="21"/>
                      <w:highlight w:val="none"/>
                    </w:rPr>
                    <w:t>15m高排气筒</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在采取相应的对策措施后，项目废气污染物均能达标排放。废气治理过程不涉及含有机物废水。</w:t>
                  </w:r>
                </w:p>
              </w:tc>
              <w:tc>
                <w:tcPr>
                  <w:tcW w:w="683"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14</w:t>
                  </w:r>
                </w:p>
              </w:tc>
              <w:tc>
                <w:tcPr>
                  <w:tcW w:w="398" w:type="dxa"/>
                  <w:vMerge w:val="continue"/>
                  <w:vAlign w:val="center"/>
                </w:tcPr>
                <w:p>
                  <w:pPr>
                    <w:jc w:val="center"/>
                    <w:rPr>
                      <w:rFonts w:hint="default" w:ascii="Times New Roman" w:hAnsi="Times New Roman" w:eastAsia="宋体" w:cs="Times New Roman"/>
                      <w:color w:val="auto"/>
                      <w:szCs w:val="21"/>
                      <w:highlight w:val="none"/>
                    </w:rPr>
                  </w:pPr>
                </w:p>
              </w:tc>
              <w:tc>
                <w:tcPr>
                  <w:tcW w:w="3172"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对于不能再生的过滤材料、吸附剂及催化剂等净化材料，应按照国家固体废物管理的相关规定处理处置。</w:t>
                  </w:r>
                </w:p>
              </w:tc>
              <w:tc>
                <w:tcPr>
                  <w:tcW w:w="3303"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2"/>
                      <w:sz w:val="21"/>
                      <w:szCs w:val="21"/>
                      <w:highlight w:val="none"/>
                      <w:lang w:val="en-US" w:eastAsia="zh-CN" w:bidi="ar-SA"/>
                    </w:rPr>
                    <w:t>项目废包装材料、废边角料及不合格产品统一收集后暂存于一般固废暂存区，定期外售；生活垃圾由项目区工作人员使用带盖式生活垃圾收集桶统一收集后由当地环卫部门定期清运、处置；食堂餐厨垃圾通过加盖塑料桶收集后由有资质的单位定期清运、处置；化粪池及一体化污水处理站污泥定期清掏后委托环卫部门定期清掏清运处置；废UV灯管、废活性炭、废矿物油、机修废物等分类收集暂存于危险废物暂存间，定期委托有资质的单位清运处置。</w:t>
                  </w:r>
                </w:p>
              </w:tc>
              <w:tc>
                <w:tcPr>
                  <w:tcW w:w="683"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bl>
          <w:p>
            <w:pPr>
              <w:pStyle w:val="7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szCs w:val="21"/>
                <w:highlight w:val="none"/>
              </w:rPr>
              <w:t>综上，</w:t>
            </w:r>
            <w:r>
              <w:rPr>
                <w:rFonts w:hint="default" w:ascii="Times New Roman" w:hAnsi="Times New Roman" w:eastAsia="宋体" w:cs="Times New Roman"/>
                <w:color w:val="auto"/>
                <w:kern w:val="0"/>
                <w:sz w:val="24"/>
                <w:highlight w:val="none"/>
              </w:rPr>
              <w:t>项目建设与</w:t>
            </w:r>
            <w:r>
              <w:rPr>
                <w:rFonts w:hint="default" w:ascii="Times New Roman" w:hAnsi="Times New Roman" w:eastAsia="宋体" w:cs="Times New Roman"/>
                <w:color w:val="auto"/>
                <w:sz w:val="24"/>
                <w:highlight w:val="none"/>
              </w:rPr>
              <w:t>《挥发性有机物污染防治技术政策》相关要求相符。</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98" w:firstLineChars="200"/>
              <w:textAlignment w:val="auto"/>
              <w:rPr>
                <w:rFonts w:hint="default" w:ascii="Times New Roman" w:hAnsi="Times New Roman" w:eastAsia="宋体" w:cs="Times New Roman"/>
                <w:b/>
                <w:color w:val="auto"/>
                <w:spacing w:val="4"/>
                <w:kern w:val="24"/>
                <w:sz w:val="24"/>
                <w:highlight w:val="none"/>
                <w:lang w:bidi="ar"/>
              </w:rPr>
            </w:pPr>
            <w:r>
              <w:rPr>
                <w:rFonts w:hint="default" w:ascii="Times New Roman" w:hAnsi="Times New Roman" w:eastAsia="宋体" w:cs="Times New Roman"/>
                <w:b/>
                <w:color w:val="auto"/>
                <w:spacing w:val="4"/>
                <w:kern w:val="24"/>
                <w:sz w:val="24"/>
                <w:highlight w:val="none"/>
                <w:lang w:val="en-US" w:eastAsia="zh-CN" w:bidi="ar"/>
              </w:rPr>
              <w:t>10、</w:t>
            </w:r>
            <w:r>
              <w:rPr>
                <w:rFonts w:hint="default" w:ascii="Times New Roman" w:hAnsi="Times New Roman" w:eastAsia="宋体" w:cs="Times New Roman"/>
                <w:b/>
                <w:color w:val="auto"/>
                <w:spacing w:val="4"/>
                <w:kern w:val="24"/>
                <w:sz w:val="24"/>
                <w:highlight w:val="none"/>
                <w:lang w:bidi="ar"/>
              </w:rPr>
              <w:t>与《昆明市大气污染防治条例》相符性分析</w:t>
            </w:r>
          </w:p>
          <w:p>
            <w:pPr>
              <w:jc w:val="center"/>
              <w:rPr>
                <w:rFonts w:hint="default" w:ascii="Times New Roman" w:hAnsi="Times New Roman" w:eastAsia="宋体" w:cs="Times New Roman"/>
                <w:b/>
                <w:color w:val="auto"/>
                <w:spacing w:val="4"/>
                <w:kern w:val="24"/>
                <w:szCs w:val="21"/>
                <w:highlight w:val="none"/>
                <w:lang w:bidi="ar"/>
              </w:rPr>
            </w:pPr>
            <w:r>
              <w:rPr>
                <w:rFonts w:hint="default" w:ascii="Times New Roman" w:hAnsi="Times New Roman" w:eastAsia="宋体" w:cs="Times New Roman"/>
                <w:b/>
                <w:color w:val="auto"/>
                <w:spacing w:val="4"/>
                <w:kern w:val="24"/>
                <w:szCs w:val="21"/>
                <w:highlight w:val="none"/>
                <w:lang w:bidi="ar"/>
              </w:rPr>
              <w:t>表1-</w:t>
            </w:r>
            <w:r>
              <w:rPr>
                <w:rFonts w:hint="default" w:ascii="Times New Roman" w:hAnsi="Times New Roman" w:eastAsia="宋体" w:cs="Times New Roman"/>
                <w:b/>
                <w:color w:val="auto"/>
                <w:spacing w:val="4"/>
                <w:kern w:val="24"/>
                <w:szCs w:val="21"/>
                <w:highlight w:val="none"/>
                <w:lang w:val="en-US" w:eastAsia="zh-CN" w:bidi="ar"/>
              </w:rPr>
              <w:t xml:space="preserve">12 </w:t>
            </w:r>
            <w:r>
              <w:rPr>
                <w:rFonts w:hint="default" w:ascii="Times New Roman" w:hAnsi="Times New Roman" w:eastAsia="宋体" w:cs="Times New Roman"/>
                <w:b/>
                <w:color w:val="auto"/>
                <w:spacing w:val="4"/>
                <w:kern w:val="24"/>
                <w:szCs w:val="21"/>
                <w:highlight w:val="none"/>
                <w:lang w:bidi="ar"/>
              </w:rPr>
              <w:t xml:space="preserve">  与《昆明市大气污染防治条例》符合性分析</w:t>
            </w:r>
          </w:p>
          <w:tbl>
            <w:tblPr>
              <w:tblStyle w:val="26"/>
              <w:tblW w:w="7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6"/>
              <w:gridCol w:w="1774"/>
              <w:gridCol w:w="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246" w:type="dxa"/>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相关要求</w:t>
                  </w:r>
                </w:p>
              </w:tc>
              <w:tc>
                <w:tcPr>
                  <w:tcW w:w="1774" w:type="dxa"/>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项目情况</w:t>
                  </w:r>
                </w:p>
              </w:tc>
              <w:tc>
                <w:tcPr>
                  <w:tcW w:w="863" w:type="dxa"/>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6" w:type="dxa"/>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禁止排放超过排放标准或者超过重点大气污染物排放总量控制指标的大气污染物。排放大气污染物的企业事业单位和其他生产经营者应当加强精细化管理，严格按照有关规定，配套建设、使用和维护大气污染防治装备。大气排放污染物的企业事业单位和其他生产经营者，应当按照有关规定设置大气污染物排放口。禁止通过偷排、篡改或者伪造监测数据、以逃避现场检查为目的的临时停产、非紧急情况下开启应急排放通道、擅自拆除或者不正常运行大气污染防治设施等逃避监管的方式排放大气污染物。</w:t>
                  </w:r>
                </w:p>
              </w:tc>
              <w:tc>
                <w:tcPr>
                  <w:tcW w:w="1774" w:type="dxa"/>
                  <w:vMerge w:val="restart"/>
                  <w:vAlign w:val="center"/>
                </w:tcPr>
                <w:p>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本项目为</w:t>
                  </w:r>
                  <w:r>
                    <w:rPr>
                      <w:rFonts w:hint="default" w:ascii="Times New Roman" w:hAnsi="Times New Roman" w:eastAsia="宋体" w:cs="Times New Roman"/>
                      <w:color w:val="auto"/>
                      <w:sz w:val="21"/>
                      <w:szCs w:val="21"/>
                      <w:highlight w:val="none"/>
                      <w:lang w:val="en-US" w:eastAsia="zh-CN"/>
                    </w:rPr>
                    <w:t>塑料薄膜制造项目</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本项目吹膜机出口上方分别设置集气罩将废气统一收集进入</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UV光氧催化+三级活性炭吸附</w:t>
                  </w:r>
                  <w:r>
                    <w:rPr>
                      <w:rFonts w:hint="default" w:ascii="Times New Roman" w:hAnsi="Times New Roman" w:eastAsia="宋体" w:cs="Times New Roman"/>
                      <w:color w:val="auto"/>
                      <w:sz w:val="21"/>
                      <w:szCs w:val="21"/>
                      <w:highlight w:val="none"/>
                    </w:rPr>
                    <w:t>装置</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 w:val="21"/>
                      <w:szCs w:val="21"/>
                      <w:highlight w:val="none"/>
                      <w:lang w:val="en-US" w:eastAsia="zh-CN"/>
                    </w:rPr>
                    <w:t>处理达标后由</w:t>
                  </w:r>
                  <w:r>
                    <w:rPr>
                      <w:rFonts w:hint="default" w:ascii="Times New Roman" w:hAnsi="Times New Roman" w:eastAsia="宋体" w:cs="Times New Roman"/>
                      <w:color w:val="auto"/>
                      <w:sz w:val="21"/>
                      <w:szCs w:val="21"/>
                      <w:highlight w:val="none"/>
                    </w:rPr>
                    <w:t>15m高排气筒</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本项目废气均设置合理的处置措施处理后达标排放，不存在偷排</w:t>
                  </w:r>
                  <w:r>
                    <w:rPr>
                      <w:rFonts w:hint="default" w:ascii="Times New Roman" w:hAnsi="Times New Roman" w:eastAsia="宋体" w:cs="Times New Roman"/>
                      <w:snapToGrid w:val="0"/>
                      <w:color w:val="auto"/>
                      <w:kern w:val="0"/>
                      <w:sz w:val="21"/>
                      <w:szCs w:val="21"/>
                      <w:highlight w:val="none"/>
                    </w:rPr>
                    <w:t>。</w:t>
                  </w:r>
                </w:p>
              </w:tc>
              <w:tc>
                <w:tcPr>
                  <w:tcW w:w="863"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6" w:type="dxa"/>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下列产生含挥发性有机物废气的生产和服务活动，应当在密闭空间或者设备中进行，并按照规定安装、使用污染防治设施；无法密闭的，应当采取高效处理措施减少废气排放：（一）石油炼制及有机化学品、合成树脂、合成纤维、合成橡胶等行业；（二）制药、农药、涂料、油墨、胶粘剂、橡胶和塑料加工等行业；（三）汽车、家具、集装箱、电子产品、工程机械等行业；（四）塑料软包装印刷、印铁制罐等行业；（五）其他产生挥发性有机物的生产和服务活动。</w:t>
                  </w:r>
                </w:p>
              </w:tc>
              <w:tc>
                <w:tcPr>
                  <w:tcW w:w="1774" w:type="dxa"/>
                  <w:vMerge w:val="continue"/>
                  <w:vAlign w:val="center"/>
                </w:tcPr>
                <w:p>
                  <w:pPr>
                    <w:widowControl/>
                    <w:jc w:val="center"/>
                    <w:rPr>
                      <w:rFonts w:hint="default" w:ascii="Times New Roman" w:hAnsi="Times New Roman" w:eastAsia="宋体" w:cs="Times New Roman"/>
                      <w:color w:val="auto"/>
                      <w:sz w:val="21"/>
                      <w:szCs w:val="21"/>
                      <w:highlight w:val="none"/>
                    </w:rPr>
                  </w:pPr>
                </w:p>
              </w:tc>
              <w:tc>
                <w:tcPr>
                  <w:tcW w:w="863"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6"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产、进口、销售和使用含挥发性有机物原材料和产品的，其挥发性有机物含量应当符合质量标准或者要求。工业涂装企业应当使用低挥发性有机物含量的涂料，并建立台账，记录生产原料、辅料的使用量、废弃量、去向以及挥发性有机物含量。台账保存期限不得少于3年。</w:t>
                  </w:r>
                </w:p>
              </w:tc>
              <w:tc>
                <w:tcPr>
                  <w:tcW w:w="1774" w:type="dxa"/>
                  <w:vAlign w:val="center"/>
                </w:tcPr>
                <w:p>
                  <w:pPr>
                    <w:widowControl/>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本项目含挥发性有机物的原料为</w:t>
                  </w:r>
                  <w:r>
                    <w:rPr>
                      <w:rFonts w:hint="default" w:ascii="Times New Roman" w:hAnsi="Times New Roman" w:eastAsia="宋体" w:cs="Times New Roman"/>
                      <w:color w:val="auto"/>
                      <w:highlight w:val="none"/>
                      <w:lang w:val="en-US" w:eastAsia="zh-CN"/>
                    </w:rPr>
                    <w:t>聚乙烯</w:t>
                  </w:r>
                  <w:r>
                    <w:rPr>
                      <w:rFonts w:hint="default" w:ascii="Times New Roman" w:hAnsi="Times New Roman" w:eastAsia="宋体" w:cs="Times New Roman"/>
                      <w:color w:val="auto"/>
                      <w:highlight w:val="none"/>
                    </w:rPr>
                    <w:t>，挥发性有机物含量均符合质量标准要求。</w:t>
                  </w:r>
                </w:p>
              </w:tc>
              <w:tc>
                <w:tcPr>
                  <w:tcW w:w="863" w:type="dxa"/>
                  <w:vAlign w:val="center"/>
                </w:tcPr>
                <w:p>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符合</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Cs/>
                <w:color w:val="auto"/>
                <w:spacing w:val="4"/>
                <w:kern w:val="24"/>
                <w:sz w:val="24"/>
                <w:szCs w:val="24"/>
                <w:highlight w:val="none"/>
                <w:lang w:bidi="ar"/>
              </w:rPr>
              <w:t>综上，</w:t>
            </w:r>
            <w:r>
              <w:rPr>
                <w:rFonts w:hint="default" w:ascii="Times New Roman" w:hAnsi="Times New Roman" w:eastAsia="宋体" w:cs="Times New Roman"/>
                <w:color w:val="auto"/>
                <w:kern w:val="0"/>
                <w:sz w:val="24"/>
                <w:highlight w:val="none"/>
              </w:rPr>
              <w:t>项目符合</w:t>
            </w:r>
            <w:r>
              <w:rPr>
                <w:rFonts w:hint="default" w:ascii="Times New Roman" w:hAnsi="Times New Roman" w:eastAsia="宋体" w:cs="Times New Roman"/>
                <w:color w:val="auto"/>
                <w:sz w:val="24"/>
                <w:highlight w:val="none"/>
              </w:rPr>
              <w:t>《昆明市大气污染防治条例》要求。</w:t>
            </w:r>
          </w:p>
          <w:p>
            <w:pPr>
              <w:adjustRightInd w:val="0"/>
              <w:snapToGrid w:val="0"/>
              <w:spacing w:line="360" w:lineRule="auto"/>
              <w:ind w:firstLine="482" w:firstLineChars="200"/>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1</w:t>
            </w:r>
            <w:r>
              <w:rPr>
                <w:rFonts w:hint="default" w:ascii="Times New Roman" w:hAnsi="Times New Roman" w:eastAsia="宋体" w:cs="Times New Roman"/>
                <w:b/>
                <w:bCs/>
                <w:color w:val="auto"/>
                <w:kern w:val="0"/>
                <w:sz w:val="24"/>
                <w:lang w:val="en-US" w:eastAsia="zh-CN"/>
              </w:rPr>
              <w:t>1</w:t>
            </w:r>
            <w:r>
              <w:rPr>
                <w:rFonts w:hint="default" w:ascii="Times New Roman" w:hAnsi="Times New Roman" w:eastAsia="宋体" w:cs="Times New Roman"/>
                <w:b/>
                <w:bCs/>
                <w:color w:val="auto"/>
                <w:kern w:val="0"/>
                <w:sz w:val="24"/>
              </w:rPr>
              <w:t>、与《云南省进一步加强塑料污染治理的实施方案》的符合性分析</w:t>
            </w:r>
          </w:p>
          <w:p>
            <w:pPr>
              <w:pStyle w:val="14"/>
              <w:spacing w:before="0" w:after="0" w:line="360" w:lineRule="auto"/>
              <w:ind w:right="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本项目与《云南省进一步加强塑料污染治理的实施方案》的符合性分析如下表所示</w:t>
            </w:r>
            <w:r>
              <w:rPr>
                <w:rFonts w:hint="default" w:ascii="Times New Roman" w:hAnsi="Times New Roman" w:eastAsia="宋体" w:cs="Times New Roman"/>
                <w:color w:val="auto"/>
                <w:sz w:val="24"/>
                <w:szCs w:val="24"/>
                <w:lang w:eastAsia="zh-CN"/>
              </w:rPr>
              <w:t>。</w:t>
            </w:r>
          </w:p>
          <w:p>
            <w:pPr>
              <w:jc w:val="center"/>
              <w:rPr>
                <w:rFonts w:hint="default" w:ascii="Times New Roman" w:hAnsi="Times New Roman" w:eastAsia="宋体" w:cs="Times New Roman"/>
                <w:b/>
                <w:color w:val="auto"/>
                <w:spacing w:val="4"/>
                <w:kern w:val="24"/>
                <w:szCs w:val="21"/>
                <w:highlight w:val="none"/>
                <w:lang w:bidi="ar"/>
              </w:rPr>
            </w:pPr>
            <w:r>
              <w:rPr>
                <w:rFonts w:hint="default" w:ascii="Times New Roman" w:hAnsi="Times New Roman" w:eastAsia="宋体" w:cs="Times New Roman"/>
                <w:b/>
                <w:color w:val="auto"/>
                <w:spacing w:val="4"/>
                <w:kern w:val="24"/>
                <w:szCs w:val="21"/>
                <w:highlight w:val="none"/>
                <w:lang w:bidi="ar"/>
              </w:rPr>
              <w:t>表1-</w:t>
            </w:r>
            <w:r>
              <w:rPr>
                <w:rFonts w:hint="default" w:ascii="Times New Roman" w:hAnsi="Times New Roman" w:eastAsia="宋体" w:cs="Times New Roman"/>
                <w:b/>
                <w:color w:val="auto"/>
                <w:spacing w:val="4"/>
                <w:kern w:val="24"/>
                <w:szCs w:val="21"/>
                <w:highlight w:val="none"/>
                <w:lang w:val="en-US" w:eastAsia="zh-CN" w:bidi="ar"/>
              </w:rPr>
              <w:t xml:space="preserve">13 </w:t>
            </w:r>
            <w:r>
              <w:rPr>
                <w:rFonts w:hint="default" w:ascii="Times New Roman" w:hAnsi="Times New Roman" w:eastAsia="宋体" w:cs="Times New Roman"/>
                <w:b/>
                <w:color w:val="auto"/>
                <w:spacing w:val="4"/>
                <w:kern w:val="24"/>
                <w:szCs w:val="21"/>
                <w:highlight w:val="none"/>
                <w:lang w:bidi="ar"/>
              </w:rPr>
              <w:t xml:space="preserve">  </w:t>
            </w:r>
            <w:r>
              <w:rPr>
                <w:rFonts w:hint="default" w:ascii="Times New Roman" w:hAnsi="Times New Roman" w:eastAsia="宋体" w:cs="Times New Roman"/>
                <w:b/>
                <w:color w:val="auto"/>
                <w:spacing w:val="4"/>
                <w:kern w:val="24"/>
                <w:szCs w:val="21"/>
                <w:highlight w:val="none"/>
                <w:lang w:val="en-US" w:eastAsia="zh-CN" w:bidi="ar"/>
              </w:rPr>
              <w:t>本项目</w:t>
            </w:r>
            <w:r>
              <w:rPr>
                <w:rFonts w:hint="default" w:ascii="Times New Roman" w:hAnsi="Times New Roman" w:eastAsia="宋体" w:cs="Times New Roman"/>
                <w:b/>
                <w:color w:val="auto"/>
                <w:spacing w:val="4"/>
                <w:kern w:val="24"/>
                <w:szCs w:val="21"/>
                <w:highlight w:val="none"/>
                <w:lang w:bidi="ar"/>
              </w:rPr>
              <w:t>与</w:t>
            </w:r>
            <w:r>
              <w:rPr>
                <w:rFonts w:hint="default" w:ascii="Times New Roman" w:hAnsi="Times New Roman" w:eastAsia="宋体" w:cs="Times New Roman"/>
                <w:b/>
                <w:bCs w:val="0"/>
                <w:color w:val="auto"/>
                <w:spacing w:val="4"/>
                <w:kern w:val="24"/>
                <w:sz w:val="21"/>
                <w:szCs w:val="21"/>
                <w:highlight w:val="none"/>
                <w:lang w:bidi="ar"/>
              </w:rPr>
              <w:t>《云南省进一步加强塑料污染治理的实施方案》</w:t>
            </w:r>
            <w:r>
              <w:rPr>
                <w:rFonts w:hint="default" w:ascii="Times New Roman" w:hAnsi="Times New Roman" w:eastAsia="宋体" w:cs="Times New Roman"/>
                <w:b/>
                <w:color w:val="auto"/>
                <w:spacing w:val="4"/>
                <w:kern w:val="24"/>
                <w:szCs w:val="21"/>
                <w:highlight w:val="none"/>
                <w:lang w:bidi="ar"/>
              </w:rPr>
              <w:t>符合性分析</w:t>
            </w:r>
          </w:p>
          <w:tbl>
            <w:tblPr>
              <w:tblStyle w:val="2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89"/>
              <w:gridCol w:w="1524"/>
              <w:gridCol w:w="4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89" w:type="dxa"/>
                  <w:vAlign w:val="center"/>
                </w:tcPr>
                <w:p>
                  <w:pPr>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《云南省进一步加强塑料污染治理的实施方案》</w:t>
                  </w:r>
                </w:p>
              </w:tc>
              <w:tc>
                <w:tcPr>
                  <w:tcW w:w="1524" w:type="dxa"/>
                  <w:vAlign w:val="center"/>
                </w:tcPr>
                <w:p>
                  <w:pPr>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项目情况</w:t>
                  </w:r>
                </w:p>
              </w:tc>
              <w:tc>
                <w:tcPr>
                  <w:tcW w:w="427" w:type="dxa"/>
                  <w:vAlign w:val="center"/>
                </w:tcPr>
                <w:p>
                  <w:pPr>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89" w:type="dxa"/>
                  <w:vAlign w:val="center"/>
                </w:tcPr>
                <w:p>
                  <w:pPr>
                    <w:snapToGrid w:val="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三)禁止生产、销售的塑料制品。全省范围内禁止生产和销售厚度小于0.025毫米的超薄塑料购物袋、厚度小于0.01毫米的聚乙烯农用地膜。禁止以医疗废物为原料制造塑料制品。全面禁止废塑料进口。到2020年底，禁止生产和销售一次性发泡塑料餐具、一次性塑料棉签；禁止生产含塑料微珠的日化产品。到2022年底，禁止销售含塑料微珠的日化产品。</w:t>
                  </w:r>
                </w:p>
              </w:tc>
              <w:tc>
                <w:tcPr>
                  <w:tcW w:w="1524" w:type="dxa"/>
                  <w:vAlign w:val="center"/>
                </w:tcPr>
                <w:p>
                  <w:pPr>
                    <w:widowControl/>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highlight w:val="none"/>
                    </w:rPr>
                    <w:t>本项目属于</w:t>
                  </w:r>
                  <w:r>
                    <w:rPr>
                      <w:rFonts w:hint="default" w:ascii="Times New Roman" w:hAnsi="Times New Roman" w:eastAsia="宋体" w:cs="Times New Roman"/>
                      <w:color w:val="auto"/>
                      <w:sz w:val="21"/>
                      <w:szCs w:val="21"/>
                      <w:highlight w:val="none"/>
                      <w:lang w:val="en-US" w:eastAsia="zh-CN"/>
                    </w:rPr>
                    <w:t>塑料薄膜生产项目</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不生产厚度低于0.01毫米的聚乙烯农用地膜</w:t>
                  </w:r>
                  <w:r>
                    <w:rPr>
                      <w:rFonts w:hint="default" w:ascii="Times New Roman" w:hAnsi="Times New Roman" w:eastAsia="宋体" w:cs="Times New Roman"/>
                      <w:color w:val="auto"/>
                      <w:szCs w:val="21"/>
                    </w:rPr>
                    <w:t>，原材料全部使用</w:t>
                  </w:r>
                  <w:r>
                    <w:rPr>
                      <w:rFonts w:hint="eastAsia" w:cs="Times New Roman"/>
                      <w:color w:val="auto"/>
                      <w:szCs w:val="21"/>
                      <w:lang w:eastAsia="zh-CN"/>
                    </w:rPr>
                    <w:t>新材</w:t>
                  </w:r>
                  <w:r>
                    <w:rPr>
                      <w:rFonts w:hint="default" w:ascii="Times New Roman" w:hAnsi="Times New Roman" w:eastAsia="宋体" w:cs="Times New Roman"/>
                      <w:color w:val="auto"/>
                      <w:szCs w:val="21"/>
                    </w:rPr>
                    <w:t>料，不使用废旧回收塑料作为原料。</w:t>
                  </w:r>
                </w:p>
              </w:tc>
              <w:tc>
                <w:tcPr>
                  <w:tcW w:w="427" w:type="dxa"/>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89" w:type="dxa"/>
                  <w:vAlign w:val="center"/>
                </w:tcPr>
                <w:p>
                  <w:pPr>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(四)禁止、限制使用的塑料制品。</w:t>
                  </w:r>
                </w:p>
                <w:p>
                  <w:pPr>
                    <w:snapToGrid w:val="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不可降解塑料袋。到2020年底，昆明市城市建成区以及昆明市、西双版纳州、大理州、丽江市景区景点内的商场、超市、药店、书店等场所以及餐饮打包外卖服务和各类展会活动，禁止使用不可降解塑料袋；昆明市集贸市场规范和限制使用不可降解塑料袋。到2022年底，实施范围扩大至全省地级以上城市建成区。到2025年底，上述区域的集贸市场禁止使用不可降解塑料袋。鼓励有条件的地区，在城乡结合部、乡镇和农村地区集市等场所停止使用不可降解塑料袋。</w:t>
                  </w:r>
                </w:p>
                <w:p>
                  <w:pPr>
                    <w:snapToGrid w:val="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一次性塑料餐具。到2020年底，全省范围餐饮行业禁止使用不可降解一次性塑料吸管；地级以上城市建成区、景区景点的餐饮堂食服务，禁止使用不可降解一次性塑料餐具。到2022年底，县城建成区、景区景点餐饮堂食服务，禁止使用不可降解一次性塑料餐具。到2025年，地级以上城市餐饮外卖领域不可降解一次性塑料餐具消耗强度下降30%。</w:t>
                  </w:r>
                </w:p>
                <w:p>
                  <w:pPr>
                    <w:snapToGrid w:val="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3.宾馆、酒店一次性塑料用品。到2022年底，全省范围星级宾馆、酒店等场所不再主动提供一次性塑料用品；到2025年底，实施范围扩大至所有宾馆、酒店、民宿。</w:t>
                  </w:r>
                </w:p>
                <w:p>
                  <w:pPr>
                    <w:snapToGrid w:val="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快递塑料包装。自2021年起，全省范围邮政快递网点逐步禁止使用不可降解的塑料包装袋、一次性塑料编织袋等，降低不可降解的塑料胶带使用量。到2025年底，全省范围邮政快递网点禁止使用不可降解的塑料包装袋、塑料胶带、一次性塑料编织袋等。</w:t>
                  </w:r>
                </w:p>
                <w:p>
                  <w:pPr>
                    <w:snapToGrid w:val="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电商渠道塑料包装。自2021年起，全省范围电商平台企业逐步限制使用不可降解的塑料包装制品、塑料胶带等；对电商渠道销售的商品，在相关领域开展试点，推行商品和快递包装一体化，减少寄递环节二次包装。到2025年底，全省范围电商平台企业禁止使用不可降解的塑料包装制品、塑料胶带等。</w:t>
                  </w:r>
                </w:p>
              </w:tc>
              <w:tc>
                <w:tcPr>
                  <w:tcW w:w="1524" w:type="dxa"/>
                  <w:vAlign w:val="center"/>
                </w:tcPr>
                <w:p>
                  <w:pPr>
                    <w:widowControl/>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highlight w:val="none"/>
                    </w:rPr>
                    <w:t>本项目属于</w:t>
                  </w:r>
                  <w:r>
                    <w:rPr>
                      <w:rFonts w:hint="default" w:ascii="Times New Roman" w:hAnsi="Times New Roman" w:eastAsia="宋体" w:cs="Times New Roman"/>
                      <w:color w:val="auto"/>
                      <w:sz w:val="21"/>
                      <w:szCs w:val="21"/>
                      <w:highlight w:val="none"/>
                      <w:lang w:val="en-US" w:eastAsia="zh-CN"/>
                    </w:rPr>
                    <w:t>塑料薄膜生产项目</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生产产品为</w:t>
                  </w:r>
                  <w:r>
                    <w:rPr>
                      <w:rFonts w:hint="default" w:ascii="Times New Roman" w:hAnsi="Times New Roman" w:eastAsia="宋体" w:cs="Times New Roman"/>
                      <w:color w:val="auto"/>
                      <w:sz w:val="21"/>
                      <w:szCs w:val="21"/>
                      <w:highlight w:val="none"/>
                      <w:lang w:val="en-US" w:eastAsia="zh-CN"/>
                    </w:rPr>
                    <w:t>农用塑料地膜及农用塑料大棚膜，不生产</w:t>
                  </w:r>
                  <w:r>
                    <w:rPr>
                      <w:rFonts w:hint="default" w:ascii="Times New Roman" w:hAnsi="Times New Roman" w:eastAsia="宋体" w:cs="Times New Roman"/>
                      <w:color w:val="auto"/>
                      <w:szCs w:val="21"/>
                    </w:rPr>
                    <w:t>不可降解塑料袋</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一次性塑料餐具</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宾馆、酒店一次性塑料用品</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快递塑料包装</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电商渠道塑料包装</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原材料全部使用新料，不使用废旧回收塑料作为原料。</w:t>
                  </w:r>
                </w:p>
              </w:tc>
              <w:tc>
                <w:tcPr>
                  <w:tcW w:w="427" w:type="dxa"/>
                  <w:vAlign w:val="center"/>
                </w:tcPr>
                <w:p>
                  <w:pPr>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89" w:type="dxa"/>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七)增加绿色产品供给。塑料制品生产企业要严格执行有关法律法规，生产符合相关标准的塑料制品，不得违规添加对人体、环境有害的化学添加剂。推行绿色设计，提升塑料制品的安全性和回收利用性能。积极采用新型绿色环保功能材料，增加使用符合质量控制标准和用途管制要求的再生塑料，加强可循环、易回收、可降解替代材料和产品研发，降低应用成本，有效增加绿色产品供给。加强对塑料制品产品的质量监督抽查和风险预警监测，并及时向社会公开。</w:t>
                  </w:r>
                </w:p>
              </w:tc>
              <w:tc>
                <w:tcPr>
                  <w:tcW w:w="1524" w:type="dxa"/>
                  <w:vAlign w:val="center"/>
                </w:tcPr>
                <w:p>
                  <w:pPr>
                    <w:widowControl/>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本</w:t>
                  </w:r>
                  <w:r>
                    <w:rPr>
                      <w:rFonts w:hint="default" w:ascii="Times New Roman" w:hAnsi="Times New Roman" w:eastAsia="宋体" w:cs="Times New Roman"/>
                      <w:color w:val="auto"/>
                      <w:szCs w:val="21"/>
                    </w:rPr>
                    <w:t>项</w:t>
                  </w:r>
                  <w:r>
                    <w:rPr>
                      <w:rFonts w:hint="default" w:ascii="Times New Roman" w:hAnsi="Times New Roman" w:eastAsia="宋体" w:cs="Times New Roman"/>
                      <w:color w:val="auto"/>
                      <w:szCs w:val="21"/>
                      <w:highlight w:val="none"/>
                    </w:rPr>
                    <w:t>目使用</w:t>
                  </w:r>
                  <w:r>
                    <w:rPr>
                      <w:rFonts w:hint="default" w:ascii="Times New Roman" w:hAnsi="Times New Roman" w:eastAsia="宋体" w:cs="Times New Roman"/>
                      <w:color w:val="auto"/>
                      <w:sz w:val="21"/>
                      <w:szCs w:val="21"/>
                      <w:highlight w:val="none"/>
                      <w:lang w:eastAsia="zh-CN"/>
                    </w:rPr>
                    <w:t>聚乙烯</w:t>
                  </w:r>
                  <w:r>
                    <w:rPr>
                      <w:rFonts w:hint="default" w:ascii="Times New Roman" w:hAnsi="Times New Roman" w:eastAsia="宋体" w:cs="Times New Roman"/>
                      <w:color w:val="auto"/>
                      <w:szCs w:val="21"/>
                      <w:highlight w:val="none"/>
                    </w:rPr>
                    <w:t>及色母粒作为原料，无违规添加对</w:t>
                  </w:r>
                  <w:r>
                    <w:rPr>
                      <w:rFonts w:hint="default" w:ascii="Times New Roman" w:hAnsi="Times New Roman" w:eastAsia="宋体" w:cs="Times New Roman"/>
                      <w:color w:val="auto"/>
                      <w:szCs w:val="21"/>
                    </w:rPr>
                    <w:t>人体、环境有害的化学添加剂。</w:t>
                  </w:r>
                </w:p>
              </w:tc>
              <w:tc>
                <w:tcPr>
                  <w:tcW w:w="427" w:type="dxa"/>
                  <w:vAlign w:val="center"/>
                </w:tcPr>
                <w:p>
                  <w:pPr>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符合</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综上，本项目</w:t>
            </w:r>
            <w:r>
              <w:rPr>
                <w:rFonts w:hint="default" w:ascii="Times New Roman" w:hAnsi="Times New Roman" w:eastAsia="宋体" w:cs="Times New Roman"/>
                <w:b w:val="0"/>
                <w:bCs/>
                <w:color w:val="auto"/>
                <w:spacing w:val="4"/>
                <w:kern w:val="24"/>
                <w:sz w:val="24"/>
                <w:szCs w:val="24"/>
                <w:highlight w:val="none"/>
                <w:lang w:bidi="ar"/>
              </w:rPr>
              <w:t>与《云南省进一步加强塑料污染治理的实施方案》</w:t>
            </w:r>
            <w:r>
              <w:rPr>
                <w:rFonts w:hint="default" w:ascii="Times New Roman" w:hAnsi="Times New Roman" w:eastAsia="宋体" w:cs="Times New Roman"/>
                <w:b w:val="0"/>
                <w:bCs/>
                <w:color w:val="auto"/>
                <w:spacing w:val="4"/>
                <w:kern w:val="24"/>
                <w:sz w:val="24"/>
                <w:szCs w:val="24"/>
                <w:highlight w:val="none"/>
                <w:lang w:val="en-US" w:eastAsia="zh-CN" w:bidi="ar"/>
              </w:rPr>
              <w:t>相符。</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12、选址合理性分析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本项目为塑料薄膜制造项目，位于</w:t>
            </w:r>
            <w:r>
              <w:rPr>
                <w:rFonts w:hint="default" w:ascii="Times New Roman" w:hAnsi="Times New Roman" w:eastAsia="宋体" w:cs="Times New Roman"/>
                <w:color w:val="auto"/>
                <w:sz w:val="24"/>
                <w:szCs w:val="24"/>
                <w:highlight w:val="none"/>
                <w:u w:val="none"/>
                <w:lang w:val="en-US" w:eastAsia="zh-CN"/>
              </w:rPr>
              <w:t>云南省昆明市寻甸特色产业园区金所片区YS2019-87号</w:t>
            </w:r>
            <w:r>
              <w:rPr>
                <w:rFonts w:hint="default" w:ascii="Times New Roman" w:hAnsi="Times New Roman" w:eastAsia="宋体" w:cs="Times New Roman"/>
                <w:b w:val="0"/>
                <w:bCs w:val="0"/>
                <w:color w:val="auto"/>
                <w:kern w:val="0"/>
                <w:sz w:val="24"/>
                <w:szCs w:val="24"/>
                <w:highlight w:val="none"/>
                <w:lang w:val="en-US" w:eastAsia="zh-CN" w:bidi="ar"/>
              </w:rPr>
              <w:t>，用地性质属工业用地，符合园区规划。由于园区基础设施的建设，所选厂地在供电、供水、交通等基础条件十分便利。在采取相应环保措施后，项目产生的废气均可达标排放，对周围环境影响不大；废水可做到不外排，对周围地表水环境影响不大；噪声厂界可达标，不会造成扰民现象；固体废物均能得到合理处置。目前项目周边环境质量良好，外环境较简单，无重大环境制约因素存在。建设用地周围无需要特殊保护的文物、名胜、古迹和文化、自然遗产，不属于自然保护区和风景名胜区的保护范围。</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综上，项目建设场地条件、交通运输、环境保护和水、电、通信等条件好，无重大的环境制约因素，项目选址合理。</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13、项目平面布置合理性分析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本项目位于云南省昆明市寻甸特色产业园区金所片区YS2019-87号，项目周边主要为各生产加工型企业；厂区总图方案功能分区明确，总体划分为两个主要区域，即办公生活区及生产加工区。项目区场地呈东西向，根据项目区地形特点及生产生活的需求，在项目区靠近道路厂界一侧设置1个总出入口，方便物料运进和产品运出；生产车间分为2个，北侧车间自西向东为原辅料堆存区、吹膜区、成品堆放区、配件室，南侧车间全为吹膜生产区；原项目已建的办公生活区位于生产车间外东侧，生产区及办公区有一定的距离，方便厂区管理又不影响工作人员的办公及生活。项目建、构筑物的布置紧凑合理，人货流通畅顺捷，减少交叉。可满足生产系统的加工和储、装、运等主要生产环节的要求。总体布置分区明确，布置合理。</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综上所述，从环保角度考虑，项目布局合理。</w:t>
            </w:r>
          </w:p>
          <w:p>
            <w:pPr>
              <w:pStyle w:val="17"/>
              <w:keepNext w:val="0"/>
              <w:keepLines w:val="0"/>
              <w:pageBreakBefore w:val="0"/>
              <w:widowControl w:val="0"/>
              <w:kinsoku/>
              <w:wordWrap/>
              <w:overflowPunct/>
              <w:topLinePunct w:val="0"/>
              <w:autoSpaceDE/>
              <w:autoSpaceDN/>
              <w:bidi w:val="0"/>
              <w:adjustRightInd w:val="0"/>
              <w:snapToGrid w:val="0"/>
              <w:spacing w:line="336"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14、环境相容性分析</w:t>
            </w:r>
          </w:p>
          <w:p>
            <w:pPr>
              <w:pStyle w:val="71"/>
              <w:keepNext w:val="0"/>
              <w:keepLines w:val="0"/>
              <w:pageBreakBefore w:val="0"/>
              <w:kinsoku/>
              <w:wordWrap/>
              <w:overflowPunct/>
              <w:topLinePunct w:val="0"/>
              <w:bidi w:val="0"/>
              <w:spacing w:line="336" w:lineRule="auto"/>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本项目位于</w:t>
            </w:r>
            <w:r>
              <w:rPr>
                <w:rFonts w:hint="default" w:ascii="Times New Roman" w:hAnsi="Times New Roman" w:eastAsia="宋体" w:cs="Times New Roman"/>
                <w:b w:val="0"/>
                <w:bCs w:val="0"/>
                <w:color w:val="auto"/>
                <w:kern w:val="0"/>
                <w:sz w:val="24"/>
                <w:szCs w:val="24"/>
                <w:highlight w:val="none"/>
                <w:lang w:val="en-US" w:eastAsia="zh-CN" w:bidi="ar"/>
              </w:rPr>
              <w:t>云南省昆明市寻甸特色产业园区金所片区YS2019-87号</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lang w:val="zh-CN" w:eastAsia="zh-CN"/>
              </w:rPr>
              <w:t>根据现场调查，</w:t>
            </w:r>
            <w:r>
              <w:rPr>
                <w:rFonts w:hint="default" w:ascii="Times New Roman" w:hAnsi="Times New Roman" w:eastAsia="宋体" w:cs="Times New Roman"/>
                <w:color w:val="auto"/>
                <w:kern w:val="2"/>
                <w:sz w:val="24"/>
                <w:szCs w:val="24"/>
                <w:highlight w:val="none"/>
                <w:lang w:val="en-US" w:eastAsia="zh-CN" w:bidi="ar-SA"/>
              </w:rPr>
              <w:t>项目周边500m范围内主要为</w:t>
            </w:r>
            <w:r>
              <w:rPr>
                <w:rFonts w:hint="default" w:ascii="Times New Roman" w:hAnsi="Times New Roman" w:eastAsia="宋体" w:cs="Times New Roman"/>
                <w:color w:val="auto"/>
                <w:sz w:val="24"/>
                <w:szCs w:val="24"/>
                <w:highlight w:val="none"/>
              </w:rPr>
              <w:t>生产加工</w:t>
            </w:r>
            <w:r>
              <w:rPr>
                <w:rFonts w:hint="default" w:ascii="Times New Roman" w:hAnsi="Times New Roman" w:eastAsia="宋体" w:cs="Times New Roman"/>
                <w:color w:val="auto"/>
                <w:sz w:val="24"/>
                <w:szCs w:val="24"/>
                <w:highlight w:val="none"/>
                <w:lang w:val="en-US" w:eastAsia="zh-CN"/>
              </w:rPr>
              <w:t>型</w:t>
            </w:r>
            <w:r>
              <w:rPr>
                <w:rFonts w:hint="default" w:ascii="Times New Roman" w:hAnsi="Times New Roman" w:eastAsia="宋体" w:cs="Times New Roman"/>
                <w:color w:val="auto"/>
                <w:kern w:val="2"/>
                <w:sz w:val="24"/>
                <w:szCs w:val="24"/>
                <w:highlight w:val="none"/>
                <w:lang w:val="en-US" w:eastAsia="zh-CN" w:bidi="ar-SA"/>
              </w:rPr>
              <w:t>企业，具体企业分布情况见表。</w:t>
            </w:r>
          </w:p>
          <w:p>
            <w:pPr>
              <w:keepNext w:val="0"/>
              <w:keepLines w:val="0"/>
              <w:pageBreakBefore w:val="0"/>
              <w:widowControl/>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表</w:t>
            </w:r>
            <w:r>
              <w:rPr>
                <w:rFonts w:hint="default" w:ascii="Times New Roman" w:hAnsi="Times New Roman" w:eastAsia="宋体" w:cs="Times New Roman"/>
                <w:b/>
                <w:bCs/>
                <w:color w:val="auto"/>
                <w:spacing w:val="-2"/>
                <w:sz w:val="21"/>
                <w:szCs w:val="21"/>
                <w:highlight w:val="none"/>
                <w:lang w:val="en-US" w:eastAsia="zh-CN"/>
              </w:rPr>
              <w:t xml:space="preserve">1-14  </w:t>
            </w:r>
            <w:r>
              <w:rPr>
                <w:rFonts w:hint="default" w:ascii="Times New Roman" w:hAnsi="Times New Roman" w:eastAsia="宋体" w:cs="Times New Roman"/>
                <w:b/>
                <w:bCs/>
                <w:color w:val="auto"/>
                <w:spacing w:val="-2"/>
                <w:sz w:val="21"/>
                <w:szCs w:val="21"/>
                <w:highlight w:val="none"/>
              </w:rPr>
              <w:t xml:space="preserve"> 本项目周边企业</w:t>
            </w:r>
            <w:r>
              <w:rPr>
                <w:rFonts w:hint="default" w:ascii="Times New Roman" w:hAnsi="Times New Roman" w:eastAsia="宋体" w:cs="Times New Roman"/>
                <w:b/>
                <w:bCs/>
                <w:color w:val="auto"/>
                <w:spacing w:val="-2"/>
                <w:sz w:val="21"/>
                <w:szCs w:val="21"/>
                <w:highlight w:val="none"/>
                <w:lang w:val="en-US" w:eastAsia="zh-CN"/>
              </w:rPr>
              <w:t>情况</w:t>
            </w:r>
            <w:r>
              <w:rPr>
                <w:rFonts w:hint="default" w:ascii="Times New Roman" w:hAnsi="Times New Roman" w:eastAsia="宋体" w:cs="Times New Roman"/>
                <w:b/>
                <w:bCs/>
                <w:color w:val="auto"/>
                <w:spacing w:val="-2"/>
                <w:sz w:val="21"/>
                <w:szCs w:val="21"/>
                <w:highlight w:val="none"/>
              </w:rPr>
              <w:t>一览表</w:t>
            </w:r>
          </w:p>
          <w:tbl>
            <w:tblPr>
              <w:tblStyle w:val="26"/>
              <w:tblW w:w="4975" w:type="pct"/>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413"/>
              <w:gridCol w:w="1569"/>
              <w:gridCol w:w="1078"/>
              <w:gridCol w:w="1113"/>
              <w:gridCol w:w="3672"/>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63" w:type="pct"/>
                  <w:tcBorders>
                    <w:tl2br w:val="nil"/>
                    <w:tr2bl w:val="nil"/>
                  </w:tcBorders>
                  <w:noWrap w:val="0"/>
                  <w:vAlign w:val="center"/>
                </w:tcPr>
                <w:p>
                  <w:pPr>
                    <w:pStyle w:val="77"/>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999" w:type="pct"/>
                  <w:tcBorders>
                    <w:tl2br w:val="nil"/>
                    <w:tr2bl w:val="nil"/>
                  </w:tcBorders>
                  <w:noWrap w:val="0"/>
                  <w:vAlign w:val="center"/>
                </w:tcPr>
                <w:p>
                  <w:pPr>
                    <w:pStyle w:val="77"/>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工业企业单位名称</w:t>
                  </w:r>
                </w:p>
              </w:tc>
              <w:tc>
                <w:tcPr>
                  <w:tcW w:w="686" w:type="pct"/>
                  <w:tcBorders>
                    <w:tl2br w:val="nil"/>
                    <w:tr2bl w:val="nil"/>
                  </w:tcBorders>
                  <w:noWrap w:val="0"/>
                  <w:vAlign w:val="center"/>
                </w:tcPr>
                <w:p>
                  <w:pPr>
                    <w:pStyle w:val="77"/>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0"/>
                      <w:sz w:val="21"/>
                      <w:szCs w:val="21"/>
                      <w:highlight w:val="none"/>
                    </w:rPr>
                    <w:t>与本项目厂界方位、距离</w:t>
                  </w:r>
                </w:p>
              </w:tc>
              <w:tc>
                <w:tcPr>
                  <w:tcW w:w="709" w:type="pct"/>
                  <w:tcBorders>
                    <w:tl2br w:val="nil"/>
                    <w:tr2bl w:val="nil"/>
                  </w:tcBorders>
                  <w:noWrap w:val="0"/>
                  <w:vAlign w:val="center"/>
                </w:tcPr>
                <w:p>
                  <w:pPr>
                    <w:pStyle w:val="77"/>
                    <w:spacing w:before="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z w:val="21"/>
                      <w:szCs w:val="21"/>
                      <w:highlight w:val="none"/>
                    </w:rPr>
                    <w:t>主营业务</w:t>
                  </w:r>
                </w:p>
              </w:tc>
              <w:tc>
                <w:tcPr>
                  <w:tcW w:w="2340" w:type="pct"/>
                  <w:tcBorders>
                    <w:tl2br w:val="nil"/>
                    <w:tr2bl w:val="nil"/>
                  </w:tcBorders>
                  <w:noWrap w:val="0"/>
                  <w:vAlign w:val="center"/>
                </w:tcPr>
                <w:p>
                  <w:pPr>
                    <w:pStyle w:val="77"/>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主要污染物</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63"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999"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b w:val="0"/>
                      <w:bCs w:val="0"/>
                      <w:color w:val="auto"/>
                      <w:sz w:val="21"/>
                      <w:szCs w:val="21"/>
                      <w:highlight w:val="none"/>
                      <w:lang w:val="en-US" w:eastAsia="zh-CN"/>
                    </w:rPr>
                    <w:t>茂源纸业原项目生产车间</w:t>
                  </w:r>
                </w:p>
              </w:tc>
              <w:tc>
                <w:tcPr>
                  <w:tcW w:w="686"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北侧紧邻</w:t>
                  </w:r>
                </w:p>
              </w:tc>
              <w:tc>
                <w:tcPr>
                  <w:tcW w:w="709"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卷纸、抽纸、面巾纸</w:t>
                  </w:r>
                </w:p>
              </w:tc>
              <w:tc>
                <w:tcPr>
                  <w:tcW w:w="2340"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废水：生活污水；废气：颗粒物；噪声；固废；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63"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999"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云南昆和包装印刷有限公司</w:t>
                  </w:r>
                </w:p>
              </w:tc>
              <w:tc>
                <w:tcPr>
                  <w:tcW w:w="686"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北侧45m</w:t>
                  </w:r>
                </w:p>
              </w:tc>
              <w:tc>
                <w:tcPr>
                  <w:tcW w:w="709"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印刷</w:t>
                  </w:r>
                </w:p>
              </w:tc>
              <w:tc>
                <w:tcPr>
                  <w:tcW w:w="2340"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highlight w:val="none"/>
                    </w:rPr>
                    <w:t>废水：</w:t>
                  </w:r>
                  <w:r>
                    <w:rPr>
                      <w:rFonts w:hint="default" w:ascii="Times New Roman" w:hAnsi="Times New Roman" w:eastAsia="宋体" w:cs="Times New Roman"/>
                      <w:color w:val="auto"/>
                      <w:sz w:val="21"/>
                      <w:szCs w:val="21"/>
                      <w:highlight w:val="none"/>
                      <w:lang w:val="en-US" w:eastAsia="zh-CN"/>
                    </w:rPr>
                    <w:t>生产废水、</w:t>
                  </w:r>
                  <w:r>
                    <w:rPr>
                      <w:rFonts w:hint="default" w:ascii="Times New Roman" w:hAnsi="Times New Roman" w:eastAsia="宋体" w:cs="Times New Roman"/>
                      <w:color w:val="auto"/>
                      <w:sz w:val="21"/>
                      <w:szCs w:val="21"/>
                      <w:highlight w:val="none"/>
                    </w:rPr>
                    <w:t>生活污水；废气：</w:t>
                  </w:r>
                  <w:r>
                    <w:rPr>
                      <w:rFonts w:hint="default" w:ascii="Times New Roman" w:hAnsi="Times New Roman" w:eastAsia="宋体" w:cs="Times New Roman"/>
                      <w:color w:val="auto"/>
                      <w:spacing w:val="6"/>
                      <w:sz w:val="21"/>
                      <w:szCs w:val="21"/>
                      <w:highlight w:val="none"/>
                    </w:rPr>
                    <w:t>颗粒物</w:t>
                  </w:r>
                  <w:r>
                    <w:rPr>
                      <w:rFonts w:hint="default" w:ascii="Times New Roman" w:hAnsi="Times New Roman" w:eastAsia="宋体" w:cs="Times New Roman"/>
                      <w:color w:val="auto"/>
                      <w:spacing w:val="6"/>
                      <w:sz w:val="21"/>
                      <w:szCs w:val="21"/>
                      <w:highlight w:val="none"/>
                      <w:lang w:eastAsia="zh-CN"/>
                    </w:rPr>
                    <w:t>、</w:t>
                  </w:r>
                  <w:r>
                    <w:rPr>
                      <w:rFonts w:hint="default" w:ascii="Times New Roman" w:hAnsi="Times New Roman" w:eastAsia="宋体" w:cs="Times New Roman"/>
                      <w:color w:val="auto"/>
                      <w:spacing w:val="6"/>
                      <w:sz w:val="21"/>
                      <w:szCs w:val="21"/>
                      <w:highlight w:val="none"/>
                      <w:lang w:val="en-US" w:eastAsia="zh-CN"/>
                    </w:rPr>
                    <w:t>非甲烷总烃</w:t>
                  </w:r>
                  <w:r>
                    <w:rPr>
                      <w:rFonts w:hint="default" w:ascii="Times New Roman" w:hAnsi="Times New Roman" w:eastAsia="宋体" w:cs="Times New Roman"/>
                      <w:color w:val="auto"/>
                      <w:sz w:val="21"/>
                      <w:szCs w:val="21"/>
                      <w:highlight w:val="none"/>
                    </w:rPr>
                    <w:t>；噪声；固废；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63"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999"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寻甸县金所金海路润竹纸业</w:t>
                  </w:r>
                </w:p>
              </w:tc>
              <w:tc>
                <w:tcPr>
                  <w:tcW w:w="686"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z w:val="21"/>
                      <w:szCs w:val="21"/>
                      <w:highlight w:val="none"/>
                      <w:lang w:val="en-US" w:eastAsia="zh-CN"/>
                    </w:rPr>
                    <w:t>西侧70m</w:t>
                  </w:r>
                </w:p>
              </w:tc>
              <w:tc>
                <w:tcPr>
                  <w:tcW w:w="709"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纸品</w:t>
                  </w:r>
                </w:p>
              </w:tc>
              <w:tc>
                <w:tcPr>
                  <w:tcW w:w="2340"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highlight w:val="none"/>
                    </w:rPr>
                    <w:t>废水：生活污水；废气：</w:t>
                  </w:r>
                  <w:r>
                    <w:rPr>
                      <w:rFonts w:hint="default" w:ascii="Times New Roman" w:hAnsi="Times New Roman" w:eastAsia="宋体" w:cs="Times New Roman"/>
                      <w:color w:val="auto"/>
                      <w:spacing w:val="6"/>
                      <w:sz w:val="21"/>
                      <w:szCs w:val="21"/>
                      <w:highlight w:val="none"/>
                    </w:rPr>
                    <w:t>颗粒物</w:t>
                  </w:r>
                  <w:r>
                    <w:rPr>
                      <w:rFonts w:hint="default" w:ascii="Times New Roman" w:hAnsi="Times New Roman" w:eastAsia="宋体" w:cs="Times New Roman"/>
                      <w:color w:val="auto"/>
                      <w:sz w:val="21"/>
                      <w:szCs w:val="21"/>
                      <w:highlight w:val="none"/>
                    </w:rPr>
                    <w:t>；噪声；固废；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63"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w:t>
                  </w:r>
                </w:p>
              </w:tc>
              <w:tc>
                <w:tcPr>
                  <w:tcW w:w="999"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嘉旗卫生用品有限公司</w:t>
                  </w:r>
                </w:p>
              </w:tc>
              <w:tc>
                <w:tcPr>
                  <w:tcW w:w="686"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z w:val="21"/>
                      <w:szCs w:val="21"/>
                      <w:highlight w:val="none"/>
                      <w:lang w:val="en-US" w:eastAsia="zh-CN"/>
                    </w:rPr>
                    <w:t>西侧150m</w:t>
                  </w:r>
                </w:p>
              </w:tc>
              <w:tc>
                <w:tcPr>
                  <w:tcW w:w="709"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纸品</w:t>
                  </w:r>
                </w:p>
              </w:tc>
              <w:tc>
                <w:tcPr>
                  <w:tcW w:w="2340"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highlight w:val="none"/>
                    </w:rPr>
                    <w:t>废水：生活污水；废气：</w:t>
                  </w:r>
                  <w:r>
                    <w:rPr>
                      <w:rFonts w:hint="default" w:ascii="Times New Roman" w:hAnsi="Times New Roman" w:eastAsia="宋体" w:cs="Times New Roman"/>
                      <w:color w:val="auto"/>
                      <w:spacing w:val="6"/>
                      <w:sz w:val="21"/>
                      <w:szCs w:val="21"/>
                      <w:highlight w:val="none"/>
                    </w:rPr>
                    <w:t>颗粒物</w:t>
                  </w:r>
                  <w:r>
                    <w:rPr>
                      <w:rFonts w:hint="default" w:ascii="Times New Roman" w:hAnsi="Times New Roman" w:eastAsia="宋体" w:cs="Times New Roman"/>
                      <w:color w:val="auto"/>
                      <w:sz w:val="21"/>
                      <w:szCs w:val="21"/>
                      <w:highlight w:val="none"/>
                    </w:rPr>
                    <w:t>；噪声；固废；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63"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w:t>
                  </w:r>
                </w:p>
              </w:tc>
              <w:tc>
                <w:tcPr>
                  <w:tcW w:w="999"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云南铭利新型建材有限公司</w:t>
                  </w:r>
                </w:p>
              </w:tc>
              <w:tc>
                <w:tcPr>
                  <w:tcW w:w="686"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北侧210m</w:t>
                  </w:r>
                </w:p>
              </w:tc>
              <w:tc>
                <w:tcPr>
                  <w:tcW w:w="709"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人造板、塑料制品</w:t>
                  </w:r>
                </w:p>
              </w:tc>
              <w:tc>
                <w:tcPr>
                  <w:tcW w:w="2340"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highlight w:val="none"/>
                    </w:rPr>
                    <w:t>废水：</w:t>
                  </w:r>
                  <w:r>
                    <w:rPr>
                      <w:rFonts w:hint="default" w:ascii="Times New Roman" w:hAnsi="Times New Roman" w:eastAsia="宋体" w:cs="Times New Roman"/>
                      <w:color w:val="auto"/>
                      <w:sz w:val="21"/>
                      <w:szCs w:val="21"/>
                      <w:highlight w:val="none"/>
                      <w:lang w:val="en-US" w:eastAsia="zh-CN"/>
                    </w:rPr>
                    <w:t>生产废水、</w:t>
                  </w:r>
                  <w:r>
                    <w:rPr>
                      <w:rFonts w:hint="default" w:ascii="Times New Roman" w:hAnsi="Times New Roman" w:eastAsia="宋体" w:cs="Times New Roman"/>
                      <w:color w:val="auto"/>
                      <w:sz w:val="21"/>
                      <w:szCs w:val="21"/>
                      <w:highlight w:val="none"/>
                    </w:rPr>
                    <w:t>生活污水；废气：</w:t>
                  </w:r>
                  <w:r>
                    <w:rPr>
                      <w:rFonts w:hint="default" w:ascii="Times New Roman" w:hAnsi="Times New Roman" w:eastAsia="宋体" w:cs="Times New Roman"/>
                      <w:color w:val="auto"/>
                      <w:spacing w:val="6"/>
                      <w:sz w:val="21"/>
                      <w:szCs w:val="21"/>
                      <w:highlight w:val="none"/>
                    </w:rPr>
                    <w:t>颗粒物、SO</w:t>
                  </w:r>
                  <w:r>
                    <w:rPr>
                      <w:rFonts w:hint="default" w:ascii="Times New Roman" w:hAnsi="Times New Roman" w:eastAsia="宋体" w:cs="Times New Roman"/>
                      <w:color w:val="auto"/>
                      <w:spacing w:val="6"/>
                      <w:sz w:val="21"/>
                      <w:szCs w:val="21"/>
                      <w:highlight w:val="none"/>
                      <w:vertAlign w:val="subscript"/>
                    </w:rPr>
                    <w:t>2</w:t>
                  </w:r>
                  <w:r>
                    <w:rPr>
                      <w:rFonts w:hint="default" w:ascii="Times New Roman" w:hAnsi="Times New Roman" w:eastAsia="宋体" w:cs="Times New Roman"/>
                      <w:color w:val="auto"/>
                      <w:spacing w:val="6"/>
                      <w:sz w:val="21"/>
                      <w:szCs w:val="21"/>
                      <w:highlight w:val="none"/>
                    </w:rPr>
                    <w:t>、NO</w:t>
                  </w:r>
                  <w:r>
                    <w:rPr>
                      <w:rFonts w:hint="default" w:ascii="Times New Roman" w:hAnsi="Times New Roman" w:eastAsia="宋体" w:cs="Times New Roman"/>
                      <w:color w:val="auto"/>
                      <w:spacing w:val="6"/>
                      <w:sz w:val="21"/>
                      <w:szCs w:val="21"/>
                      <w:highlight w:val="none"/>
                      <w:vertAlign w:val="subscript"/>
                    </w:rPr>
                    <w:t>X</w:t>
                  </w:r>
                  <w:r>
                    <w:rPr>
                      <w:rFonts w:hint="default" w:ascii="Times New Roman" w:hAnsi="Times New Roman" w:eastAsia="宋体" w:cs="Times New Roman"/>
                      <w:color w:val="auto"/>
                      <w:spacing w:val="6"/>
                      <w:sz w:val="21"/>
                      <w:szCs w:val="21"/>
                      <w:highlight w:val="none"/>
                    </w:rPr>
                    <w:t>、TVOC</w:t>
                  </w:r>
                  <w:r>
                    <w:rPr>
                      <w:rFonts w:hint="default" w:ascii="Times New Roman" w:hAnsi="Times New Roman" w:eastAsia="宋体" w:cs="Times New Roman"/>
                      <w:color w:val="auto"/>
                      <w:sz w:val="21"/>
                      <w:szCs w:val="21"/>
                      <w:highlight w:val="none"/>
                    </w:rPr>
                    <w:t>；噪声；固废；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63"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w:t>
                  </w:r>
                </w:p>
              </w:tc>
              <w:tc>
                <w:tcPr>
                  <w:tcW w:w="999"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云南五和祥纸业有限公司</w:t>
                  </w:r>
                </w:p>
              </w:tc>
              <w:tc>
                <w:tcPr>
                  <w:tcW w:w="686"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南侧紧邻</w:t>
                  </w:r>
                </w:p>
              </w:tc>
              <w:tc>
                <w:tcPr>
                  <w:tcW w:w="709"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纸品</w:t>
                  </w:r>
                </w:p>
              </w:tc>
              <w:tc>
                <w:tcPr>
                  <w:tcW w:w="2340"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highlight w:val="none"/>
                    </w:rPr>
                    <w:t>废水：生活污水；废气：</w:t>
                  </w:r>
                  <w:r>
                    <w:rPr>
                      <w:rFonts w:hint="default" w:ascii="Times New Roman" w:hAnsi="Times New Roman" w:eastAsia="宋体" w:cs="Times New Roman"/>
                      <w:color w:val="auto"/>
                      <w:spacing w:val="6"/>
                      <w:sz w:val="21"/>
                      <w:szCs w:val="21"/>
                      <w:highlight w:val="none"/>
                    </w:rPr>
                    <w:t>颗粒物</w:t>
                  </w:r>
                  <w:r>
                    <w:rPr>
                      <w:rFonts w:hint="default" w:ascii="Times New Roman" w:hAnsi="Times New Roman" w:eastAsia="宋体" w:cs="Times New Roman"/>
                      <w:color w:val="auto"/>
                      <w:sz w:val="21"/>
                      <w:szCs w:val="21"/>
                      <w:highlight w:val="none"/>
                    </w:rPr>
                    <w:t>；噪声；固废；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63"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w:t>
                  </w:r>
                </w:p>
              </w:tc>
              <w:tc>
                <w:tcPr>
                  <w:tcW w:w="999"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昆明正能博美纸业有限公司</w:t>
                  </w:r>
                </w:p>
              </w:tc>
              <w:tc>
                <w:tcPr>
                  <w:tcW w:w="686"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z w:val="21"/>
                      <w:szCs w:val="21"/>
                      <w:highlight w:val="none"/>
                      <w:lang w:val="en-US" w:eastAsia="zh-CN"/>
                    </w:rPr>
                    <w:t>西南侧80m</w:t>
                  </w:r>
                </w:p>
              </w:tc>
              <w:tc>
                <w:tcPr>
                  <w:tcW w:w="709"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纸品</w:t>
                  </w:r>
                </w:p>
              </w:tc>
              <w:tc>
                <w:tcPr>
                  <w:tcW w:w="2340"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highlight w:val="none"/>
                    </w:rPr>
                    <w:t>废水：生活污水；废气：</w:t>
                  </w:r>
                  <w:r>
                    <w:rPr>
                      <w:rFonts w:hint="default" w:ascii="Times New Roman" w:hAnsi="Times New Roman" w:eastAsia="宋体" w:cs="Times New Roman"/>
                      <w:color w:val="auto"/>
                      <w:spacing w:val="6"/>
                      <w:sz w:val="21"/>
                      <w:szCs w:val="21"/>
                      <w:highlight w:val="none"/>
                    </w:rPr>
                    <w:t>颗粒物</w:t>
                  </w:r>
                  <w:r>
                    <w:rPr>
                      <w:rFonts w:hint="default" w:ascii="Times New Roman" w:hAnsi="Times New Roman" w:eastAsia="宋体" w:cs="Times New Roman"/>
                      <w:color w:val="auto"/>
                      <w:sz w:val="21"/>
                      <w:szCs w:val="21"/>
                      <w:highlight w:val="none"/>
                    </w:rPr>
                    <w:t>；噪声；固废；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63"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w:t>
                  </w:r>
                </w:p>
              </w:tc>
              <w:tc>
                <w:tcPr>
                  <w:tcW w:w="999"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云南拓欣机械设备有限公司</w:t>
                  </w:r>
                </w:p>
              </w:tc>
              <w:tc>
                <w:tcPr>
                  <w:tcW w:w="686"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z w:val="21"/>
                      <w:szCs w:val="21"/>
                      <w:highlight w:val="none"/>
                      <w:lang w:val="en-US" w:eastAsia="zh-CN"/>
                    </w:rPr>
                    <w:t>西南侧280m</w:t>
                  </w:r>
                </w:p>
              </w:tc>
              <w:tc>
                <w:tcPr>
                  <w:tcW w:w="709"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机械设备</w:t>
                  </w:r>
                </w:p>
              </w:tc>
              <w:tc>
                <w:tcPr>
                  <w:tcW w:w="2340"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color w:val="auto"/>
                      <w:sz w:val="21"/>
                      <w:szCs w:val="21"/>
                      <w:highlight w:val="none"/>
                    </w:rPr>
                    <w:t>废水：</w:t>
                  </w:r>
                  <w:r>
                    <w:rPr>
                      <w:rFonts w:hint="default" w:ascii="Times New Roman" w:hAnsi="Times New Roman" w:eastAsia="宋体" w:cs="Times New Roman"/>
                      <w:color w:val="auto"/>
                      <w:sz w:val="21"/>
                      <w:szCs w:val="21"/>
                      <w:highlight w:val="none"/>
                      <w:lang w:val="en-US" w:eastAsia="zh-CN"/>
                    </w:rPr>
                    <w:t>生产废水、</w:t>
                  </w:r>
                  <w:r>
                    <w:rPr>
                      <w:rFonts w:hint="default" w:ascii="Times New Roman" w:hAnsi="Times New Roman" w:eastAsia="宋体" w:cs="Times New Roman"/>
                      <w:color w:val="auto"/>
                      <w:sz w:val="21"/>
                      <w:szCs w:val="21"/>
                      <w:highlight w:val="none"/>
                    </w:rPr>
                    <w:t>生活污水；废气：</w:t>
                  </w:r>
                  <w:r>
                    <w:rPr>
                      <w:rFonts w:hint="default" w:ascii="Times New Roman" w:hAnsi="Times New Roman" w:eastAsia="宋体" w:cs="Times New Roman"/>
                      <w:color w:val="auto"/>
                      <w:spacing w:val="6"/>
                      <w:sz w:val="21"/>
                      <w:szCs w:val="21"/>
                      <w:highlight w:val="none"/>
                    </w:rPr>
                    <w:t>颗粒物、SO</w:t>
                  </w:r>
                  <w:r>
                    <w:rPr>
                      <w:rFonts w:hint="default" w:ascii="Times New Roman" w:hAnsi="Times New Roman" w:eastAsia="宋体" w:cs="Times New Roman"/>
                      <w:color w:val="auto"/>
                      <w:spacing w:val="6"/>
                      <w:sz w:val="21"/>
                      <w:szCs w:val="21"/>
                      <w:highlight w:val="none"/>
                      <w:vertAlign w:val="subscript"/>
                    </w:rPr>
                    <w:t>2</w:t>
                  </w:r>
                  <w:r>
                    <w:rPr>
                      <w:rFonts w:hint="default" w:ascii="Times New Roman" w:hAnsi="Times New Roman" w:eastAsia="宋体" w:cs="Times New Roman"/>
                      <w:color w:val="auto"/>
                      <w:spacing w:val="6"/>
                      <w:sz w:val="21"/>
                      <w:szCs w:val="21"/>
                      <w:highlight w:val="none"/>
                    </w:rPr>
                    <w:t>、NO</w:t>
                  </w:r>
                  <w:r>
                    <w:rPr>
                      <w:rFonts w:hint="default" w:ascii="Times New Roman" w:hAnsi="Times New Roman" w:eastAsia="宋体" w:cs="Times New Roman"/>
                      <w:color w:val="auto"/>
                      <w:spacing w:val="6"/>
                      <w:sz w:val="21"/>
                      <w:szCs w:val="21"/>
                      <w:highlight w:val="none"/>
                      <w:vertAlign w:val="subscript"/>
                    </w:rPr>
                    <w:t>X</w:t>
                  </w:r>
                  <w:r>
                    <w:rPr>
                      <w:rFonts w:hint="default" w:ascii="Times New Roman" w:hAnsi="Times New Roman" w:eastAsia="宋体" w:cs="Times New Roman"/>
                      <w:color w:val="auto"/>
                      <w:spacing w:val="6"/>
                      <w:sz w:val="21"/>
                      <w:szCs w:val="21"/>
                      <w:highlight w:val="none"/>
                    </w:rPr>
                    <w:t>、TVOC</w:t>
                  </w:r>
                  <w:r>
                    <w:rPr>
                      <w:rFonts w:hint="default" w:ascii="Times New Roman" w:hAnsi="Times New Roman" w:eastAsia="宋体" w:cs="Times New Roman"/>
                      <w:color w:val="auto"/>
                      <w:sz w:val="21"/>
                      <w:szCs w:val="21"/>
                      <w:highlight w:val="none"/>
                    </w:rPr>
                    <w:t>；噪声；固废</w:t>
                  </w:r>
                  <w:r>
                    <w:rPr>
                      <w:rFonts w:hint="default" w:ascii="Times New Roman" w:hAnsi="Times New Roman" w:eastAsia="宋体" w:cs="Times New Roman"/>
                      <w:color w:val="auto"/>
                      <w:sz w:val="21"/>
                      <w:szCs w:val="21"/>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63"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w:t>
                  </w:r>
                </w:p>
              </w:tc>
              <w:tc>
                <w:tcPr>
                  <w:tcW w:w="999"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昆明铂林塑胶制品有限公司</w:t>
                  </w:r>
                </w:p>
              </w:tc>
              <w:tc>
                <w:tcPr>
                  <w:tcW w:w="686"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z w:val="21"/>
                      <w:szCs w:val="21"/>
                      <w:highlight w:val="none"/>
                      <w:lang w:val="en-US" w:eastAsia="zh-CN"/>
                    </w:rPr>
                    <w:t>西南侧600m</w:t>
                  </w:r>
                </w:p>
              </w:tc>
              <w:tc>
                <w:tcPr>
                  <w:tcW w:w="709"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highlight w:val="none"/>
                      <w:lang w:val="en-US" w:eastAsia="zh-CN"/>
                    </w:rPr>
                    <w:t>PVC封边条、热熔胶</w:t>
                  </w:r>
                </w:p>
              </w:tc>
              <w:tc>
                <w:tcPr>
                  <w:tcW w:w="2340"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highlight w:val="none"/>
                    </w:rPr>
                    <w:t>废水：生活污水；废气：</w:t>
                  </w:r>
                  <w:r>
                    <w:rPr>
                      <w:rFonts w:hint="default" w:ascii="Times New Roman" w:hAnsi="Times New Roman" w:eastAsia="宋体" w:cs="Times New Roman"/>
                      <w:color w:val="auto"/>
                      <w:spacing w:val="6"/>
                      <w:sz w:val="21"/>
                      <w:szCs w:val="21"/>
                      <w:highlight w:val="none"/>
                    </w:rPr>
                    <w:t>颗粒物、</w:t>
                  </w:r>
                  <w:r>
                    <w:rPr>
                      <w:rFonts w:hint="default" w:ascii="Times New Roman" w:hAnsi="Times New Roman" w:eastAsia="宋体" w:cs="Times New Roman"/>
                      <w:color w:val="auto"/>
                      <w:spacing w:val="6"/>
                      <w:sz w:val="21"/>
                      <w:szCs w:val="21"/>
                      <w:highlight w:val="none"/>
                      <w:lang w:val="en-US" w:eastAsia="zh-CN"/>
                    </w:rPr>
                    <w:t>氯化氢、氯乙烯</w:t>
                  </w:r>
                  <w:r>
                    <w:rPr>
                      <w:rFonts w:hint="default" w:ascii="Times New Roman" w:hAnsi="Times New Roman" w:eastAsia="宋体" w:cs="Times New Roman"/>
                      <w:color w:val="auto"/>
                      <w:spacing w:val="6"/>
                      <w:sz w:val="21"/>
                      <w:szCs w:val="21"/>
                      <w:highlight w:val="none"/>
                    </w:rPr>
                    <w:t>、TVOC</w:t>
                  </w:r>
                  <w:r>
                    <w:rPr>
                      <w:rFonts w:hint="default" w:ascii="Times New Roman" w:hAnsi="Times New Roman" w:eastAsia="宋体" w:cs="Times New Roman"/>
                      <w:color w:val="auto"/>
                      <w:sz w:val="21"/>
                      <w:szCs w:val="21"/>
                      <w:highlight w:val="none"/>
                    </w:rPr>
                    <w:t>；噪声；固废；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63"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w:t>
                  </w:r>
                </w:p>
              </w:tc>
              <w:tc>
                <w:tcPr>
                  <w:tcW w:w="999"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云南龙相新型材料科技有限公司</w:t>
                  </w:r>
                </w:p>
              </w:tc>
              <w:tc>
                <w:tcPr>
                  <w:tcW w:w="686"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z w:val="21"/>
                      <w:szCs w:val="21"/>
                      <w:highlight w:val="none"/>
                      <w:lang w:val="en-US" w:eastAsia="zh-CN"/>
                    </w:rPr>
                    <w:t>西南侧470m</w:t>
                  </w:r>
                </w:p>
              </w:tc>
              <w:tc>
                <w:tcPr>
                  <w:tcW w:w="709"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建筑装饰材料</w:t>
                  </w:r>
                </w:p>
              </w:tc>
              <w:tc>
                <w:tcPr>
                  <w:tcW w:w="2340"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highlight w:val="none"/>
                    </w:rPr>
                    <w:t>废水：生活污水；废气：</w:t>
                  </w:r>
                  <w:r>
                    <w:rPr>
                      <w:rFonts w:hint="default" w:ascii="Times New Roman" w:hAnsi="Times New Roman" w:eastAsia="宋体" w:cs="Times New Roman"/>
                      <w:color w:val="auto"/>
                      <w:spacing w:val="6"/>
                      <w:sz w:val="21"/>
                      <w:szCs w:val="21"/>
                      <w:highlight w:val="none"/>
                    </w:rPr>
                    <w:t>颗粒物、TVOC</w:t>
                  </w:r>
                  <w:r>
                    <w:rPr>
                      <w:rFonts w:hint="default" w:ascii="Times New Roman" w:hAnsi="Times New Roman" w:eastAsia="宋体" w:cs="Times New Roman"/>
                      <w:color w:val="auto"/>
                      <w:sz w:val="21"/>
                      <w:szCs w:val="21"/>
                      <w:highlight w:val="none"/>
                    </w:rPr>
                    <w:t>；噪声；固废；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63"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11</w:t>
                  </w:r>
                </w:p>
              </w:tc>
              <w:tc>
                <w:tcPr>
                  <w:tcW w:w="999"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云南格威电器有限公司</w:t>
                  </w:r>
                </w:p>
              </w:tc>
              <w:tc>
                <w:tcPr>
                  <w:tcW w:w="686"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z w:val="21"/>
                      <w:szCs w:val="21"/>
                      <w:highlight w:val="none"/>
                      <w:lang w:val="en-US" w:eastAsia="zh-CN"/>
                    </w:rPr>
                    <w:t>西南侧470m</w:t>
                  </w:r>
                </w:p>
              </w:tc>
              <w:tc>
                <w:tcPr>
                  <w:tcW w:w="709"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电器</w:t>
                  </w:r>
                </w:p>
              </w:tc>
              <w:tc>
                <w:tcPr>
                  <w:tcW w:w="2340"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highlight w:val="none"/>
                    </w:rPr>
                    <w:t>废水：生活污水；废气：</w:t>
                  </w:r>
                  <w:r>
                    <w:rPr>
                      <w:rFonts w:hint="default" w:ascii="Times New Roman" w:hAnsi="Times New Roman" w:eastAsia="宋体" w:cs="Times New Roman"/>
                      <w:color w:val="auto"/>
                      <w:spacing w:val="6"/>
                      <w:sz w:val="21"/>
                      <w:szCs w:val="21"/>
                      <w:highlight w:val="none"/>
                    </w:rPr>
                    <w:t>颗粒物、SO</w:t>
                  </w:r>
                  <w:r>
                    <w:rPr>
                      <w:rFonts w:hint="default" w:ascii="Times New Roman" w:hAnsi="Times New Roman" w:eastAsia="宋体" w:cs="Times New Roman"/>
                      <w:color w:val="auto"/>
                      <w:spacing w:val="6"/>
                      <w:sz w:val="21"/>
                      <w:szCs w:val="21"/>
                      <w:highlight w:val="none"/>
                      <w:vertAlign w:val="subscript"/>
                    </w:rPr>
                    <w:t>2</w:t>
                  </w:r>
                  <w:r>
                    <w:rPr>
                      <w:rFonts w:hint="default" w:ascii="Times New Roman" w:hAnsi="Times New Roman" w:eastAsia="宋体" w:cs="Times New Roman"/>
                      <w:color w:val="auto"/>
                      <w:spacing w:val="6"/>
                      <w:sz w:val="21"/>
                      <w:szCs w:val="21"/>
                      <w:highlight w:val="none"/>
                    </w:rPr>
                    <w:t>、NO</w:t>
                  </w:r>
                  <w:r>
                    <w:rPr>
                      <w:rFonts w:hint="default" w:ascii="Times New Roman" w:hAnsi="Times New Roman" w:eastAsia="宋体" w:cs="Times New Roman"/>
                      <w:color w:val="auto"/>
                      <w:spacing w:val="6"/>
                      <w:sz w:val="21"/>
                      <w:szCs w:val="21"/>
                      <w:highlight w:val="none"/>
                      <w:vertAlign w:val="subscript"/>
                    </w:rPr>
                    <w:t>X</w:t>
                  </w:r>
                  <w:r>
                    <w:rPr>
                      <w:rFonts w:hint="default" w:ascii="Times New Roman" w:hAnsi="Times New Roman" w:eastAsia="宋体" w:cs="Times New Roman"/>
                      <w:color w:val="auto"/>
                      <w:spacing w:val="6"/>
                      <w:sz w:val="21"/>
                      <w:szCs w:val="21"/>
                      <w:highlight w:val="none"/>
                    </w:rPr>
                    <w:t>、TVOC</w:t>
                  </w:r>
                  <w:r>
                    <w:rPr>
                      <w:rFonts w:hint="default" w:ascii="Times New Roman" w:hAnsi="Times New Roman" w:eastAsia="宋体" w:cs="Times New Roman"/>
                      <w:color w:val="auto"/>
                      <w:sz w:val="21"/>
                      <w:szCs w:val="21"/>
                      <w:highlight w:val="none"/>
                    </w:rPr>
                    <w:t>；噪声；固废；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63"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w:t>
                  </w:r>
                </w:p>
              </w:tc>
              <w:tc>
                <w:tcPr>
                  <w:tcW w:w="999"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云南本控机电有限公司</w:t>
                  </w:r>
                </w:p>
              </w:tc>
              <w:tc>
                <w:tcPr>
                  <w:tcW w:w="686"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南侧410m</w:t>
                  </w:r>
                </w:p>
              </w:tc>
              <w:tc>
                <w:tcPr>
                  <w:tcW w:w="709"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电力机械设备</w:t>
                  </w:r>
                </w:p>
              </w:tc>
              <w:tc>
                <w:tcPr>
                  <w:tcW w:w="2340"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废水：</w:t>
                  </w:r>
                  <w:r>
                    <w:rPr>
                      <w:rFonts w:hint="default" w:ascii="Times New Roman" w:hAnsi="Times New Roman" w:eastAsia="宋体" w:cs="Times New Roman"/>
                      <w:color w:val="auto"/>
                      <w:sz w:val="21"/>
                      <w:szCs w:val="21"/>
                      <w:highlight w:val="none"/>
                      <w:lang w:val="en-US" w:eastAsia="zh-CN"/>
                    </w:rPr>
                    <w:t>生产废水、</w:t>
                  </w:r>
                  <w:r>
                    <w:rPr>
                      <w:rFonts w:hint="default" w:ascii="Times New Roman" w:hAnsi="Times New Roman" w:eastAsia="宋体" w:cs="Times New Roman"/>
                      <w:color w:val="auto"/>
                      <w:sz w:val="21"/>
                      <w:szCs w:val="21"/>
                      <w:highlight w:val="none"/>
                    </w:rPr>
                    <w:t>生活污水；废气：</w:t>
                  </w:r>
                  <w:r>
                    <w:rPr>
                      <w:rFonts w:hint="default" w:ascii="Times New Roman" w:hAnsi="Times New Roman" w:eastAsia="宋体" w:cs="Times New Roman"/>
                      <w:color w:val="auto"/>
                      <w:spacing w:val="6"/>
                      <w:sz w:val="21"/>
                      <w:szCs w:val="21"/>
                      <w:highlight w:val="none"/>
                    </w:rPr>
                    <w:t>颗粒物、SO</w:t>
                  </w:r>
                  <w:r>
                    <w:rPr>
                      <w:rFonts w:hint="default" w:ascii="Times New Roman" w:hAnsi="Times New Roman" w:eastAsia="宋体" w:cs="Times New Roman"/>
                      <w:color w:val="auto"/>
                      <w:spacing w:val="6"/>
                      <w:sz w:val="21"/>
                      <w:szCs w:val="21"/>
                      <w:highlight w:val="none"/>
                      <w:vertAlign w:val="subscript"/>
                    </w:rPr>
                    <w:t>2</w:t>
                  </w:r>
                  <w:r>
                    <w:rPr>
                      <w:rFonts w:hint="default" w:ascii="Times New Roman" w:hAnsi="Times New Roman" w:eastAsia="宋体" w:cs="Times New Roman"/>
                      <w:color w:val="auto"/>
                      <w:spacing w:val="6"/>
                      <w:sz w:val="21"/>
                      <w:szCs w:val="21"/>
                      <w:highlight w:val="none"/>
                    </w:rPr>
                    <w:t>、NO</w:t>
                  </w:r>
                  <w:r>
                    <w:rPr>
                      <w:rFonts w:hint="default" w:ascii="Times New Roman" w:hAnsi="Times New Roman" w:eastAsia="宋体" w:cs="Times New Roman"/>
                      <w:color w:val="auto"/>
                      <w:spacing w:val="6"/>
                      <w:sz w:val="21"/>
                      <w:szCs w:val="21"/>
                      <w:highlight w:val="none"/>
                      <w:vertAlign w:val="subscript"/>
                    </w:rPr>
                    <w:t>X</w:t>
                  </w:r>
                  <w:r>
                    <w:rPr>
                      <w:rFonts w:hint="default" w:ascii="Times New Roman" w:hAnsi="Times New Roman" w:eastAsia="宋体" w:cs="Times New Roman"/>
                      <w:color w:val="auto"/>
                      <w:spacing w:val="6"/>
                      <w:sz w:val="21"/>
                      <w:szCs w:val="21"/>
                      <w:highlight w:val="none"/>
                    </w:rPr>
                    <w:t>、TVOC</w:t>
                  </w:r>
                  <w:r>
                    <w:rPr>
                      <w:rFonts w:hint="default" w:ascii="Times New Roman" w:hAnsi="Times New Roman" w:eastAsia="宋体" w:cs="Times New Roman"/>
                      <w:color w:val="auto"/>
                      <w:sz w:val="21"/>
                      <w:szCs w:val="21"/>
                      <w:highlight w:val="none"/>
                    </w:rPr>
                    <w:t>；噪声；固废</w:t>
                  </w:r>
                  <w:r>
                    <w:rPr>
                      <w:rFonts w:hint="default" w:ascii="Times New Roman" w:hAnsi="Times New Roman" w:eastAsia="宋体" w:cs="Times New Roman"/>
                      <w:color w:val="auto"/>
                      <w:sz w:val="21"/>
                      <w:szCs w:val="21"/>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63"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13</w:t>
                  </w:r>
                </w:p>
              </w:tc>
              <w:tc>
                <w:tcPr>
                  <w:tcW w:w="999"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鹏达冠得家具</w:t>
                  </w:r>
                </w:p>
              </w:tc>
              <w:tc>
                <w:tcPr>
                  <w:tcW w:w="686"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南侧280m</w:t>
                  </w:r>
                </w:p>
              </w:tc>
              <w:tc>
                <w:tcPr>
                  <w:tcW w:w="709"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highlight w:val="none"/>
                      <w:lang w:val="en-US" w:eastAsia="zh-CN"/>
                    </w:rPr>
                    <w:t>家具</w:t>
                  </w:r>
                </w:p>
              </w:tc>
              <w:tc>
                <w:tcPr>
                  <w:tcW w:w="2340" w:type="pct"/>
                  <w:tcBorders>
                    <w:tl2br w:val="nil"/>
                    <w:tr2bl w:val="nil"/>
                  </w:tcBorders>
                  <w:noWrap w:val="0"/>
                  <w:vAlign w:val="center"/>
                </w:tcPr>
                <w:p>
                  <w:pPr>
                    <w:pStyle w:val="77"/>
                    <w:spacing w:before="0"/>
                    <w:jc w:val="left"/>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highlight w:val="none"/>
                    </w:rPr>
                    <w:t>废水：生活污水；废气：</w:t>
                  </w:r>
                  <w:r>
                    <w:rPr>
                      <w:rFonts w:hint="default" w:ascii="Times New Roman" w:hAnsi="Times New Roman" w:eastAsia="宋体" w:cs="Times New Roman"/>
                      <w:color w:val="auto"/>
                      <w:spacing w:val="6"/>
                      <w:sz w:val="21"/>
                      <w:szCs w:val="21"/>
                      <w:highlight w:val="none"/>
                    </w:rPr>
                    <w:t>颗粒物、SO</w:t>
                  </w:r>
                  <w:r>
                    <w:rPr>
                      <w:rFonts w:hint="default" w:ascii="Times New Roman" w:hAnsi="Times New Roman" w:eastAsia="宋体" w:cs="Times New Roman"/>
                      <w:color w:val="auto"/>
                      <w:spacing w:val="6"/>
                      <w:sz w:val="21"/>
                      <w:szCs w:val="21"/>
                      <w:highlight w:val="none"/>
                      <w:vertAlign w:val="subscript"/>
                    </w:rPr>
                    <w:t>2</w:t>
                  </w:r>
                  <w:r>
                    <w:rPr>
                      <w:rFonts w:hint="default" w:ascii="Times New Roman" w:hAnsi="Times New Roman" w:eastAsia="宋体" w:cs="Times New Roman"/>
                      <w:color w:val="auto"/>
                      <w:spacing w:val="6"/>
                      <w:sz w:val="21"/>
                      <w:szCs w:val="21"/>
                      <w:highlight w:val="none"/>
                    </w:rPr>
                    <w:t>、NO</w:t>
                  </w:r>
                  <w:r>
                    <w:rPr>
                      <w:rFonts w:hint="default" w:ascii="Times New Roman" w:hAnsi="Times New Roman" w:eastAsia="宋体" w:cs="Times New Roman"/>
                      <w:color w:val="auto"/>
                      <w:spacing w:val="6"/>
                      <w:sz w:val="21"/>
                      <w:szCs w:val="21"/>
                      <w:highlight w:val="none"/>
                      <w:vertAlign w:val="subscript"/>
                    </w:rPr>
                    <w:t>X</w:t>
                  </w:r>
                  <w:r>
                    <w:rPr>
                      <w:rFonts w:hint="default" w:ascii="Times New Roman" w:hAnsi="Times New Roman" w:eastAsia="宋体" w:cs="Times New Roman"/>
                      <w:color w:val="auto"/>
                      <w:spacing w:val="6"/>
                      <w:sz w:val="21"/>
                      <w:szCs w:val="21"/>
                      <w:highlight w:val="none"/>
                    </w:rPr>
                    <w:t>、TVOC</w:t>
                  </w:r>
                  <w:r>
                    <w:rPr>
                      <w:rFonts w:hint="default" w:ascii="Times New Roman" w:hAnsi="Times New Roman" w:eastAsia="宋体" w:cs="Times New Roman"/>
                      <w:color w:val="auto"/>
                      <w:sz w:val="21"/>
                      <w:szCs w:val="21"/>
                      <w:highlight w:val="none"/>
                    </w:rPr>
                    <w:t>；噪声；固废；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63"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14</w:t>
                  </w:r>
                </w:p>
              </w:tc>
              <w:tc>
                <w:tcPr>
                  <w:tcW w:w="999"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寻甸龙筑混凝土有限公司</w:t>
                  </w:r>
                </w:p>
              </w:tc>
              <w:tc>
                <w:tcPr>
                  <w:tcW w:w="686"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z w:val="21"/>
                      <w:szCs w:val="21"/>
                      <w:highlight w:val="none"/>
                      <w:lang w:val="en-US" w:eastAsia="zh-CN"/>
                    </w:rPr>
                    <w:t>东南侧350m</w:t>
                  </w:r>
                </w:p>
              </w:tc>
              <w:tc>
                <w:tcPr>
                  <w:tcW w:w="709"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混凝土</w:t>
                  </w:r>
                </w:p>
              </w:tc>
              <w:tc>
                <w:tcPr>
                  <w:tcW w:w="2340"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highlight w:val="none"/>
                    </w:rPr>
                    <w:t>废水：生活污水；废气：</w:t>
                  </w:r>
                  <w:r>
                    <w:rPr>
                      <w:rFonts w:hint="default" w:ascii="Times New Roman" w:hAnsi="Times New Roman" w:eastAsia="宋体" w:cs="Times New Roman"/>
                      <w:color w:val="auto"/>
                      <w:spacing w:val="6"/>
                      <w:sz w:val="21"/>
                      <w:szCs w:val="21"/>
                      <w:highlight w:val="none"/>
                    </w:rPr>
                    <w:t>颗粒物</w:t>
                  </w:r>
                  <w:r>
                    <w:rPr>
                      <w:rFonts w:hint="default" w:ascii="Times New Roman" w:hAnsi="Times New Roman" w:eastAsia="宋体" w:cs="Times New Roman"/>
                      <w:color w:val="auto"/>
                      <w:sz w:val="21"/>
                      <w:szCs w:val="21"/>
                      <w:highlight w:val="none"/>
                    </w:rPr>
                    <w:t>；噪声；固废；</w:t>
                  </w:r>
                </w:p>
              </w:tc>
            </w:tr>
          </w:tbl>
          <w:p>
            <w:pPr>
              <w:pStyle w:val="71"/>
              <w:keepNext w:val="0"/>
              <w:keepLines w:val="0"/>
              <w:pageBreakBefore w:val="0"/>
              <w:widowControl w:val="0"/>
              <w:kinsoku/>
              <w:wordWrap/>
              <w:overflowPunct/>
              <w:topLinePunct w:val="0"/>
              <w:autoSpaceDE w:val="0"/>
              <w:autoSpaceDN w:val="0"/>
              <w:bidi w:val="0"/>
              <w:adjustRightInd w:val="0"/>
              <w:snapToGrid/>
              <w:spacing w:line="332" w:lineRule="auto"/>
              <w:ind w:firstLine="480" w:firstLineChars="200"/>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en-US" w:eastAsia="zh-CN" w:bidi="ar-SA"/>
              </w:rPr>
              <w:t>根据上表统计对周边企业情况调查可知，周边企业主要为纸制品、印刷厂、人造板、塑料制品、机械设备、建筑装饰材料、电器、家具、混凝土等生产型企业，周围企业对本项目无制约性因素。同时，根据工程分析，本</w:t>
            </w:r>
            <w:r>
              <w:rPr>
                <w:rFonts w:hint="default" w:ascii="Times New Roman" w:hAnsi="Times New Roman" w:eastAsia="宋体" w:cs="Times New Roman"/>
                <w:color w:val="auto"/>
                <w:kern w:val="2"/>
                <w:sz w:val="24"/>
                <w:szCs w:val="24"/>
                <w:highlight w:val="none"/>
                <w:lang w:val="zh-CN" w:eastAsia="zh-CN" w:bidi="ar-SA"/>
              </w:rPr>
              <w:t>项目噪声、废气均能达标排放；</w:t>
            </w:r>
            <w:r>
              <w:rPr>
                <w:rFonts w:hint="default" w:ascii="Times New Roman" w:hAnsi="Times New Roman" w:eastAsia="宋体" w:cs="Times New Roman"/>
                <w:b w:val="0"/>
                <w:bCs w:val="0"/>
                <w:color w:val="auto"/>
                <w:sz w:val="24"/>
                <w:szCs w:val="24"/>
                <w:highlight w:val="none"/>
                <w:lang w:val="en-US" w:eastAsia="zh-CN"/>
              </w:rPr>
              <w:t>生产过程不使用水，无生产废水产生；</w:t>
            </w:r>
            <w:r>
              <w:rPr>
                <w:rFonts w:hint="default" w:ascii="Times New Roman" w:hAnsi="Times New Roman" w:eastAsia="宋体" w:cs="Times New Roman"/>
                <w:color w:val="auto"/>
                <w:sz w:val="24"/>
                <w:szCs w:val="24"/>
                <w:highlight w:val="none"/>
                <w:lang w:val="zh-CN" w:eastAsia="zh-CN"/>
              </w:rPr>
              <w:t>生活污水</w:t>
            </w:r>
            <w:r>
              <w:rPr>
                <w:rFonts w:hint="default" w:ascii="Times New Roman" w:hAnsi="Times New Roman" w:eastAsia="宋体" w:cs="Times New Roman"/>
                <w:color w:val="auto"/>
                <w:sz w:val="24"/>
                <w:szCs w:val="24"/>
                <w:highlight w:val="none"/>
                <w:lang w:val="en-US" w:eastAsia="zh-CN"/>
              </w:rPr>
              <w:t>经处理达标后，</w:t>
            </w:r>
            <w:r>
              <w:rPr>
                <w:rFonts w:hint="default" w:ascii="Times New Roman" w:hAnsi="Times New Roman" w:eastAsia="宋体" w:cs="Times New Roman"/>
                <w:b w:val="0"/>
                <w:bCs w:val="0"/>
                <w:color w:val="auto"/>
                <w:sz w:val="24"/>
                <w:szCs w:val="24"/>
                <w:highlight w:val="none"/>
                <w:lang w:val="en-US" w:eastAsia="zh-CN"/>
              </w:rPr>
              <w:t>用于项目区内绿化及道路场地洒水降尘，不外排；</w:t>
            </w:r>
            <w:r>
              <w:rPr>
                <w:rFonts w:hint="default" w:ascii="Times New Roman" w:hAnsi="Times New Roman" w:eastAsia="宋体" w:cs="Times New Roman"/>
                <w:color w:val="auto"/>
                <w:kern w:val="2"/>
                <w:sz w:val="24"/>
                <w:szCs w:val="24"/>
                <w:highlight w:val="none"/>
                <w:lang w:val="en-US" w:eastAsia="zh-CN" w:bidi="ar-SA"/>
              </w:rPr>
              <w:t>固体废物100%合理处置，本</w:t>
            </w:r>
            <w:r>
              <w:rPr>
                <w:rFonts w:hint="default" w:ascii="Times New Roman" w:hAnsi="Times New Roman" w:eastAsia="宋体" w:cs="Times New Roman"/>
                <w:color w:val="auto"/>
                <w:kern w:val="2"/>
                <w:sz w:val="24"/>
                <w:szCs w:val="24"/>
                <w:highlight w:val="none"/>
                <w:lang w:val="zh-CN" w:eastAsia="zh-CN" w:bidi="ar-SA"/>
              </w:rPr>
              <w:t>项目的生产对周围企业的影响不大。</w:t>
            </w:r>
          </w:p>
          <w:p>
            <w:pPr>
              <w:pStyle w:val="71"/>
              <w:spacing w:line="332" w:lineRule="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zh-CN" w:eastAsia="zh-CN" w:bidi="ar-SA"/>
              </w:rPr>
              <w:t>综上所述，本项目与周围环境是相容的。</w:t>
            </w:r>
          </w:p>
          <w:p>
            <w:pPr>
              <w:pStyle w:val="71"/>
              <w:spacing w:line="332" w:lineRule="auto"/>
              <w:rPr>
                <w:rFonts w:hint="default" w:ascii="Times New Roman" w:hAnsi="Times New Roman" w:eastAsia="宋体" w:cs="Times New Roman"/>
                <w:color w:val="auto"/>
                <w:kern w:val="2"/>
                <w:sz w:val="24"/>
                <w:szCs w:val="24"/>
                <w:highlight w:val="none"/>
                <w:lang w:val="zh-CN" w:eastAsia="zh-CN" w:bidi="ar-SA"/>
              </w:rPr>
            </w:pPr>
          </w:p>
          <w:p>
            <w:pPr>
              <w:pStyle w:val="71"/>
              <w:spacing w:line="332" w:lineRule="auto"/>
              <w:rPr>
                <w:rFonts w:hint="default" w:ascii="Times New Roman" w:hAnsi="Times New Roman" w:eastAsia="宋体" w:cs="Times New Roman"/>
                <w:color w:val="auto"/>
                <w:kern w:val="2"/>
                <w:sz w:val="24"/>
                <w:szCs w:val="24"/>
                <w:highlight w:val="none"/>
                <w:lang w:val="zh-CN" w:eastAsia="zh-CN" w:bidi="ar-SA"/>
              </w:rPr>
            </w:pPr>
          </w:p>
          <w:p>
            <w:pPr>
              <w:pStyle w:val="71"/>
              <w:spacing w:line="332" w:lineRule="auto"/>
              <w:rPr>
                <w:rFonts w:hint="default" w:ascii="Times New Roman" w:hAnsi="Times New Roman" w:eastAsia="宋体" w:cs="Times New Roman"/>
                <w:color w:val="auto"/>
                <w:kern w:val="2"/>
                <w:sz w:val="24"/>
                <w:szCs w:val="24"/>
                <w:highlight w:val="none"/>
                <w:lang w:val="zh-CN" w:eastAsia="zh-CN" w:bidi="ar-SA"/>
              </w:rPr>
            </w:pPr>
          </w:p>
          <w:p>
            <w:pPr>
              <w:pStyle w:val="71"/>
              <w:spacing w:line="332" w:lineRule="auto"/>
              <w:rPr>
                <w:rFonts w:hint="default" w:ascii="Times New Roman" w:hAnsi="Times New Roman" w:eastAsia="宋体" w:cs="Times New Roman"/>
                <w:color w:val="auto"/>
                <w:kern w:val="2"/>
                <w:sz w:val="24"/>
                <w:szCs w:val="24"/>
                <w:highlight w:val="none"/>
                <w:lang w:val="zh-CN" w:eastAsia="zh-CN" w:bidi="ar-SA"/>
              </w:rPr>
            </w:pPr>
          </w:p>
          <w:p>
            <w:pPr>
              <w:pStyle w:val="71"/>
              <w:spacing w:line="332" w:lineRule="auto"/>
              <w:rPr>
                <w:rFonts w:hint="default" w:ascii="Times New Roman" w:hAnsi="Times New Roman" w:eastAsia="宋体" w:cs="Times New Roman"/>
                <w:color w:val="auto"/>
                <w:kern w:val="2"/>
                <w:sz w:val="24"/>
                <w:szCs w:val="24"/>
                <w:highlight w:val="none"/>
                <w:lang w:val="zh-CN" w:eastAsia="zh-CN" w:bidi="ar-SA"/>
              </w:rPr>
            </w:pPr>
          </w:p>
          <w:p>
            <w:pPr>
              <w:pStyle w:val="71"/>
              <w:spacing w:line="332" w:lineRule="auto"/>
              <w:rPr>
                <w:rFonts w:hint="default" w:ascii="Times New Roman" w:hAnsi="Times New Roman" w:eastAsia="宋体" w:cs="Times New Roman"/>
                <w:color w:val="auto"/>
                <w:kern w:val="2"/>
                <w:sz w:val="24"/>
                <w:szCs w:val="24"/>
                <w:highlight w:val="none"/>
                <w:lang w:val="zh-CN" w:eastAsia="zh-CN" w:bidi="ar-SA"/>
              </w:rPr>
            </w:pPr>
          </w:p>
          <w:p>
            <w:pPr>
              <w:pStyle w:val="71"/>
              <w:spacing w:line="332" w:lineRule="auto"/>
              <w:rPr>
                <w:rFonts w:hint="default" w:ascii="Times New Roman" w:hAnsi="Times New Roman" w:eastAsia="宋体" w:cs="Times New Roman"/>
                <w:color w:val="auto"/>
                <w:kern w:val="2"/>
                <w:sz w:val="24"/>
                <w:szCs w:val="24"/>
                <w:highlight w:val="none"/>
                <w:lang w:val="zh-CN" w:eastAsia="zh-CN" w:bidi="ar-SA"/>
              </w:rPr>
            </w:pPr>
          </w:p>
          <w:p>
            <w:pPr>
              <w:pStyle w:val="71"/>
              <w:spacing w:line="332" w:lineRule="auto"/>
              <w:rPr>
                <w:rFonts w:hint="default" w:ascii="Times New Roman" w:hAnsi="Times New Roman" w:eastAsia="宋体" w:cs="Times New Roman"/>
                <w:color w:val="auto"/>
                <w:kern w:val="2"/>
                <w:sz w:val="24"/>
                <w:szCs w:val="24"/>
                <w:highlight w:val="none"/>
                <w:lang w:val="zh-CN" w:eastAsia="zh-CN" w:bidi="ar-SA"/>
              </w:rPr>
            </w:pPr>
          </w:p>
          <w:p>
            <w:pPr>
              <w:pStyle w:val="71"/>
              <w:spacing w:line="332" w:lineRule="auto"/>
              <w:rPr>
                <w:rFonts w:hint="default" w:ascii="Times New Roman" w:hAnsi="Times New Roman" w:eastAsia="宋体" w:cs="Times New Roman"/>
                <w:color w:val="auto"/>
                <w:kern w:val="2"/>
                <w:sz w:val="24"/>
                <w:szCs w:val="24"/>
                <w:highlight w:val="none"/>
                <w:lang w:val="zh-CN" w:eastAsia="zh-CN" w:bidi="ar-SA"/>
              </w:rPr>
            </w:pPr>
          </w:p>
          <w:p>
            <w:pPr>
              <w:pStyle w:val="71"/>
              <w:spacing w:line="332" w:lineRule="auto"/>
              <w:rPr>
                <w:rFonts w:hint="default" w:ascii="Times New Roman" w:hAnsi="Times New Roman" w:eastAsia="宋体" w:cs="Times New Roman"/>
                <w:color w:val="auto"/>
                <w:kern w:val="2"/>
                <w:sz w:val="24"/>
                <w:szCs w:val="24"/>
                <w:highlight w:val="none"/>
                <w:lang w:val="zh-CN" w:eastAsia="zh-CN" w:bidi="ar-SA"/>
              </w:rPr>
            </w:pPr>
          </w:p>
          <w:p>
            <w:pPr>
              <w:pStyle w:val="71"/>
              <w:spacing w:line="332" w:lineRule="auto"/>
              <w:rPr>
                <w:rFonts w:hint="default" w:ascii="Times New Roman" w:hAnsi="Times New Roman" w:eastAsia="宋体" w:cs="Times New Roman"/>
                <w:color w:val="auto"/>
                <w:kern w:val="2"/>
                <w:sz w:val="24"/>
                <w:szCs w:val="24"/>
                <w:highlight w:val="none"/>
                <w:lang w:val="zh-CN" w:eastAsia="zh-CN" w:bidi="ar-SA"/>
              </w:rPr>
            </w:pPr>
          </w:p>
          <w:p>
            <w:pPr>
              <w:pStyle w:val="71"/>
              <w:spacing w:line="332" w:lineRule="auto"/>
              <w:rPr>
                <w:rFonts w:hint="default" w:ascii="Times New Roman" w:hAnsi="Times New Roman" w:eastAsia="宋体" w:cs="Times New Roman"/>
                <w:color w:val="auto"/>
                <w:kern w:val="2"/>
                <w:sz w:val="24"/>
                <w:szCs w:val="24"/>
                <w:highlight w:val="none"/>
                <w:lang w:val="zh-CN" w:eastAsia="zh-CN" w:bidi="ar-SA"/>
              </w:rPr>
            </w:pPr>
          </w:p>
          <w:p>
            <w:pPr>
              <w:pStyle w:val="71"/>
              <w:spacing w:line="332" w:lineRule="auto"/>
              <w:rPr>
                <w:rFonts w:hint="default" w:ascii="Times New Roman" w:hAnsi="Times New Roman" w:eastAsia="宋体" w:cs="Times New Roman"/>
                <w:color w:val="auto"/>
                <w:kern w:val="2"/>
                <w:sz w:val="24"/>
                <w:szCs w:val="24"/>
                <w:highlight w:val="none"/>
                <w:lang w:val="zh-CN" w:eastAsia="zh-CN" w:bidi="ar-SA"/>
              </w:rPr>
            </w:pPr>
          </w:p>
          <w:p>
            <w:pPr>
              <w:pStyle w:val="71"/>
              <w:spacing w:line="332" w:lineRule="auto"/>
              <w:rPr>
                <w:rFonts w:hint="default" w:ascii="Times New Roman" w:hAnsi="Times New Roman" w:eastAsia="宋体" w:cs="Times New Roman"/>
                <w:color w:val="auto"/>
                <w:kern w:val="2"/>
                <w:sz w:val="24"/>
                <w:szCs w:val="24"/>
                <w:highlight w:val="none"/>
                <w:lang w:val="zh-CN" w:eastAsia="zh-CN" w:bidi="ar-SA"/>
              </w:rPr>
            </w:pPr>
          </w:p>
          <w:p>
            <w:pPr>
              <w:pStyle w:val="71"/>
              <w:spacing w:line="332" w:lineRule="auto"/>
              <w:rPr>
                <w:rFonts w:hint="default" w:ascii="Times New Roman" w:hAnsi="Times New Roman" w:eastAsia="宋体" w:cs="Times New Roman"/>
                <w:color w:val="auto"/>
                <w:kern w:val="2"/>
                <w:sz w:val="24"/>
                <w:szCs w:val="24"/>
                <w:highlight w:val="none"/>
                <w:lang w:val="zh-CN" w:eastAsia="zh-CN" w:bidi="ar-SA"/>
              </w:rPr>
            </w:pPr>
          </w:p>
          <w:p>
            <w:pPr>
              <w:pStyle w:val="71"/>
              <w:spacing w:line="332" w:lineRule="auto"/>
              <w:rPr>
                <w:rFonts w:hint="default" w:ascii="Times New Roman" w:hAnsi="Times New Roman" w:eastAsia="宋体" w:cs="Times New Roman"/>
                <w:color w:val="auto"/>
                <w:kern w:val="2"/>
                <w:sz w:val="24"/>
                <w:szCs w:val="24"/>
                <w:highlight w:val="none"/>
                <w:lang w:val="zh-CN" w:eastAsia="zh-CN" w:bidi="ar-SA"/>
              </w:rPr>
            </w:pPr>
          </w:p>
          <w:p>
            <w:pPr>
              <w:pStyle w:val="71"/>
              <w:spacing w:line="332" w:lineRule="auto"/>
              <w:rPr>
                <w:rFonts w:hint="default" w:ascii="Times New Roman" w:hAnsi="Times New Roman" w:eastAsia="宋体" w:cs="Times New Roman"/>
                <w:color w:val="auto"/>
                <w:kern w:val="2"/>
                <w:sz w:val="24"/>
                <w:szCs w:val="24"/>
                <w:highlight w:val="none"/>
                <w:lang w:val="zh-CN" w:eastAsia="zh-CN" w:bidi="ar-SA"/>
              </w:rPr>
            </w:pPr>
          </w:p>
          <w:p>
            <w:pPr>
              <w:pStyle w:val="71"/>
              <w:spacing w:line="332" w:lineRule="auto"/>
              <w:rPr>
                <w:rFonts w:hint="default" w:ascii="Times New Roman" w:hAnsi="Times New Roman" w:eastAsia="宋体" w:cs="Times New Roman"/>
                <w:color w:val="auto"/>
                <w:kern w:val="2"/>
                <w:sz w:val="24"/>
                <w:szCs w:val="24"/>
                <w:highlight w:val="none"/>
                <w:lang w:val="zh-CN" w:eastAsia="zh-CN" w:bidi="ar-SA"/>
              </w:rPr>
            </w:pPr>
          </w:p>
          <w:p>
            <w:pPr>
              <w:pStyle w:val="71"/>
              <w:spacing w:line="332" w:lineRule="auto"/>
              <w:rPr>
                <w:rFonts w:hint="default" w:ascii="Times New Roman" w:hAnsi="Times New Roman" w:eastAsia="宋体" w:cs="Times New Roman"/>
                <w:color w:val="auto"/>
                <w:kern w:val="2"/>
                <w:sz w:val="24"/>
                <w:szCs w:val="24"/>
                <w:highlight w:val="none"/>
                <w:lang w:val="zh-CN" w:eastAsia="zh-CN" w:bidi="ar-SA"/>
              </w:rPr>
            </w:pPr>
          </w:p>
          <w:p>
            <w:pPr>
              <w:pStyle w:val="71"/>
              <w:spacing w:line="332" w:lineRule="auto"/>
              <w:rPr>
                <w:rFonts w:hint="default" w:ascii="Times New Roman" w:hAnsi="Times New Roman" w:eastAsia="宋体" w:cs="Times New Roman"/>
                <w:color w:val="auto"/>
                <w:kern w:val="2"/>
                <w:sz w:val="24"/>
                <w:szCs w:val="24"/>
                <w:highlight w:val="none"/>
                <w:lang w:val="zh-CN" w:eastAsia="zh-CN" w:bidi="ar-SA"/>
              </w:rPr>
            </w:pPr>
          </w:p>
          <w:p>
            <w:pPr>
              <w:pStyle w:val="71"/>
              <w:spacing w:line="332" w:lineRule="auto"/>
              <w:rPr>
                <w:rFonts w:hint="default" w:ascii="Times New Roman" w:hAnsi="Times New Roman" w:eastAsia="宋体" w:cs="Times New Roman"/>
                <w:color w:val="auto"/>
                <w:kern w:val="2"/>
                <w:sz w:val="24"/>
                <w:szCs w:val="24"/>
                <w:highlight w:val="none"/>
                <w:lang w:val="zh-CN" w:eastAsia="zh-CN" w:bidi="ar-SA"/>
              </w:rPr>
            </w:pPr>
          </w:p>
          <w:p>
            <w:pPr>
              <w:pStyle w:val="71"/>
              <w:spacing w:line="332" w:lineRule="auto"/>
              <w:rPr>
                <w:rFonts w:hint="default" w:ascii="Times New Roman" w:hAnsi="Times New Roman" w:eastAsia="宋体" w:cs="Times New Roman"/>
                <w:color w:val="auto"/>
                <w:kern w:val="2"/>
                <w:sz w:val="24"/>
                <w:szCs w:val="24"/>
                <w:highlight w:val="none"/>
                <w:lang w:val="zh-CN" w:eastAsia="zh-CN" w:bidi="ar-SA"/>
              </w:rPr>
            </w:pPr>
          </w:p>
          <w:p>
            <w:pPr>
              <w:pStyle w:val="71"/>
              <w:spacing w:line="332" w:lineRule="auto"/>
              <w:rPr>
                <w:rFonts w:hint="default" w:ascii="Times New Roman" w:hAnsi="Times New Roman" w:eastAsia="宋体" w:cs="Times New Roman"/>
                <w:color w:val="auto"/>
                <w:kern w:val="2"/>
                <w:sz w:val="24"/>
                <w:szCs w:val="24"/>
                <w:highlight w:val="none"/>
                <w:lang w:val="zh-CN" w:eastAsia="zh-CN" w:bidi="ar-SA"/>
              </w:rPr>
            </w:pPr>
          </w:p>
          <w:p>
            <w:pPr>
              <w:pStyle w:val="71"/>
              <w:spacing w:line="332" w:lineRule="auto"/>
              <w:rPr>
                <w:rFonts w:hint="default" w:ascii="Times New Roman" w:hAnsi="Times New Roman" w:eastAsia="宋体" w:cs="Times New Roman"/>
                <w:color w:val="auto"/>
                <w:kern w:val="2"/>
                <w:sz w:val="24"/>
                <w:szCs w:val="24"/>
                <w:highlight w:val="none"/>
                <w:lang w:val="zh-CN" w:eastAsia="zh-CN" w:bidi="ar-SA"/>
              </w:rPr>
            </w:pPr>
          </w:p>
          <w:p>
            <w:pPr>
              <w:pStyle w:val="71"/>
              <w:spacing w:line="332" w:lineRule="auto"/>
              <w:rPr>
                <w:rFonts w:hint="default" w:ascii="Times New Roman" w:hAnsi="Times New Roman" w:eastAsia="宋体" w:cs="Times New Roman"/>
                <w:color w:val="auto"/>
                <w:kern w:val="2"/>
                <w:sz w:val="24"/>
                <w:szCs w:val="24"/>
                <w:highlight w:val="none"/>
                <w:lang w:val="zh-CN" w:eastAsia="zh-CN" w:bidi="ar-SA"/>
              </w:rPr>
            </w:pPr>
          </w:p>
          <w:p>
            <w:pPr>
              <w:pStyle w:val="71"/>
              <w:spacing w:line="332" w:lineRule="auto"/>
              <w:rPr>
                <w:rFonts w:hint="default" w:ascii="Times New Roman" w:hAnsi="Times New Roman" w:eastAsia="宋体" w:cs="Times New Roman"/>
                <w:color w:val="auto"/>
                <w:kern w:val="2"/>
                <w:sz w:val="24"/>
                <w:szCs w:val="24"/>
                <w:highlight w:val="none"/>
                <w:lang w:val="zh-CN" w:eastAsia="zh-CN" w:bidi="ar-SA"/>
              </w:rPr>
            </w:pPr>
          </w:p>
          <w:p>
            <w:pPr>
              <w:pStyle w:val="71"/>
              <w:spacing w:line="332" w:lineRule="auto"/>
              <w:rPr>
                <w:rFonts w:hint="default" w:ascii="Times New Roman" w:hAnsi="Times New Roman" w:eastAsia="宋体" w:cs="Times New Roman"/>
                <w:color w:val="auto"/>
                <w:kern w:val="2"/>
                <w:sz w:val="24"/>
                <w:szCs w:val="24"/>
                <w:highlight w:val="none"/>
                <w:lang w:val="zh-CN" w:eastAsia="zh-CN" w:bidi="ar-SA"/>
              </w:rPr>
            </w:pPr>
          </w:p>
          <w:p>
            <w:pPr>
              <w:pStyle w:val="71"/>
              <w:spacing w:line="332" w:lineRule="auto"/>
              <w:rPr>
                <w:rFonts w:hint="default" w:ascii="Times New Roman" w:hAnsi="Times New Roman" w:eastAsia="宋体" w:cs="Times New Roman"/>
                <w:color w:val="auto"/>
                <w:kern w:val="2"/>
                <w:sz w:val="24"/>
                <w:szCs w:val="24"/>
                <w:highlight w:val="none"/>
                <w:lang w:val="zh-CN" w:eastAsia="zh-CN" w:bidi="ar-SA"/>
              </w:rPr>
            </w:pPr>
          </w:p>
          <w:p>
            <w:pPr>
              <w:pStyle w:val="71"/>
              <w:spacing w:line="332" w:lineRule="auto"/>
              <w:rPr>
                <w:rFonts w:hint="default" w:ascii="Times New Roman" w:hAnsi="Times New Roman" w:eastAsia="宋体" w:cs="Times New Roman"/>
                <w:color w:val="auto"/>
                <w:kern w:val="2"/>
                <w:sz w:val="24"/>
                <w:szCs w:val="24"/>
                <w:highlight w:val="none"/>
                <w:lang w:val="zh-CN" w:eastAsia="zh-CN" w:bidi="ar-SA"/>
              </w:rPr>
            </w:pPr>
          </w:p>
          <w:p>
            <w:pPr>
              <w:pStyle w:val="71"/>
              <w:spacing w:line="332" w:lineRule="auto"/>
              <w:rPr>
                <w:rFonts w:hint="default" w:ascii="Times New Roman" w:hAnsi="Times New Roman" w:eastAsia="宋体" w:cs="Times New Roman"/>
                <w:color w:val="auto"/>
                <w:kern w:val="2"/>
                <w:sz w:val="24"/>
                <w:szCs w:val="24"/>
                <w:highlight w:val="none"/>
                <w:lang w:val="zh-CN" w:eastAsia="zh-CN" w:bidi="ar-SA"/>
              </w:rPr>
            </w:pPr>
          </w:p>
          <w:p>
            <w:pPr>
              <w:pStyle w:val="71"/>
              <w:spacing w:line="332" w:lineRule="auto"/>
              <w:rPr>
                <w:rFonts w:hint="default" w:ascii="Times New Roman" w:hAnsi="Times New Roman" w:eastAsia="宋体" w:cs="Times New Roman"/>
                <w:color w:val="auto"/>
                <w:kern w:val="0"/>
                <w:sz w:val="24"/>
                <w:szCs w:val="24"/>
                <w:highlight w:val="none"/>
              </w:rPr>
            </w:pPr>
          </w:p>
        </w:tc>
      </w:tr>
    </w:tbl>
    <w:p>
      <w:pPr>
        <w:spacing w:line="360" w:lineRule="auto"/>
        <w:outlineLvl w:val="9"/>
        <w:rPr>
          <w:rFonts w:hint="default" w:ascii="Times New Roman" w:hAnsi="Times New Roman" w:eastAsia="宋体" w:cs="Times New Roman"/>
          <w:color w:val="auto"/>
          <w:sz w:val="30"/>
          <w:highlight w:val="none"/>
        </w:rPr>
        <w:sectPr>
          <w:footerReference r:id="rId8"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13" w:name="_Toc22458"/>
      <w:bookmarkStart w:id="14" w:name="_Toc1587"/>
      <w:r>
        <w:rPr>
          <w:rFonts w:hint="default" w:ascii="Times New Roman" w:hAnsi="Times New Roman" w:eastAsia="宋体" w:cs="Times New Roman"/>
          <w:b/>
          <w:bCs/>
          <w:snapToGrid w:val="0"/>
          <w:color w:val="auto"/>
          <w:sz w:val="30"/>
          <w:szCs w:val="30"/>
          <w:highlight w:val="none"/>
        </w:rPr>
        <w:t>二、建设项目工程分析</w:t>
      </w:r>
      <w:bookmarkEnd w:id="13"/>
      <w:bookmarkEnd w:id="14"/>
    </w:p>
    <w:tbl>
      <w:tblPr>
        <w:tblStyle w:val="26"/>
        <w:tblW w:w="939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9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0" w:hRule="atLeast"/>
          <w:jc w:val="center"/>
        </w:trPr>
        <w:tc>
          <w:tcPr>
            <w:tcW w:w="456" w:type="dxa"/>
            <w:vAlign w:val="center"/>
          </w:tcPr>
          <w:p>
            <w:pPr>
              <w:pStyle w:val="23"/>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建设内容</w:t>
            </w:r>
          </w:p>
        </w:tc>
        <w:tc>
          <w:tcPr>
            <w:tcW w:w="8936" w:type="dxa"/>
            <w:vAlign w:val="top"/>
          </w:tcPr>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一、项目由来</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lang w:val="en-US" w:eastAsia="zh-CN"/>
              </w:rPr>
              <w:t>昆明茂源卫生用品有限公司成立于2019年07月12日，经营范围主要包括纸和纸板容器制造；干湿巾、卫生巾、纸杯、纸尿裤生产；纸制品分切加工；塑料膜生产；包装印刷品加工；纸制品、装饰材料、建筑材料、塑料制品、工艺美术品、日用百货、五金交电、办公用品销售等</w:t>
            </w:r>
            <w:r>
              <w:rPr>
                <w:rFonts w:hint="default"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en-US" w:eastAsia="zh-CN"/>
              </w:rPr>
              <w:t>现昆明茂源卫生用品有限公司</w:t>
            </w:r>
            <w:r>
              <w:rPr>
                <w:rFonts w:hint="default" w:ascii="Times New Roman" w:hAnsi="Times New Roman" w:eastAsia="宋体" w:cs="Times New Roman"/>
                <w:color w:val="auto"/>
                <w:sz w:val="24"/>
                <w:szCs w:val="24"/>
                <w:highlight w:val="none"/>
                <w:lang w:val="zh-CN"/>
              </w:rPr>
              <w:t>（以下简称“建设单位”）拟投资</w:t>
            </w:r>
            <w:r>
              <w:rPr>
                <w:rFonts w:hint="default" w:ascii="Times New Roman" w:hAnsi="Times New Roman" w:eastAsia="宋体" w:cs="Times New Roman"/>
                <w:color w:val="auto"/>
                <w:sz w:val="24"/>
                <w:szCs w:val="24"/>
                <w:highlight w:val="none"/>
                <w:lang w:val="en-US" w:eastAsia="zh-CN"/>
              </w:rPr>
              <w:t>2000</w:t>
            </w:r>
            <w:r>
              <w:rPr>
                <w:rFonts w:hint="default" w:ascii="Times New Roman" w:hAnsi="Times New Roman" w:eastAsia="宋体" w:cs="Times New Roman"/>
                <w:color w:val="auto"/>
                <w:sz w:val="24"/>
                <w:szCs w:val="24"/>
                <w:highlight w:val="none"/>
                <w:lang w:val="zh-CN"/>
              </w:rPr>
              <w:t>万元在</w:t>
            </w:r>
            <w:r>
              <w:rPr>
                <w:rFonts w:hint="default" w:ascii="Times New Roman" w:hAnsi="Times New Roman" w:eastAsia="宋体" w:cs="Times New Roman"/>
                <w:color w:val="auto"/>
                <w:sz w:val="24"/>
                <w:szCs w:val="24"/>
                <w:highlight w:val="none"/>
                <w:lang w:val="zh-CN" w:eastAsia="zh-CN"/>
              </w:rPr>
              <w:t>云南省昆明市寻甸特色产业园区金所片区YS2019-87号</w:t>
            </w:r>
            <w:r>
              <w:rPr>
                <w:rFonts w:hint="default" w:ascii="Times New Roman" w:hAnsi="Times New Roman" w:eastAsia="宋体" w:cs="Times New Roman"/>
                <w:color w:val="auto"/>
                <w:sz w:val="24"/>
                <w:szCs w:val="24"/>
                <w:highlight w:val="none"/>
              </w:rPr>
              <w:t>内建设“</w:t>
            </w:r>
            <w:r>
              <w:rPr>
                <w:rFonts w:hint="default" w:ascii="Times New Roman" w:hAnsi="Times New Roman" w:eastAsia="宋体" w:cs="Times New Roman"/>
                <w:color w:val="auto"/>
                <w:sz w:val="24"/>
                <w:szCs w:val="24"/>
                <w:highlight w:val="none"/>
                <w:lang w:val="en-US" w:eastAsia="zh-CN"/>
              </w:rPr>
              <w:t>塑料制品生产扩建项目</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sz w:val="24"/>
                <w:szCs w:val="24"/>
                <w:highlight w:val="none"/>
              </w:rPr>
              <w:t>项目已于</w:t>
            </w:r>
            <w:r>
              <w:rPr>
                <w:rFonts w:hint="default" w:ascii="Times New Roman" w:hAnsi="Times New Roman" w:eastAsia="宋体" w:cs="Times New Roman"/>
                <w:color w:val="auto"/>
                <w:sz w:val="24"/>
                <w:szCs w:val="24"/>
                <w:highlight w:val="none"/>
                <w:lang w:val="en-US" w:eastAsia="zh-CN"/>
              </w:rPr>
              <w:t>2023</w:t>
            </w:r>
            <w:r>
              <w:rPr>
                <w:rFonts w:hint="default" w:ascii="Times New Roman" w:hAnsi="Times New Roman" w:eastAsia="宋体" w:cs="Times New Roman"/>
                <w:color w:val="auto"/>
                <w:sz w:val="24"/>
                <w:szCs w:val="24"/>
                <w:highlight w:val="none"/>
                <w:lang w:val="zh-CN"/>
              </w:rPr>
              <w:t>年</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zh-CN"/>
              </w:rPr>
              <w:t>月</w:t>
            </w:r>
            <w:r>
              <w:rPr>
                <w:rFonts w:hint="default"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lang w:val="zh-CN"/>
              </w:rPr>
              <w:t>日已取得寻甸特色产业园区管理委员会出具的</w:t>
            </w:r>
            <w:r>
              <w:rPr>
                <w:rFonts w:hint="default" w:ascii="Times New Roman" w:hAnsi="Times New Roman" w:eastAsia="宋体" w:cs="Times New Roman"/>
                <w:color w:val="auto"/>
                <w:sz w:val="24"/>
                <w:szCs w:val="24"/>
                <w:highlight w:val="none"/>
                <w:lang w:val="en-US" w:eastAsia="zh-CN"/>
              </w:rPr>
              <w:t>扩建</w:t>
            </w:r>
            <w:r>
              <w:rPr>
                <w:rFonts w:hint="default" w:ascii="Times New Roman" w:hAnsi="Times New Roman" w:eastAsia="宋体" w:cs="Times New Roman"/>
                <w:color w:val="auto"/>
                <w:sz w:val="24"/>
                <w:szCs w:val="24"/>
                <w:highlight w:val="none"/>
                <w:lang w:val="zh-CN"/>
              </w:rPr>
              <w:t>项目入园申请同意书，</w:t>
            </w:r>
            <w:r>
              <w:rPr>
                <w:rFonts w:hint="default" w:ascii="Times New Roman" w:hAnsi="Times New Roman" w:eastAsia="宋体" w:cs="Times New Roman"/>
                <w:color w:val="auto"/>
                <w:sz w:val="24"/>
                <w:szCs w:val="24"/>
                <w:highlight w:val="none"/>
                <w:lang w:val="en-US" w:eastAsia="zh-CN"/>
              </w:rPr>
              <w:t>同意书中明确“项目符合园区产业发展，同意项目入驻寻甸特色产业园区金所片区”。2023年2月22日</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2"/>
                <w:sz w:val="24"/>
                <w:szCs w:val="24"/>
                <w:highlight w:val="none"/>
                <w:lang w:val="en-US" w:eastAsia="zh-CN" w:bidi="ar-SA"/>
              </w:rPr>
              <w:t>昆明茂源卫生用品有限公司</w:t>
            </w:r>
            <w:r>
              <w:rPr>
                <w:rFonts w:hint="default" w:ascii="Times New Roman" w:hAnsi="Times New Roman" w:eastAsia="宋体" w:cs="Times New Roman"/>
                <w:color w:val="auto"/>
                <w:sz w:val="24"/>
                <w:szCs w:val="24"/>
                <w:highlight w:val="none"/>
              </w:rPr>
              <w:t>取得了</w:t>
            </w:r>
            <w:r>
              <w:rPr>
                <w:rFonts w:hint="default" w:ascii="Times New Roman" w:hAnsi="Times New Roman" w:eastAsia="宋体" w:cs="Times New Roman"/>
                <w:color w:val="auto"/>
                <w:sz w:val="24"/>
                <w:szCs w:val="24"/>
                <w:highlight w:val="none"/>
                <w:lang w:val="en-US" w:eastAsia="zh-CN"/>
              </w:rPr>
              <w:t>寻甸回族彝族自治县发展和改革局</w:t>
            </w:r>
            <w:r>
              <w:rPr>
                <w:rFonts w:hint="default" w:ascii="Times New Roman" w:hAnsi="Times New Roman" w:eastAsia="宋体" w:cs="Times New Roman"/>
                <w:color w:val="auto"/>
                <w:sz w:val="24"/>
                <w:szCs w:val="24"/>
                <w:highlight w:val="none"/>
              </w:rPr>
              <w:t>核发的</w:t>
            </w:r>
            <w:r>
              <w:rPr>
                <w:rFonts w:hint="default" w:ascii="Times New Roman" w:hAnsi="Times New Roman" w:eastAsia="宋体" w:cs="Times New Roman"/>
                <w:color w:val="auto"/>
                <w:sz w:val="24"/>
                <w:szCs w:val="24"/>
                <w:highlight w:val="none"/>
                <w:lang w:val="en-US" w:eastAsia="zh-CN"/>
              </w:rPr>
              <w:t>云南省固定资产投资项目备案证</w:t>
            </w:r>
            <w:r>
              <w:rPr>
                <w:rFonts w:hint="default" w:ascii="Times New Roman" w:hAnsi="Times New Roman" w:eastAsia="宋体" w:cs="Times New Roman"/>
                <w:color w:val="auto"/>
                <w:sz w:val="24"/>
                <w:szCs w:val="24"/>
                <w:highlight w:val="none"/>
              </w:rPr>
              <w:t>，项目代码为：</w:t>
            </w:r>
            <w:r>
              <w:rPr>
                <w:rFonts w:hint="default" w:ascii="Times New Roman" w:hAnsi="Times New Roman" w:eastAsia="宋体" w:cs="Times New Roman"/>
                <w:color w:val="auto"/>
                <w:sz w:val="24"/>
                <w:szCs w:val="24"/>
                <w:highlight w:val="none"/>
                <w:lang w:val="en-US" w:eastAsia="zh-CN"/>
              </w:rPr>
              <w:t>2302-530129-04-01-810251</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本次扩建项目</w:t>
            </w:r>
            <w:r>
              <w:rPr>
                <w:rFonts w:hint="default" w:ascii="Times New Roman" w:hAnsi="Times New Roman" w:eastAsia="宋体" w:cs="Times New Roman"/>
                <w:color w:val="auto"/>
                <w:sz w:val="24"/>
                <w:szCs w:val="24"/>
                <w:highlight w:val="none"/>
              </w:rPr>
              <w:t>建成后</w:t>
            </w:r>
            <w:r>
              <w:rPr>
                <w:rFonts w:hint="default" w:ascii="Times New Roman" w:hAnsi="Times New Roman" w:eastAsia="宋体" w:cs="Times New Roman"/>
                <w:color w:val="auto"/>
                <w:sz w:val="24"/>
                <w:szCs w:val="24"/>
                <w:highlight w:val="none"/>
                <w:lang w:val="en-US" w:eastAsia="zh-CN"/>
              </w:rPr>
              <w:t>年产5000t塑料薄膜，其中2500t农用塑料地膜、2500t农用塑料大棚膜。</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根据《中华人民共和国环境保护法》、《中华人民共和国环境影响评价法》、《建设项目环境保护管理条例》和《云南省建设项目环境保护管理规定》的规定，建设项目必须履行环境影响评价制度。根据《建设项目环境影响评价分类管理名录》（2021年版）等有关法律、法规的要求，项目属于“</w:t>
            </w:r>
            <w:r>
              <w:rPr>
                <w:rFonts w:hint="default" w:ascii="Times New Roman" w:hAnsi="Times New Roman" w:eastAsia="宋体" w:cs="Times New Roman"/>
                <w:color w:val="auto"/>
                <w:sz w:val="24"/>
                <w:szCs w:val="24"/>
                <w:highlight w:val="none"/>
                <w:lang w:val="en-US" w:eastAsia="zh-CN"/>
              </w:rPr>
              <w:t>二十六、橡胶和塑料制品业29-53塑料制品业292—其他</w:t>
            </w:r>
            <w:r>
              <w:rPr>
                <w:rFonts w:hint="default" w:ascii="Times New Roman" w:hAnsi="Times New Roman" w:eastAsia="宋体" w:cs="Times New Roman"/>
                <w:color w:val="auto"/>
                <w:kern w:val="0"/>
                <w:sz w:val="24"/>
                <w:szCs w:val="24"/>
                <w:highlight w:val="none"/>
                <w:lang w:val="en-US" w:eastAsia="zh-CN" w:bidi="ar"/>
              </w:rPr>
              <w:t>”，需编制环境影响评价报告表。为此，昆明茂源卫生用品有限公司委托云南勤策环境检测技术有限公司承担该项目的环境影响报告表编制工作（委托书见附件1）。我单位接受委托后，根据国家建设项目环境管理</w:t>
            </w:r>
            <w:r>
              <w:rPr>
                <w:rFonts w:hint="default" w:ascii="Times New Roman" w:hAnsi="Times New Roman" w:eastAsia="宋体" w:cs="Times New Roman"/>
                <w:color w:val="auto"/>
                <w:sz w:val="24"/>
                <w:szCs w:val="24"/>
                <w:highlight w:val="none"/>
              </w:rPr>
              <w:t>的有关规定，对项目建设地周围环境状况进行了实地调查，收集及核实了当地有关环境资料，按照环境影响评价有关技术规范编制了《</w:t>
            </w:r>
            <w:r>
              <w:rPr>
                <w:rFonts w:hint="default" w:ascii="Times New Roman" w:hAnsi="Times New Roman" w:eastAsia="宋体" w:cs="Times New Roman"/>
                <w:color w:val="auto"/>
                <w:sz w:val="24"/>
                <w:szCs w:val="24"/>
                <w:highlight w:val="none"/>
                <w:lang w:val="en-US" w:eastAsia="zh-CN"/>
              </w:rPr>
              <w:t>昆明茂源卫生用品有限公司塑料制品生产扩建项目</w:t>
            </w:r>
            <w:r>
              <w:rPr>
                <w:rFonts w:hint="default" w:ascii="Times New Roman" w:hAnsi="Times New Roman" w:eastAsia="宋体" w:cs="Times New Roman"/>
                <w:color w:val="auto"/>
                <w:sz w:val="24"/>
                <w:szCs w:val="24"/>
                <w:highlight w:val="none"/>
              </w:rPr>
              <w:t>环境影响报告表》，供建设单位上报审批</w:t>
            </w:r>
            <w:r>
              <w:rPr>
                <w:rFonts w:hint="default" w:ascii="Times New Roman" w:hAnsi="Times New Roman" w:eastAsia="宋体" w:cs="Times New Roman"/>
                <w:color w:val="auto"/>
                <w:sz w:val="24"/>
                <w:szCs w:val="24"/>
                <w:highlight w:val="none"/>
                <w:lang w:eastAsia="zh-CN"/>
              </w:rPr>
              <w:t>。</w:t>
            </w:r>
          </w:p>
          <w:p>
            <w:pPr>
              <w:pStyle w:val="13"/>
              <w:keepNext w:val="0"/>
              <w:keepLines w:val="0"/>
              <w:pageBreakBefore w:val="0"/>
              <w:widowControl w:val="0"/>
              <w:tabs>
                <w:tab w:val="center" w:pos="4360"/>
              </w:tabs>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二、</w:t>
            </w:r>
            <w:r>
              <w:rPr>
                <w:rFonts w:hint="default" w:ascii="Times New Roman" w:hAnsi="Times New Roman" w:eastAsia="宋体" w:cs="Times New Roman"/>
                <w:b/>
                <w:color w:val="auto"/>
                <w:sz w:val="24"/>
                <w:szCs w:val="24"/>
                <w:highlight w:val="none"/>
              </w:rPr>
              <w:t>工程内容及规模</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1、项目建设内容及规模</w:t>
            </w:r>
          </w:p>
          <w:p>
            <w:pPr>
              <w:widowControl/>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次扩建项目在原项目已建生产车间内划定部分闲置区域进行使用。原项目共建有1栋3跨标准化厂房（1#厂房）、1栋1跨标准化厂房（2#厂房）、1栋3F综合办公楼，配套建设公用工程及部分环保工程（隔油池、化粪池、地埋式一体化污水处理站）。</w:t>
            </w:r>
          </w:p>
          <w:p>
            <w:pPr>
              <w:widowControl/>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本次扩建生产线位于1#厂房内靠南侧的2跨生产厂房，项目总投资2000万元，占地面积2800m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，建筑面积3040m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，建设内容</w:t>
            </w:r>
            <w:r>
              <w:rPr>
                <w:rFonts w:hint="default" w:ascii="Times New Roman" w:hAnsi="Times New Roman" w:eastAsia="宋体" w:cs="Times New Roman"/>
                <w:color w:val="auto"/>
                <w:sz w:val="24"/>
                <w:szCs w:val="24"/>
                <w:highlight w:val="none"/>
              </w:rPr>
              <w:t>包括主体工程、辅助工程、公用工程、环保工</w:t>
            </w:r>
            <w:r>
              <w:rPr>
                <w:rFonts w:hint="default" w:ascii="Times New Roman" w:hAnsi="Times New Roman" w:eastAsia="宋体" w:cs="Times New Roman"/>
                <w:color w:val="auto"/>
                <w:sz w:val="24"/>
                <w:szCs w:val="24"/>
                <w:highlight w:val="none"/>
                <w:lang w:val="en-US" w:eastAsia="zh-CN"/>
              </w:rPr>
              <w:t>程。本项目共设置2条生产线，1条产能为2500t/a的农用塑料地膜生产线及1条产能为2500t/a的</w:t>
            </w:r>
            <w:r>
              <w:rPr>
                <w:rFonts w:hint="default" w:ascii="Times New Roman" w:hAnsi="Times New Roman" w:eastAsia="宋体" w:cs="Times New Roman"/>
                <w:color w:val="auto"/>
                <w:sz w:val="24"/>
                <w:szCs w:val="24"/>
                <w:highlight w:val="none"/>
                <w:lang w:eastAsia="zh-CN"/>
              </w:rPr>
              <w:t>农用塑料大棚膜</w:t>
            </w:r>
            <w:r>
              <w:rPr>
                <w:rFonts w:hint="default" w:ascii="Times New Roman" w:hAnsi="Times New Roman" w:eastAsia="宋体" w:cs="Times New Roman"/>
                <w:color w:val="auto"/>
                <w:sz w:val="24"/>
                <w:szCs w:val="24"/>
                <w:highlight w:val="none"/>
                <w:lang w:val="en-US" w:eastAsia="zh-CN"/>
              </w:rPr>
              <w:t>生产线。</w:t>
            </w:r>
          </w:p>
          <w:p>
            <w:pPr>
              <w:widowControl/>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highlight w:val="none"/>
              </w:rPr>
              <w:t>主要建设内容见表</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-1。</w:t>
            </w:r>
          </w:p>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 xml:space="preserve">-1 </w:t>
            </w:r>
            <w:r>
              <w:rPr>
                <w:rFonts w:hint="default" w:ascii="Times New Roman" w:hAnsi="Times New Roman" w:eastAsia="宋体" w:cs="Times New Roman"/>
                <w:b/>
                <w:bCs/>
                <w:color w:val="auto"/>
                <w:szCs w:val="21"/>
                <w:highlight w:val="none"/>
                <w:lang w:val="en-US" w:eastAsia="zh-CN"/>
              </w:rPr>
              <w:t xml:space="preserve"> </w:t>
            </w:r>
            <w:r>
              <w:rPr>
                <w:rFonts w:hint="default" w:ascii="Times New Roman" w:hAnsi="Times New Roman" w:eastAsia="宋体" w:cs="Times New Roman"/>
                <w:b/>
                <w:bCs/>
                <w:color w:val="auto"/>
                <w:szCs w:val="21"/>
                <w:highlight w:val="none"/>
              </w:rPr>
              <w:t xml:space="preserve"> </w:t>
            </w:r>
            <w:r>
              <w:rPr>
                <w:rFonts w:hint="default" w:ascii="Times New Roman" w:hAnsi="Times New Roman" w:eastAsia="宋体" w:cs="Times New Roman"/>
                <w:b/>
                <w:bCs/>
                <w:color w:val="auto"/>
                <w:szCs w:val="21"/>
                <w:highlight w:val="none"/>
                <w:lang w:val="en-US" w:eastAsia="zh-CN"/>
              </w:rPr>
              <w:t>本</w:t>
            </w:r>
            <w:r>
              <w:rPr>
                <w:rFonts w:hint="default" w:ascii="Times New Roman" w:hAnsi="Times New Roman" w:eastAsia="宋体" w:cs="Times New Roman"/>
                <w:b/>
                <w:bCs/>
                <w:color w:val="auto"/>
                <w:szCs w:val="21"/>
                <w:highlight w:val="none"/>
              </w:rPr>
              <w:t>项目组成一览表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26"/>
              <w:gridCol w:w="995"/>
              <w:gridCol w:w="260"/>
              <w:gridCol w:w="4780"/>
              <w:gridCol w:w="974"/>
              <w:gridCol w:w="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4" w:type="pct"/>
                  <w:vMerge w:val="restart"/>
                  <w:vAlign w:val="center"/>
                </w:tcPr>
                <w:p>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工程分类</w:t>
                  </w:r>
                </w:p>
              </w:tc>
              <w:tc>
                <w:tcPr>
                  <w:tcW w:w="813" w:type="pct"/>
                  <w:gridSpan w:val="2"/>
                  <w:vMerge w:val="restart"/>
                  <w:vAlign w:val="center"/>
                </w:tcPr>
                <w:p>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项目名称</w:t>
                  </w:r>
                </w:p>
              </w:tc>
              <w:tc>
                <w:tcPr>
                  <w:tcW w:w="3441" w:type="pct"/>
                  <w:gridSpan w:val="3"/>
                  <w:vMerge w:val="restart"/>
                  <w:vAlign w:val="center"/>
                </w:tcPr>
                <w:p>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建设内容及规模</w:t>
                  </w:r>
                </w:p>
              </w:tc>
              <w:tc>
                <w:tcPr>
                  <w:tcW w:w="501" w:type="pct"/>
                  <w:vMerge w:val="restart"/>
                  <w:vAlign w:val="center"/>
                </w:tcPr>
                <w:p>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4" w:type="pct"/>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813" w:type="pct"/>
                  <w:gridSpan w:val="2"/>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3441" w:type="pct"/>
                  <w:gridSpan w:val="3"/>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501"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restart"/>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主体工程</w:t>
                  </w:r>
                </w:p>
              </w:tc>
              <w:tc>
                <w:tcPr>
                  <w:tcW w:w="813" w:type="pct"/>
                  <w:gridSpan w:val="2"/>
                  <w:vMerge w:val="restart"/>
                  <w:vAlign w:val="center"/>
                </w:tcPr>
                <w:p>
                  <w:pPr>
                    <w:adjustRightInd w:val="0"/>
                    <w:snapToGri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生产厂房（2200m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vertAlign w:val="baseline"/>
                      <w:lang w:val="en-US" w:eastAsia="zh-CN"/>
                    </w:rPr>
                    <w:t>1F钢架结构，高9.9m。</w:t>
                  </w:r>
                  <w:r>
                    <w:rPr>
                      <w:rFonts w:hint="default" w:ascii="Times New Roman" w:hAnsi="Times New Roman" w:eastAsia="宋体" w:cs="Times New Roman"/>
                      <w:color w:val="auto"/>
                      <w:sz w:val="21"/>
                      <w:szCs w:val="21"/>
                      <w:highlight w:val="none"/>
                      <w:lang w:val="en-US" w:eastAsia="zh-CN"/>
                    </w:rPr>
                    <w:t>）</w:t>
                  </w:r>
                </w:p>
              </w:tc>
              <w:tc>
                <w:tcPr>
                  <w:tcW w:w="3441" w:type="pct"/>
                  <w:gridSpan w:val="3"/>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1#厂房内第3跨车间</w:t>
                  </w:r>
                  <w:r>
                    <w:rPr>
                      <w:rFonts w:hint="default" w:ascii="Times New Roman" w:hAnsi="Times New Roman" w:eastAsia="宋体" w:cs="Times New Roman"/>
                      <w:color w:val="auto"/>
                      <w:sz w:val="21"/>
                      <w:szCs w:val="21"/>
                      <w:highlight w:val="none"/>
                      <w:vertAlign w:val="baseline"/>
                      <w:lang w:val="en-US" w:eastAsia="zh-CN"/>
                    </w:rPr>
                    <w:t>，位于生产车间内南侧，建筑面积1100m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，内部设置8台小吹膜机、1台中型吹膜机及1台大型吹膜机，主要用于</w:t>
                  </w:r>
                  <w:r>
                    <w:rPr>
                      <w:rFonts w:hint="default" w:ascii="Times New Roman" w:hAnsi="Times New Roman" w:eastAsia="宋体" w:cs="Times New Roman"/>
                      <w:color w:val="auto"/>
                      <w:sz w:val="21"/>
                      <w:szCs w:val="21"/>
                      <w:highlight w:val="none"/>
                      <w:lang w:eastAsia="zh-CN"/>
                    </w:rPr>
                    <w:t>农用塑料地膜</w:t>
                  </w:r>
                  <w:r>
                    <w:rPr>
                      <w:rFonts w:hint="default" w:ascii="Times New Roman" w:hAnsi="Times New Roman" w:eastAsia="宋体"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lang w:eastAsia="zh-CN"/>
                    </w:rPr>
                    <w:t>农用塑料大棚膜</w:t>
                  </w:r>
                  <w:r>
                    <w:rPr>
                      <w:rFonts w:hint="default" w:ascii="Times New Roman" w:hAnsi="Times New Roman" w:eastAsia="宋体" w:cs="Times New Roman"/>
                      <w:color w:val="auto"/>
                      <w:sz w:val="21"/>
                      <w:szCs w:val="21"/>
                      <w:highlight w:val="none"/>
                      <w:lang w:val="en-US" w:eastAsia="zh-CN"/>
                    </w:rPr>
                    <w:t>的生产</w:t>
                  </w:r>
                  <w:r>
                    <w:rPr>
                      <w:rFonts w:hint="default" w:ascii="Times New Roman" w:hAnsi="Times New Roman" w:eastAsia="宋体" w:cs="Times New Roman"/>
                      <w:color w:val="auto"/>
                      <w:sz w:val="21"/>
                      <w:szCs w:val="21"/>
                      <w:highlight w:val="none"/>
                      <w:vertAlign w:val="baseline"/>
                      <w:lang w:val="en-US" w:eastAsia="zh-CN"/>
                    </w:rPr>
                    <w:t>。</w:t>
                  </w:r>
                </w:p>
              </w:tc>
              <w:tc>
                <w:tcPr>
                  <w:tcW w:w="501" w:type="pct"/>
                  <w:vMerge w:val="restart"/>
                  <w:vAlign w:val="center"/>
                </w:tcPr>
                <w:p>
                  <w:pP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依托原项目已建部分标准化厂房使用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244"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813" w:type="pct"/>
                  <w:gridSpan w:val="2"/>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3441" w:type="pct"/>
                  <w:gridSpan w:val="3"/>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1#厂房内第2跨车间</w:t>
                  </w:r>
                  <w:r>
                    <w:rPr>
                      <w:rFonts w:hint="default" w:ascii="Times New Roman" w:hAnsi="Times New Roman" w:eastAsia="宋体" w:cs="Times New Roman"/>
                      <w:color w:val="auto"/>
                      <w:sz w:val="21"/>
                      <w:szCs w:val="21"/>
                      <w:highlight w:val="none"/>
                      <w:vertAlign w:val="baseline"/>
                      <w:lang w:val="en-US" w:eastAsia="zh-CN"/>
                    </w:rPr>
                    <w:t>，位于生产车间内北侧，建筑面积1100m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，主要分为生产加工区、原辅料堆存区、成品堆放区等。其中生产加工区内部设置5台小吹膜机，主要用于</w:t>
                  </w:r>
                  <w:r>
                    <w:rPr>
                      <w:rFonts w:hint="default" w:ascii="Times New Roman" w:hAnsi="Times New Roman" w:eastAsia="宋体" w:cs="Times New Roman"/>
                      <w:color w:val="auto"/>
                      <w:sz w:val="21"/>
                      <w:szCs w:val="21"/>
                      <w:highlight w:val="none"/>
                      <w:lang w:eastAsia="zh-CN"/>
                    </w:rPr>
                    <w:t>农用塑料地膜</w:t>
                  </w:r>
                  <w:r>
                    <w:rPr>
                      <w:rFonts w:hint="default" w:ascii="Times New Roman" w:hAnsi="Times New Roman" w:eastAsia="宋体"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lang w:eastAsia="zh-CN"/>
                    </w:rPr>
                    <w:t>农用塑料大棚膜</w:t>
                  </w:r>
                  <w:r>
                    <w:rPr>
                      <w:rFonts w:hint="default" w:ascii="Times New Roman" w:hAnsi="Times New Roman" w:eastAsia="宋体" w:cs="Times New Roman"/>
                      <w:color w:val="auto"/>
                      <w:sz w:val="21"/>
                      <w:szCs w:val="21"/>
                      <w:highlight w:val="none"/>
                      <w:lang w:val="en-US" w:eastAsia="zh-CN"/>
                    </w:rPr>
                    <w:t>的生产；原辅料堆存区主要用于</w:t>
                  </w:r>
                  <w:r>
                    <w:rPr>
                      <w:rFonts w:hint="default" w:ascii="Times New Roman" w:hAnsi="Times New Roman" w:eastAsia="宋体" w:cs="Times New Roman"/>
                      <w:color w:val="auto"/>
                      <w:sz w:val="21"/>
                      <w:szCs w:val="21"/>
                      <w:highlight w:val="none"/>
                      <w:lang w:eastAsia="zh-CN"/>
                    </w:rPr>
                    <w:t>聚乙烯、抗老化母料、色母料</w:t>
                  </w:r>
                  <w:r>
                    <w:rPr>
                      <w:rFonts w:hint="default" w:ascii="Times New Roman" w:hAnsi="Times New Roman" w:eastAsia="宋体" w:cs="Times New Roman"/>
                      <w:color w:val="auto"/>
                      <w:sz w:val="21"/>
                      <w:szCs w:val="21"/>
                      <w:highlight w:val="none"/>
                      <w:lang w:val="en-US" w:eastAsia="zh-CN"/>
                    </w:rPr>
                    <w:t>等堆存；成品堆放区主要用于</w:t>
                  </w:r>
                  <w:r>
                    <w:rPr>
                      <w:rFonts w:hint="default" w:ascii="Times New Roman" w:hAnsi="Times New Roman" w:eastAsia="宋体" w:cs="Times New Roman"/>
                      <w:color w:val="auto"/>
                      <w:sz w:val="21"/>
                      <w:szCs w:val="21"/>
                      <w:highlight w:val="none"/>
                      <w:lang w:eastAsia="zh-CN"/>
                    </w:rPr>
                    <w:t>农用塑料地膜</w:t>
                  </w:r>
                  <w:r>
                    <w:rPr>
                      <w:rFonts w:hint="default" w:ascii="Times New Roman" w:hAnsi="Times New Roman" w:eastAsia="宋体"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lang w:eastAsia="zh-CN"/>
                    </w:rPr>
                    <w:t>农用塑料大棚膜</w:t>
                  </w:r>
                  <w:r>
                    <w:rPr>
                      <w:rFonts w:hint="default" w:ascii="Times New Roman" w:hAnsi="Times New Roman" w:eastAsia="宋体" w:cs="Times New Roman"/>
                      <w:color w:val="auto"/>
                      <w:sz w:val="21"/>
                      <w:szCs w:val="21"/>
                      <w:highlight w:val="none"/>
                      <w:lang w:val="en-US" w:eastAsia="zh-CN"/>
                    </w:rPr>
                    <w:t>产品的暂存</w:t>
                  </w:r>
                  <w:r>
                    <w:rPr>
                      <w:rFonts w:hint="default" w:ascii="Times New Roman" w:hAnsi="Times New Roman" w:eastAsia="宋体" w:cs="Times New Roman"/>
                      <w:color w:val="auto"/>
                      <w:sz w:val="21"/>
                      <w:szCs w:val="21"/>
                      <w:highlight w:val="none"/>
                      <w:vertAlign w:val="baseline"/>
                      <w:lang w:val="en-US" w:eastAsia="zh-CN"/>
                    </w:rPr>
                    <w:t>。</w:t>
                  </w:r>
                </w:p>
              </w:tc>
              <w:tc>
                <w:tcPr>
                  <w:tcW w:w="501"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restart"/>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辅助工程</w:t>
                  </w:r>
                </w:p>
              </w:tc>
              <w:tc>
                <w:tcPr>
                  <w:tcW w:w="813" w:type="pct"/>
                  <w:gridSpan w:val="2"/>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综合</w:t>
                  </w:r>
                  <w:r>
                    <w:rPr>
                      <w:rFonts w:hint="default" w:ascii="Times New Roman" w:hAnsi="Times New Roman" w:eastAsia="宋体" w:cs="Times New Roman"/>
                      <w:color w:val="auto"/>
                      <w:kern w:val="0"/>
                      <w:sz w:val="21"/>
                      <w:szCs w:val="21"/>
                      <w:highlight w:val="none"/>
                    </w:rPr>
                    <w:t>楼</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840m</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lang w:eastAsia="zh-CN"/>
                    </w:rPr>
                    <w:t>）</w:t>
                  </w:r>
                </w:p>
              </w:tc>
              <w:tc>
                <w:tcPr>
                  <w:tcW w:w="3441" w:type="pct"/>
                  <w:gridSpan w:val="3"/>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原项目已建</w:t>
                  </w:r>
                  <w:r>
                    <w:rPr>
                      <w:rFonts w:hint="default" w:ascii="Times New Roman" w:hAnsi="Times New Roman" w:eastAsia="宋体"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rPr>
                    <w:t>栋3层的</w:t>
                  </w:r>
                  <w:r>
                    <w:rPr>
                      <w:rFonts w:hint="default" w:ascii="Times New Roman" w:hAnsi="Times New Roman" w:eastAsia="宋体" w:cs="Times New Roman"/>
                      <w:color w:val="auto"/>
                      <w:kern w:val="0"/>
                      <w:sz w:val="21"/>
                      <w:szCs w:val="21"/>
                      <w:highlight w:val="none"/>
                      <w:lang w:val="en-US" w:eastAsia="zh-CN"/>
                    </w:rPr>
                    <w:t>砖混结构综合</w:t>
                  </w:r>
                  <w:r>
                    <w:rPr>
                      <w:rFonts w:hint="default" w:ascii="Times New Roman" w:hAnsi="Times New Roman" w:eastAsia="宋体" w:cs="Times New Roman"/>
                      <w:color w:val="auto"/>
                      <w:kern w:val="0"/>
                      <w:sz w:val="21"/>
                      <w:szCs w:val="21"/>
                      <w:highlight w:val="none"/>
                    </w:rPr>
                    <w:t>楼</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总建筑面积为840m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高度为12.1m；一层主要包含办公室、展厅、接待室，二三层为员工宿舍、员工活动中心。</w:t>
                  </w:r>
                </w:p>
              </w:tc>
              <w:tc>
                <w:tcPr>
                  <w:tcW w:w="501" w:type="pct"/>
                  <w:vMerge w:val="restart"/>
                  <w:vAlign w:val="center"/>
                </w:tcPr>
                <w:p>
                  <w:pP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依托原项目</w:t>
                  </w:r>
                  <w:r>
                    <w:rPr>
                      <w:rFonts w:hint="default" w:ascii="Times New Roman" w:hAnsi="Times New Roman" w:eastAsia="宋体" w:cs="Times New Roman"/>
                      <w:color w:val="auto"/>
                      <w:kern w:val="2"/>
                      <w:sz w:val="21"/>
                      <w:szCs w:val="21"/>
                      <w:highlight w:val="none"/>
                      <w:lang w:val="en-US" w:eastAsia="zh-CN" w:bidi="ar-SA"/>
                    </w:rPr>
                    <w:t>已建综合楼内部分建筑进行使用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lang w:val="en-US" w:eastAsia="zh-CN"/>
                    </w:rPr>
                  </w:pPr>
                </w:p>
              </w:tc>
              <w:tc>
                <w:tcPr>
                  <w:tcW w:w="243" w:type="pct"/>
                  <w:vMerge w:val="restart"/>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其中</w:t>
                  </w:r>
                </w:p>
              </w:tc>
              <w:tc>
                <w:tcPr>
                  <w:tcW w:w="569" w:type="pct"/>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员工宿舍</w:t>
                  </w:r>
                </w:p>
              </w:tc>
              <w:tc>
                <w:tcPr>
                  <w:tcW w:w="3441" w:type="pct"/>
                  <w:gridSpan w:val="3"/>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位于综合楼的第二</w:t>
                  </w:r>
                  <w:r>
                    <w:rPr>
                      <w:rFonts w:hint="eastAsia"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三层，建筑面积约为</w:t>
                  </w:r>
                  <w:r>
                    <w:rPr>
                      <w:rFonts w:hint="default" w:ascii="Times New Roman" w:hAnsi="Times New Roman" w:eastAsia="宋体" w:cs="Times New Roman"/>
                      <w:color w:val="auto"/>
                      <w:kern w:val="0"/>
                      <w:sz w:val="21"/>
                      <w:szCs w:val="21"/>
                      <w:highlight w:val="none"/>
                      <w:lang w:val="en-US" w:eastAsia="zh-CN"/>
                    </w:rPr>
                    <w:t>494.3</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，主要作为厂区员工住宿使用。二层设置有10个双人间，三层设置有2个双人间，1个套间。各房间均有自带卫生间。</w:t>
                  </w:r>
                </w:p>
              </w:tc>
              <w:tc>
                <w:tcPr>
                  <w:tcW w:w="501" w:type="pct"/>
                  <w:vMerge w:val="continue"/>
                  <w:vAlign w:val="center"/>
                </w:tcPr>
                <w:p>
                  <w:pP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lang w:val="en-US" w:eastAsia="zh-CN"/>
                    </w:rPr>
                  </w:pPr>
                </w:p>
              </w:tc>
              <w:tc>
                <w:tcPr>
                  <w:tcW w:w="243" w:type="pct"/>
                  <w:vMerge w:val="continue"/>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569" w:type="pct"/>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办公室</w:t>
                  </w:r>
                </w:p>
              </w:tc>
              <w:tc>
                <w:tcPr>
                  <w:tcW w:w="3441" w:type="pct"/>
                  <w:gridSpan w:val="3"/>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位于综合楼的第一层南部，建筑面积约为53.03m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，主要作为办公及会议使用。</w:t>
                  </w:r>
                </w:p>
              </w:tc>
              <w:tc>
                <w:tcPr>
                  <w:tcW w:w="501" w:type="pct"/>
                  <w:vMerge w:val="continue"/>
                  <w:vAlign w:val="center"/>
                </w:tcPr>
                <w:p>
                  <w:pP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lang w:val="en-US" w:eastAsia="zh-CN"/>
                    </w:rPr>
                  </w:pPr>
                </w:p>
              </w:tc>
              <w:tc>
                <w:tcPr>
                  <w:tcW w:w="243" w:type="pct"/>
                  <w:vMerge w:val="continue"/>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569" w:type="pct"/>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展厅</w:t>
                  </w:r>
                </w:p>
              </w:tc>
              <w:tc>
                <w:tcPr>
                  <w:tcW w:w="3441" w:type="pct"/>
                  <w:gridSpan w:val="3"/>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位于综合楼的第一层中间位置，建筑面积为112.32m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，展厅用于公司制成成品的展出。</w:t>
                  </w:r>
                </w:p>
              </w:tc>
              <w:tc>
                <w:tcPr>
                  <w:tcW w:w="501" w:type="pct"/>
                  <w:vMerge w:val="continue"/>
                  <w:vAlign w:val="center"/>
                </w:tcPr>
                <w:p>
                  <w:pP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lang w:val="en-US" w:eastAsia="zh-CN"/>
                    </w:rPr>
                  </w:pPr>
                </w:p>
              </w:tc>
              <w:tc>
                <w:tcPr>
                  <w:tcW w:w="243" w:type="pct"/>
                  <w:vMerge w:val="continue"/>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569" w:type="pct"/>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接待室</w:t>
                  </w:r>
                </w:p>
              </w:tc>
              <w:tc>
                <w:tcPr>
                  <w:tcW w:w="3441" w:type="pct"/>
                  <w:gridSpan w:val="3"/>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位于综合楼一层的北部，建筑面积约为53.03m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w:t>
                  </w:r>
                </w:p>
              </w:tc>
              <w:tc>
                <w:tcPr>
                  <w:tcW w:w="501" w:type="pct"/>
                  <w:vMerge w:val="continue"/>
                  <w:vAlign w:val="center"/>
                </w:tcPr>
                <w:p>
                  <w:pP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lang w:val="en-US" w:eastAsia="zh-CN"/>
                    </w:rPr>
                  </w:pPr>
                </w:p>
              </w:tc>
              <w:tc>
                <w:tcPr>
                  <w:tcW w:w="243" w:type="pct"/>
                  <w:vMerge w:val="continue"/>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569" w:type="pct"/>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员工活动室</w:t>
                  </w:r>
                </w:p>
              </w:tc>
              <w:tc>
                <w:tcPr>
                  <w:tcW w:w="3441" w:type="pct"/>
                  <w:gridSpan w:val="3"/>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位于综合楼三层，建筑面积约为112.32m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，供员工休闲娱乐使用。</w:t>
                  </w:r>
                </w:p>
              </w:tc>
              <w:tc>
                <w:tcPr>
                  <w:tcW w:w="501" w:type="pct"/>
                  <w:vMerge w:val="continue"/>
                  <w:vAlign w:val="center"/>
                </w:tcPr>
                <w:p>
                  <w:pP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lang w:val="en-US" w:eastAsia="zh-CN"/>
                    </w:rPr>
                  </w:pPr>
                </w:p>
              </w:tc>
              <w:tc>
                <w:tcPr>
                  <w:tcW w:w="243" w:type="pct"/>
                  <w:vMerge w:val="continue"/>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569" w:type="pct"/>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食堂</w:t>
                  </w:r>
                </w:p>
              </w:tc>
              <w:tc>
                <w:tcPr>
                  <w:tcW w:w="3441" w:type="pct"/>
                  <w:gridSpan w:val="3"/>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位于综合楼</w:t>
                  </w:r>
                  <w:r>
                    <w:rPr>
                      <w:rFonts w:hint="default" w:ascii="Times New Roman" w:hAnsi="Times New Roman" w:eastAsia="宋体" w:cs="Times New Roman"/>
                      <w:color w:val="auto"/>
                      <w:kern w:val="0"/>
                      <w:sz w:val="21"/>
                      <w:szCs w:val="21"/>
                      <w:highlight w:val="none"/>
                      <w:lang w:val="en-US" w:eastAsia="zh-CN"/>
                    </w:rPr>
                    <w:t>一</w:t>
                  </w:r>
                  <w:r>
                    <w:rPr>
                      <w:rFonts w:hint="default" w:ascii="Times New Roman" w:hAnsi="Times New Roman" w:eastAsia="宋体" w:cs="Times New Roman"/>
                      <w:color w:val="auto"/>
                      <w:kern w:val="0"/>
                      <w:sz w:val="21"/>
                      <w:szCs w:val="21"/>
                      <w:highlight w:val="none"/>
                    </w:rPr>
                    <w:t>层，建筑面积约为</w:t>
                  </w:r>
                  <w:r>
                    <w:rPr>
                      <w:rFonts w:hint="default" w:ascii="Times New Roman" w:hAnsi="Times New Roman" w:eastAsia="宋体" w:cs="Times New Roman"/>
                      <w:color w:val="auto"/>
                      <w:kern w:val="0"/>
                      <w:sz w:val="21"/>
                      <w:szCs w:val="21"/>
                      <w:highlight w:val="none"/>
                      <w:lang w:val="en-US" w:eastAsia="zh-CN"/>
                    </w:rPr>
                    <w:t>15</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，供员工用餐</w:t>
                  </w:r>
                  <w:r>
                    <w:rPr>
                      <w:rFonts w:hint="default" w:ascii="Times New Roman" w:hAnsi="Times New Roman" w:eastAsia="宋体" w:cs="Times New Roman"/>
                      <w:color w:val="auto"/>
                      <w:kern w:val="0"/>
                      <w:sz w:val="21"/>
                      <w:szCs w:val="21"/>
                      <w:highlight w:val="none"/>
                      <w:lang w:eastAsia="zh-CN"/>
                    </w:rPr>
                    <w:t>。</w:t>
                  </w:r>
                </w:p>
              </w:tc>
              <w:tc>
                <w:tcPr>
                  <w:tcW w:w="501" w:type="pct"/>
                  <w:vMerge w:val="continue"/>
                  <w:vAlign w:val="center"/>
                </w:tcPr>
                <w:p>
                  <w:pP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restart"/>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公用工程</w:t>
                  </w:r>
                </w:p>
              </w:tc>
              <w:tc>
                <w:tcPr>
                  <w:tcW w:w="813"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供水</w:t>
                  </w:r>
                </w:p>
              </w:tc>
              <w:tc>
                <w:tcPr>
                  <w:tcW w:w="3441" w:type="pct"/>
                  <w:gridSpan w:val="3"/>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由园区供水管网供给。</w:t>
                  </w:r>
                </w:p>
              </w:tc>
              <w:tc>
                <w:tcPr>
                  <w:tcW w:w="501" w:type="pct"/>
                  <w:vMerge w:val="restar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依托原项目</w:t>
                  </w:r>
                  <w:r>
                    <w:rPr>
                      <w:rFonts w:hint="default" w:ascii="Times New Roman" w:hAnsi="Times New Roman" w:eastAsia="宋体" w:cs="Times New Roman"/>
                      <w:color w:val="auto"/>
                      <w:sz w:val="21"/>
                      <w:szCs w:val="21"/>
                      <w:highlight w:val="none"/>
                      <w:lang w:eastAsia="zh-CN"/>
                    </w:rPr>
                    <w:t>已建公用工程</w:t>
                  </w:r>
                  <w:r>
                    <w:rPr>
                      <w:rFonts w:hint="default" w:ascii="Times New Roman" w:hAnsi="Times New Roman" w:eastAsia="宋体" w:cs="Times New Roman"/>
                      <w:color w:val="auto"/>
                      <w:sz w:val="21"/>
                      <w:szCs w:val="21"/>
                      <w:highlight w:val="none"/>
                      <w:lang w:val="en-US" w:eastAsia="zh-CN"/>
                    </w:rPr>
                    <w:t>进行使用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813"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排水</w:t>
                  </w:r>
                </w:p>
              </w:tc>
              <w:tc>
                <w:tcPr>
                  <w:tcW w:w="3441" w:type="pct"/>
                  <w:gridSpan w:val="3"/>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rPr>
                    <w:t>项目排水采用雨污分流的排水方式，项目区建筑物屋面及地面雨水经厂区雨水沟收集后排入园区</w:t>
                  </w:r>
                  <w:r>
                    <w:rPr>
                      <w:rFonts w:hint="default" w:ascii="Times New Roman" w:hAnsi="Times New Roman" w:eastAsia="宋体" w:cs="Times New Roman"/>
                      <w:color w:val="auto"/>
                      <w:sz w:val="21"/>
                      <w:szCs w:val="21"/>
                      <w:highlight w:val="none"/>
                      <w:lang w:eastAsia="zh-CN"/>
                    </w:rPr>
                    <w:t>市政雨水管网</w:t>
                  </w:r>
                  <w:r>
                    <w:rPr>
                      <w:rFonts w:hint="default" w:ascii="Times New Roman" w:hAnsi="Times New Roman" w:eastAsia="宋体" w:cs="Times New Roman"/>
                      <w:color w:val="auto"/>
                      <w:sz w:val="21"/>
                      <w:szCs w:val="21"/>
                      <w:highlight w:val="none"/>
                    </w:rPr>
                    <w:t>；项目运营期</w:t>
                  </w:r>
                  <w:r>
                    <w:rPr>
                      <w:rFonts w:hint="default" w:ascii="Times New Roman" w:hAnsi="Times New Roman" w:eastAsia="宋体" w:cs="Times New Roman"/>
                      <w:b w:val="0"/>
                      <w:bCs w:val="0"/>
                      <w:color w:val="auto"/>
                      <w:sz w:val="21"/>
                      <w:szCs w:val="21"/>
                      <w:highlight w:val="none"/>
                      <w:lang w:val="en-US" w:eastAsia="zh-CN"/>
                    </w:rPr>
                    <w:t>生产过程不使用水，无生产废水产生</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highlight w:val="none"/>
                      <w:lang w:val="en-US" w:eastAsia="zh-CN"/>
                    </w:rPr>
                    <w:t>食堂含油废水经原项目已建隔油池预处理后与其他办公生活污水一并进入已建化粪池、地埋式污水处理站处理达《城市污水再生利用 城市杂用水水质》（GB/T18920-2020）中的城市绿化、道路清扫、消防、建筑施工标准后，</w:t>
                  </w:r>
                  <w:r>
                    <w:rPr>
                      <w:rFonts w:hint="default" w:ascii="Times New Roman" w:hAnsi="Times New Roman" w:eastAsia="宋体" w:cs="Times New Roman"/>
                      <w:b w:val="0"/>
                      <w:bCs w:val="0"/>
                      <w:color w:val="auto"/>
                      <w:sz w:val="21"/>
                      <w:szCs w:val="21"/>
                      <w:highlight w:val="none"/>
                      <w:lang w:val="en-US" w:eastAsia="zh-CN"/>
                    </w:rPr>
                    <w:t>用于项目区内绿化及道路场地洒水降尘，不外排</w:t>
                  </w:r>
                  <w:r>
                    <w:rPr>
                      <w:rFonts w:hint="default" w:ascii="Times New Roman" w:hAnsi="Times New Roman" w:eastAsia="宋体" w:cs="Times New Roman"/>
                      <w:color w:val="auto"/>
                      <w:highlight w:val="none"/>
                      <w:lang w:val="en-US" w:eastAsia="zh-CN"/>
                    </w:rPr>
                    <w:t>。</w:t>
                  </w:r>
                </w:p>
              </w:tc>
              <w:tc>
                <w:tcPr>
                  <w:tcW w:w="501"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813"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供电</w:t>
                  </w:r>
                </w:p>
              </w:tc>
              <w:tc>
                <w:tcPr>
                  <w:tcW w:w="3441" w:type="pct"/>
                  <w:gridSpan w:val="3"/>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从园区已有供电系统接入。</w:t>
                  </w:r>
                </w:p>
              </w:tc>
              <w:tc>
                <w:tcPr>
                  <w:tcW w:w="501"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813"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供热</w:t>
                  </w:r>
                </w:p>
              </w:tc>
              <w:tc>
                <w:tcPr>
                  <w:tcW w:w="3441" w:type="pct"/>
                  <w:gridSpan w:val="3"/>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办公生活区使用电能</w:t>
                  </w:r>
                  <w:r>
                    <w:rPr>
                      <w:rFonts w:hint="default" w:ascii="Times New Roman" w:hAnsi="Times New Roman" w:eastAsia="宋体" w:cs="Times New Roman"/>
                      <w:color w:val="auto"/>
                      <w:sz w:val="21"/>
                      <w:szCs w:val="21"/>
                      <w:highlight w:val="none"/>
                      <w:lang w:eastAsia="zh-CN"/>
                    </w:rPr>
                    <w:t>及液化石油气，辅以太阳能提供</w:t>
                  </w:r>
                  <w:r>
                    <w:rPr>
                      <w:rFonts w:hint="default" w:ascii="Times New Roman" w:hAnsi="Times New Roman" w:eastAsia="宋体" w:cs="Times New Roman"/>
                      <w:color w:val="auto"/>
                      <w:sz w:val="21"/>
                      <w:szCs w:val="21"/>
                      <w:highlight w:val="none"/>
                    </w:rPr>
                    <w:t>热水。</w:t>
                  </w:r>
                </w:p>
              </w:tc>
              <w:tc>
                <w:tcPr>
                  <w:tcW w:w="501"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813"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消防</w:t>
                  </w:r>
                </w:p>
              </w:tc>
              <w:tc>
                <w:tcPr>
                  <w:tcW w:w="3441" w:type="pct"/>
                  <w:gridSpan w:val="3"/>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项目建筑均</w:t>
                  </w:r>
                  <w:r>
                    <w:rPr>
                      <w:rFonts w:hint="default" w:ascii="Times New Roman" w:hAnsi="Times New Roman" w:eastAsia="宋体" w:cs="Times New Roman"/>
                      <w:color w:val="auto"/>
                      <w:kern w:val="0"/>
                      <w:sz w:val="21"/>
                      <w:szCs w:val="21"/>
                      <w:highlight w:val="none"/>
                      <w:lang w:eastAsia="zh-CN"/>
                    </w:rPr>
                    <w:t>配置</w:t>
                  </w:r>
                  <w:r>
                    <w:rPr>
                      <w:rFonts w:hint="default" w:ascii="Times New Roman" w:hAnsi="Times New Roman" w:eastAsia="宋体" w:cs="Times New Roman"/>
                      <w:color w:val="auto"/>
                      <w:kern w:val="0"/>
                      <w:sz w:val="21"/>
                      <w:szCs w:val="21"/>
                      <w:highlight w:val="none"/>
                    </w:rPr>
                    <w:t>灭火</w:t>
                  </w:r>
                  <w:r>
                    <w:rPr>
                      <w:rFonts w:hint="default" w:ascii="Times New Roman" w:hAnsi="Times New Roman" w:eastAsia="宋体" w:cs="Times New Roman"/>
                      <w:color w:val="auto"/>
                      <w:kern w:val="0"/>
                      <w:sz w:val="21"/>
                      <w:szCs w:val="21"/>
                      <w:highlight w:val="none"/>
                      <w:lang w:eastAsia="zh-CN"/>
                    </w:rPr>
                    <w:t>器材</w:t>
                  </w:r>
                  <w:r>
                    <w:rPr>
                      <w:rFonts w:hint="default" w:ascii="Times New Roman" w:hAnsi="Times New Roman" w:eastAsia="宋体" w:cs="Times New Roman"/>
                      <w:color w:val="auto"/>
                      <w:kern w:val="0"/>
                      <w:sz w:val="21"/>
                      <w:szCs w:val="21"/>
                      <w:highlight w:val="none"/>
                    </w:rPr>
                    <w:t>，消防水源为市政管网水，水量水压能满足消防要求。</w:t>
                  </w:r>
                </w:p>
              </w:tc>
              <w:tc>
                <w:tcPr>
                  <w:tcW w:w="501"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restart"/>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环保工程</w:t>
                  </w:r>
                </w:p>
              </w:tc>
              <w:tc>
                <w:tcPr>
                  <w:tcW w:w="243" w:type="pct"/>
                  <w:vMerge w:val="restar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废气处理设施</w:t>
                  </w:r>
                </w:p>
              </w:tc>
              <w:tc>
                <w:tcPr>
                  <w:tcW w:w="718" w:type="pct"/>
                  <w:gridSpan w:val="2"/>
                  <w:tcBorders>
                    <w:bottom w:val="single" w:color="auto" w:sz="4" w:space="0"/>
                  </w:tcBorders>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个集气罩+1套</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UV光氧催化+三级活性炭吸附</w:t>
                  </w:r>
                  <w:r>
                    <w:rPr>
                      <w:rFonts w:hint="default" w:ascii="Times New Roman" w:hAnsi="Times New Roman" w:eastAsia="宋体" w:cs="Times New Roman"/>
                      <w:color w:val="auto"/>
                      <w:sz w:val="21"/>
                      <w:szCs w:val="21"/>
                      <w:highlight w:val="none"/>
                    </w:rPr>
                    <w:t>装置</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 w:val="21"/>
                      <w:szCs w:val="21"/>
                      <w:highlight w:val="none"/>
                    </w:rPr>
                    <w:t>+1根15m排气筒（</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w:t>
                  </w:r>
                </w:p>
              </w:tc>
              <w:tc>
                <w:tcPr>
                  <w:tcW w:w="3292" w:type="pct"/>
                  <w:gridSpan w:val="2"/>
                  <w:tcBorders>
                    <w:bottom w:val="single" w:color="auto" w:sz="4" w:space="0"/>
                  </w:tcBorders>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分别在吹膜机出料口</w:t>
                  </w:r>
                  <w:r>
                    <w:rPr>
                      <w:rFonts w:hint="default" w:ascii="Times New Roman" w:hAnsi="Times New Roman" w:eastAsia="宋体" w:cs="Times New Roman"/>
                      <w:color w:val="auto"/>
                      <w:sz w:val="21"/>
                      <w:szCs w:val="21"/>
                      <w:highlight w:val="none"/>
                    </w:rPr>
                    <w:t>上方</w:t>
                  </w:r>
                  <w:r>
                    <w:rPr>
                      <w:rFonts w:hint="default" w:ascii="Times New Roman" w:hAnsi="Times New Roman" w:eastAsia="宋体" w:cs="Times New Roman"/>
                      <w:color w:val="auto"/>
                      <w:sz w:val="21"/>
                      <w:szCs w:val="21"/>
                      <w:highlight w:val="none"/>
                      <w:lang w:val="en-US" w:eastAsia="zh-CN"/>
                    </w:rPr>
                    <w:t>设置1个集气罩，</w:t>
                  </w:r>
                  <w:r>
                    <w:rPr>
                      <w:rFonts w:hint="default" w:ascii="Times New Roman" w:hAnsi="Times New Roman" w:eastAsia="宋体" w:cs="Times New Roman"/>
                      <w:color w:val="auto"/>
                      <w:sz w:val="21"/>
                      <w:szCs w:val="21"/>
                      <w:highlight w:val="none"/>
                    </w:rPr>
                    <w:t>共设置</w:t>
                  </w: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个集气罩+1套</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UV光氧催化+三级活性炭吸附</w:t>
                  </w:r>
                  <w:r>
                    <w:rPr>
                      <w:rFonts w:hint="default" w:ascii="Times New Roman" w:hAnsi="Times New Roman" w:eastAsia="宋体" w:cs="Times New Roman"/>
                      <w:color w:val="auto"/>
                      <w:sz w:val="21"/>
                      <w:szCs w:val="21"/>
                      <w:highlight w:val="none"/>
                    </w:rPr>
                    <w:t>装置</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 w:val="21"/>
                      <w:szCs w:val="21"/>
                      <w:highlight w:val="none"/>
                    </w:rPr>
                    <w:t>+1根15m高排气筒（预留标准的采样检测口）（</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），用于处理</w:t>
                  </w: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过程产生的有机废气</w:t>
                  </w:r>
                  <w:r>
                    <w:rPr>
                      <w:rFonts w:hint="default" w:ascii="Times New Roman" w:hAnsi="Times New Roman" w:eastAsia="宋体" w:cs="Times New Roman"/>
                      <w:color w:val="auto"/>
                      <w:sz w:val="21"/>
                      <w:szCs w:val="21"/>
                      <w:highlight w:val="none"/>
                      <w:lang w:val="en-US" w:eastAsia="zh-CN"/>
                    </w:rPr>
                    <w:t>及臭气</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0%，风机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75600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UV光氧催化+三级活性炭吸附</w:t>
                  </w:r>
                  <w:r>
                    <w:rPr>
                      <w:rFonts w:hint="default" w:ascii="Times New Roman" w:hAnsi="Times New Roman" w:eastAsia="宋体" w:cs="Times New Roman"/>
                      <w:color w:val="auto"/>
                      <w:sz w:val="21"/>
                      <w:szCs w:val="21"/>
                      <w:highlight w:val="none"/>
                    </w:rPr>
                    <w:t>装置</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bCs/>
                      <w:color w:val="auto"/>
                      <w:sz w:val="21"/>
                      <w:szCs w:val="21"/>
                      <w:highlight w:val="none"/>
                    </w:rPr>
                    <w:t>去除效率</w:t>
                  </w:r>
                  <w:r>
                    <w:rPr>
                      <w:rFonts w:hint="default" w:ascii="Times New Roman" w:hAnsi="Times New Roman" w:eastAsia="宋体" w:cs="Times New Roman"/>
                      <w:bCs/>
                      <w:color w:val="auto"/>
                      <w:sz w:val="21"/>
                      <w:szCs w:val="21"/>
                      <w:highlight w:val="none"/>
                      <w:lang w:val="en-US" w:eastAsia="zh-CN"/>
                    </w:rPr>
                    <w:t>78%</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排气筒内径0.8m</w:t>
                  </w:r>
                  <w:r>
                    <w:rPr>
                      <w:rFonts w:hint="default" w:ascii="Times New Roman" w:hAnsi="Times New Roman" w:eastAsia="宋体" w:cs="Times New Roman"/>
                      <w:color w:val="auto"/>
                      <w:sz w:val="21"/>
                      <w:szCs w:val="21"/>
                      <w:highlight w:val="none"/>
                    </w:rPr>
                    <w:t>。</w:t>
                  </w:r>
                </w:p>
              </w:tc>
              <w:tc>
                <w:tcPr>
                  <w:tcW w:w="501"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243"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718" w:type="pct"/>
                  <w:gridSpan w:val="2"/>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食堂油烟</w:t>
                  </w:r>
                </w:p>
              </w:tc>
              <w:tc>
                <w:tcPr>
                  <w:tcW w:w="3292" w:type="pct"/>
                  <w:gridSpan w:val="2"/>
                  <w:vAlign w:val="center"/>
                </w:tcPr>
                <w:p>
                  <w:pPr>
                    <w:pStyle w:val="1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rPr>
                    <w:t>食堂油烟配套“1个集气罩+1台油烟净化设施+高于生活综合楼房顶1.5m高的排气筒”</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color w:val="auto"/>
                      <w:sz w:val="21"/>
                      <w:szCs w:val="21"/>
                      <w:highlight w:val="none"/>
                    </w:rPr>
                    <w:t>，油烟净化器净化效率不低于60%。</w:t>
                  </w:r>
                </w:p>
              </w:tc>
              <w:tc>
                <w:tcPr>
                  <w:tcW w:w="501" w:type="pct"/>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依托原项目已建设施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243" w:type="pct"/>
                  <w:vMerge w:val="restart"/>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718"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雨污分流</w:t>
                  </w:r>
                </w:p>
              </w:tc>
              <w:tc>
                <w:tcPr>
                  <w:tcW w:w="3292"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项目实行雨污分流制，雨水经雨水管道外排至园区雨水管网。</w:t>
                  </w:r>
                </w:p>
              </w:tc>
              <w:tc>
                <w:tcPr>
                  <w:tcW w:w="501" w:type="pct"/>
                  <w:vMerge w:val="restar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依托原项目</w:t>
                  </w:r>
                  <w:r>
                    <w:rPr>
                      <w:rFonts w:hint="default" w:ascii="Times New Roman" w:hAnsi="Times New Roman" w:eastAsia="宋体" w:cs="Times New Roman"/>
                      <w:color w:val="auto"/>
                      <w:sz w:val="21"/>
                      <w:szCs w:val="21"/>
                      <w:highlight w:val="none"/>
                      <w:lang w:eastAsia="zh-CN"/>
                    </w:rPr>
                    <w:t>已建</w:t>
                  </w:r>
                  <w:r>
                    <w:rPr>
                      <w:rFonts w:hint="default" w:ascii="Times New Roman" w:hAnsi="Times New Roman" w:eastAsia="宋体" w:cs="Times New Roman"/>
                      <w:color w:val="auto"/>
                      <w:sz w:val="21"/>
                      <w:szCs w:val="21"/>
                      <w:highlight w:val="none"/>
                      <w:lang w:val="en-US" w:eastAsia="zh-CN"/>
                    </w:rPr>
                    <w:t>设施进行使用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243"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18"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隔油池</w:t>
                  </w:r>
                </w:p>
              </w:tc>
              <w:tc>
                <w:tcPr>
                  <w:tcW w:w="3292"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default" w:ascii="Times New Roman" w:hAnsi="Times New Roman" w:eastAsia="宋体" w:cs="Times New Roman"/>
                      <w:color w:val="auto"/>
                      <w:sz w:val="21"/>
                      <w:szCs w:val="21"/>
                      <w:highlight w:val="none"/>
                      <w:lang w:val="en-US" w:eastAsia="zh-CN"/>
                    </w:rPr>
                    <w:t>0.5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的隔油池，项目区食堂外</w:t>
                  </w:r>
                  <w:r>
                    <w:rPr>
                      <w:rFonts w:hint="default" w:ascii="Times New Roman" w:hAnsi="Times New Roman" w:eastAsia="宋体" w:cs="Times New Roman"/>
                      <w:color w:val="auto"/>
                      <w:sz w:val="21"/>
                      <w:szCs w:val="21"/>
                      <w:highlight w:val="none"/>
                      <w:lang w:val="en-US" w:eastAsia="zh-CN"/>
                    </w:rPr>
                    <w:t>东侧</w:t>
                  </w:r>
                  <w:r>
                    <w:rPr>
                      <w:rFonts w:hint="default" w:ascii="Times New Roman" w:hAnsi="Times New Roman" w:eastAsia="宋体" w:cs="Times New Roman"/>
                      <w:color w:val="auto"/>
                      <w:sz w:val="21"/>
                      <w:szCs w:val="21"/>
                      <w:highlight w:val="none"/>
                    </w:rPr>
                    <w:t>，用于处理食堂产生的含油废水。</w:t>
                  </w:r>
                </w:p>
              </w:tc>
              <w:tc>
                <w:tcPr>
                  <w:tcW w:w="501"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243"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18"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化粪池</w:t>
                  </w:r>
                </w:p>
              </w:tc>
              <w:tc>
                <w:tcPr>
                  <w:tcW w:w="3292"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个容积为</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的化粪池，设于</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综合楼</w:t>
                  </w:r>
                  <w:r>
                    <w:rPr>
                      <w:rFonts w:hint="default" w:ascii="Times New Roman" w:hAnsi="Times New Roman" w:eastAsia="宋体" w:cs="Times New Roman"/>
                      <w:color w:val="auto"/>
                      <w:sz w:val="21"/>
                      <w:szCs w:val="21"/>
                      <w:highlight w:val="none"/>
                      <w:lang w:val="en-US" w:eastAsia="zh-CN"/>
                    </w:rPr>
                    <w:t>东</w:t>
                  </w:r>
                  <w:r>
                    <w:rPr>
                      <w:rFonts w:hint="default" w:ascii="Times New Roman" w:hAnsi="Times New Roman" w:eastAsia="宋体" w:cs="Times New Roman"/>
                      <w:color w:val="auto"/>
                      <w:sz w:val="21"/>
                      <w:szCs w:val="21"/>
                      <w:highlight w:val="none"/>
                    </w:rPr>
                    <w:t>侧，用于预处理项目内所有办公生活废水。</w:t>
                  </w:r>
                </w:p>
              </w:tc>
              <w:tc>
                <w:tcPr>
                  <w:tcW w:w="501"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243"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18"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一体化生活污水处理设施</w:t>
                  </w:r>
                </w:p>
              </w:tc>
              <w:tc>
                <w:tcPr>
                  <w:tcW w:w="3292"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目前，项目区内已设置了</w:t>
                  </w:r>
                  <w:r>
                    <w:rPr>
                      <w:rFonts w:hint="default" w:ascii="Times New Roman" w:hAnsi="Times New Roman" w:eastAsia="宋体" w:cs="Times New Roman"/>
                      <w:color w:val="auto"/>
                      <w:sz w:val="21"/>
                      <w:szCs w:val="21"/>
                      <w:highlight w:val="none"/>
                    </w:rPr>
                    <w:t>1套处理规模</w:t>
                  </w:r>
                  <w:r>
                    <w:rPr>
                      <w:rFonts w:hint="default" w:ascii="Times New Roman" w:hAnsi="Times New Roman" w:eastAsia="宋体" w:cs="Times New Roman"/>
                      <w:color w:val="auto"/>
                      <w:sz w:val="21"/>
                      <w:szCs w:val="21"/>
                      <w:highlight w:val="none"/>
                      <w:lang w:val="en-US" w:eastAsia="zh-CN"/>
                    </w:rPr>
                    <w:t>为10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/d的地埋式一体化生活污水处理设备，用于处理项目区产生的生活废水，项目运营期产生的食堂含油废水先经隔油池预处理后，与其他办公生活污水一同进入化粪池、自建地埋式一体化污水处理设施处理达</w:t>
                  </w:r>
                  <w:r>
                    <w:rPr>
                      <w:rFonts w:hint="default" w:ascii="Times New Roman" w:hAnsi="Times New Roman" w:eastAsia="宋体" w:cs="Times New Roman"/>
                      <w:bCs/>
                      <w:color w:val="auto"/>
                      <w:sz w:val="21"/>
                      <w:szCs w:val="21"/>
                      <w:highlight w:val="none"/>
                      <w:lang w:val="en-US" w:eastAsia="zh-CN"/>
                    </w:rPr>
                    <w:t>《城市污水再生利用 城市杂用水水质》（GB/T18920-2020）中的城市绿化、道路清扫、消防、建筑施工标准</w:t>
                  </w:r>
                  <w:r>
                    <w:rPr>
                      <w:rFonts w:hint="default" w:ascii="Times New Roman" w:hAnsi="Times New Roman" w:eastAsia="宋体" w:cs="Times New Roman"/>
                      <w:color w:val="auto"/>
                      <w:sz w:val="21"/>
                      <w:szCs w:val="21"/>
                      <w:highlight w:val="none"/>
                      <w:lang w:val="en-US" w:eastAsia="zh-CN"/>
                    </w:rPr>
                    <w:t>后，</w:t>
                  </w:r>
                  <w:r>
                    <w:rPr>
                      <w:rFonts w:hint="default" w:ascii="Times New Roman" w:hAnsi="Times New Roman" w:eastAsia="宋体" w:cs="Times New Roman"/>
                      <w:b w:val="0"/>
                      <w:bCs w:val="0"/>
                      <w:color w:val="auto"/>
                      <w:sz w:val="21"/>
                      <w:szCs w:val="21"/>
                      <w:highlight w:val="none"/>
                      <w:lang w:val="en-US" w:eastAsia="zh-CN"/>
                    </w:rPr>
                    <w:t>用于项目区内绿化及道路场地洒水降尘，不外排</w:t>
                  </w:r>
                  <w:r>
                    <w:rPr>
                      <w:rFonts w:hint="default" w:ascii="Times New Roman" w:hAnsi="Times New Roman" w:eastAsia="宋体" w:cs="Times New Roman"/>
                      <w:color w:val="auto"/>
                      <w:sz w:val="21"/>
                      <w:szCs w:val="21"/>
                      <w:highlight w:val="none"/>
                      <w:lang w:val="en-US" w:eastAsia="zh-CN"/>
                    </w:rPr>
                    <w:t>。经过现场踏勘，目前已设置的一体化污水处理设施运行正常，本次扩建项目可依托使用。</w:t>
                  </w:r>
                </w:p>
              </w:tc>
              <w:tc>
                <w:tcPr>
                  <w:tcW w:w="501"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243"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18"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蓄水池</w:t>
                  </w:r>
                </w:p>
              </w:tc>
              <w:tc>
                <w:tcPr>
                  <w:tcW w:w="3292"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办公生活区外</w:t>
                  </w:r>
                  <w:r>
                    <w:rPr>
                      <w:rFonts w:hint="default" w:ascii="Times New Roman" w:hAnsi="Times New Roman" w:eastAsia="宋体" w:cs="Times New Roman"/>
                      <w:color w:val="auto"/>
                      <w:sz w:val="21"/>
                      <w:szCs w:val="21"/>
                      <w:highlight w:val="none"/>
                      <w:lang w:val="en-US" w:eastAsia="zh-CN"/>
                    </w:rPr>
                    <w:t>已</w:t>
                  </w:r>
                  <w:r>
                    <w:rPr>
                      <w:rFonts w:hint="default" w:ascii="Times New Roman" w:hAnsi="Times New Roman" w:eastAsia="宋体" w:cs="Times New Roman"/>
                      <w:color w:val="auto"/>
                      <w:sz w:val="21"/>
                      <w:szCs w:val="21"/>
                      <w:highlight w:val="none"/>
                    </w:rPr>
                    <w:t>设置1个容积为</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的蓄水池，对雨天项目区内处理达标后的生活污水进行收集暂存。</w:t>
                  </w:r>
                </w:p>
              </w:tc>
              <w:tc>
                <w:tcPr>
                  <w:tcW w:w="501"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243"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18" w:type="pct"/>
                  <w:gridSpan w:val="2"/>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事故应急池</w:t>
                  </w:r>
                </w:p>
              </w:tc>
              <w:tc>
                <w:tcPr>
                  <w:tcW w:w="3292" w:type="pct"/>
                  <w:gridSpan w:val="2"/>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一体化生活污水处理</w:t>
                  </w:r>
                  <w:r>
                    <w:rPr>
                      <w:rFonts w:hint="default" w:ascii="Times New Roman" w:hAnsi="Times New Roman" w:eastAsia="宋体" w:cs="Times New Roman"/>
                      <w:color w:val="auto"/>
                      <w:sz w:val="21"/>
                      <w:szCs w:val="21"/>
                      <w:highlight w:val="none"/>
                      <w:lang w:val="en-US" w:eastAsia="zh-CN"/>
                    </w:rPr>
                    <w:t>站旁设置1个容积约为1m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的事故应急池，用于暂存</w:t>
                  </w:r>
                  <w:r>
                    <w:rPr>
                      <w:rFonts w:hint="default" w:ascii="Times New Roman" w:hAnsi="Times New Roman" w:eastAsia="宋体" w:cs="Times New Roman"/>
                      <w:color w:val="auto"/>
                      <w:sz w:val="21"/>
                      <w:szCs w:val="21"/>
                      <w:highlight w:val="none"/>
                    </w:rPr>
                    <w:t>一体化生活污水处理</w:t>
                  </w:r>
                  <w:r>
                    <w:rPr>
                      <w:rFonts w:hint="default" w:ascii="Times New Roman" w:hAnsi="Times New Roman" w:eastAsia="宋体" w:cs="Times New Roman"/>
                      <w:color w:val="auto"/>
                      <w:sz w:val="21"/>
                      <w:szCs w:val="21"/>
                      <w:highlight w:val="none"/>
                      <w:lang w:val="en-US" w:eastAsia="zh-CN"/>
                    </w:rPr>
                    <w:t>站故障时的废水。</w:t>
                  </w:r>
                </w:p>
              </w:tc>
              <w:tc>
                <w:tcPr>
                  <w:tcW w:w="501"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243" w:type="pct"/>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4010" w:type="pct"/>
                  <w:gridSpan w:val="4"/>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项目区所有生产设备置于厂房内，高噪声设备安装消声、减振装置。</w:t>
                  </w:r>
                </w:p>
              </w:tc>
              <w:tc>
                <w:tcPr>
                  <w:tcW w:w="501" w:type="pct"/>
                  <w:vAlign w:val="center"/>
                </w:tcPr>
                <w:p>
                  <w:pPr>
                    <w:widowControl/>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环评新增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243" w:type="pct"/>
                  <w:vMerge w:val="restart"/>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固废处理设施</w:t>
                  </w:r>
                </w:p>
              </w:tc>
              <w:tc>
                <w:tcPr>
                  <w:tcW w:w="718"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带盖垃圾收集桶</w:t>
                  </w:r>
                </w:p>
              </w:tc>
              <w:tc>
                <w:tcPr>
                  <w:tcW w:w="3292"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厂区内分散设置若干带盖垃圾收集桶，用于收集生活垃圾。</w:t>
                  </w:r>
                </w:p>
              </w:tc>
              <w:tc>
                <w:tcPr>
                  <w:tcW w:w="501" w:type="pct"/>
                  <w:vMerge w:val="restar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依托原项目</w:t>
                  </w:r>
                  <w:r>
                    <w:rPr>
                      <w:rFonts w:hint="default" w:ascii="Times New Roman" w:hAnsi="Times New Roman" w:eastAsia="宋体" w:cs="Times New Roman"/>
                      <w:color w:val="auto"/>
                      <w:sz w:val="21"/>
                      <w:szCs w:val="21"/>
                      <w:highlight w:val="none"/>
                      <w:lang w:eastAsia="zh-CN"/>
                    </w:rPr>
                    <w:t>已建</w:t>
                  </w:r>
                  <w:r>
                    <w:rPr>
                      <w:rFonts w:hint="default" w:ascii="Times New Roman" w:hAnsi="Times New Roman" w:eastAsia="宋体" w:cs="Times New Roman"/>
                      <w:color w:val="auto"/>
                      <w:sz w:val="21"/>
                      <w:szCs w:val="21"/>
                      <w:highlight w:val="none"/>
                      <w:lang w:val="en-US" w:eastAsia="zh-CN"/>
                    </w:rPr>
                    <w:t>设施进行使用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243"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18"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泔水桶</w:t>
                  </w:r>
                </w:p>
              </w:tc>
              <w:tc>
                <w:tcPr>
                  <w:tcW w:w="3292"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食堂内设置2只泔水桶，1用1备，用于收集食堂泔水。</w:t>
                  </w:r>
                </w:p>
              </w:tc>
              <w:tc>
                <w:tcPr>
                  <w:tcW w:w="501"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243"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18" w:type="pct"/>
                  <w:gridSpan w:val="2"/>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废油脂收集桶</w:t>
                  </w:r>
                </w:p>
              </w:tc>
              <w:tc>
                <w:tcPr>
                  <w:tcW w:w="3292"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2只，1用1备，用于收集食堂隔油池废油脂。</w:t>
                  </w:r>
                </w:p>
              </w:tc>
              <w:tc>
                <w:tcPr>
                  <w:tcW w:w="501"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243"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18"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一般固废暂存区</w:t>
                  </w:r>
                </w:p>
              </w:tc>
              <w:tc>
                <w:tcPr>
                  <w:tcW w:w="3292"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建筑面积20m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，用于收集暂存生产过程产生的一般固体废弃物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定期收集后外售</w:t>
                  </w:r>
                  <w:r>
                    <w:rPr>
                      <w:rFonts w:hint="default" w:ascii="Times New Roman" w:hAnsi="Times New Roman" w:eastAsia="宋体" w:cs="Times New Roman"/>
                      <w:color w:val="auto"/>
                      <w:sz w:val="21"/>
                      <w:szCs w:val="21"/>
                      <w:highlight w:val="none"/>
                    </w:rPr>
                    <w:t>。</w:t>
                  </w:r>
                </w:p>
              </w:tc>
              <w:tc>
                <w:tcPr>
                  <w:tcW w:w="501"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环评新增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243"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18"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危废</w:t>
                  </w:r>
                  <w:r>
                    <w:rPr>
                      <w:rFonts w:hint="default" w:ascii="Times New Roman" w:hAnsi="Times New Roman" w:eastAsia="宋体" w:cs="Times New Roman"/>
                      <w:color w:val="auto"/>
                      <w:sz w:val="21"/>
                      <w:szCs w:val="21"/>
                      <w:highlight w:val="none"/>
                      <w:lang w:val="en-US" w:eastAsia="zh-CN"/>
                    </w:rPr>
                    <w:t>暂存</w:t>
                  </w:r>
                  <w:r>
                    <w:rPr>
                      <w:rFonts w:hint="default" w:ascii="Times New Roman" w:hAnsi="Times New Roman" w:eastAsia="宋体" w:cs="Times New Roman"/>
                      <w:color w:val="auto"/>
                      <w:sz w:val="21"/>
                      <w:szCs w:val="21"/>
                      <w:highlight w:val="none"/>
                    </w:rPr>
                    <w:t>间</w:t>
                  </w:r>
                </w:p>
              </w:tc>
              <w:tc>
                <w:tcPr>
                  <w:tcW w:w="3292"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vertAlign w:val="subscript"/>
                      <w:lang w:val="en-US"/>
                    </w:rPr>
                  </w:pPr>
                  <w:r>
                    <w:rPr>
                      <w:rFonts w:hint="default" w:ascii="Times New Roman" w:hAnsi="Times New Roman" w:eastAsia="宋体" w:cs="Times New Roman"/>
                      <w:color w:val="auto"/>
                      <w:sz w:val="21"/>
                      <w:szCs w:val="21"/>
                      <w:highlight w:val="none"/>
                    </w:rPr>
                    <w:t>项目生产车间内</w:t>
                  </w:r>
                  <w:r>
                    <w:rPr>
                      <w:rFonts w:hint="default" w:ascii="Times New Roman" w:hAnsi="Times New Roman" w:eastAsia="宋体" w:cs="Times New Roman"/>
                      <w:color w:val="auto"/>
                      <w:sz w:val="21"/>
                      <w:szCs w:val="21"/>
                      <w:highlight w:val="none"/>
                      <w:lang w:val="en-US" w:eastAsia="zh-CN"/>
                    </w:rPr>
                    <w:t>已</w:t>
                  </w:r>
                  <w:r>
                    <w:rPr>
                      <w:rFonts w:hint="default" w:ascii="Times New Roman" w:hAnsi="Times New Roman" w:eastAsia="宋体" w:cs="Times New Roman"/>
                      <w:color w:val="auto"/>
                      <w:sz w:val="21"/>
                      <w:szCs w:val="21"/>
                      <w:highlight w:val="none"/>
                    </w:rPr>
                    <w:t>设置</w:t>
                  </w:r>
                  <w:r>
                    <w:rPr>
                      <w:rFonts w:hint="default" w:ascii="Times New Roman" w:hAnsi="Times New Roman" w:eastAsia="宋体" w:cs="Times New Roman"/>
                      <w:color w:val="auto"/>
                      <w:sz w:val="21"/>
                      <w:szCs w:val="21"/>
                      <w:highlight w:val="none"/>
                      <w:lang w:val="en-US" w:eastAsia="zh-CN"/>
                    </w:rPr>
                    <w:t>了</w:t>
                  </w:r>
                  <w:r>
                    <w:rPr>
                      <w:rFonts w:hint="default" w:ascii="Times New Roman" w:hAnsi="Times New Roman" w:eastAsia="宋体" w:cs="Times New Roman"/>
                      <w:color w:val="auto"/>
                      <w:sz w:val="21"/>
                      <w:szCs w:val="21"/>
                      <w:highlight w:val="none"/>
                    </w:rPr>
                    <w:t>1间占地面积为</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的危废暂存间，并配套</w:t>
                  </w:r>
                  <w:r>
                    <w:rPr>
                      <w:rFonts w:hint="default" w:ascii="Times New Roman" w:hAnsi="Times New Roman" w:eastAsia="宋体" w:cs="Times New Roman"/>
                      <w:color w:val="auto"/>
                      <w:sz w:val="21"/>
                      <w:szCs w:val="21"/>
                      <w:highlight w:val="none"/>
                      <w:lang w:val="en-US" w:eastAsia="zh-CN"/>
                    </w:rPr>
                    <w:t>了</w:t>
                  </w:r>
                  <w:r>
                    <w:rPr>
                      <w:rFonts w:hint="default" w:ascii="Times New Roman" w:hAnsi="Times New Roman" w:eastAsia="宋体" w:cs="Times New Roman"/>
                      <w:color w:val="auto"/>
                      <w:sz w:val="21"/>
                      <w:szCs w:val="21"/>
                      <w:highlight w:val="none"/>
                    </w:rPr>
                    <w:t>2个危险废物专用收集容器，用于收集暂存机修过程产生的废机油、</w:t>
                  </w:r>
                  <w:r>
                    <w:rPr>
                      <w:rFonts w:hint="default" w:ascii="Times New Roman" w:hAnsi="Times New Roman" w:eastAsia="宋体" w:cs="Times New Roman"/>
                      <w:color w:val="auto"/>
                      <w:sz w:val="21"/>
                      <w:szCs w:val="21"/>
                      <w:highlight w:val="none"/>
                      <w:lang w:val="en-US" w:eastAsia="zh-CN"/>
                    </w:rPr>
                    <w:t>机修废物、</w:t>
                  </w:r>
                  <w:r>
                    <w:rPr>
                      <w:rFonts w:hint="default" w:ascii="Times New Roman" w:hAnsi="Times New Roman" w:eastAsia="宋体" w:cs="Times New Roman"/>
                      <w:color w:val="auto"/>
                      <w:sz w:val="21"/>
                      <w:szCs w:val="21"/>
                      <w:highlight w:val="none"/>
                    </w:rPr>
                    <w:t>废气处理过程中饱和失效的活性炭</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更换的废UV灯管</w:t>
                  </w:r>
                  <w:r>
                    <w:rPr>
                      <w:rFonts w:hint="default" w:ascii="Times New Roman" w:hAnsi="Times New Roman" w:eastAsia="宋体" w:cs="Times New Roman"/>
                      <w:color w:val="auto"/>
                      <w:sz w:val="21"/>
                      <w:szCs w:val="21"/>
                      <w:highlight w:val="none"/>
                    </w:rPr>
                    <w:t>。危险废物暂存间地面</w:t>
                  </w:r>
                  <w:r>
                    <w:rPr>
                      <w:rFonts w:hint="default" w:ascii="Times New Roman" w:hAnsi="Times New Roman" w:eastAsia="宋体" w:cs="Times New Roman"/>
                      <w:color w:val="auto"/>
                      <w:sz w:val="21"/>
                      <w:szCs w:val="21"/>
                      <w:highlight w:val="none"/>
                      <w:lang w:val="en-US" w:eastAsia="zh-CN"/>
                    </w:rPr>
                    <w:t>和四周墙裙脚</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sz w:val="21"/>
                      <w:szCs w:val="21"/>
                      <w:highlight w:val="none"/>
                      <w:lang w:val="en-US" w:eastAsia="zh-CN"/>
                    </w:rPr>
                    <w:t>抗渗混凝土</w:t>
                  </w:r>
                  <w:r>
                    <w:rPr>
                      <w:rFonts w:hint="default" w:ascii="Times New Roman" w:hAnsi="Times New Roman" w:eastAsia="宋体" w:cs="Times New Roman"/>
                      <w:color w:val="auto"/>
                      <w:sz w:val="21"/>
                      <w:szCs w:val="21"/>
                      <w:highlight w:val="none"/>
                      <w:lang w:val="zh-CN"/>
                    </w:rPr>
                    <w:t>+2mm厚HDPE+环氧树脂”</w:t>
                  </w:r>
                  <w:r>
                    <w:rPr>
                      <w:rFonts w:hint="default" w:ascii="Times New Roman" w:hAnsi="Times New Roman" w:eastAsia="宋体" w:cs="Times New Roman"/>
                      <w:color w:val="auto"/>
                      <w:sz w:val="21"/>
                      <w:szCs w:val="21"/>
                      <w:highlight w:val="none"/>
                      <w:lang w:val="en-US" w:eastAsia="zh-CN"/>
                    </w:rPr>
                    <w:t>进行重点防渗处理</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-10</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color w:val="auto"/>
                      <w:sz w:val="21"/>
                      <w:szCs w:val="21"/>
                      <w:highlight w:val="none"/>
                    </w:rPr>
                    <w:t>，并按照要求设置规范的标识标牌。</w:t>
                  </w:r>
                </w:p>
              </w:tc>
              <w:tc>
                <w:tcPr>
                  <w:tcW w:w="501"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依托原项目</w:t>
                  </w:r>
                  <w:r>
                    <w:rPr>
                      <w:rFonts w:hint="default" w:ascii="Times New Roman" w:hAnsi="Times New Roman" w:eastAsia="宋体" w:cs="Times New Roman"/>
                      <w:color w:val="auto"/>
                      <w:sz w:val="21"/>
                      <w:szCs w:val="21"/>
                      <w:highlight w:val="none"/>
                      <w:lang w:eastAsia="zh-CN"/>
                    </w:rPr>
                    <w:t>已建</w:t>
                  </w:r>
                  <w:r>
                    <w:rPr>
                      <w:rFonts w:hint="default" w:ascii="Times New Roman" w:hAnsi="Times New Roman" w:eastAsia="宋体" w:cs="Times New Roman"/>
                      <w:color w:val="auto"/>
                      <w:sz w:val="21"/>
                      <w:szCs w:val="21"/>
                      <w:highlight w:val="none"/>
                      <w:lang w:val="en-US" w:eastAsia="zh-CN"/>
                    </w:rPr>
                    <w:t>设施进行使用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243"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分区防渗</w:t>
                  </w:r>
                </w:p>
              </w:tc>
              <w:tc>
                <w:tcPr>
                  <w:tcW w:w="3453" w:type="pct"/>
                  <w:gridSpan w:val="3"/>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b/>
                      <w:bCs/>
                      <w:color w:val="auto"/>
                      <w:sz w:val="21"/>
                      <w:szCs w:val="21"/>
                      <w:highlight w:val="none"/>
                      <w:lang w:val="en-US" w:eastAsia="zh-CN"/>
                    </w:rPr>
                    <w:t>重点防渗：</w:t>
                  </w:r>
                  <w:r>
                    <w:rPr>
                      <w:rFonts w:hint="default" w:ascii="Times New Roman" w:hAnsi="Times New Roman" w:eastAsia="宋体" w:cs="Times New Roman"/>
                      <w:b w:val="0"/>
                      <w:bCs w:val="0"/>
                      <w:color w:val="auto"/>
                      <w:sz w:val="21"/>
                      <w:szCs w:val="21"/>
                      <w:highlight w:val="none"/>
                      <w:lang w:val="zh-CN"/>
                    </w:rPr>
                    <w:t>危废</w:t>
                  </w:r>
                  <w:r>
                    <w:rPr>
                      <w:rFonts w:hint="default" w:ascii="Times New Roman" w:hAnsi="Times New Roman" w:eastAsia="宋体" w:cs="Times New Roman"/>
                      <w:color w:val="auto"/>
                      <w:sz w:val="21"/>
                      <w:szCs w:val="21"/>
                      <w:highlight w:val="none"/>
                      <w:lang w:val="zh-CN"/>
                    </w:rPr>
                    <w:t>暂存间地面及</w:t>
                  </w:r>
                  <w:r>
                    <w:rPr>
                      <w:rFonts w:hint="default" w:ascii="Times New Roman" w:hAnsi="Times New Roman" w:eastAsia="宋体" w:cs="Times New Roman"/>
                      <w:color w:val="auto"/>
                      <w:sz w:val="21"/>
                      <w:szCs w:val="21"/>
                      <w:highlight w:val="none"/>
                      <w:lang w:val="en-US" w:eastAsia="zh-CN"/>
                    </w:rPr>
                    <w:t>四周墙裙脚</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sz w:val="21"/>
                      <w:szCs w:val="21"/>
                      <w:highlight w:val="none"/>
                      <w:lang w:val="en-US" w:eastAsia="zh-CN"/>
                    </w:rPr>
                    <w:t>抗渗混凝土</w:t>
                  </w:r>
                  <w:r>
                    <w:rPr>
                      <w:rFonts w:hint="default" w:ascii="Times New Roman" w:hAnsi="Times New Roman" w:eastAsia="宋体" w:cs="Times New Roman"/>
                      <w:color w:val="auto"/>
                      <w:sz w:val="21"/>
                      <w:szCs w:val="21"/>
                      <w:highlight w:val="none"/>
                      <w:lang w:val="zh-CN"/>
                    </w:rPr>
                    <w:t>+2mm厚HDPE+环氧树脂”</w:t>
                  </w:r>
                  <w:r>
                    <w:rPr>
                      <w:rFonts w:hint="default" w:ascii="Times New Roman" w:hAnsi="Times New Roman" w:eastAsia="宋体" w:cs="Times New Roman"/>
                      <w:color w:val="auto"/>
                      <w:sz w:val="21"/>
                      <w:szCs w:val="21"/>
                      <w:highlight w:val="none"/>
                      <w:lang w:val="en-US" w:eastAsia="zh-CN"/>
                    </w:rPr>
                    <w:t>进行重点防渗处理</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-10</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color w:val="auto"/>
                      <w:sz w:val="21"/>
                      <w:szCs w:val="21"/>
                      <w:highlight w:val="none"/>
                    </w:rPr>
                    <w:t>，并按照要求设置规范的标识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标牌</w:t>
                  </w:r>
                  <w:r>
                    <w:rPr>
                      <w:rFonts w:hint="default" w:ascii="Times New Roman" w:hAnsi="Times New Roman" w:eastAsia="宋体" w:cs="Times New Roman"/>
                      <w:color w:val="auto"/>
                      <w:sz w:val="21"/>
                      <w:szCs w:val="21"/>
                      <w:highlight w:val="none"/>
                      <w:lang w:val="zh-CN"/>
                    </w:rPr>
                    <w:t>。</w:t>
                  </w:r>
                </w:p>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一般防渗区：</w:t>
                  </w:r>
                  <w:r>
                    <w:rPr>
                      <w:rFonts w:hint="default" w:ascii="Times New Roman" w:hAnsi="Times New Roman" w:eastAsia="宋体" w:cs="Times New Roman"/>
                      <w:color w:val="auto"/>
                      <w:sz w:val="21"/>
                      <w:szCs w:val="21"/>
                      <w:highlight w:val="none"/>
                      <w:lang w:val="zh-CN"/>
                    </w:rPr>
                    <w:t>化粪池、</w:t>
                  </w:r>
                  <w:r>
                    <w:rPr>
                      <w:rFonts w:hint="default" w:ascii="Times New Roman" w:hAnsi="Times New Roman" w:eastAsia="宋体" w:cs="Times New Roman"/>
                      <w:color w:val="auto"/>
                      <w:sz w:val="21"/>
                      <w:szCs w:val="21"/>
                      <w:highlight w:val="none"/>
                      <w:lang w:val="en-US" w:eastAsia="zh-CN"/>
                    </w:rPr>
                    <w:t>隔油池</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lang w:val="en-US" w:eastAsia="zh-CN"/>
                    </w:rPr>
                    <w:t>污水处理设施、事故应急池、</w:t>
                  </w:r>
                  <w:r>
                    <w:rPr>
                      <w:rFonts w:hint="default" w:ascii="Times New Roman" w:hAnsi="Times New Roman" w:eastAsia="宋体" w:cs="Times New Roman"/>
                      <w:color w:val="auto"/>
                      <w:sz w:val="21"/>
                      <w:szCs w:val="21"/>
                      <w:highlight w:val="none"/>
                      <w:lang w:val="zh-CN"/>
                    </w:rPr>
                    <w:t>一般固体废物暂存</w:t>
                  </w:r>
                  <w:r>
                    <w:rPr>
                      <w:rFonts w:hint="default" w:ascii="Times New Roman" w:hAnsi="Times New Roman" w:eastAsia="宋体" w:cs="Times New Roman"/>
                      <w:color w:val="auto"/>
                      <w:sz w:val="21"/>
                      <w:szCs w:val="21"/>
                      <w:highlight w:val="none"/>
                      <w:lang w:val="en-US" w:eastAsia="zh-CN"/>
                    </w:rPr>
                    <w:t>区</w:t>
                  </w:r>
                  <w:r>
                    <w:rPr>
                      <w:rFonts w:hint="default" w:ascii="Times New Roman" w:hAnsi="Times New Roman" w:eastAsia="宋体" w:cs="Times New Roman"/>
                      <w:color w:val="auto"/>
                      <w:sz w:val="21"/>
                      <w:szCs w:val="21"/>
                      <w:highlight w:val="none"/>
                      <w:lang w:val="zh-CN"/>
                    </w:rPr>
                    <w:t>防渗技术要求达到等效黏土防渗层Mb≥1.5m，渗透系数≤10</w:t>
                  </w:r>
                  <w:r>
                    <w:rPr>
                      <w:rFonts w:hint="default" w:ascii="Times New Roman" w:hAnsi="Times New Roman" w:eastAsia="宋体" w:cs="Times New Roman"/>
                      <w:color w:val="auto"/>
                      <w:sz w:val="21"/>
                      <w:szCs w:val="21"/>
                      <w:highlight w:val="none"/>
                      <w:vertAlign w:val="superscript"/>
                      <w:lang w:val="zh-CN"/>
                    </w:rPr>
                    <w:t>-</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lang w:val="zh-CN"/>
                    </w:rPr>
                    <w:t>cm/s。</w:t>
                  </w:r>
                </w:p>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简单防渗区：</w:t>
                  </w:r>
                  <w:r>
                    <w:rPr>
                      <w:rFonts w:hint="default" w:ascii="Times New Roman" w:hAnsi="Times New Roman" w:eastAsia="宋体" w:cs="Times New Roman"/>
                      <w:color w:val="auto"/>
                      <w:sz w:val="21"/>
                      <w:szCs w:val="21"/>
                      <w:highlight w:val="none"/>
                      <w:lang w:val="zh-CN"/>
                    </w:rPr>
                    <w:t>其余生产区、原料区、成品区进行一般</w:t>
                  </w:r>
                  <w:r>
                    <w:rPr>
                      <w:rFonts w:hint="default" w:ascii="Times New Roman" w:hAnsi="Times New Roman" w:eastAsia="宋体" w:cs="Times New Roman"/>
                      <w:color w:val="auto"/>
                      <w:sz w:val="21"/>
                      <w:szCs w:val="21"/>
                      <w:highlight w:val="none"/>
                      <w:lang w:val="en-US" w:eastAsia="zh-CN"/>
                    </w:rPr>
                    <w:t>硬化处理。</w:t>
                  </w:r>
                </w:p>
              </w:tc>
              <w:tc>
                <w:tcPr>
                  <w:tcW w:w="1058"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危废间、化粪池、隔油池、污水处理设施为原项目已建；事故应急池、</w:t>
                  </w:r>
                  <w:r>
                    <w:rPr>
                      <w:rFonts w:hint="default" w:ascii="Times New Roman" w:hAnsi="Times New Roman" w:eastAsia="宋体" w:cs="Times New Roman"/>
                      <w:color w:val="auto"/>
                      <w:sz w:val="21"/>
                      <w:szCs w:val="21"/>
                      <w:highlight w:val="none"/>
                      <w:lang w:val="zh-CN"/>
                    </w:rPr>
                    <w:t>一般固体废物暂存</w:t>
                  </w:r>
                  <w:r>
                    <w:rPr>
                      <w:rFonts w:hint="default" w:ascii="Times New Roman" w:hAnsi="Times New Roman" w:eastAsia="宋体" w:cs="Times New Roman"/>
                      <w:color w:val="auto"/>
                      <w:sz w:val="21"/>
                      <w:szCs w:val="21"/>
                      <w:highlight w:val="none"/>
                      <w:lang w:val="en-US" w:eastAsia="zh-CN"/>
                    </w:rPr>
                    <w:t>区为本次新增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8"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bookmarkStart w:id="15" w:name="_Toc5921"/>
                  <w:r>
                    <w:rPr>
                      <w:rFonts w:hint="default" w:ascii="Times New Roman" w:hAnsi="Times New Roman" w:eastAsia="宋体" w:cs="Times New Roman"/>
                      <w:color w:val="auto"/>
                      <w:sz w:val="21"/>
                      <w:szCs w:val="21"/>
                      <w:highlight w:val="none"/>
                      <w:lang w:val="en-US" w:eastAsia="zh-CN"/>
                    </w:rPr>
                    <w:t>绿化</w:t>
                  </w:r>
                </w:p>
              </w:tc>
              <w:tc>
                <w:tcPr>
                  <w:tcW w:w="4010" w:type="pct"/>
                  <w:gridSpan w:val="4"/>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厂区</w:t>
                  </w:r>
                  <w:r>
                    <w:rPr>
                      <w:rFonts w:hint="default" w:ascii="Times New Roman" w:hAnsi="Times New Roman" w:eastAsia="宋体" w:cs="Times New Roman"/>
                      <w:color w:val="auto"/>
                      <w:kern w:val="0"/>
                      <w:sz w:val="21"/>
                      <w:szCs w:val="21"/>
                      <w:highlight w:val="none"/>
                      <w:lang w:val="en-US" w:eastAsia="zh-CN"/>
                    </w:rPr>
                    <w:t>已设置了</w:t>
                  </w:r>
                  <w:r>
                    <w:rPr>
                      <w:rFonts w:hint="default" w:ascii="Times New Roman" w:hAnsi="Times New Roman" w:eastAsia="宋体" w:cs="Times New Roman"/>
                      <w:color w:val="auto"/>
                      <w:kern w:val="0"/>
                      <w:sz w:val="21"/>
                      <w:szCs w:val="21"/>
                      <w:highlight w:val="none"/>
                    </w:rPr>
                    <w:t>面积约</w:t>
                  </w:r>
                  <w:r>
                    <w:rPr>
                      <w:rFonts w:hint="default" w:ascii="Times New Roman" w:hAnsi="Times New Roman" w:eastAsia="宋体" w:cs="Times New Roman"/>
                      <w:color w:val="auto"/>
                      <w:kern w:val="0"/>
                      <w:sz w:val="21"/>
                      <w:szCs w:val="21"/>
                      <w:highlight w:val="none"/>
                      <w:lang w:val="en-US" w:eastAsia="zh-CN"/>
                    </w:rPr>
                    <w:t>为</w:t>
                  </w:r>
                  <w:r>
                    <w:rPr>
                      <w:rFonts w:hint="default" w:ascii="Times New Roman" w:hAnsi="Times New Roman" w:eastAsia="宋体" w:cs="Times New Roman"/>
                      <w:color w:val="auto"/>
                      <w:kern w:val="0"/>
                      <w:sz w:val="21"/>
                      <w:szCs w:val="21"/>
                      <w:highlight w:val="none"/>
                    </w:rPr>
                    <w:t>280m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lang w:val="en-US" w:eastAsia="zh-CN"/>
                    </w:rPr>
                    <w:t>的</w:t>
                  </w:r>
                  <w:r>
                    <w:rPr>
                      <w:rFonts w:hint="default" w:ascii="Times New Roman" w:hAnsi="Times New Roman" w:eastAsia="宋体" w:cs="Times New Roman"/>
                      <w:color w:val="auto"/>
                      <w:kern w:val="0"/>
                      <w:sz w:val="21"/>
                      <w:szCs w:val="21"/>
                      <w:highlight w:val="none"/>
                    </w:rPr>
                    <w:t>绿化。</w:t>
                  </w:r>
                </w:p>
              </w:tc>
              <w:tc>
                <w:tcPr>
                  <w:tcW w:w="501"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原项目已</w:t>
                  </w:r>
                  <w:r>
                    <w:rPr>
                      <w:rFonts w:hint="eastAsia" w:cs="Times New Roman"/>
                      <w:color w:val="auto"/>
                      <w:sz w:val="21"/>
                      <w:szCs w:val="21"/>
                      <w:highlight w:val="none"/>
                      <w:lang w:val="en-US" w:eastAsia="zh-CN"/>
                    </w:rPr>
                    <w:t>建成</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2、产品方案及规模</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本次扩建项目年产5000t塑料薄膜，其中2500t农用塑料地膜、2500t农用塑料大棚膜，同时生产产品厚度均不低于0.01毫米，主要产品见表2-2。</w:t>
            </w:r>
          </w:p>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 xml:space="preserve">-2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项目</w:t>
            </w:r>
            <w:r>
              <w:rPr>
                <w:rFonts w:hint="default" w:ascii="Times New Roman" w:hAnsi="Times New Roman" w:eastAsia="宋体" w:cs="Times New Roman"/>
                <w:b/>
                <w:bCs/>
                <w:color w:val="auto"/>
                <w:sz w:val="21"/>
                <w:szCs w:val="21"/>
                <w:highlight w:val="none"/>
                <w:lang w:val="en-US" w:eastAsia="zh-CN"/>
              </w:rPr>
              <w:t>产品方案</w:t>
            </w:r>
            <w:r>
              <w:rPr>
                <w:rFonts w:hint="default" w:ascii="Times New Roman" w:hAnsi="Times New Roman" w:eastAsia="宋体" w:cs="Times New Roman"/>
                <w:b/>
                <w:bCs/>
                <w:color w:val="auto"/>
                <w:sz w:val="21"/>
                <w:szCs w:val="21"/>
                <w:highlight w:val="none"/>
              </w:rPr>
              <w:t>一览表</w:t>
            </w:r>
          </w:p>
          <w:tbl>
            <w:tblPr>
              <w:tblStyle w:val="26"/>
              <w:tblW w:w="4994" w:type="pct"/>
              <w:jc w:val="center"/>
              <w:tblBorders>
                <w:top w:val="single" w:color="auto" w:sz="4" w:space="0"/>
                <w:left w:val="single" w:color="auto" w:sz="4" w:space="0"/>
                <w:bottom w:val="single" w:color="auto" w:sz="2" w:space="0"/>
                <w:right w:val="single" w:color="auto" w:sz="2" w:space="0"/>
                <w:insideH w:val="single" w:color="auto" w:sz="4" w:space="0"/>
                <w:insideV w:val="single" w:color="auto" w:sz="2" w:space="0"/>
              </w:tblBorders>
              <w:tblLayout w:type="autofit"/>
              <w:tblCellMar>
                <w:top w:w="0" w:type="dxa"/>
                <w:left w:w="108" w:type="dxa"/>
                <w:bottom w:w="0" w:type="dxa"/>
                <w:right w:w="108" w:type="dxa"/>
              </w:tblCellMar>
            </w:tblPr>
            <w:tblGrid>
              <w:gridCol w:w="1212"/>
              <w:gridCol w:w="2147"/>
              <w:gridCol w:w="2685"/>
              <w:gridCol w:w="2689"/>
            </w:tblGrid>
            <w:tr>
              <w:tblPrEx>
                <w:tblBorders>
                  <w:top w:val="single" w:color="auto" w:sz="4" w:space="0"/>
                  <w:left w:val="single" w:color="auto" w:sz="4" w:space="0"/>
                  <w:bottom w:val="single" w:color="auto" w:sz="2" w:space="0"/>
                  <w:right w:val="single" w:color="auto" w:sz="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694" w:type="pct"/>
                  <w:tcBorders>
                    <w:tl2br w:val="nil"/>
                    <w:tr2bl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229" w:type="pct"/>
                  <w:tcBorders>
                    <w:tl2br w:val="nil"/>
                    <w:tr2bl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产品</w:t>
                  </w:r>
                  <w:r>
                    <w:rPr>
                      <w:rFonts w:hint="default" w:ascii="Times New Roman" w:hAnsi="Times New Roman" w:eastAsia="宋体" w:cs="Times New Roman"/>
                      <w:b/>
                      <w:bCs/>
                      <w:color w:val="auto"/>
                      <w:sz w:val="21"/>
                      <w:szCs w:val="21"/>
                      <w:highlight w:val="none"/>
                    </w:rPr>
                    <w:t>名称</w:t>
                  </w:r>
                </w:p>
              </w:tc>
              <w:tc>
                <w:tcPr>
                  <w:tcW w:w="1537" w:type="pct"/>
                  <w:tcBorders>
                    <w:tl2br w:val="nil"/>
                    <w:tr2bl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产量（t/a）</w:t>
                  </w:r>
                </w:p>
              </w:tc>
              <w:tc>
                <w:tcPr>
                  <w:tcW w:w="1539" w:type="pct"/>
                  <w:tcBorders>
                    <w:tl2br w:val="nil"/>
                    <w:tr2bl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产品规格</w:t>
                  </w:r>
                </w:p>
              </w:tc>
            </w:tr>
            <w:tr>
              <w:tblPrEx>
                <w:tblBorders>
                  <w:top w:val="single" w:color="auto" w:sz="4" w:space="0"/>
                  <w:left w:val="single" w:color="auto" w:sz="4" w:space="0"/>
                  <w:bottom w:val="single" w:color="auto" w:sz="2" w:space="0"/>
                  <w:right w:val="single" w:color="auto" w:sz="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694" w:type="pct"/>
                  <w:tcBorders>
                    <w:tl2br w:val="nil"/>
                    <w:tr2bl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一</w:t>
                  </w:r>
                </w:p>
              </w:tc>
              <w:tc>
                <w:tcPr>
                  <w:tcW w:w="4305" w:type="pct"/>
                  <w:gridSpan w:val="3"/>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本次扩建项目产品方案</w:t>
                  </w:r>
                </w:p>
              </w:tc>
            </w:tr>
            <w:tr>
              <w:tblPrEx>
                <w:tblBorders>
                  <w:top w:val="single" w:color="auto" w:sz="4" w:space="0"/>
                  <w:left w:val="single" w:color="auto" w:sz="4" w:space="0"/>
                  <w:bottom w:val="single" w:color="auto" w:sz="2" w:space="0"/>
                  <w:right w:val="single" w:color="auto" w:sz="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694" w:type="pct"/>
                  <w:tcBorders>
                    <w:tl2br w:val="nil"/>
                    <w:tr2bl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229" w:type="pct"/>
                  <w:tcBorders>
                    <w:tl2br w:val="nil"/>
                    <w:tr2bl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农用塑料地膜</w:t>
                  </w:r>
                </w:p>
              </w:tc>
              <w:tc>
                <w:tcPr>
                  <w:tcW w:w="1537"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2500t/a</w:t>
                  </w:r>
                </w:p>
              </w:tc>
              <w:tc>
                <w:tcPr>
                  <w:tcW w:w="1539"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厚度为0.01mm-0.03mm</w:t>
                  </w:r>
                </w:p>
              </w:tc>
            </w:tr>
            <w:tr>
              <w:tblPrEx>
                <w:tblBorders>
                  <w:top w:val="single" w:color="auto" w:sz="4" w:space="0"/>
                  <w:left w:val="single" w:color="auto" w:sz="4" w:space="0"/>
                  <w:bottom w:val="single" w:color="auto" w:sz="2" w:space="0"/>
                  <w:right w:val="single" w:color="auto" w:sz="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694" w:type="pct"/>
                  <w:tcBorders>
                    <w:tl2br w:val="nil"/>
                    <w:tr2bl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229" w:type="pct"/>
                  <w:tcBorders>
                    <w:tl2br w:val="nil"/>
                    <w:tr2bl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农用塑料大棚膜</w:t>
                  </w:r>
                </w:p>
              </w:tc>
              <w:tc>
                <w:tcPr>
                  <w:tcW w:w="1537" w:type="pct"/>
                  <w:tcBorders>
                    <w:tl2br w:val="nil"/>
                    <w:tr2bl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2500t/a</w:t>
                  </w:r>
                </w:p>
              </w:tc>
              <w:tc>
                <w:tcPr>
                  <w:tcW w:w="1539" w:type="pct"/>
                  <w:tcBorders>
                    <w:tl2br w:val="nil"/>
                    <w:tr2bl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厚度为</w:t>
                  </w:r>
                  <w:r>
                    <w:rPr>
                      <w:rFonts w:hint="default" w:ascii="Times New Roman" w:hAnsi="Times New Roman" w:eastAsia="宋体" w:cs="Times New Roman"/>
                      <w:color w:val="auto"/>
                      <w:sz w:val="21"/>
                      <w:szCs w:val="21"/>
                      <w:highlight w:val="none"/>
                      <w:lang w:val="en-US" w:eastAsia="zh-CN"/>
                    </w:rPr>
                    <w:t>0.03mm-0.15mm</w:t>
                  </w:r>
                </w:p>
              </w:tc>
            </w:tr>
            <w:tr>
              <w:tblPrEx>
                <w:tblBorders>
                  <w:top w:val="single" w:color="auto" w:sz="4" w:space="0"/>
                  <w:left w:val="single" w:color="auto" w:sz="4" w:space="0"/>
                  <w:bottom w:val="single" w:color="auto" w:sz="2" w:space="0"/>
                  <w:right w:val="single" w:color="auto" w:sz="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694" w:type="pct"/>
                  <w:tcBorders>
                    <w:tl2br w:val="nil"/>
                    <w:tr2bl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229" w:type="pct"/>
                  <w:tcBorders>
                    <w:tl2br w:val="nil"/>
                    <w:tr2bl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小计</w:t>
                  </w:r>
                </w:p>
              </w:tc>
              <w:tc>
                <w:tcPr>
                  <w:tcW w:w="1537" w:type="pct"/>
                  <w:tcBorders>
                    <w:tl2br w:val="nil"/>
                    <w:tr2bl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5000t/a</w:t>
                  </w:r>
                </w:p>
              </w:tc>
              <w:tc>
                <w:tcPr>
                  <w:tcW w:w="1539" w:type="pct"/>
                  <w:tcBorders>
                    <w:tl2br w:val="nil"/>
                    <w:tr2bl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2" w:space="0"/>
                  <w:right w:val="single" w:color="auto" w:sz="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694" w:type="pct"/>
                  <w:tcBorders>
                    <w:tl2br w:val="nil"/>
                    <w:tr2bl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w:t>
                  </w:r>
                </w:p>
              </w:tc>
              <w:tc>
                <w:tcPr>
                  <w:tcW w:w="4305" w:type="pct"/>
                  <w:gridSpan w:val="3"/>
                  <w:tcBorders>
                    <w:tl2br w:val="nil"/>
                    <w:tr2bl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kern w:val="2"/>
                      <w:sz w:val="21"/>
                      <w:szCs w:val="21"/>
                      <w:highlight w:val="none"/>
                      <w:lang w:val="en-US" w:eastAsia="zh-CN" w:bidi="ar-SA"/>
                    </w:rPr>
                    <w:t>原项目实际产品方案</w:t>
                  </w:r>
                </w:p>
              </w:tc>
            </w:tr>
            <w:tr>
              <w:tblPrEx>
                <w:tblBorders>
                  <w:top w:val="single" w:color="auto" w:sz="4" w:space="0"/>
                  <w:left w:val="single" w:color="auto" w:sz="4" w:space="0"/>
                  <w:bottom w:val="single" w:color="auto" w:sz="2" w:space="0"/>
                  <w:right w:val="single" w:color="auto" w:sz="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694" w:type="pct"/>
                  <w:tcBorders>
                    <w:tl2br w:val="nil"/>
                    <w:tr2bl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229" w:type="pct"/>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卷纸</w:t>
                  </w:r>
                </w:p>
              </w:tc>
              <w:tc>
                <w:tcPr>
                  <w:tcW w:w="1537" w:type="pct"/>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2500</w:t>
                  </w:r>
                  <w:r>
                    <w:rPr>
                      <w:rFonts w:hint="default" w:ascii="Times New Roman" w:hAnsi="Times New Roman" w:eastAsia="宋体" w:cs="Times New Roman"/>
                      <w:color w:val="auto"/>
                      <w:kern w:val="2"/>
                      <w:sz w:val="21"/>
                      <w:szCs w:val="21"/>
                      <w:highlight w:val="none"/>
                      <w:lang w:val="en-US" w:eastAsia="zh-CN" w:bidi="ar-SA"/>
                    </w:rPr>
                    <w:t>t/a</w:t>
                  </w:r>
                </w:p>
              </w:tc>
              <w:tc>
                <w:tcPr>
                  <w:tcW w:w="1539" w:type="pct"/>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200g/个，60个/件</w:t>
                  </w:r>
                </w:p>
              </w:tc>
            </w:tr>
            <w:tr>
              <w:tblPrEx>
                <w:tblBorders>
                  <w:top w:val="single" w:color="auto" w:sz="4" w:space="0"/>
                  <w:left w:val="single" w:color="auto" w:sz="4" w:space="0"/>
                  <w:bottom w:val="single" w:color="auto" w:sz="2" w:space="0"/>
                  <w:right w:val="single" w:color="auto" w:sz="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694" w:type="pct"/>
                  <w:tcBorders>
                    <w:tl2br w:val="nil"/>
                    <w:tr2bl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229" w:type="pct"/>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抽纸</w:t>
                  </w:r>
                </w:p>
              </w:tc>
              <w:tc>
                <w:tcPr>
                  <w:tcW w:w="1537" w:type="pct"/>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2100</w:t>
                  </w:r>
                  <w:r>
                    <w:rPr>
                      <w:rFonts w:hint="default" w:ascii="Times New Roman" w:hAnsi="Times New Roman" w:eastAsia="宋体" w:cs="Times New Roman"/>
                      <w:color w:val="auto"/>
                      <w:kern w:val="2"/>
                      <w:sz w:val="21"/>
                      <w:szCs w:val="21"/>
                      <w:highlight w:val="none"/>
                      <w:lang w:val="en-US" w:eastAsia="zh-CN" w:bidi="ar-SA"/>
                    </w:rPr>
                    <w:t>t/a</w:t>
                  </w:r>
                </w:p>
              </w:tc>
              <w:tc>
                <w:tcPr>
                  <w:tcW w:w="1539" w:type="pct"/>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180g/包，100包/件</w:t>
                  </w:r>
                </w:p>
              </w:tc>
            </w:tr>
            <w:tr>
              <w:tblPrEx>
                <w:tblBorders>
                  <w:top w:val="single" w:color="auto" w:sz="4" w:space="0"/>
                  <w:left w:val="single" w:color="auto" w:sz="4" w:space="0"/>
                  <w:bottom w:val="single" w:color="auto" w:sz="2" w:space="0"/>
                  <w:right w:val="single" w:color="auto" w:sz="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694" w:type="pct"/>
                  <w:tcBorders>
                    <w:tl2br w:val="nil"/>
                    <w:tr2bl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229" w:type="pct"/>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面巾纸</w:t>
                  </w:r>
                </w:p>
              </w:tc>
              <w:tc>
                <w:tcPr>
                  <w:tcW w:w="1537" w:type="pct"/>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1000</w:t>
                  </w:r>
                  <w:r>
                    <w:rPr>
                      <w:rFonts w:hint="default" w:ascii="Times New Roman" w:hAnsi="Times New Roman" w:eastAsia="宋体" w:cs="Times New Roman"/>
                      <w:color w:val="auto"/>
                      <w:kern w:val="2"/>
                      <w:sz w:val="21"/>
                      <w:szCs w:val="21"/>
                      <w:highlight w:val="none"/>
                      <w:lang w:val="en-US" w:eastAsia="zh-CN" w:bidi="ar-SA"/>
                    </w:rPr>
                    <w:t>t/a</w:t>
                  </w:r>
                </w:p>
              </w:tc>
              <w:tc>
                <w:tcPr>
                  <w:tcW w:w="1539" w:type="pct"/>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480包/件，6kg/件</w:t>
                  </w:r>
                </w:p>
              </w:tc>
            </w:tr>
            <w:tr>
              <w:tblPrEx>
                <w:tblBorders>
                  <w:top w:val="single" w:color="auto" w:sz="4" w:space="0"/>
                  <w:left w:val="single" w:color="auto" w:sz="4" w:space="0"/>
                  <w:bottom w:val="single" w:color="auto" w:sz="2" w:space="0"/>
                  <w:right w:val="single" w:color="auto" w:sz="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694" w:type="pct"/>
                  <w:tcBorders>
                    <w:tl2br w:val="nil"/>
                    <w:tr2bl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229" w:type="pct"/>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小计</w:t>
                  </w:r>
                </w:p>
              </w:tc>
              <w:tc>
                <w:tcPr>
                  <w:tcW w:w="1537" w:type="pct"/>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5600t/a</w:t>
                  </w:r>
                </w:p>
              </w:tc>
              <w:tc>
                <w:tcPr>
                  <w:tcW w:w="1539" w:type="pct"/>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tblPrEx>
                <w:tblBorders>
                  <w:top w:val="single" w:color="auto" w:sz="4" w:space="0"/>
                  <w:left w:val="single" w:color="auto" w:sz="4" w:space="0"/>
                  <w:bottom w:val="single" w:color="auto" w:sz="2" w:space="0"/>
                  <w:right w:val="single" w:color="auto" w:sz="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694" w:type="pct"/>
                  <w:tcBorders>
                    <w:tl2br w:val="nil"/>
                    <w:tr2bl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三</w:t>
                  </w:r>
                </w:p>
              </w:tc>
              <w:tc>
                <w:tcPr>
                  <w:tcW w:w="4305" w:type="pct"/>
                  <w:gridSpan w:val="3"/>
                  <w:tcBorders>
                    <w:tl2br w:val="nil"/>
                    <w:tr2bl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扩建完成后全厂产品方案</w:t>
                  </w:r>
                </w:p>
              </w:tc>
            </w:tr>
            <w:tr>
              <w:tblPrEx>
                <w:tblBorders>
                  <w:top w:val="single" w:color="auto" w:sz="4" w:space="0"/>
                  <w:left w:val="single" w:color="auto" w:sz="4" w:space="0"/>
                  <w:bottom w:val="single" w:color="auto" w:sz="2" w:space="0"/>
                  <w:right w:val="single" w:color="auto" w:sz="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694" w:type="pct"/>
                  <w:tcBorders>
                    <w:tl2br w:val="nil"/>
                    <w:tr2bl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229"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农用塑料地膜</w:t>
                  </w:r>
                </w:p>
              </w:tc>
              <w:tc>
                <w:tcPr>
                  <w:tcW w:w="1537"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2500t/a</w:t>
                  </w:r>
                </w:p>
              </w:tc>
              <w:tc>
                <w:tcPr>
                  <w:tcW w:w="1539"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厚度为0.01mm-0.03mm</w:t>
                  </w:r>
                </w:p>
              </w:tc>
            </w:tr>
            <w:tr>
              <w:tblPrEx>
                <w:tblBorders>
                  <w:top w:val="single" w:color="auto" w:sz="4" w:space="0"/>
                  <w:left w:val="single" w:color="auto" w:sz="4" w:space="0"/>
                  <w:bottom w:val="single" w:color="auto" w:sz="2" w:space="0"/>
                  <w:right w:val="single" w:color="auto" w:sz="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694" w:type="pct"/>
                  <w:tcBorders>
                    <w:tl2br w:val="nil"/>
                    <w:tr2bl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229"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农用塑料大棚膜</w:t>
                  </w:r>
                </w:p>
              </w:tc>
              <w:tc>
                <w:tcPr>
                  <w:tcW w:w="1537"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2500t/a</w:t>
                  </w:r>
                </w:p>
              </w:tc>
              <w:tc>
                <w:tcPr>
                  <w:tcW w:w="1539"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厚度为</w:t>
                  </w:r>
                  <w:r>
                    <w:rPr>
                      <w:rFonts w:hint="default" w:ascii="Times New Roman" w:hAnsi="Times New Roman" w:eastAsia="宋体" w:cs="Times New Roman"/>
                      <w:color w:val="auto"/>
                      <w:sz w:val="21"/>
                      <w:szCs w:val="21"/>
                      <w:highlight w:val="none"/>
                      <w:lang w:val="en-US" w:eastAsia="zh-CN"/>
                    </w:rPr>
                    <w:t>0.03mm-0.15mm</w:t>
                  </w:r>
                </w:p>
              </w:tc>
            </w:tr>
            <w:tr>
              <w:tblPrEx>
                <w:tblBorders>
                  <w:top w:val="single" w:color="auto" w:sz="4" w:space="0"/>
                  <w:left w:val="single" w:color="auto" w:sz="4" w:space="0"/>
                  <w:bottom w:val="single" w:color="auto" w:sz="2" w:space="0"/>
                  <w:right w:val="single" w:color="auto" w:sz="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694" w:type="pct"/>
                  <w:tcBorders>
                    <w:tl2br w:val="nil"/>
                    <w:tr2bl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229" w:type="pct"/>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卷纸</w:t>
                  </w:r>
                </w:p>
              </w:tc>
              <w:tc>
                <w:tcPr>
                  <w:tcW w:w="1537" w:type="pct"/>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2500</w:t>
                  </w:r>
                  <w:r>
                    <w:rPr>
                      <w:rFonts w:hint="default" w:ascii="Times New Roman" w:hAnsi="Times New Roman" w:eastAsia="宋体" w:cs="Times New Roman"/>
                      <w:color w:val="auto"/>
                      <w:kern w:val="2"/>
                      <w:sz w:val="21"/>
                      <w:szCs w:val="21"/>
                      <w:highlight w:val="none"/>
                      <w:lang w:val="en-US" w:eastAsia="zh-CN" w:bidi="ar-SA"/>
                    </w:rPr>
                    <w:t>t/a</w:t>
                  </w:r>
                </w:p>
              </w:tc>
              <w:tc>
                <w:tcPr>
                  <w:tcW w:w="1539" w:type="pct"/>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200g/个，60个/件</w:t>
                  </w:r>
                </w:p>
              </w:tc>
            </w:tr>
            <w:tr>
              <w:tblPrEx>
                <w:tblBorders>
                  <w:top w:val="single" w:color="auto" w:sz="4" w:space="0"/>
                  <w:left w:val="single" w:color="auto" w:sz="4" w:space="0"/>
                  <w:bottom w:val="single" w:color="auto" w:sz="2" w:space="0"/>
                  <w:right w:val="single" w:color="auto" w:sz="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694" w:type="pct"/>
                  <w:tcBorders>
                    <w:tl2br w:val="nil"/>
                    <w:tr2bl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229" w:type="pct"/>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抽纸</w:t>
                  </w:r>
                </w:p>
              </w:tc>
              <w:tc>
                <w:tcPr>
                  <w:tcW w:w="1537" w:type="pct"/>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2100</w:t>
                  </w:r>
                  <w:r>
                    <w:rPr>
                      <w:rFonts w:hint="default" w:ascii="Times New Roman" w:hAnsi="Times New Roman" w:eastAsia="宋体" w:cs="Times New Roman"/>
                      <w:color w:val="auto"/>
                      <w:kern w:val="2"/>
                      <w:sz w:val="21"/>
                      <w:szCs w:val="21"/>
                      <w:highlight w:val="none"/>
                      <w:lang w:val="en-US" w:eastAsia="zh-CN" w:bidi="ar-SA"/>
                    </w:rPr>
                    <w:t>t/a</w:t>
                  </w:r>
                </w:p>
              </w:tc>
              <w:tc>
                <w:tcPr>
                  <w:tcW w:w="1539" w:type="pct"/>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180g/包，100包/件</w:t>
                  </w:r>
                </w:p>
              </w:tc>
            </w:tr>
            <w:tr>
              <w:tblPrEx>
                <w:tblBorders>
                  <w:top w:val="single" w:color="auto" w:sz="4" w:space="0"/>
                  <w:left w:val="single" w:color="auto" w:sz="4" w:space="0"/>
                  <w:bottom w:val="single" w:color="auto" w:sz="2" w:space="0"/>
                  <w:right w:val="single" w:color="auto" w:sz="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694" w:type="pct"/>
                  <w:tcBorders>
                    <w:tl2br w:val="nil"/>
                    <w:tr2bl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229" w:type="pct"/>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面巾纸</w:t>
                  </w:r>
                </w:p>
              </w:tc>
              <w:tc>
                <w:tcPr>
                  <w:tcW w:w="1537" w:type="pct"/>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1000</w:t>
                  </w:r>
                  <w:r>
                    <w:rPr>
                      <w:rFonts w:hint="default" w:ascii="Times New Roman" w:hAnsi="Times New Roman" w:eastAsia="宋体" w:cs="Times New Roman"/>
                      <w:color w:val="auto"/>
                      <w:kern w:val="2"/>
                      <w:sz w:val="21"/>
                      <w:szCs w:val="21"/>
                      <w:highlight w:val="none"/>
                      <w:lang w:val="en-US" w:eastAsia="zh-CN" w:bidi="ar-SA"/>
                    </w:rPr>
                    <w:t>t/a</w:t>
                  </w:r>
                </w:p>
              </w:tc>
              <w:tc>
                <w:tcPr>
                  <w:tcW w:w="1539" w:type="pct"/>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480包/件，6kg/件</w:t>
                  </w:r>
                </w:p>
              </w:tc>
            </w:tr>
            <w:tr>
              <w:tblPrEx>
                <w:tblBorders>
                  <w:top w:val="single" w:color="auto" w:sz="4" w:space="0"/>
                  <w:left w:val="single" w:color="auto" w:sz="4" w:space="0"/>
                  <w:bottom w:val="single" w:color="auto" w:sz="2" w:space="0"/>
                  <w:right w:val="single" w:color="auto" w:sz="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694" w:type="pct"/>
                  <w:tcBorders>
                    <w:tl2br w:val="nil"/>
                    <w:tr2bl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229" w:type="pct"/>
                  <w:tcBorders>
                    <w:tl2br w:val="nil"/>
                    <w:tr2bl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合计</w:t>
                  </w:r>
                </w:p>
              </w:tc>
              <w:tc>
                <w:tcPr>
                  <w:tcW w:w="1537" w:type="pct"/>
                  <w:tcBorders>
                    <w:tl2br w:val="nil"/>
                    <w:tr2bl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10600t/a</w:t>
                  </w:r>
                </w:p>
              </w:tc>
              <w:tc>
                <w:tcPr>
                  <w:tcW w:w="1539" w:type="pct"/>
                  <w:tcBorders>
                    <w:tl2br w:val="nil"/>
                    <w:tr2bl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3、主要原辅料及用量</w:t>
            </w:r>
          </w:p>
          <w:p>
            <w:pPr>
              <w:adjustRightInd w:val="0"/>
              <w:snapToGrid w:val="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原辅料用量</w:t>
            </w:r>
          </w:p>
          <w:p>
            <w:pPr>
              <w:adjustRightInd w:val="0"/>
              <w:snapToGrid w:val="0"/>
              <w:spacing w:line="360" w:lineRule="auto"/>
              <w:ind w:firstLine="480" w:firstLineChars="20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sz w:val="24"/>
                <w:highlight w:val="none"/>
              </w:rPr>
              <w:t>项目</w:t>
            </w:r>
            <w:r>
              <w:rPr>
                <w:rFonts w:hint="default" w:ascii="Times New Roman" w:hAnsi="Times New Roman" w:eastAsia="宋体" w:cs="Times New Roman"/>
                <w:color w:val="auto"/>
                <w:sz w:val="24"/>
                <w:highlight w:val="none"/>
                <w:lang w:val="en-US" w:eastAsia="zh-CN"/>
              </w:rPr>
              <w:t>主要原辅料</w:t>
            </w:r>
            <w:r>
              <w:rPr>
                <w:rFonts w:hint="default" w:ascii="Times New Roman" w:hAnsi="Times New Roman" w:eastAsia="宋体" w:cs="Times New Roman"/>
                <w:color w:val="auto"/>
                <w:sz w:val="24"/>
                <w:highlight w:val="none"/>
              </w:rPr>
              <w:t>见表</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w:t>
            </w:r>
          </w:p>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项目</w:t>
            </w:r>
            <w:r>
              <w:rPr>
                <w:rFonts w:hint="default" w:ascii="Times New Roman" w:hAnsi="Times New Roman" w:eastAsia="宋体" w:cs="Times New Roman"/>
                <w:b/>
                <w:bCs/>
                <w:color w:val="auto"/>
                <w:sz w:val="21"/>
                <w:szCs w:val="21"/>
                <w:highlight w:val="none"/>
                <w:lang w:val="en-US" w:eastAsia="zh-CN"/>
              </w:rPr>
              <w:t>原辅材料</w:t>
            </w:r>
            <w:r>
              <w:rPr>
                <w:rFonts w:hint="default" w:ascii="Times New Roman" w:hAnsi="Times New Roman" w:eastAsia="宋体" w:cs="Times New Roman"/>
                <w:b/>
                <w:bCs/>
                <w:color w:val="auto"/>
                <w:sz w:val="21"/>
                <w:szCs w:val="21"/>
                <w:highlight w:val="none"/>
              </w:rPr>
              <w:t>一览表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1716"/>
              <w:gridCol w:w="1681"/>
              <w:gridCol w:w="1959"/>
              <w:gridCol w:w="1330"/>
              <w:gridCol w:w="1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序号</w:t>
                  </w:r>
                </w:p>
              </w:tc>
              <w:tc>
                <w:tcPr>
                  <w:tcW w:w="98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材料</w:t>
                  </w:r>
                  <w:r>
                    <w:rPr>
                      <w:rFonts w:hint="default" w:ascii="Times New Roman" w:hAnsi="Times New Roman" w:eastAsia="宋体" w:cs="Times New Roman"/>
                      <w:b/>
                      <w:bCs/>
                      <w:color w:val="auto"/>
                      <w:sz w:val="21"/>
                      <w:szCs w:val="21"/>
                      <w:highlight w:val="none"/>
                    </w:rPr>
                    <w:t>名称</w:t>
                  </w:r>
                </w:p>
              </w:tc>
              <w:tc>
                <w:tcPr>
                  <w:tcW w:w="96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年耗量</w:t>
                  </w:r>
                  <w:r>
                    <w:rPr>
                      <w:rFonts w:hint="default" w:ascii="Times New Roman" w:hAnsi="Times New Roman" w:eastAsia="宋体" w:cs="Times New Roman"/>
                      <w:b/>
                      <w:bCs/>
                      <w:color w:val="auto"/>
                      <w:sz w:val="21"/>
                      <w:szCs w:val="21"/>
                      <w:highlight w:val="none"/>
                      <w:lang w:val="en-US" w:eastAsia="zh-CN"/>
                    </w:rPr>
                    <w:t>（t/a）</w:t>
                  </w:r>
                </w:p>
              </w:tc>
              <w:tc>
                <w:tcPr>
                  <w:tcW w:w="112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规格（成分）</w:t>
                  </w:r>
                </w:p>
              </w:tc>
              <w:tc>
                <w:tcPr>
                  <w:tcW w:w="76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包装</w:t>
                  </w:r>
                </w:p>
              </w:tc>
              <w:tc>
                <w:tcPr>
                  <w:tcW w:w="79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最大储存量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7" w:type="pct"/>
                  <w:tcBorders>
                    <w:tl2br w:val="nil"/>
                    <w:tr2bl w:val="nil"/>
                  </w:tcBorders>
                  <w:vAlign w:val="center"/>
                </w:tcPr>
                <w:p>
                  <w:pPr>
                    <w:widowControl/>
                    <w:spacing w:afterLine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w:t>
                  </w:r>
                </w:p>
              </w:tc>
              <w:tc>
                <w:tcPr>
                  <w:tcW w:w="4622" w:type="pct"/>
                  <w:gridSpan w:val="5"/>
                  <w:tcBorders>
                    <w:tl2br w:val="nil"/>
                    <w:tr2bl w:val="nil"/>
                  </w:tcBorders>
                  <w:vAlign w:val="center"/>
                </w:tcPr>
                <w:p>
                  <w:pPr>
                    <w:spacing w:afterLine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kern w:val="2"/>
                      <w:sz w:val="21"/>
                      <w:szCs w:val="21"/>
                      <w:highlight w:val="none"/>
                      <w:lang w:val="en-US" w:eastAsia="zh-CN" w:bidi="ar-SA"/>
                    </w:rPr>
                    <w:t>本次扩建项目</w:t>
                  </w:r>
                  <w:r>
                    <w:rPr>
                      <w:rFonts w:hint="default" w:ascii="Times New Roman" w:hAnsi="Times New Roman" w:eastAsia="宋体" w:cs="Times New Roman"/>
                      <w:b/>
                      <w:bCs/>
                      <w:color w:val="auto"/>
                      <w:sz w:val="21"/>
                      <w:szCs w:val="21"/>
                      <w:highlight w:val="none"/>
                      <w:lang w:val="en-US" w:eastAsia="zh-CN"/>
                    </w:rPr>
                    <w:t>原辅材料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7" w:type="pct"/>
                  <w:tcBorders>
                    <w:tl2br w:val="nil"/>
                    <w:tr2bl w:val="nil"/>
                  </w:tcBorders>
                  <w:vAlign w:val="center"/>
                </w:tcPr>
                <w:p>
                  <w:pPr>
                    <w:widowControl/>
                    <w:spacing w:afterLine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982" w:type="pct"/>
                  <w:tcBorders>
                    <w:tl2br w:val="nil"/>
                    <w:tr2bl w:val="nil"/>
                  </w:tcBorders>
                  <w:vAlign w:val="center"/>
                </w:tcPr>
                <w:p>
                  <w:pPr>
                    <w:autoSpaceDN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高密度</w:t>
                  </w:r>
                  <w:r>
                    <w:rPr>
                      <w:rFonts w:hint="default" w:ascii="Times New Roman" w:hAnsi="Times New Roman" w:eastAsia="宋体" w:cs="Times New Roman"/>
                      <w:color w:val="auto"/>
                      <w:sz w:val="21"/>
                      <w:szCs w:val="21"/>
                      <w:highlight w:val="none"/>
                      <w:lang w:eastAsia="zh-CN"/>
                    </w:rPr>
                    <w:t>聚乙烯</w:t>
                  </w:r>
                </w:p>
              </w:tc>
              <w:tc>
                <w:tcPr>
                  <w:tcW w:w="9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1010</w:t>
                  </w:r>
                </w:p>
              </w:tc>
              <w:tc>
                <w:tcPr>
                  <w:tcW w:w="1121" w:type="pct"/>
                  <w:tcBorders>
                    <w:tl2br w:val="nil"/>
                    <w:tr2bl w:val="nil"/>
                  </w:tcBorders>
                  <w:vAlign w:val="center"/>
                </w:tcPr>
                <w:p>
                  <w:pPr>
                    <w:spacing w:afterLine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25kg/袋</w:t>
                  </w:r>
                </w:p>
              </w:tc>
              <w:tc>
                <w:tcPr>
                  <w:tcW w:w="761" w:type="pct"/>
                  <w:tcBorders>
                    <w:tl2br w:val="nil"/>
                    <w:tr2bl w:val="nil"/>
                  </w:tcBorders>
                  <w:vAlign w:val="center"/>
                </w:tcPr>
                <w:p>
                  <w:pPr>
                    <w:spacing w:afterLine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袋装</w:t>
                  </w:r>
                </w:p>
              </w:tc>
              <w:tc>
                <w:tcPr>
                  <w:tcW w:w="796" w:type="pct"/>
                  <w:tcBorders>
                    <w:tl2br w:val="nil"/>
                    <w:tr2bl w:val="nil"/>
                  </w:tcBorders>
                  <w:vAlign w:val="center"/>
                </w:tcPr>
                <w:p>
                  <w:pPr>
                    <w:spacing w:afterLine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7" w:type="pct"/>
                  <w:tcBorders>
                    <w:tl2br w:val="nil"/>
                    <w:tr2bl w:val="nil"/>
                  </w:tcBorders>
                  <w:vAlign w:val="center"/>
                </w:tcPr>
                <w:p>
                  <w:pPr>
                    <w:widowControl/>
                    <w:spacing w:afterLine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2</w:t>
                  </w:r>
                </w:p>
              </w:tc>
              <w:tc>
                <w:tcPr>
                  <w:tcW w:w="982" w:type="pct"/>
                  <w:tcBorders>
                    <w:tl2br w:val="nil"/>
                    <w:tr2bl w:val="nil"/>
                  </w:tcBorders>
                  <w:vAlign w:val="center"/>
                </w:tcPr>
                <w:p>
                  <w:pPr>
                    <w:autoSpaceDN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低密度</w:t>
                  </w:r>
                  <w:r>
                    <w:rPr>
                      <w:rFonts w:hint="default" w:ascii="Times New Roman" w:hAnsi="Times New Roman" w:eastAsia="宋体" w:cs="Times New Roman"/>
                      <w:color w:val="auto"/>
                      <w:sz w:val="21"/>
                      <w:szCs w:val="21"/>
                      <w:highlight w:val="none"/>
                      <w:lang w:eastAsia="zh-CN"/>
                    </w:rPr>
                    <w:t>聚乙烯</w:t>
                  </w:r>
                </w:p>
              </w:tc>
              <w:tc>
                <w:tcPr>
                  <w:tcW w:w="9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3510</w:t>
                  </w:r>
                </w:p>
              </w:tc>
              <w:tc>
                <w:tcPr>
                  <w:tcW w:w="1121" w:type="pct"/>
                  <w:tcBorders>
                    <w:tl2br w:val="nil"/>
                    <w:tr2bl w:val="nil"/>
                  </w:tcBorders>
                  <w:vAlign w:val="center"/>
                </w:tcPr>
                <w:p>
                  <w:pPr>
                    <w:spacing w:afterLine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25kg/袋</w:t>
                  </w:r>
                </w:p>
              </w:tc>
              <w:tc>
                <w:tcPr>
                  <w:tcW w:w="761" w:type="pct"/>
                  <w:tcBorders>
                    <w:tl2br w:val="nil"/>
                    <w:tr2bl w:val="nil"/>
                  </w:tcBorders>
                  <w:vAlign w:val="center"/>
                </w:tcPr>
                <w:p>
                  <w:pPr>
                    <w:adjustRightInd w:val="0"/>
                    <w:snapToGrid w:val="0"/>
                    <w:spacing w:afterLine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袋装</w:t>
                  </w:r>
                </w:p>
              </w:tc>
              <w:tc>
                <w:tcPr>
                  <w:tcW w:w="796" w:type="pct"/>
                  <w:tcBorders>
                    <w:tl2br w:val="nil"/>
                    <w:tr2bl w:val="nil"/>
                  </w:tcBorders>
                  <w:vAlign w:val="center"/>
                </w:tcPr>
                <w:p>
                  <w:pPr>
                    <w:adjustRightInd w:val="0"/>
                    <w:snapToGrid w:val="0"/>
                    <w:spacing w:afterLine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7" w:type="pct"/>
                  <w:tcBorders>
                    <w:tl2br w:val="nil"/>
                    <w:tr2bl w:val="nil"/>
                  </w:tcBorders>
                  <w:vAlign w:val="center"/>
                </w:tcPr>
                <w:p>
                  <w:pPr>
                    <w:widowControl/>
                    <w:spacing w:afterLine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bidi="ar"/>
                    </w:rPr>
                    <w:t>3</w:t>
                  </w:r>
                </w:p>
              </w:tc>
              <w:tc>
                <w:tcPr>
                  <w:tcW w:w="982" w:type="pct"/>
                  <w:tcBorders>
                    <w:tl2br w:val="nil"/>
                    <w:tr2bl w:val="nil"/>
                  </w:tcBorders>
                  <w:vAlign w:val="center"/>
                </w:tcPr>
                <w:p>
                  <w:pPr>
                    <w:autoSpaceDN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抗老化母料</w:t>
                  </w:r>
                </w:p>
              </w:tc>
              <w:tc>
                <w:tcPr>
                  <w:tcW w:w="9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400</w:t>
                  </w:r>
                </w:p>
              </w:tc>
              <w:tc>
                <w:tcPr>
                  <w:tcW w:w="1121" w:type="pct"/>
                  <w:tcBorders>
                    <w:tl2br w:val="nil"/>
                    <w:tr2bl w:val="nil"/>
                  </w:tcBorders>
                  <w:vAlign w:val="center"/>
                </w:tcPr>
                <w:p>
                  <w:pPr>
                    <w:spacing w:afterLine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25kg/袋</w:t>
                  </w:r>
                </w:p>
              </w:tc>
              <w:tc>
                <w:tcPr>
                  <w:tcW w:w="761" w:type="pct"/>
                  <w:tcBorders>
                    <w:tl2br w:val="nil"/>
                    <w:tr2bl w:val="nil"/>
                  </w:tcBorders>
                  <w:vAlign w:val="center"/>
                </w:tcPr>
                <w:p>
                  <w:pPr>
                    <w:adjustRightInd w:val="0"/>
                    <w:snapToGrid w:val="0"/>
                    <w:spacing w:afterLine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袋装</w:t>
                  </w:r>
                </w:p>
              </w:tc>
              <w:tc>
                <w:tcPr>
                  <w:tcW w:w="796" w:type="pct"/>
                  <w:tcBorders>
                    <w:tl2br w:val="nil"/>
                    <w:tr2bl w:val="nil"/>
                  </w:tcBorders>
                  <w:vAlign w:val="center"/>
                </w:tcPr>
                <w:p>
                  <w:pPr>
                    <w:adjustRightInd w:val="0"/>
                    <w:snapToGrid w:val="0"/>
                    <w:spacing w:afterLine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7" w:type="pct"/>
                  <w:tcBorders>
                    <w:tl2br w:val="nil"/>
                    <w:tr2bl w:val="nil"/>
                  </w:tcBorders>
                  <w:vAlign w:val="center"/>
                </w:tcPr>
                <w:p>
                  <w:pPr>
                    <w:widowControl/>
                    <w:spacing w:afterLine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4</w:t>
                  </w:r>
                </w:p>
              </w:tc>
              <w:tc>
                <w:tcPr>
                  <w:tcW w:w="982" w:type="pct"/>
                  <w:tcBorders>
                    <w:tl2br w:val="nil"/>
                    <w:tr2bl w:val="nil"/>
                  </w:tcBorders>
                  <w:vAlign w:val="center"/>
                </w:tcPr>
                <w:p>
                  <w:pPr>
                    <w:autoSpaceDN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色母料</w:t>
                  </w:r>
                </w:p>
              </w:tc>
              <w:tc>
                <w:tcPr>
                  <w:tcW w:w="9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103.7</w:t>
                  </w:r>
                </w:p>
              </w:tc>
              <w:tc>
                <w:tcPr>
                  <w:tcW w:w="1121" w:type="pct"/>
                  <w:tcBorders>
                    <w:tl2br w:val="nil"/>
                    <w:tr2bl w:val="nil"/>
                  </w:tcBorders>
                  <w:vAlign w:val="center"/>
                </w:tcPr>
                <w:p>
                  <w:pPr>
                    <w:adjustRightInd w:val="0"/>
                    <w:snapToGrid w:val="0"/>
                    <w:spacing w:afterLine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25kg/袋</w:t>
                  </w:r>
                </w:p>
              </w:tc>
              <w:tc>
                <w:tcPr>
                  <w:tcW w:w="761" w:type="pct"/>
                  <w:tcBorders>
                    <w:tl2br w:val="nil"/>
                    <w:tr2bl w:val="nil"/>
                  </w:tcBorders>
                  <w:vAlign w:val="center"/>
                </w:tcPr>
                <w:p>
                  <w:pPr>
                    <w:adjustRightInd w:val="0"/>
                    <w:snapToGrid w:val="0"/>
                    <w:spacing w:afterLine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袋装</w:t>
                  </w:r>
                </w:p>
              </w:tc>
              <w:tc>
                <w:tcPr>
                  <w:tcW w:w="796" w:type="pct"/>
                  <w:tcBorders>
                    <w:tl2br w:val="nil"/>
                    <w:tr2bl w:val="nil"/>
                  </w:tcBorders>
                  <w:vAlign w:val="center"/>
                </w:tcPr>
                <w:p>
                  <w:pPr>
                    <w:adjustRightInd w:val="0"/>
                    <w:snapToGrid w:val="0"/>
                    <w:spacing w:afterLine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5</w:t>
                  </w:r>
                </w:p>
              </w:tc>
              <w:tc>
                <w:tcPr>
                  <w:tcW w:w="982"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活性炭</w:t>
                  </w:r>
                </w:p>
              </w:tc>
              <w:tc>
                <w:tcPr>
                  <w:tcW w:w="962"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20.48t</w:t>
                  </w:r>
                </w:p>
              </w:tc>
              <w:tc>
                <w:tcPr>
                  <w:tcW w:w="1121"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761"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就近购买</w:t>
                  </w:r>
                </w:p>
              </w:tc>
              <w:tc>
                <w:tcPr>
                  <w:tcW w:w="796"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二</w:t>
                  </w:r>
                </w:p>
              </w:tc>
              <w:tc>
                <w:tcPr>
                  <w:tcW w:w="4622" w:type="pct"/>
                  <w:gridSpan w:val="5"/>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kern w:val="2"/>
                      <w:sz w:val="21"/>
                      <w:szCs w:val="21"/>
                      <w:highlight w:val="none"/>
                      <w:lang w:val="en-US" w:eastAsia="zh-CN" w:bidi="ar-SA"/>
                    </w:rPr>
                    <w:t>原项目</w:t>
                  </w:r>
                  <w:r>
                    <w:rPr>
                      <w:rFonts w:hint="default" w:ascii="Times New Roman" w:hAnsi="Times New Roman" w:eastAsia="宋体" w:cs="Times New Roman"/>
                      <w:b/>
                      <w:bCs/>
                      <w:color w:val="auto"/>
                      <w:sz w:val="21"/>
                      <w:szCs w:val="21"/>
                      <w:highlight w:val="none"/>
                      <w:lang w:val="en-US" w:eastAsia="zh-CN"/>
                    </w:rPr>
                    <w:t>原辅材料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w:t>
                  </w:r>
                </w:p>
              </w:tc>
              <w:tc>
                <w:tcPr>
                  <w:tcW w:w="1716" w:type="dxa"/>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rPr>
                    <w:t>原纸</w:t>
                  </w:r>
                </w:p>
              </w:tc>
              <w:tc>
                <w:tcPr>
                  <w:tcW w:w="1681" w:type="dxa"/>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5400</w:t>
                  </w:r>
                </w:p>
              </w:tc>
              <w:tc>
                <w:tcPr>
                  <w:tcW w:w="195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1330"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796"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w:t>
                  </w:r>
                </w:p>
              </w:tc>
              <w:tc>
                <w:tcPr>
                  <w:tcW w:w="1716" w:type="dxa"/>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rPr>
                    <w:t>塑料包装袋</w:t>
                  </w:r>
                </w:p>
              </w:tc>
              <w:tc>
                <w:tcPr>
                  <w:tcW w:w="1681" w:type="dxa"/>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168</w:t>
                  </w:r>
                </w:p>
              </w:tc>
              <w:tc>
                <w:tcPr>
                  <w:tcW w:w="195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1330"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796"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w:t>
                  </w:r>
                </w:p>
              </w:tc>
              <w:tc>
                <w:tcPr>
                  <w:tcW w:w="1716" w:type="dxa"/>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rPr>
                    <w:t>胶带</w:t>
                  </w:r>
                </w:p>
              </w:tc>
              <w:tc>
                <w:tcPr>
                  <w:tcW w:w="1681" w:type="dxa"/>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3</w:t>
                  </w:r>
                </w:p>
              </w:tc>
              <w:tc>
                <w:tcPr>
                  <w:tcW w:w="195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1330"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796"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4</w:t>
                  </w:r>
                </w:p>
              </w:tc>
              <w:tc>
                <w:tcPr>
                  <w:tcW w:w="1716" w:type="dxa"/>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rPr>
                    <w:t>纸芯</w:t>
                  </w:r>
                </w:p>
              </w:tc>
              <w:tc>
                <w:tcPr>
                  <w:tcW w:w="1681" w:type="dxa"/>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90</w:t>
                  </w:r>
                </w:p>
              </w:tc>
              <w:tc>
                <w:tcPr>
                  <w:tcW w:w="195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1330"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796"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5</w:t>
                  </w:r>
                </w:p>
              </w:tc>
              <w:tc>
                <w:tcPr>
                  <w:tcW w:w="1716" w:type="dxa"/>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rPr>
                    <w:t>贴标纸</w:t>
                  </w:r>
                </w:p>
              </w:tc>
              <w:tc>
                <w:tcPr>
                  <w:tcW w:w="1681" w:type="dxa"/>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3</w:t>
                  </w:r>
                </w:p>
              </w:tc>
              <w:tc>
                <w:tcPr>
                  <w:tcW w:w="195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1330"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796"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三</w:t>
                  </w:r>
                </w:p>
              </w:tc>
              <w:tc>
                <w:tcPr>
                  <w:tcW w:w="4622" w:type="pct"/>
                  <w:gridSpan w:val="5"/>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扩建完成后全厂原辅材料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w:t>
                  </w:r>
                </w:p>
              </w:tc>
              <w:tc>
                <w:tcPr>
                  <w:tcW w:w="1716" w:type="dxa"/>
                  <w:tcBorders>
                    <w:tl2br w:val="nil"/>
                    <w:tr2bl w:val="nil"/>
                  </w:tcBorders>
                  <w:vAlign w:val="center"/>
                </w:tcPr>
                <w:p>
                  <w:pPr>
                    <w:autoSpaceDN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高密度</w:t>
                  </w:r>
                  <w:r>
                    <w:rPr>
                      <w:rFonts w:hint="default" w:ascii="Times New Roman" w:hAnsi="Times New Roman" w:eastAsia="宋体" w:cs="Times New Roman"/>
                      <w:color w:val="auto"/>
                      <w:sz w:val="21"/>
                      <w:szCs w:val="21"/>
                      <w:highlight w:val="none"/>
                      <w:lang w:eastAsia="zh-CN"/>
                    </w:rPr>
                    <w:t>聚乙烯</w:t>
                  </w:r>
                </w:p>
              </w:tc>
              <w:tc>
                <w:tcPr>
                  <w:tcW w:w="168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1010</w:t>
                  </w:r>
                </w:p>
              </w:tc>
              <w:tc>
                <w:tcPr>
                  <w:tcW w:w="1959" w:type="dxa"/>
                  <w:tcBorders>
                    <w:tl2br w:val="nil"/>
                    <w:tr2bl w:val="nil"/>
                  </w:tcBorders>
                  <w:vAlign w:val="center"/>
                </w:tcPr>
                <w:p>
                  <w:pPr>
                    <w:spacing w:afterLine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25kg/袋</w:t>
                  </w:r>
                </w:p>
              </w:tc>
              <w:tc>
                <w:tcPr>
                  <w:tcW w:w="1330" w:type="dxa"/>
                  <w:tcBorders>
                    <w:tl2br w:val="nil"/>
                    <w:tr2bl w:val="nil"/>
                  </w:tcBorders>
                  <w:vAlign w:val="center"/>
                </w:tcPr>
                <w:p>
                  <w:pPr>
                    <w:spacing w:afterLine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袋装</w:t>
                  </w:r>
                </w:p>
              </w:tc>
              <w:tc>
                <w:tcPr>
                  <w:tcW w:w="1391" w:type="dxa"/>
                  <w:tcBorders>
                    <w:tl2br w:val="nil"/>
                    <w:tr2bl w:val="nil"/>
                  </w:tcBorders>
                  <w:vAlign w:val="center"/>
                </w:tcPr>
                <w:p>
                  <w:pPr>
                    <w:spacing w:afterLine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w:t>
                  </w:r>
                </w:p>
              </w:tc>
              <w:tc>
                <w:tcPr>
                  <w:tcW w:w="1716" w:type="dxa"/>
                  <w:tcBorders>
                    <w:tl2br w:val="nil"/>
                    <w:tr2bl w:val="nil"/>
                  </w:tcBorders>
                  <w:vAlign w:val="center"/>
                </w:tcPr>
                <w:p>
                  <w:pPr>
                    <w:autoSpaceDN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低密度</w:t>
                  </w:r>
                  <w:r>
                    <w:rPr>
                      <w:rFonts w:hint="default" w:ascii="Times New Roman" w:hAnsi="Times New Roman" w:eastAsia="宋体" w:cs="Times New Roman"/>
                      <w:color w:val="auto"/>
                      <w:sz w:val="21"/>
                      <w:szCs w:val="21"/>
                      <w:highlight w:val="none"/>
                      <w:lang w:eastAsia="zh-CN"/>
                    </w:rPr>
                    <w:t>聚乙烯</w:t>
                  </w:r>
                </w:p>
              </w:tc>
              <w:tc>
                <w:tcPr>
                  <w:tcW w:w="168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3510</w:t>
                  </w:r>
                </w:p>
              </w:tc>
              <w:tc>
                <w:tcPr>
                  <w:tcW w:w="1959" w:type="dxa"/>
                  <w:tcBorders>
                    <w:tl2br w:val="nil"/>
                    <w:tr2bl w:val="nil"/>
                  </w:tcBorders>
                  <w:vAlign w:val="center"/>
                </w:tcPr>
                <w:p>
                  <w:pPr>
                    <w:spacing w:afterLine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25kg/袋</w:t>
                  </w:r>
                </w:p>
              </w:tc>
              <w:tc>
                <w:tcPr>
                  <w:tcW w:w="1330" w:type="dxa"/>
                  <w:tcBorders>
                    <w:tl2br w:val="nil"/>
                    <w:tr2bl w:val="nil"/>
                  </w:tcBorders>
                  <w:vAlign w:val="center"/>
                </w:tcPr>
                <w:p>
                  <w:pPr>
                    <w:adjustRightInd w:val="0"/>
                    <w:snapToGrid w:val="0"/>
                    <w:spacing w:afterLine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袋装</w:t>
                  </w:r>
                </w:p>
              </w:tc>
              <w:tc>
                <w:tcPr>
                  <w:tcW w:w="1391" w:type="dxa"/>
                  <w:tcBorders>
                    <w:tl2br w:val="nil"/>
                    <w:tr2bl w:val="nil"/>
                  </w:tcBorders>
                  <w:vAlign w:val="center"/>
                </w:tcPr>
                <w:p>
                  <w:pPr>
                    <w:adjustRightInd w:val="0"/>
                    <w:snapToGrid w:val="0"/>
                    <w:spacing w:afterLine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400t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w:t>
                  </w:r>
                </w:p>
              </w:tc>
              <w:tc>
                <w:tcPr>
                  <w:tcW w:w="1716" w:type="dxa"/>
                  <w:tcBorders>
                    <w:tl2br w:val="nil"/>
                    <w:tr2bl w:val="nil"/>
                  </w:tcBorders>
                  <w:vAlign w:val="center"/>
                </w:tcPr>
                <w:p>
                  <w:pPr>
                    <w:autoSpaceDN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抗老化母料</w:t>
                  </w:r>
                </w:p>
              </w:tc>
              <w:tc>
                <w:tcPr>
                  <w:tcW w:w="168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400</w:t>
                  </w:r>
                </w:p>
              </w:tc>
              <w:tc>
                <w:tcPr>
                  <w:tcW w:w="1959" w:type="dxa"/>
                  <w:tcBorders>
                    <w:tl2br w:val="nil"/>
                    <w:tr2bl w:val="nil"/>
                  </w:tcBorders>
                  <w:vAlign w:val="center"/>
                </w:tcPr>
                <w:p>
                  <w:pPr>
                    <w:spacing w:afterLine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25kg/袋</w:t>
                  </w:r>
                </w:p>
              </w:tc>
              <w:tc>
                <w:tcPr>
                  <w:tcW w:w="1330" w:type="dxa"/>
                  <w:tcBorders>
                    <w:tl2br w:val="nil"/>
                    <w:tr2bl w:val="nil"/>
                  </w:tcBorders>
                  <w:vAlign w:val="center"/>
                </w:tcPr>
                <w:p>
                  <w:pPr>
                    <w:adjustRightInd w:val="0"/>
                    <w:snapToGrid w:val="0"/>
                    <w:spacing w:afterLine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袋装</w:t>
                  </w:r>
                </w:p>
              </w:tc>
              <w:tc>
                <w:tcPr>
                  <w:tcW w:w="1391" w:type="dxa"/>
                  <w:tcBorders>
                    <w:tl2br w:val="nil"/>
                    <w:tr2bl w:val="nil"/>
                  </w:tcBorders>
                  <w:vAlign w:val="center"/>
                </w:tcPr>
                <w:p>
                  <w:pPr>
                    <w:adjustRightInd w:val="0"/>
                    <w:snapToGrid w:val="0"/>
                    <w:spacing w:afterLine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50t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4</w:t>
                  </w:r>
                </w:p>
              </w:tc>
              <w:tc>
                <w:tcPr>
                  <w:tcW w:w="1716" w:type="dxa"/>
                  <w:tcBorders>
                    <w:tl2br w:val="nil"/>
                    <w:tr2bl w:val="nil"/>
                  </w:tcBorders>
                  <w:vAlign w:val="center"/>
                </w:tcPr>
                <w:p>
                  <w:pPr>
                    <w:autoSpaceDN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色母料</w:t>
                  </w:r>
                </w:p>
              </w:tc>
              <w:tc>
                <w:tcPr>
                  <w:tcW w:w="168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103.7</w:t>
                  </w:r>
                </w:p>
              </w:tc>
              <w:tc>
                <w:tcPr>
                  <w:tcW w:w="1959" w:type="dxa"/>
                  <w:tcBorders>
                    <w:tl2br w:val="nil"/>
                    <w:tr2bl w:val="nil"/>
                  </w:tcBorders>
                  <w:vAlign w:val="center"/>
                </w:tcPr>
                <w:p>
                  <w:pPr>
                    <w:adjustRightInd w:val="0"/>
                    <w:snapToGrid w:val="0"/>
                    <w:spacing w:afterLine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25kg/袋</w:t>
                  </w:r>
                </w:p>
              </w:tc>
              <w:tc>
                <w:tcPr>
                  <w:tcW w:w="1330" w:type="dxa"/>
                  <w:tcBorders>
                    <w:tl2br w:val="nil"/>
                    <w:tr2bl w:val="nil"/>
                  </w:tcBorders>
                  <w:vAlign w:val="center"/>
                </w:tcPr>
                <w:p>
                  <w:pPr>
                    <w:adjustRightInd w:val="0"/>
                    <w:snapToGrid w:val="0"/>
                    <w:spacing w:afterLine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袋装</w:t>
                  </w:r>
                </w:p>
              </w:tc>
              <w:tc>
                <w:tcPr>
                  <w:tcW w:w="1391" w:type="dxa"/>
                  <w:tcBorders>
                    <w:tl2br w:val="nil"/>
                    <w:tr2bl w:val="nil"/>
                  </w:tcBorders>
                  <w:vAlign w:val="center"/>
                </w:tcPr>
                <w:p>
                  <w:pPr>
                    <w:adjustRightInd w:val="0"/>
                    <w:snapToGrid w:val="0"/>
                    <w:spacing w:afterLine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5</w:t>
                  </w:r>
                </w:p>
              </w:tc>
              <w:tc>
                <w:tcPr>
                  <w:tcW w:w="1716"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活性炭</w:t>
                  </w:r>
                </w:p>
              </w:tc>
              <w:tc>
                <w:tcPr>
                  <w:tcW w:w="1681"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20.48t</w:t>
                  </w:r>
                </w:p>
              </w:tc>
              <w:tc>
                <w:tcPr>
                  <w:tcW w:w="195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1330"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就近购买</w:t>
                  </w:r>
                </w:p>
              </w:tc>
              <w:tc>
                <w:tcPr>
                  <w:tcW w:w="1391"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6</w:t>
                  </w:r>
                </w:p>
              </w:tc>
              <w:tc>
                <w:tcPr>
                  <w:tcW w:w="1716" w:type="dxa"/>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rPr>
                    <w:t>原纸</w:t>
                  </w:r>
                </w:p>
              </w:tc>
              <w:tc>
                <w:tcPr>
                  <w:tcW w:w="1681" w:type="dxa"/>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5400</w:t>
                  </w:r>
                </w:p>
              </w:tc>
              <w:tc>
                <w:tcPr>
                  <w:tcW w:w="195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1330"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1391"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7</w:t>
                  </w:r>
                </w:p>
              </w:tc>
              <w:tc>
                <w:tcPr>
                  <w:tcW w:w="1716" w:type="dxa"/>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rPr>
                    <w:t>塑料包装袋</w:t>
                  </w:r>
                </w:p>
              </w:tc>
              <w:tc>
                <w:tcPr>
                  <w:tcW w:w="1681" w:type="dxa"/>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168</w:t>
                  </w:r>
                </w:p>
              </w:tc>
              <w:tc>
                <w:tcPr>
                  <w:tcW w:w="195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1330"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1391"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8</w:t>
                  </w:r>
                </w:p>
              </w:tc>
              <w:tc>
                <w:tcPr>
                  <w:tcW w:w="1716" w:type="dxa"/>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rPr>
                    <w:t>胶带</w:t>
                  </w:r>
                </w:p>
              </w:tc>
              <w:tc>
                <w:tcPr>
                  <w:tcW w:w="1681" w:type="dxa"/>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3</w:t>
                  </w:r>
                </w:p>
              </w:tc>
              <w:tc>
                <w:tcPr>
                  <w:tcW w:w="195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1330"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1391"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9</w:t>
                  </w:r>
                </w:p>
              </w:tc>
              <w:tc>
                <w:tcPr>
                  <w:tcW w:w="1716" w:type="dxa"/>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rPr>
                    <w:t>纸芯</w:t>
                  </w:r>
                </w:p>
              </w:tc>
              <w:tc>
                <w:tcPr>
                  <w:tcW w:w="1681" w:type="dxa"/>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90</w:t>
                  </w:r>
                </w:p>
              </w:tc>
              <w:tc>
                <w:tcPr>
                  <w:tcW w:w="195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1330"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1391"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10</w:t>
                  </w:r>
                </w:p>
              </w:tc>
              <w:tc>
                <w:tcPr>
                  <w:tcW w:w="1716" w:type="dxa"/>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rPr>
                    <w:t>贴标纸</w:t>
                  </w:r>
                </w:p>
              </w:tc>
              <w:tc>
                <w:tcPr>
                  <w:tcW w:w="1681" w:type="dxa"/>
                  <w:tcBorders>
                    <w:tl2br w:val="nil"/>
                    <w:tr2bl w:val="nil"/>
                  </w:tcBorders>
                  <w:vAlign w:val="center"/>
                </w:tcPr>
                <w:p>
                  <w:pPr>
                    <w:pStyle w:val="41"/>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3</w:t>
                  </w:r>
                </w:p>
              </w:tc>
              <w:tc>
                <w:tcPr>
                  <w:tcW w:w="195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1330"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1391"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0.25t</w:t>
                  </w:r>
                </w:p>
              </w:tc>
            </w:tr>
          </w:tbl>
          <w:p>
            <w:pPr>
              <w:pStyle w:val="77"/>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原辅料</w:t>
            </w:r>
            <w:r>
              <w:rPr>
                <w:rFonts w:hint="default" w:ascii="Times New Roman" w:hAnsi="Times New Roman" w:eastAsia="宋体" w:cs="Times New Roman"/>
                <w:b/>
                <w:color w:val="auto"/>
                <w:sz w:val="24"/>
                <w:highlight w:val="none"/>
                <w:lang w:val="en-US" w:eastAsia="zh-CN"/>
              </w:rPr>
              <w:t>理化</w:t>
            </w:r>
            <w:r>
              <w:rPr>
                <w:rFonts w:hint="default" w:ascii="Times New Roman" w:hAnsi="Times New Roman" w:eastAsia="宋体" w:cs="Times New Roman"/>
                <w:b/>
                <w:color w:val="auto"/>
                <w:sz w:val="24"/>
                <w:highlight w:val="none"/>
              </w:rPr>
              <w:t>性质</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both"/>
              <w:textAlignment w:val="auto"/>
              <w:outlineLvl w:val="9"/>
              <w:rPr>
                <w:rFonts w:hint="default" w:ascii="Times New Roman" w:hAnsi="Times New Roman" w:eastAsia="宋体" w:cs="Times New Roman"/>
                <w:b w:val="0"/>
                <w:color w:val="auto"/>
                <w:spacing w:val="0"/>
                <w:w w:val="100"/>
                <w:kern w:val="2"/>
                <w:position w:val="0"/>
                <w:sz w:val="24"/>
                <w:szCs w:val="24"/>
                <w:highlight w:val="none"/>
                <w:lang w:val="en-US" w:eastAsia="zh-CN" w:bidi="ar-SA"/>
              </w:rPr>
            </w:pPr>
            <w:r>
              <w:rPr>
                <w:rFonts w:hint="default" w:ascii="Times New Roman" w:hAnsi="Times New Roman" w:eastAsia="宋体" w:cs="Times New Roman"/>
                <w:b w:val="0"/>
                <w:color w:val="auto"/>
                <w:spacing w:val="0"/>
                <w:w w:val="100"/>
                <w:kern w:val="2"/>
                <w:position w:val="0"/>
                <w:sz w:val="24"/>
                <w:szCs w:val="24"/>
                <w:highlight w:val="none"/>
                <w:lang w:val="en-US" w:eastAsia="zh-CN" w:bidi="ar-SA"/>
              </w:rPr>
              <w:t>本次扩建项目主要原辅料理化性质见表2-4。</w:t>
            </w:r>
          </w:p>
          <w:p>
            <w:pPr>
              <w:jc w:val="center"/>
              <w:rPr>
                <w:rFonts w:hint="default" w:ascii="Times New Roman" w:hAnsi="Times New Roman" w:eastAsia="宋体" w:cs="Times New Roman"/>
                <w:b/>
                <w:bCs/>
                <w:color w:val="auto"/>
                <w:szCs w:val="21"/>
                <w:highlight w:val="none"/>
                <w:lang w:val="en-US"/>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2-4</w:t>
            </w:r>
            <w:r>
              <w:rPr>
                <w:rFonts w:hint="default" w:ascii="Times New Roman" w:hAnsi="Times New Roman" w:eastAsia="宋体" w:cs="Times New Roman"/>
                <w:b/>
                <w:bCs/>
                <w:color w:val="auto"/>
                <w:szCs w:val="21"/>
                <w:highlight w:val="none"/>
              </w:rPr>
              <w:t xml:space="preserve"> </w:t>
            </w:r>
            <w:r>
              <w:rPr>
                <w:rFonts w:hint="default" w:ascii="Times New Roman" w:hAnsi="Times New Roman" w:eastAsia="宋体" w:cs="Times New Roman"/>
                <w:b/>
                <w:bCs/>
                <w:color w:val="auto"/>
                <w:szCs w:val="21"/>
                <w:highlight w:val="none"/>
                <w:lang w:val="en-US" w:eastAsia="zh-CN"/>
              </w:rPr>
              <w:t xml:space="preserve"> </w:t>
            </w:r>
            <w:r>
              <w:rPr>
                <w:rFonts w:hint="default" w:ascii="Times New Roman" w:hAnsi="Times New Roman" w:eastAsia="宋体" w:cs="Times New Roman"/>
                <w:b/>
                <w:bCs/>
                <w:color w:val="auto"/>
                <w:szCs w:val="21"/>
                <w:highlight w:val="none"/>
              </w:rPr>
              <w:t xml:space="preserve"> </w:t>
            </w:r>
            <w:r>
              <w:rPr>
                <w:rFonts w:hint="default" w:ascii="Times New Roman" w:hAnsi="Times New Roman" w:eastAsia="宋体" w:cs="Times New Roman"/>
                <w:b/>
                <w:bCs/>
                <w:color w:val="auto"/>
                <w:szCs w:val="21"/>
                <w:highlight w:val="none"/>
                <w:lang w:val="en-US" w:eastAsia="zh-CN"/>
              </w:rPr>
              <w:t>本次扩建</w:t>
            </w:r>
            <w:r>
              <w:rPr>
                <w:rFonts w:hint="default" w:ascii="Times New Roman" w:hAnsi="Times New Roman" w:eastAsia="宋体" w:cs="Times New Roman"/>
                <w:b/>
                <w:bCs/>
                <w:color w:val="auto"/>
                <w:szCs w:val="21"/>
                <w:highlight w:val="none"/>
              </w:rPr>
              <w:t>项目主要原辅材料</w:t>
            </w:r>
            <w:r>
              <w:rPr>
                <w:rFonts w:hint="default" w:ascii="Times New Roman" w:hAnsi="Times New Roman" w:eastAsia="宋体" w:cs="Times New Roman"/>
                <w:b/>
                <w:bCs/>
                <w:color w:val="auto"/>
                <w:szCs w:val="21"/>
                <w:highlight w:val="none"/>
                <w:lang w:eastAsia="zh-CN"/>
              </w:rPr>
              <w:t>理化性质</w:t>
            </w:r>
            <w:r>
              <w:rPr>
                <w:rFonts w:hint="default" w:ascii="Times New Roman" w:hAnsi="Times New Roman" w:eastAsia="宋体" w:cs="Times New Roman"/>
                <w:b/>
                <w:bCs/>
                <w:color w:val="auto"/>
                <w:szCs w:val="21"/>
                <w:highlight w:val="none"/>
                <w:lang w:val="en-US" w:eastAsia="zh-CN"/>
              </w:rPr>
              <w:t>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267"/>
              <w:gridCol w:w="747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25" w:type="pct"/>
                  <w:tcBorders>
                    <w:tl2br w:val="nil"/>
                    <w:tr2bl w:val="nil"/>
                  </w:tcBorders>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position w:val="0"/>
                      <w:sz w:val="21"/>
                      <w:szCs w:val="21"/>
                      <w:highlight w:val="none"/>
                      <w:lang w:eastAsia="zh-CN"/>
                    </w:rPr>
                  </w:pPr>
                  <w:r>
                    <w:rPr>
                      <w:rFonts w:hint="default" w:ascii="Times New Roman" w:hAnsi="Times New Roman" w:eastAsia="宋体" w:cs="Times New Roman"/>
                      <w:b/>
                      <w:color w:val="auto"/>
                      <w:position w:val="0"/>
                      <w:sz w:val="21"/>
                      <w:szCs w:val="21"/>
                      <w:highlight w:val="none"/>
                      <w:lang w:eastAsia="zh-CN"/>
                    </w:rPr>
                    <w:t>物料名称</w:t>
                  </w:r>
                </w:p>
              </w:tc>
              <w:tc>
                <w:tcPr>
                  <w:tcW w:w="4274" w:type="pct"/>
                  <w:tcBorders>
                    <w:tl2br w:val="nil"/>
                    <w:tr2bl w:val="nil"/>
                  </w:tcBorders>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position w:val="0"/>
                      <w:sz w:val="21"/>
                      <w:szCs w:val="21"/>
                      <w:highlight w:val="none"/>
                      <w:lang w:eastAsia="zh-CN"/>
                    </w:rPr>
                  </w:pPr>
                  <w:r>
                    <w:rPr>
                      <w:rFonts w:hint="default" w:ascii="Times New Roman" w:hAnsi="Times New Roman" w:eastAsia="宋体" w:cs="Times New Roman"/>
                      <w:b/>
                      <w:color w:val="auto"/>
                      <w:position w:val="0"/>
                      <w:sz w:val="21"/>
                      <w:szCs w:val="21"/>
                      <w:highlight w:val="none"/>
                      <w:lang w:eastAsia="zh-CN"/>
                    </w:rPr>
                    <w:t>理化性质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shd w:val="clear" w:color="auto" w:fill="FFFFFF"/>
                    </w:rPr>
                    <w:t>聚乙烯</w:t>
                  </w:r>
                </w:p>
              </w:tc>
              <w:tc>
                <w:tcPr>
                  <w:tcW w:w="42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420" w:firstLineChars="200"/>
                    <w:textAlignment w:val="auto"/>
                    <w:rPr>
                      <w:rFonts w:hint="default" w:ascii="Times New Roman" w:hAnsi="Times New Roman" w:eastAsia="宋体" w:cs="Times New Roman"/>
                      <w:b w:val="0"/>
                      <w:bCs w:val="0"/>
                      <w:color w:val="auto"/>
                      <w:kern w:val="2"/>
                      <w:sz w:val="21"/>
                      <w:szCs w:val="21"/>
                      <w:highlight w:val="none"/>
                      <w:lang w:val="en-US" w:eastAsia="zh-CN" w:bidi="ar"/>
                    </w:rPr>
                  </w:pPr>
                  <w:r>
                    <w:rPr>
                      <w:rFonts w:hint="default" w:ascii="Times New Roman" w:hAnsi="Times New Roman" w:eastAsia="宋体" w:cs="Times New Roman"/>
                      <w:b w:val="0"/>
                      <w:bCs w:val="0"/>
                      <w:color w:val="auto"/>
                      <w:sz w:val="21"/>
                      <w:szCs w:val="21"/>
                      <w:highlight w:val="none"/>
                      <w:shd w:val="clear" w:color="auto" w:fill="FFFFFF"/>
                    </w:rPr>
                    <w:t>聚乙烯，简称PE，</w:t>
                  </w:r>
                  <w:r>
                    <w:rPr>
                      <w:rFonts w:hint="default" w:ascii="Times New Roman" w:hAnsi="Times New Roman" w:eastAsia="宋体" w:cs="Times New Roman"/>
                      <w:b w:val="0"/>
                      <w:bCs w:val="0"/>
                      <w:color w:val="auto"/>
                      <w:sz w:val="21"/>
                      <w:szCs w:val="21"/>
                      <w:highlight w:val="none"/>
                      <w:lang w:val="zh-CN"/>
                    </w:rPr>
                    <w:t>英文名称：Polyethylene，聚乙烯（PE）是五大合成树脂之一，成型温度：140-220℃，</w:t>
                  </w:r>
                  <w:r>
                    <w:rPr>
                      <w:rFonts w:hint="default" w:ascii="Times New Roman" w:hAnsi="Times New Roman" w:eastAsia="宋体" w:cs="Times New Roman"/>
                      <w:b w:val="0"/>
                      <w:bCs w:val="0"/>
                      <w:color w:val="auto"/>
                      <w:sz w:val="21"/>
                      <w:szCs w:val="21"/>
                      <w:highlight w:val="none"/>
                      <w:shd w:val="clear" w:color="auto" w:fill="FFFFFF"/>
                    </w:rPr>
                    <w:t>是乙烯经聚合制得的一种热塑性树脂。在工业上，也包括乙烯与少量α-烯烃的共聚物。聚乙烯无臭，无毒，手感似</w:t>
                  </w:r>
                  <w:r>
                    <w:rPr>
                      <w:rFonts w:hint="default" w:ascii="Times New Roman" w:hAnsi="Times New Roman" w:eastAsia="宋体" w:cs="Times New Roman"/>
                      <w:b w:val="0"/>
                      <w:bCs w:val="0"/>
                      <w:color w:val="auto"/>
                      <w:sz w:val="21"/>
                      <w:szCs w:val="21"/>
                      <w:highlight w:val="none"/>
                      <w:u w:val="none"/>
                      <w:shd w:val="clear" w:color="auto" w:fill="FFFFFF"/>
                    </w:rPr>
                    <w:fldChar w:fldCharType="begin"/>
                  </w:r>
                  <w:r>
                    <w:rPr>
                      <w:rFonts w:hint="default" w:ascii="Times New Roman" w:hAnsi="Times New Roman" w:eastAsia="宋体" w:cs="Times New Roman"/>
                      <w:b w:val="0"/>
                      <w:bCs w:val="0"/>
                      <w:color w:val="auto"/>
                      <w:sz w:val="21"/>
                      <w:szCs w:val="21"/>
                      <w:highlight w:val="none"/>
                      <w:u w:val="none"/>
                      <w:shd w:val="clear" w:color="auto" w:fill="FFFFFF"/>
                    </w:rPr>
                    <w:instrText xml:space="preserve"> HYPERLINK "https://baike.baidu.com/item/%E8%9C%A1" \t "https://baike.baidu.com/item/%E8%81%9A%E4%B9%99%E7%83%AF/_blank" </w:instrText>
                  </w:r>
                  <w:r>
                    <w:rPr>
                      <w:rFonts w:hint="default" w:ascii="Times New Roman" w:hAnsi="Times New Roman" w:eastAsia="宋体" w:cs="Times New Roman"/>
                      <w:b w:val="0"/>
                      <w:bCs w:val="0"/>
                      <w:color w:val="auto"/>
                      <w:sz w:val="21"/>
                      <w:szCs w:val="21"/>
                      <w:highlight w:val="none"/>
                      <w:u w:val="none"/>
                      <w:shd w:val="clear" w:color="auto" w:fill="FFFFFF"/>
                    </w:rPr>
                    <w:fldChar w:fldCharType="separate"/>
                  </w:r>
                  <w:r>
                    <w:rPr>
                      <w:rStyle w:val="32"/>
                      <w:rFonts w:hint="default" w:ascii="Times New Roman" w:hAnsi="Times New Roman" w:eastAsia="宋体" w:cs="Times New Roman"/>
                      <w:b w:val="0"/>
                      <w:bCs w:val="0"/>
                      <w:color w:val="auto"/>
                      <w:sz w:val="21"/>
                      <w:szCs w:val="21"/>
                      <w:highlight w:val="none"/>
                      <w:u w:val="none"/>
                      <w:shd w:val="clear" w:color="auto" w:fill="FFFFFF"/>
                    </w:rPr>
                    <w:t>蜡</w:t>
                  </w:r>
                  <w:r>
                    <w:rPr>
                      <w:rFonts w:hint="default" w:ascii="Times New Roman" w:hAnsi="Times New Roman" w:eastAsia="宋体" w:cs="Times New Roman"/>
                      <w:b w:val="0"/>
                      <w:bCs w:val="0"/>
                      <w:color w:val="auto"/>
                      <w:sz w:val="21"/>
                      <w:szCs w:val="21"/>
                      <w:highlight w:val="none"/>
                      <w:u w:val="none"/>
                      <w:shd w:val="clear" w:color="auto" w:fill="FFFFFF"/>
                    </w:rPr>
                    <w:fldChar w:fldCharType="end"/>
                  </w:r>
                  <w:r>
                    <w:rPr>
                      <w:rFonts w:hint="default" w:ascii="Times New Roman" w:hAnsi="Times New Roman" w:eastAsia="宋体" w:cs="Times New Roman"/>
                      <w:b w:val="0"/>
                      <w:bCs w:val="0"/>
                      <w:color w:val="auto"/>
                      <w:sz w:val="21"/>
                      <w:szCs w:val="21"/>
                      <w:highlight w:val="none"/>
                      <w:u w:val="none"/>
                      <w:shd w:val="clear" w:color="auto" w:fill="FFFFFF"/>
                    </w:rPr>
                    <w:t>，</w:t>
                  </w:r>
                  <w:r>
                    <w:rPr>
                      <w:rFonts w:hint="default" w:ascii="Times New Roman" w:hAnsi="Times New Roman" w:eastAsia="宋体" w:cs="Times New Roman"/>
                      <w:b w:val="0"/>
                      <w:bCs w:val="0"/>
                      <w:color w:val="auto"/>
                      <w:sz w:val="21"/>
                      <w:szCs w:val="21"/>
                      <w:highlight w:val="none"/>
                      <w:shd w:val="clear" w:color="auto" w:fill="FFFFFF"/>
                    </w:rPr>
                    <w:t>具有优良的耐低温性能（最低使用温度可达-100~-70°C），化学稳定性好，能耐大多数酸碱的侵蚀（不耐具有氧化性质的酸）。常温下不溶于一般溶剂，吸水性小，电绝缘性优良。</w:t>
                  </w:r>
                  <w:r>
                    <w:rPr>
                      <w:rFonts w:hint="default" w:ascii="Times New Roman" w:hAnsi="Times New Roman" w:eastAsia="宋体" w:cs="Times New Roman"/>
                      <w:b w:val="0"/>
                      <w:bCs w:val="0"/>
                      <w:color w:val="auto"/>
                      <w:sz w:val="21"/>
                      <w:szCs w:val="21"/>
                      <w:highlight w:val="none"/>
                      <w:lang w:val="zh-CN"/>
                    </w:rPr>
                    <w:t>聚乙烯</w:t>
                  </w:r>
                  <w:r>
                    <w:rPr>
                      <w:rFonts w:hint="default" w:ascii="Times New Roman" w:hAnsi="Times New Roman" w:eastAsia="宋体" w:cs="Times New Roman"/>
                      <w:b w:val="0"/>
                      <w:bCs w:val="0"/>
                      <w:color w:val="auto"/>
                      <w:sz w:val="21"/>
                      <w:szCs w:val="21"/>
                      <w:highlight w:val="none"/>
                    </w:rPr>
                    <w:t>熔融温度为150℃-180℃</w:t>
                  </w:r>
                  <w:r>
                    <w:rPr>
                      <w:rFonts w:hint="default" w:ascii="Times New Roman" w:hAnsi="Times New Roman" w:eastAsia="宋体" w:cs="Times New Roman"/>
                      <w:b w:val="0"/>
                      <w:bCs w:val="0"/>
                      <w:color w:val="auto"/>
                      <w:sz w:val="21"/>
                      <w:szCs w:val="21"/>
                      <w:highlight w:val="none"/>
                      <w:lang w:val="zh-CN"/>
                    </w:rPr>
                    <w:t>，密度0.86~0.96g/cm</w:t>
                  </w:r>
                  <w:r>
                    <w:rPr>
                      <w:rFonts w:hint="default" w:ascii="Times New Roman" w:hAnsi="Times New Roman" w:eastAsia="宋体" w:cs="Times New Roman"/>
                      <w:b w:val="0"/>
                      <w:bCs w:val="0"/>
                      <w:color w:val="auto"/>
                      <w:sz w:val="21"/>
                      <w:szCs w:val="21"/>
                      <w:highlight w:val="none"/>
                      <w:vertAlign w:val="superscript"/>
                      <w:lang w:val="zh-CN"/>
                    </w:rPr>
                    <w:t>3</w:t>
                  </w:r>
                  <w:r>
                    <w:rPr>
                      <w:rFonts w:hint="default" w:ascii="Times New Roman" w:hAnsi="Times New Roman" w:eastAsia="宋体" w:cs="Times New Roman"/>
                      <w:b w:val="0"/>
                      <w:bCs w:val="0"/>
                      <w:color w:val="auto"/>
                      <w:sz w:val="21"/>
                      <w:szCs w:val="21"/>
                      <w:highlight w:val="none"/>
                      <w:lang w:val="zh-CN"/>
                    </w:rPr>
                    <w:t>。</w:t>
                  </w:r>
                  <w:r>
                    <w:rPr>
                      <w:rFonts w:hint="default" w:ascii="Times New Roman" w:hAnsi="Times New Roman" w:eastAsia="宋体" w:cs="Times New Roman"/>
                      <w:b w:val="0"/>
                      <w:bCs w:val="0"/>
                      <w:color w:val="auto"/>
                      <w:sz w:val="21"/>
                      <w:szCs w:val="21"/>
                      <w:highlight w:val="none"/>
                      <w:shd w:val="clear" w:color="auto" w:fill="FFFFFF"/>
                    </w:rPr>
                    <w:t>PE塑料加工温度范围很宽，不易分解，</w:t>
                  </w:r>
                  <w:r>
                    <w:rPr>
                      <w:rFonts w:hint="default" w:ascii="Times New Roman" w:hAnsi="Times New Roman" w:eastAsia="宋体" w:cs="Times New Roman"/>
                      <w:b w:val="0"/>
                      <w:bCs w:val="0"/>
                      <w:color w:val="auto"/>
                      <w:sz w:val="21"/>
                      <w:szCs w:val="21"/>
                      <w:highlight w:val="none"/>
                    </w:rPr>
                    <w:t>热分解温度为＞3</w:t>
                  </w:r>
                  <w:r>
                    <w:rPr>
                      <w:rFonts w:hint="default" w:ascii="Times New Roman" w:hAnsi="Times New Roman" w:eastAsia="宋体" w:cs="Times New Roman"/>
                      <w:b w:val="0"/>
                      <w:bCs w:val="0"/>
                      <w:color w:val="auto"/>
                      <w:sz w:val="21"/>
                      <w:szCs w:val="21"/>
                      <w:highlight w:val="none"/>
                      <w:lang w:val="en-US" w:eastAsia="zh-CN"/>
                    </w:rPr>
                    <w:t>0</w:t>
                  </w:r>
                  <w:r>
                    <w:rPr>
                      <w:rFonts w:hint="default" w:ascii="Times New Roman" w:hAnsi="Times New Roman" w:eastAsia="宋体" w:cs="Times New Roman"/>
                      <w:b w:val="0"/>
                      <w:bCs w:val="0"/>
                      <w:color w:val="auto"/>
                      <w:sz w:val="21"/>
                      <w:szCs w:val="21"/>
                      <w:highlight w:val="none"/>
                    </w:rPr>
                    <w:t>0℃</w:t>
                  </w:r>
                  <w:r>
                    <w:rPr>
                      <w:rFonts w:hint="default" w:ascii="Times New Roman" w:hAnsi="Times New Roman" w:eastAsia="宋体" w:cs="Times New Roman"/>
                      <w:b w:val="0"/>
                      <w:bCs w:val="0"/>
                      <w:color w:val="auto"/>
                      <w:sz w:val="21"/>
                      <w:szCs w:val="21"/>
                      <w:highlight w:val="none"/>
                      <w:shd w:val="clear" w:color="auto" w:fill="FFFFFF"/>
                    </w:rPr>
                    <w:t>，由于分子之间的剪切挤压发生断链、分解、降解过程中产生游离单体废气，主要为乙烯等。聚乙烯可用一般热塑性塑料的成型方法加工。用途十分广泛，主要用来制造薄膜、包装材料、容器、管道、单丝、电线电缆、日用品等，并可作为电视、雷达等的高频绝缘材料。</w:t>
                  </w:r>
                  <w:r>
                    <w:rPr>
                      <w:rFonts w:hint="default" w:ascii="Times New Roman" w:hAnsi="Times New Roman" w:eastAsia="宋体" w:cs="Times New Roman"/>
                      <w:b w:val="0"/>
                      <w:bCs w:val="0"/>
                      <w:i w:val="0"/>
                      <w:caps w:val="0"/>
                      <w:color w:val="auto"/>
                      <w:spacing w:val="0"/>
                      <w:sz w:val="21"/>
                      <w:szCs w:val="21"/>
                      <w:highlight w:val="none"/>
                      <w:shd w:val="clear" w:color="auto" w:fill="FFFFFF"/>
                      <w:lang w:eastAsia="zh-CN"/>
                    </w:rPr>
                    <w:t>本项目生产使用</w:t>
                  </w:r>
                  <w:r>
                    <w:rPr>
                      <w:rFonts w:hint="default" w:ascii="Times New Roman" w:hAnsi="Times New Roman" w:eastAsia="宋体" w:cs="Times New Roman"/>
                      <w:b w:val="0"/>
                      <w:bCs w:val="0"/>
                      <w:i w:val="0"/>
                      <w:caps w:val="0"/>
                      <w:color w:val="auto"/>
                      <w:spacing w:val="0"/>
                      <w:sz w:val="21"/>
                      <w:szCs w:val="21"/>
                      <w:highlight w:val="none"/>
                      <w:shd w:val="clear" w:color="auto" w:fill="FFFFFF"/>
                    </w:rPr>
                    <w:t>聚乙烯</w:t>
                  </w:r>
                  <w:r>
                    <w:rPr>
                      <w:rFonts w:hint="default" w:ascii="Times New Roman" w:hAnsi="Times New Roman" w:eastAsia="宋体" w:cs="Times New Roman"/>
                      <w:b w:val="0"/>
                      <w:bCs w:val="0"/>
                      <w:i w:val="0"/>
                      <w:caps w:val="0"/>
                      <w:color w:val="auto"/>
                      <w:spacing w:val="0"/>
                      <w:sz w:val="21"/>
                      <w:szCs w:val="21"/>
                      <w:highlight w:val="none"/>
                      <w:shd w:val="clear" w:color="auto" w:fill="FFFFFF"/>
                      <w:lang w:eastAsia="zh-CN"/>
                    </w:rPr>
                    <w:t>塑料颗粒</w:t>
                  </w:r>
                  <w:r>
                    <w:rPr>
                      <w:rFonts w:hint="default" w:ascii="Times New Roman" w:hAnsi="Times New Roman" w:eastAsia="宋体" w:cs="Times New Roman"/>
                      <w:b w:val="0"/>
                      <w:bCs w:val="0"/>
                      <w:i w:val="0"/>
                      <w:caps w:val="0"/>
                      <w:color w:val="auto"/>
                      <w:spacing w:val="0"/>
                      <w:sz w:val="21"/>
                      <w:szCs w:val="21"/>
                      <w:highlight w:val="none"/>
                      <w:shd w:val="clear" w:color="auto" w:fill="FFFFFF"/>
                      <w:lang w:val="en-US" w:eastAsia="zh-CN"/>
                    </w:rPr>
                    <w:t>仅为新料</w:t>
                  </w:r>
                  <w:r>
                    <w:rPr>
                      <w:rFonts w:hint="default" w:ascii="Times New Roman" w:hAnsi="Times New Roman" w:eastAsia="宋体" w:cs="Times New Roman"/>
                      <w:b w:val="0"/>
                      <w:bCs w:val="0"/>
                      <w:i w:val="0"/>
                      <w:caps w:val="0"/>
                      <w:color w:val="auto"/>
                      <w:spacing w:val="0"/>
                      <w:sz w:val="21"/>
                      <w:szCs w:val="21"/>
                      <w:highlight w:val="none"/>
                      <w:shd w:val="clear" w:color="auto"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highlight w:val="none"/>
                      <w:lang w:val="en-US" w:eastAsia="zh-CN"/>
                    </w:rPr>
                    <w:t>高密度</w:t>
                  </w:r>
                  <w:r>
                    <w:rPr>
                      <w:rFonts w:hint="default" w:ascii="Times New Roman" w:hAnsi="Times New Roman" w:eastAsia="宋体" w:cs="Times New Roman"/>
                      <w:b w:val="0"/>
                      <w:bCs w:val="0"/>
                      <w:color w:val="auto"/>
                      <w:highlight w:val="none"/>
                      <w:lang w:val="en-US"/>
                    </w:rPr>
                    <w:t>聚乙烯</w:t>
                  </w:r>
                  <w:r>
                    <w:rPr>
                      <w:rFonts w:hint="default" w:ascii="Times New Roman" w:hAnsi="Times New Roman" w:eastAsia="宋体" w:cs="Times New Roman"/>
                      <w:b w:val="0"/>
                      <w:bCs w:val="0"/>
                      <w:color w:val="auto"/>
                      <w:highlight w:val="none"/>
                    </w:rPr>
                    <w:t>（</w:t>
                  </w:r>
                  <w:r>
                    <w:rPr>
                      <w:rFonts w:hint="default" w:ascii="Times New Roman" w:hAnsi="Times New Roman" w:eastAsia="宋体" w:cs="Times New Roman"/>
                      <w:b w:val="0"/>
                      <w:bCs w:val="0"/>
                      <w:color w:val="auto"/>
                      <w:highlight w:val="none"/>
                      <w:lang w:val="en-US" w:eastAsia="zh-CN"/>
                    </w:rPr>
                    <w:t>HD</w:t>
                  </w:r>
                  <w:r>
                    <w:rPr>
                      <w:rFonts w:hint="default" w:ascii="Times New Roman" w:hAnsi="Times New Roman" w:eastAsia="宋体" w:cs="Times New Roman"/>
                      <w:b w:val="0"/>
                      <w:bCs w:val="0"/>
                      <w:color w:val="auto"/>
                      <w:highlight w:val="none"/>
                    </w:rPr>
                    <w:t>PE）</w:t>
                  </w:r>
                </w:p>
              </w:tc>
              <w:tc>
                <w:tcPr>
                  <w:tcW w:w="42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420" w:firstLineChars="200"/>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highlight w:val="none"/>
                    </w:rPr>
                    <w:t>高密度聚乙烯又称低压聚乙烯，HDPE是一种结晶度高、非极性的热塑性树脂。高密度聚乙烯是种白色粉末颗粒状产品，无毒、无味，密度在0.940~0.976 g/cm</w:t>
                  </w:r>
                  <w:r>
                    <w:rPr>
                      <w:rFonts w:hint="default" w:ascii="Times New Roman" w:hAnsi="Times New Roman" w:eastAsia="宋体" w:cs="Times New Roman"/>
                      <w:b w:val="0"/>
                      <w:bCs w:val="0"/>
                      <w:color w:val="auto"/>
                      <w:highlight w:val="none"/>
                      <w:vertAlign w:val="superscript"/>
                    </w:rPr>
                    <w:t>3</w:t>
                  </w:r>
                  <w:r>
                    <w:rPr>
                      <w:rFonts w:hint="default" w:ascii="Times New Roman" w:hAnsi="Times New Roman" w:eastAsia="宋体" w:cs="Times New Roman"/>
                      <w:b w:val="0"/>
                      <w:bCs w:val="0"/>
                      <w:color w:val="auto"/>
                      <w:highlight w:val="none"/>
                    </w:rPr>
                    <w:t>范围内;结晶度为80%~90%，软化点为125~135℃</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熔化温度120~160℃。它具有良好的耐热性和耐寒性，化学稳定性好，还具有较高的刚性和韧性，机械强度好。介电性能，耐环境应力开裂性亦较好。硬度、拉伸强度和蠕变性优于低密度聚乙烯</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耐磨性、电绝缘性、韧性及耐寒性均较好，但与低密度绝缘性比较略差些</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化学稳定性好，在室温条件下，不溶于任何有机溶剂，耐酸、碱和各种盐类的腐蚀</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薄膜对水蒸气和空气的渗透性小、吸水性低</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耐老化性能差，耐环境开裂性不如低密度聚乙烯，特别是热氧化作用会使其性能下降，所以，树脂需加入抗氧剂和紫外线吸收剂等来提高改善这方面的不足。高密度聚乙烯薄膜在受力情况下的热变形温度较低，这一点应用时要注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低密度</w:t>
                  </w:r>
                  <w:r>
                    <w:rPr>
                      <w:rFonts w:hint="default" w:ascii="Times New Roman" w:hAnsi="Times New Roman" w:eastAsia="宋体" w:cs="Times New Roman"/>
                      <w:b w:val="0"/>
                      <w:bCs w:val="0"/>
                      <w:color w:val="auto"/>
                      <w:highlight w:val="none"/>
                      <w:lang w:val="en-US"/>
                    </w:rPr>
                    <w:t>聚乙烯</w:t>
                  </w:r>
                  <w:r>
                    <w:rPr>
                      <w:rFonts w:hint="default" w:ascii="Times New Roman" w:hAnsi="Times New Roman" w:eastAsia="宋体" w:cs="Times New Roman"/>
                      <w:b w:val="0"/>
                      <w:bCs w:val="0"/>
                      <w:color w:val="auto"/>
                      <w:highlight w:val="none"/>
                    </w:rPr>
                    <w:t>（</w:t>
                  </w:r>
                  <w:r>
                    <w:rPr>
                      <w:rFonts w:hint="default" w:ascii="Times New Roman" w:hAnsi="Times New Roman" w:eastAsia="宋体" w:cs="Times New Roman"/>
                      <w:b w:val="0"/>
                      <w:bCs w:val="0"/>
                      <w:color w:val="auto"/>
                      <w:highlight w:val="none"/>
                      <w:lang w:val="en-US" w:eastAsia="zh-CN"/>
                    </w:rPr>
                    <w:t>LD</w:t>
                  </w:r>
                  <w:r>
                    <w:rPr>
                      <w:rFonts w:hint="default" w:ascii="Times New Roman" w:hAnsi="Times New Roman" w:eastAsia="宋体" w:cs="Times New Roman"/>
                      <w:b w:val="0"/>
                      <w:bCs w:val="0"/>
                      <w:color w:val="auto"/>
                      <w:highlight w:val="none"/>
                    </w:rPr>
                    <w:t>PE）</w:t>
                  </w:r>
                </w:p>
              </w:tc>
              <w:tc>
                <w:tcPr>
                  <w:tcW w:w="42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420" w:firstLineChars="200"/>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highlight w:val="none"/>
                      <w:lang w:val="en-US" w:eastAsia="zh-CN"/>
                    </w:rPr>
                    <w:t>低密度聚乙烯又称高压聚乙烯，LDPE呈乳白色，无味、无臭、无毒，表面无光泽的蜡状颗粒。密度为0.91g/cm</w:t>
                  </w:r>
                  <w:r>
                    <w:rPr>
                      <w:rFonts w:hint="default" w:ascii="Times New Roman" w:hAnsi="Times New Roman" w:eastAsia="宋体" w:cs="Times New Roman"/>
                      <w:b w:val="0"/>
                      <w:bCs w:val="0"/>
                      <w:color w:val="auto"/>
                      <w:highlight w:val="none"/>
                      <w:vertAlign w:val="superscript"/>
                      <w:lang w:val="en-US" w:eastAsia="zh-CN"/>
                    </w:rPr>
                    <w:t>3</w:t>
                  </w:r>
                  <w:r>
                    <w:rPr>
                      <w:rFonts w:hint="default" w:ascii="Times New Roman" w:hAnsi="Times New Roman" w:eastAsia="宋体" w:cs="Times New Roman"/>
                      <w:b w:val="0"/>
                      <w:bCs w:val="0"/>
                      <w:color w:val="auto"/>
                      <w:highlight w:val="none"/>
                      <w:lang w:val="en-US" w:eastAsia="zh-CN"/>
                    </w:rPr>
                    <w:t>-0.93g/cm</w:t>
                  </w:r>
                  <w:r>
                    <w:rPr>
                      <w:rFonts w:hint="default" w:ascii="Times New Roman" w:hAnsi="Times New Roman" w:eastAsia="宋体" w:cs="Times New Roman"/>
                      <w:b w:val="0"/>
                      <w:bCs w:val="0"/>
                      <w:color w:val="auto"/>
                      <w:highlight w:val="none"/>
                      <w:vertAlign w:val="superscript"/>
                      <w:lang w:val="en-US" w:eastAsia="zh-CN"/>
                    </w:rPr>
                    <w:t>3</w:t>
                  </w:r>
                  <w:r>
                    <w:rPr>
                      <w:rFonts w:hint="default" w:ascii="Times New Roman" w:hAnsi="Times New Roman" w:eastAsia="宋体" w:cs="Times New Roman"/>
                      <w:b w:val="0"/>
                      <w:bCs w:val="0"/>
                      <w:color w:val="auto"/>
                      <w:highlight w:val="none"/>
                      <w:lang w:val="en-US" w:eastAsia="zh-CN"/>
                    </w:rPr>
                    <w:t>，LDPE的熔点为120~125℃，是聚乙烯树脂中最轻的品种。具有良好的柔软性、延伸性、电绝缘性、透明性、易加工性和一定的透气性。其化学稳定性能较好，耐碱、耐一般有机溶剂。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色母粒</w:t>
                  </w:r>
                </w:p>
              </w:tc>
              <w:tc>
                <w:tcPr>
                  <w:tcW w:w="4274" w:type="pct"/>
                  <w:tcBorders>
                    <w:tl2br w:val="nil"/>
                    <w:tr2bl w:val="nil"/>
                  </w:tcBorders>
                  <w:vAlign w:val="center"/>
                </w:tcPr>
                <w:p>
                  <w:pPr>
                    <w:keepNext w:val="0"/>
                    <w:keepLines w:val="0"/>
                    <w:pageBreakBefore w:val="0"/>
                    <w:widowControl w:val="0"/>
                    <w:kinsoku/>
                    <w:wordWrap/>
                    <w:overflowPunct/>
                    <w:topLinePunct w:val="0"/>
                    <w:autoSpaceDE/>
                    <w:autoSpaceDN/>
                    <w:bidi w:val="0"/>
                    <w:spacing w:beforeLines="0" w:afterLines="0" w:line="240" w:lineRule="auto"/>
                    <w:ind w:firstLine="420" w:firstLineChars="200"/>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rPr>
                    <w:t>色母也称色种，是一种新型高分子材料专用着色剂，色母主要用在塑料生产。色母由颜料或染料、载体和分散剂三种基本要素所组成，是把超常量的颜料均匀载附于树脂之中而制得的聚集体。本项目使用的色母为普通色母，主要成分树脂和无机颜料配比而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抗老化母料</w:t>
                  </w:r>
                </w:p>
              </w:tc>
              <w:tc>
                <w:tcPr>
                  <w:tcW w:w="4274" w:type="pct"/>
                  <w:tcBorders>
                    <w:tl2br w:val="nil"/>
                    <w:tr2bl w:val="nil"/>
                  </w:tcBorders>
                  <w:vAlign w:val="center"/>
                </w:tcPr>
                <w:p>
                  <w:pPr>
                    <w:keepNext w:val="0"/>
                    <w:keepLines w:val="0"/>
                    <w:pageBreakBefore w:val="0"/>
                    <w:widowControl w:val="0"/>
                    <w:kinsoku/>
                    <w:wordWrap/>
                    <w:overflowPunct/>
                    <w:topLinePunct w:val="0"/>
                    <w:autoSpaceDE/>
                    <w:autoSpaceDN/>
                    <w:bidi w:val="0"/>
                    <w:spacing w:beforeLines="0" w:afterLines="0" w:line="240" w:lineRule="auto"/>
                    <w:ind w:firstLine="420" w:firstLineChars="200"/>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抗老化母料，是以高聚酯紫外线吸收剂、高分子聚合物、高结晶抗老化剂、高聚酯折射分子、高分子聚合物流动剂、高聚酯树脂和高流速分散剂等众多优异树脂</w:t>
                  </w:r>
                  <w:r>
                    <w:rPr>
                      <w:rFonts w:hint="default" w:ascii="Times New Roman" w:hAnsi="Times New Roman" w:eastAsia="宋体" w:cs="Times New Roman"/>
                      <w:b w:val="0"/>
                      <w:bCs w:val="0"/>
                      <w:color w:val="auto"/>
                      <w:sz w:val="21"/>
                      <w:szCs w:val="21"/>
                      <w:highlight w:val="none"/>
                      <w:lang w:val="en-US" w:eastAsia="zh-CN"/>
                    </w:rPr>
                    <w:t>在</w:t>
                  </w:r>
                  <w:r>
                    <w:rPr>
                      <w:rFonts w:hint="default" w:ascii="Times New Roman" w:hAnsi="Times New Roman" w:eastAsia="宋体" w:cs="Times New Roman"/>
                      <w:b w:val="0"/>
                      <w:bCs w:val="0"/>
                      <w:color w:val="auto"/>
                      <w:sz w:val="21"/>
                      <w:szCs w:val="21"/>
                      <w:highlight w:val="none"/>
                    </w:rPr>
                    <w:t>高压排空设备及优异的制造加工工艺改性混合造粒而成。防老化功能母料其优异特点是在产品添加后，防老化功能母料中的改性高聚合物分子迅速的分散到产品树脂中的每个分子链中，在产品表面形成一层隔离保护膜，同时隔离保护膜中的高聚酯折射分子会将阳光所释放的紫外线折射回去，迅速与空气中的腐蚀氧化分子隔离。防老化功能母料其特点是不影响·不破坏产品原有性能；色浅、无异味、无污染、相容性好、流动性好、分子链迁移性小、易于加工；它对聚合物有保护作用</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同时有助于色泽的长久保持延缓产品泛黄和阻滞产品物理性能损失等特点。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00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备注：</w:t>
                  </w:r>
                  <w:r>
                    <w:rPr>
                      <w:rFonts w:hint="default" w:ascii="Times New Roman" w:hAnsi="Times New Roman" w:eastAsia="宋体" w:cs="Times New Roman"/>
                      <w:color w:val="auto"/>
                      <w:highlight w:val="none"/>
                    </w:rPr>
                    <w:t>本项目</w:t>
                  </w:r>
                  <w:r>
                    <w:rPr>
                      <w:rFonts w:hint="default" w:ascii="Times New Roman" w:hAnsi="Times New Roman" w:eastAsia="宋体" w:cs="Times New Roman"/>
                      <w:color w:val="auto"/>
                      <w:highlight w:val="none"/>
                      <w:lang w:val="en-US" w:eastAsia="zh-CN"/>
                    </w:rPr>
                    <w:t>生产过程</w:t>
                  </w:r>
                  <w:r>
                    <w:rPr>
                      <w:rFonts w:hint="default" w:ascii="Times New Roman" w:hAnsi="Times New Roman" w:eastAsia="宋体" w:cs="Times New Roman"/>
                      <w:b w:val="0"/>
                      <w:bCs w:val="0"/>
                      <w:color w:val="auto"/>
                      <w:highlight w:val="none"/>
                      <w:lang w:val="en-US" w:eastAsia="zh-CN"/>
                    </w:rPr>
                    <w:t>中为高密度</w:t>
                  </w:r>
                  <w:r>
                    <w:rPr>
                      <w:rFonts w:hint="default" w:ascii="Times New Roman" w:hAnsi="Times New Roman" w:eastAsia="宋体" w:cs="Times New Roman"/>
                      <w:b w:val="0"/>
                      <w:bCs w:val="0"/>
                      <w:color w:val="auto"/>
                      <w:highlight w:val="none"/>
                      <w:lang w:val="en-US"/>
                    </w:rPr>
                    <w:t>聚乙烯</w:t>
                  </w:r>
                  <w:r>
                    <w:rPr>
                      <w:rFonts w:hint="default" w:ascii="Times New Roman" w:hAnsi="Times New Roman" w:eastAsia="宋体" w:cs="Times New Roman"/>
                      <w:b w:val="0"/>
                      <w:bCs w:val="0"/>
                      <w:color w:val="auto"/>
                      <w:highlight w:val="none"/>
                    </w:rPr>
                    <w:t>（</w:t>
                  </w:r>
                  <w:r>
                    <w:rPr>
                      <w:rFonts w:hint="default" w:ascii="Times New Roman" w:hAnsi="Times New Roman" w:eastAsia="宋体" w:cs="Times New Roman"/>
                      <w:b w:val="0"/>
                      <w:bCs w:val="0"/>
                      <w:color w:val="auto"/>
                      <w:highlight w:val="none"/>
                      <w:lang w:val="en-US" w:eastAsia="zh-CN"/>
                    </w:rPr>
                    <w:t>HD</w:t>
                  </w:r>
                  <w:r>
                    <w:rPr>
                      <w:rFonts w:hint="default" w:ascii="Times New Roman" w:hAnsi="Times New Roman" w:eastAsia="宋体" w:cs="Times New Roman"/>
                      <w:b w:val="0"/>
                      <w:bCs w:val="0"/>
                      <w:color w:val="auto"/>
                      <w:highlight w:val="none"/>
                    </w:rPr>
                    <w:t>PE）颗粒</w:t>
                  </w:r>
                  <w:r>
                    <w:rPr>
                      <w:rFonts w:hint="default" w:ascii="Times New Roman" w:hAnsi="Times New Roman" w:eastAsia="宋体" w:cs="Times New Roman"/>
                      <w:b w:val="0"/>
                      <w:bCs w:val="0"/>
                      <w:color w:val="auto"/>
                      <w:highlight w:val="none"/>
                      <w:lang w:val="en-US" w:eastAsia="zh-CN"/>
                    </w:rPr>
                    <w:t>及低密度</w:t>
                  </w:r>
                  <w:r>
                    <w:rPr>
                      <w:rFonts w:hint="default" w:ascii="Times New Roman" w:hAnsi="Times New Roman" w:eastAsia="宋体" w:cs="Times New Roman"/>
                      <w:b w:val="0"/>
                      <w:bCs w:val="0"/>
                      <w:color w:val="auto"/>
                      <w:highlight w:val="none"/>
                      <w:lang w:val="en-US"/>
                    </w:rPr>
                    <w:t>聚乙烯</w:t>
                  </w:r>
                  <w:r>
                    <w:rPr>
                      <w:rFonts w:hint="default" w:ascii="Times New Roman" w:hAnsi="Times New Roman" w:eastAsia="宋体" w:cs="Times New Roman"/>
                      <w:b w:val="0"/>
                      <w:bCs w:val="0"/>
                      <w:color w:val="auto"/>
                      <w:highlight w:val="none"/>
                    </w:rPr>
                    <w:t>（</w:t>
                  </w:r>
                  <w:r>
                    <w:rPr>
                      <w:rFonts w:hint="default" w:ascii="Times New Roman" w:hAnsi="Times New Roman" w:eastAsia="宋体" w:cs="Times New Roman"/>
                      <w:b w:val="0"/>
                      <w:bCs w:val="0"/>
                      <w:color w:val="auto"/>
                      <w:highlight w:val="none"/>
                      <w:lang w:val="en-US" w:eastAsia="zh-CN"/>
                    </w:rPr>
                    <w:t>LD</w:t>
                  </w:r>
                  <w:r>
                    <w:rPr>
                      <w:rFonts w:hint="default" w:ascii="Times New Roman" w:hAnsi="Times New Roman" w:eastAsia="宋体" w:cs="Times New Roman"/>
                      <w:b w:val="0"/>
                      <w:bCs w:val="0"/>
                      <w:color w:val="auto"/>
                      <w:highlight w:val="none"/>
                    </w:rPr>
                    <w:t>PE）颗粒</w:t>
                  </w:r>
                  <w:r>
                    <w:rPr>
                      <w:rFonts w:hint="default" w:ascii="Times New Roman" w:hAnsi="Times New Roman" w:eastAsia="宋体" w:cs="Times New Roman"/>
                      <w:b w:val="0"/>
                      <w:bCs w:val="0"/>
                      <w:color w:val="auto"/>
                      <w:highlight w:val="none"/>
                      <w:lang w:val="en-US" w:eastAsia="zh-CN"/>
                    </w:rPr>
                    <w:t>按照一定比例配比使用</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生产温度控制为</w:t>
                  </w:r>
                  <w:r>
                    <w:rPr>
                      <w:rFonts w:hint="default" w:ascii="Times New Roman" w:hAnsi="Times New Roman" w:eastAsia="宋体" w:cs="Times New Roman"/>
                      <w:color w:val="auto"/>
                      <w:highlight w:val="none"/>
                      <w:lang w:val="en-US" w:eastAsia="zh-CN"/>
                    </w:rPr>
                    <w:t>150</w:t>
                  </w:r>
                  <w:r>
                    <w:rPr>
                      <w:rFonts w:hint="default" w:ascii="Times New Roman" w:hAnsi="Times New Roman" w:eastAsia="宋体" w:cs="Times New Roman"/>
                      <w:color w:val="auto"/>
                      <w:highlight w:val="none"/>
                    </w:rPr>
                    <w:t>℃左右。本次建设项目实际加工过程中加热至</w:t>
                  </w:r>
                  <w:r>
                    <w:rPr>
                      <w:rFonts w:hint="default" w:ascii="Times New Roman" w:hAnsi="Times New Roman" w:eastAsia="宋体" w:cs="Times New Roman"/>
                      <w:color w:val="auto"/>
                      <w:highlight w:val="none"/>
                      <w:lang w:val="en-US" w:eastAsia="zh-CN"/>
                    </w:rPr>
                    <w:t>熔化</w:t>
                  </w:r>
                  <w:r>
                    <w:rPr>
                      <w:rFonts w:hint="default" w:ascii="Times New Roman" w:hAnsi="Times New Roman" w:eastAsia="宋体" w:cs="Times New Roman"/>
                      <w:color w:val="auto"/>
                      <w:highlight w:val="none"/>
                    </w:rPr>
                    <w:t>温度的控制温度远小于PE材料的分解温度，不会产生分解废气。</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4、主要设备</w:t>
            </w:r>
            <w:bookmarkEnd w:id="15"/>
          </w:p>
          <w:p>
            <w:pPr>
              <w:adjustRightInd w:val="0"/>
              <w:snapToGrid w:val="0"/>
              <w:spacing w:line="360" w:lineRule="auto"/>
              <w:ind w:firstLine="480" w:firstLineChars="200"/>
              <w:rPr>
                <w:rFonts w:hint="default" w:ascii="Times New Roman" w:hAnsi="Times New Roman" w:eastAsia="宋体" w:cs="Times New Roman"/>
                <w:b/>
                <w:bCs/>
                <w:color w:val="auto"/>
                <w:szCs w:val="21"/>
                <w:highlight w:val="none"/>
              </w:rPr>
            </w:pPr>
            <w:bookmarkStart w:id="16" w:name="_Toc22683"/>
            <w:r>
              <w:rPr>
                <w:rFonts w:hint="default" w:ascii="Times New Roman" w:hAnsi="Times New Roman" w:eastAsia="宋体" w:cs="Times New Roman"/>
                <w:color w:val="auto"/>
                <w:sz w:val="24"/>
                <w:highlight w:val="none"/>
              </w:rPr>
              <w:t>项目主要设备详见表</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w:t>
            </w:r>
            <w:bookmarkEnd w:id="16"/>
          </w:p>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2-5</w:t>
            </w:r>
            <w:r>
              <w:rPr>
                <w:rFonts w:hint="default" w:ascii="Times New Roman" w:hAnsi="Times New Roman" w:eastAsia="宋体" w:cs="Times New Roman"/>
                <w:b/>
                <w:color w:val="auto"/>
                <w:szCs w:val="21"/>
                <w:highlight w:val="none"/>
              </w:rPr>
              <w:t xml:space="preserve">   </w:t>
            </w:r>
            <w:r>
              <w:rPr>
                <w:rFonts w:hint="default" w:ascii="Times New Roman" w:hAnsi="Times New Roman" w:eastAsia="宋体" w:cs="Times New Roman"/>
                <w:b/>
                <w:color w:val="auto"/>
                <w:szCs w:val="21"/>
                <w:highlight w:val="none"/>
                <w:lang w:val="en-US" w:eastAsia="zh-CN"/>
              </w:rPr>
              <w:t>项目</w:t>
            </w:r>
            <w:r>
              <w:rPr>
                <w:rFonts w:hint="default" w:ascii="Times New Roman" w:hAnsi="Times New Roman" w:eastAsia="宋体" w:cs="Times New Roman"/>
                <w:b/>
                <w:color w:val="auto"/>
                <w:szCs w:val="21"/>
                <w:highlight w:val="none"/>
              </w:rPr>
              <w:t>主要设备</w:t>
            </w:r>
            <w:r>
              <w:rPr>
                <w:rFonts w:hint="default" w:ascii="Times New Roman" w:hAnsi="Times New Roman" w:eastAsia="宋体" w:cs="Times New Roman"/>
                <w:b/>
                <w:color w:val="auto"/>
                <w:szCs w:val="21"/>
                <w:highlight w:val="none"/>
                <w:lang w:val="en-US" w:eastAsia="zh-CN"/>
              </w:rPr>
              <w:t>一览</w:t>
            </w:r>
            <w:r>
              <w:rPr>
                <w:rFonts w:hint="default" w:ascii="Times New Roman" w:hAnsi="Times New Roman" w:eastAsia="宋体" w:cs="Times New Roman"/>
                <w:b/>
                <w:color w:val="auto"/>
                <w:szCs w:val="21"/>
                <w:highlight w:val="none"/>
              </w:rPr>
              <w:t>表</w:t>
            </w:r>
          </w:p>
          <w:tbl>
            <w:tblPr>
              <w:tblStyle w:val="26"/>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26"/>
              <w:gridCol w:w="3948"/>
              <w:gridCol w:w="1124"/>
              <w:gridCol w:w="556"/>
              <w:gridCol w:w="540"/>
              <w:gridCol w:w="19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5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i w:val="0"/>
                      <w:caps w:val="0"/>
                      <w:color w:val="auto"/>
                      <w:spacing w:val="0"/>
                      <w:w w:val="100"/>
                      <w:kern w:val="2"/>
                      <w:sz w:val="21"/>
                      <w:szCs w:val="21"/>
                      <w:highlight w:val="none"/>
                      <w:lang w:val="en-US" w:eastAsia="zh-CN" w:bidi="ar-SA"/>
                    </w:rPr>
                    <w:t>序号</w:t>
                  </w:r>
                </w:p>
              </w:tc>
              <w:tc>
                <w:tcPr>
                  <w:tcW w:w="225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i w:val="0"/>
                      <w:caps w:val="0"/>
                      <w:color w:val="auto"/>
                      <w:spacing w:val="0"/>
                      <w:w w:val="100"/>
                      <w:kern w:val="2"/>
                      <w:sz w:val="21"/>
                      <w:szCs w:val="21"/>
                      <w:highlight w:val="none"/>
                      <w:lang w:val="en-US" w:eastAsia="zh-CN" w:bidi="ar-SA"/>
                    </w:rPr>
                    <w:t>设备名称</w:t>
                  </w:r>
                </w:p>
              </w:tc>
              <w:tc>
                <w:tcPr>
                  <w:tcW w:w="6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i w:val="0"/>
                      <w:caps w:val="0"/>
                      <w:color w:val="auto"/>
                      <w:spacing w:val="0"/>
                      <w:w w:val="100"/>
                      <w:kern w:val="2"/>
                      <w:sz w:val="21"/>
                      <w:szCs w:val="21"/>
                      <w:highlight w:val="none"/>
                      <w:lang w:val="en-US" w:eastAsia="zh-CN" w:bidi="ar-SA"/>
                    </w:rPr>
                    <w:t>型号</w:t>
                  </w:r>
                </w:p>
              </w:tc>
              <w:tc>
                <w:tcPr>
                  <w:tcW w:w="3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Fonts w:hint="default" w:ascii="Times New Roman" w:hAnsi="Times New Roman" w:eastAsia="宋体" w:cs="Times New Roman"/>
                      <w:b/>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i w:val="0"/>
                      <w:caps w:val="0"/>
                      <w:color w:val="auto"/>
                      <w:spacing w:val="0"/>
                      <w:w w:val="100"/>
                      <w:kern w:val="2"/>
                      <w:sz w:val="21"/>
                      <w:szCs w:val="21"/>
                      <w:highlight w:val="none"/>
                      <w:lang w:val="en-US" w:eastAsia="zh-CN" w:bidi="ar-SA"/>
                    </w:rPr>
                    <w:t>数量</w:t>
                  </w:r>
                </w:p>
              </w:tc>
              <w:tc>
                <w:tcPr>
                  <w:tcW w:w="3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Fonts w:hint="default" w:ascii="Times New Roman" w:hAnsi="Times New Roman" w:eastAsia="宋体" w:cs="Times New Roman"/>
                      <w:b/>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i w:val="0"/>
                      <w:caps w:val="0"/>
                      <w:color w:val="auto"/>
                      <w:spacing w:val="0"/>
                      <w:w w:val="100"/>
                      <w:kern w:val="2"/>
                      <w:sz w:val="21"/>
                      <w:szCs w:val="21"/>
                      <w:highlight w:val="none"/>
                      <w:lang w:val="en-US" w:eastAsia="zh-CN" w:bidi="ar-SA"/>
                    </w:rPr>
                    <w:t>单位</w:t>
                  </w:r>
                </w:p>
              </w:tc>
              <w:tc>
                <w:tcPr>
                  <w:tcW w:w="11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i w:val="0"/>
                      <w:caps w:val="0"/>
                      <w:color w:val="auto"/>
                      <w:spacing w:val="0"/>
                      <w:w w:val="100"/>
                      <w:kern w:val="2"/>
                      <w:sz w:val="21"/>
                      <w:szCs w:val="21"/>
                      <w:highlight w:val="none"/>
                      <w:lang w:val="en-US" w:eastAsia="zh-CN" w:bidi="ar-SA"/>
                    </w:rPr>
                    <w:t>备 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5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1</w:t>
                  </w:r>
                </w:p>
              </w:tc>
              <w:tc>
                <w:tcPr>
                  <w:tcW w:w="225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吹膜机（含上料、投料、吹膜、成卷）</w:t>
                  </w:r>
                </w:p>
              </w:tc>
              <w:tc>
                <w:tcPr>
                  <w:tcW w:w="6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SJ45</w:t>
                  </w:r>
                </w:p>
              </w:tc>
              <w:tc>
                <w:tcPr>
                  <w:tcW w:w="3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3</w:t>
                  </w:r>
                </w:p>
              </w:tc>
              <w:tc>
                <w:tcPr>
                  <w:tcW w:w="3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套</w:t>
                  </w:r>
                </w:p>
              </w:tc>
              <w:tc>
                <w:tcPr>
                  <w:tcW w:w="11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投料、上料、吹膜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5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2</w:t>
                  </w:r>
                </w:p>
              </w:tc>
              <w:tc>
                <w:tcPr>
                  <w:tcW w:w="225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吹膜机（含上料、投料、吹膜、成卷）</w:t>
                  </w:r>
                </w:p>
              </w:tc>
              <w:tc>
                <w:tcPr>
                  <w:tcW w:w="6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SJ65</w:t>
                  </w:r>
                </w:p>
              </w:tc>
              <w:tc>
                <w:tcPr>
                  <w:tcW w:w="3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3</w:t>
                  </w:r>
                </w:p>
              </w:tc>
              <w:tc>
                <w:tcPr>
                  <w:tcW w:w="3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套</w:t>
                  </w:r>
                </w:p>
              </w:tc>
              <w:tc>
                <w:tcPr>
                  <w:tcW w:w="11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投料、上料、吹膜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5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3</w:t>
                  </w:r>
                </w:p>
              </w:tc>
              <w:tc>
                <w:tcPr>
                  <w:tcW w:w="225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双层吹膜机（含上料、投料、吹膜、成卷）</w:t>
                  </w:r>
                </w:p>
              </w:tc>
              <w:tc>
                <w:tcPr>
                  <w:tcW w:w="6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SJ65</w:t>
                  </w:r>
                </w:p>
              </w:tc>
              <w:tc>
                <w:tcPr>
                  <w:tcW w:w="3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3</w:t>
                  </w:r>
                </w:p>
              </w:tc>
              <w:tc>
                <w:tcPr>
                  <w:tcW w:w="3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套</w:t>
                  </w:r>
                </w:p>
              </w:tc>
              <w:tc>
                <w:tcPr>
                  <w:tcW w:w="11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投料、上料、吹膜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5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4</w:t>
                  </w:r>
                </w:p>
              </w:tc>
              <w:tc>
                <w:tcPr>
                  <w:tcW w:w="225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双层吹膜机（含上料、投料、吹膜、成卷）</w:t>
                  </w:r>
                </w:p>
              </w:tc>
              <w:tc>
                <w:tcPr>
                  <w:tcW w:w="6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SJ120</w:t>
                  </w:r>
                </w:p>
              </w:tc>
              <w:tc>
                <w:tcPr>
                  <w:tcW w:w="3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2</w:t>
                  </w:r>
                </w:p>
              </w:tc>
              <w:tc>
                <w:tcPr>
                  <w:tcW w:w="3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套</w:t>
                  </w:r>
                </w:p>
              </w:tc>
              <w:tc>
                <w:tcPr>
                  <w:tcW w:w="11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投料、上料、吹膜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5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5</w:t>
                  </w:r>
                </w:p>
              </w:tc>
              <w:tc>
                <w:tcPr>
                  <w:tcW w:w="2258" w:type="pct"/>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三层吹膜机（含上料、投料、吹膜、成卷）</w:t>
                  </w:r>
                </w:p>
              </w:tc>
              <w:tc>
                <w:tcPr>
                  <w:tcW w:w="643" w:type="pct"/>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SJ90</w:t>
                  </w:r>
                </w:p>
              </w:tc>
              <w:tc>
                <w:tcPr>
                  <w:tcW w:w="3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2</w:t>
                  </w:r>
                </w:p>
              </w:tc>
              <w:tc>
                <w:tcPr>
                  <w:tcW w:w="3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套</w:t>
                  </w:r>
                </w:p>
              </w:tc>
              <w:tc>
                <w:tcPr>
                  <w:tcW w:w="11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投料、上料、吹膜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5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6</w:t>
                  </w:r>
                </w:p>
              </w:tc>
              <w:tc>
                <w:tcPr>
                  <w:tcW w:w="2258" w:type="pct"/>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三层吹膜机（含上料、投料、吹膜、成卷）</w:t>
                  </w:r>
                </w:p>
              </w:tc>
              <w:tc>
                <w:tcPr>
                  <w:tcW w:w="643" w:type="pct"/>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SJ150</w:t>
                  </w:r>
                </w:p>
              </w:tc>
              <w:tc>
                <w:tcPr>
                  <w:tcW w:w="3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2</w:t>
                  </w:r>
                </w:p>
              </w:tc>
              <w:tc>
                <w:tcPr>
                  <w:tcW w:w="3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套</w:t>
                  </w:r>
                </w:p>
              </w:tc>
              <w:tc>
                <w:tcPr>
                  <w:tcW w:w="11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baseline"/>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投料、上料、吹膜</w:t>
                  </w:r>
                </w:p>
              </w:tc>
            </w:tr>
          </w:tbl>
          <w:p>
            <w:pPr>
              <w:pStyle w:val="17"/>
              <w:keepNext w:val="0"/>
              <w:keepLines w:val="0"/>
              <w:pageBreakBefore w:val="0"/>
              <w:widowControl w:val="0"/>
              <w:kinsoku/>
              <w:wordWrap/>
              <w:overflowPunct/>
              <w:topLinePunct w:val="0"/>
              <w:autoSpaceDE/>
              <w:autoSpaceDN/>
              <w:bidi w:val="0"/>
              <w:adjustRightInd w:val="0"/>
              <w:snapToGrid w:val="0"/>
              <w:spacing w:line="351"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5、劳动定员及工作制度</w:t>
            </w:r>
          </w:p>
          <w:p>
            <w:pPr>
              <w:keepNext w:val="0"/>
              <w:keepLines w:val="0"/>
              <w:pageBreakBefore w:val="0"/>
              <w:widowControl w:val="0"/>
              <w:kinsoku/>
              <w:wordWrap/>
              <w:overflowPunct/>
              <w:topLinePunct w:val="0"/>
              <w:autoSpaceDE/>
              <w:autoSpaceDN/>
              <w:bidi w:val="0"/>
              <w:spacing w:line="351"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劳动定员：</w:t>
            </w:r>
            <w:r>
              <w:rPr>
                <w:rFonts w:hint="default" w:ascii="Times New Roman" w:hAnsi="Times New Roman" w:eastAsia="宋体" w:cs="Times New Roman"/>
                <w:b w:val="0"/>
                <w:bCs w:val="0"/>
                <w:color w:val="auto"/>
                <w:sz w:val="24"/>
                <w:szCs w:val="24"/>
                <w:highlight w:val="none"/>
                <w:lang w:val="en-US" w:eastAsia="zh-CN"/>
              </w:rPr>
              <w:t>原项目工作人员为10人；</w:t>
            </w:r>
            <w:r>
              <w:rPr>
                <w:rFonts w:hint="default" w:ascii="Times New Roman" w:hAnsi="Times New Roman" w:eastAsia="宋体" w:cs="Times New Roman"/>
                <w:color w:val="auto"/>
                <w:sz w:val="24"/>
                <w:szCs w:val="24"/>
                <w:highlight w:val="none"/>
              </w:rPr>
              <w:t>本</w:t>
            </w:r>
            <w:r>
              <w:rPr>
                <w:rFonts w:hint="default" w:ascii="Times New Roman" w:hAnsi="Times New Roman" w:eastAsia="宋体" w:cs="Times New Roman"/>
                <w:color w:val="auto"/>
                <w:sz w:val="24"/>
                <w:szCs w:val="24"/>
                <w:highlight w:val="none"/>
                <w:lang w:val="en-US" w:eastAsia="zh-CN"/>
              </w:rPr>
              <w:t>次扩建</w:t>
            </w:r>
            <w:r>
              <w:rPr>
                <w:rFonts w:hint="default" w:ascii="Times New Roman" w:hAnsi="Times New Roman" w:eastAsia="宋体" w:cs="Times New Roman"/>
                <w:color w:val="auto"/>
                <w:sz w:val="24"/>
                <w:szCs w:val="24"/>
                <w:highlight w:val="none"/>
              </w:rPr>
              <w:t>项目运营期</w:t>
            </w:r>
            <w:r>
              <w:rPr>
                <w:rFonts w:hint="default" w:ascii="Times New Roman" w:hAnsi="Times New Roman" w:eastAsia="宋体" w:cs="Times New Roman"/>
                <w:color w:val="auto"/>
                <w:sz w:val="24"/>
                <w:szCs w:val="24"/>
                <w:highlight w:val="none"/>
                <w:lang w:val="en-US" w:eastAsia="zh-CN"/>
              </w:rPr>
              <w:t>新增</w:t>
            </w:r>
            <w:r>
              <w:rPr>
                <w:rFonts w:hint="default" w:ascii="Times New Roman" w:hAnsi="Times New Roman" w:eastAsia="宋体" w:cs="Times New Roman"/>
                <w:color w:val="auto"/>
                <w:sz w:val="24"/>
                <w:szCs w:val="24"/>
                <w:highlight w:val="none"/>
              </w:rPr>
              <w:t>工作人员</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人，其中管理</w:t>
            </w:r>
            <w:r>
              <w:rPr>
                <w:rFonts w:hint="default" w:ascii="Times New Roman" w:hAnsi="Times New Roman" w:eastAsia="宋体" w:cs="Times New Roman"/>
                <w:color w:val="auto"/>
                <w:sz w:val="24"/>
                <w:szCs w:val="24"/>
                <w:highlight w:val="none"/>
                <w:lang w:val="en-US" w:eastAsia="zh-CN"/>
              </w:rPr>
              <w:t>及技术</w:t>
            </w:r>
            <w:r>
              <w:rPr>
                <w:rFonts w:hint="default" w:ascii="Times New Roman" w:hAnsi="Times New Roman" w:eastAsia="宋体" w:cs="Times New Roman"/>
                <w:color w:val="auto"/>
                <w:sz w:val="24"/>
                <w:szCs w:val="24"/>
                <w:highlight w:val="none"/>
              </w:rPr>
              <w:t>人员</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人，生产职工</w:t>
            </w:r>
            <w:r>
              <w:rPr>
                <w:rFonts w:hint="default" w:ascii="Times New Roman" w:hAnsi="Times New Roman" w:eastAsia="宋体"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rPr>
              <w:t>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扩建完成后整个项目区工作人员为30人，</w:t>
            </w:r>
            <w:r>
              <w:rPr>
                <w:rFonts w:hint="default" w:ascii="Times New Roman" w:hAnsi="Times New Roman" w:eastAsia="宋体" w:cs="Times New Roman"/>
                <w:color w:val="auto"/>
                <w:sz w:val="24"/>
                <w:szCs w:val="24"/>
                <w:highlight w:val="none"/>
              </w:rPr>
              <w:t>项目区设有食堂及宿舍，职工均在厂区食宿。</w:t>
            </w:r>
          </w:p>
          <w:p>
            <w:pPr>
              <w:keepNext w:val="0"/>
              <w:keepLines w:val="0"/>
              <w:pageBreakBefore w:val="0"/>
              <w:widowControl w:val="0"/>
              <w:kinsoku/>
              <w:wordWrap/>
              <w:overflowPunct/>
              <w:topLinePunct w:val="0"/>
              <w:autoSpaceDE/>
              <w:autoSpaceDN/>
              <w:bidi w:val="0"/>
              <w:spacing w:line="351" w:lineRule="auto"/>
              <w:ind w:firstLine="482"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工作制度：</w:t>
            </w:r>
            <w:r>
              <w:rPr>
                <w:rFonts w:hint="default" w:ascii="Times New Roman" w:hAnsi="Times New Roman" w:eastAsia="宋体" w:cs="Times New Roman"/>
                <w:b w:val="0"/>
                <w:bCs w:val="0"/>
                <w:color w:val="auto"/>
                <w:sz w:val="24"/>
                <w:szCs w:val="24"/>
                <w:highlight w:val="none"/>
                <w:lang w:val="en-US" w:eastAsia="zh-CN"/>
              </w:rPr>
              <w:t>扩建项目</w:t>
            </w:r>
            <w:r>
              <w:rPr>
                <w:rFonts w:hint="default" w:ascii="Times New Roman" w:hAnsi="Times New Roman" w:eastAsia="宋体" w:cs="Times New Roman"/>
                <w:color w:val="auto"/>
                <w:sz w:val="24"/>
                <w:szCs w:val="24"/>
                <w:highlight w:val="none"/>
              </w:rPr>
              <w:t>年工作天数300天，实行</w:t>
            </w:r>
            <w:r>
              <w:rPr>
                <w:rFonts w:hint="default" w:ascii="Times New Roman" w:hAnsi="Times New Roman" w:eastAsia="宋体" w:cs="Times New Roman"/>
                <w:color w:val="auto"/>
                <w:sz w:val="24"/>
                <w:szCs w:val="24"/>
                <w:highlight w:val="none"/>
                <w:lang w:val="en-US" w:eastAsia="zh-CN"/>
              </w:rPr>
              <w:t>两</w:t>
            </w:r>
            <w:r>
              <w:rPr>
                <w:rFonts w:hint="default" w:ascii="Times New Roman" w:hAnsi="Times New Roman" w:eastAsia="宋体" w:cs="Times New Roman"/>
                <w:color w:val="auto"/>
                <w:sz w:val="24"/>
                <w:szCs w:val="24"/>
                <w:highlight w:val="none"/>
              </w:rPr>
              <w:t>班制，每班工作</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小时，</w:t>
            </w:r>
            <w:r>
              <w:rPr>
                <w:rFonts w:hint="default" w:ascii="Times New Roman" w:hAnsi="Times New Roman" w:eastAsia="宋体" w:cs="Times New Roman"/>
                <w:color w:val="auto"/>
                <w:sz w:val="24"/>
                <w:szCs w:val="24"/>
                <w:highlight w:val="none"/>
                <w:lang w:val="en-US" w:eastAsia="zh-CN"/>
              </w:rPr>
              <w:t>运营时段为6：00—22：00，</w:t>
            </w:r>
            <w:r>
              <w:rPr>
                <w:rFonts w:hint="default" w:ascii="Times New Roman" w:hAnsi="Times New Roman" w:eastAsia="宋体" w:cs="Times New Roman"/>
                <w:color w:val="auto"/>
                <w:sz w:val="24"/>
                <w:szCs w:val="24"/>
                <w:highlight w:val="none"/>
              </w:rPr>
              <w:t>夜间不生产。年总生产时间为</w:t>
            </w:r>
            <w:r>
              <w:rPr>
                <w:rFonts w:hint="default" w:ascii="Times New Roman" w:hAnsi="Times New Roman" w:eastAsia="宋体" w:cs="Times New Roman"/>
                <w:color w:val="auto"/>
                <w:sz w:val="24"/>
                <w:szCs w:val="24"/>
                <w:highlight w:val="none"/>
                <w:lang w:val="en-US" w:eastAsia="zh-CN"/>
              </w:rPr>
              <w:t>48</w:t>
            </w:r>
            <w:r>
              <w:rPr>
                <w:rFonts w:hint="default" w:ascii="Times New Roman" w:hAnsi="Times New Roman" w:eastAsia="宋体" w:cs="Times New Roman"/>
                <w:color w:val="auto"/>
                <w:sz w:val="24"/>
                <w:szCs w:val="24"/>
                <w:highlight w:val="none"/>
              </w:rPr>
              <w:t>00小时</w:t>
            </w:r>
            <w:r>
              <w:rPr>
                <w:rFonts w:hint="default" w:ascii="Times New Roman" w:hAnsi="Times New Roman" w:eastAsia="宋体" w:cs="Times New Roman"/>
                <w:color w:val="auto"/>
                <w:sz w:val="24"/>
                <w:szCs w:val="24"/>
                <w:highlight w:val="none"/>
                <w:lang w:bidi="en-US"/>
              </w:rPr>
              <w:t>。</w:t>
            </w:r>
          </w:p>
          <w:p>
            <w:pPr>
              <w:pStyle w:val="17"/>
              <w:keepNext w:val="0"/>
              <w:keepLines w:val="0"/>
              <w:pageBreakBefore w:val="0"/>
              <w:widowControl w:val="0"/>
              <w:kinsoku/>
              <w:wordWrap/>
              <w:overflowPunct/>
              <w:topLinePunct w:val="0"/>
              <w:autoSpaceDE/>
              <w:autoSpaceDN/>
              <w:bidi w:val="0"/>
              <w:adjustRightInd w:val="0"/>
              <w:snapToGrid w:val="0"/>
              <w:spacing w:line="351"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6、施工进度</w:t>
            </w:r>
          </w:p>
          <w:p>
            <w:pPr>
              <w:keepNext w:val="0"/>
              <w:keepLines w:val="0"/>
              <w:pageBreakBefore w:val="0"/>
              <w:widowControl w:val="0"/>
              <w:kinsoku/>
              <w:wordWrap/>
              <w:overflowPunct/>
              <w:topLinePunct w:val="0"/>
              <w:autoSpaceDE/>
              <w:autoSpaceDN/>
              <w:bidi w:val="0"/>
              <w:spacing w:line="351"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项目开发建设时段划分为两个时段，分别为施工期和运营期。</w:t>
            </w:r>
          </w:p>
          <w:p>
            <w:pPr>
              <w:keepNext w:val="0"/>
              <w:keepLines w:val="0"/>
              <w:pageBreakBefore w:val="0"/>
              <w:widowControl w:val="0"/>
              <w:kinsoku/>
              <w:wordWrap/>
              <w:overflowPunct/>
              <w:topLinePunct w:val="0"/>
              <w:autoSpaceDE/>
              <w:autoSpaceDN/>
              <w:bidi w:val="0"/>
              <w:spacing w:line="351"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本项目现还未动工，计划于</w:t>
            </w:r>
            <w:r>
              <w:rPr>
                <w:rFonts w:hint="default" w:ascii="Times New Roman" w:hAnsi="Times New Roman" w:eastAsia="宋体" w:cs="Times New Roman"/>
                <w:color w:val="auto"/>
                <w:sz w:val="24"/>
                <w:highlight w:val="none"/>
                <w:lang w:val="en-US" w:eastAsia="zh-CN"/>
              </w:rPr>
              <w:t>2023</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月开始进行设备安装，预计于202</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11</w:t>
            </w:r>
            <w:r>
              <w:rPr>
                <w:rFonts w:hint="default" w:ascii="Times New Roman" w:hAnsi="Times New Roman" w:eastAsia="宋体" w:cs="Times New Roman"/>
                <w:color w:val="auto"/>
                <w:sz w:val="24"/>
                <w:highlight w:val="none"/>
              </w:rPr>
              <w:t>月底竣工</w:t>
            </w:r>
            <w:r>
              <w:rPr>
                <w:rFonts w:hint="default" w:ascii="Times New Roman" w:hAnsi="Times New Roman" w:eastAsia="宋体" w:cs="Times New Roman"/>
                <w:color w:val="auto"/>
                <w:sz w:val="24"/>
                <w:highlight w:val="none"/>
                <w:lang w:eastAsia="zh-CN"/>
              </w:rPr>
              <w:t>，施工期约</w:t>
            </w:r>
            <w:r>
              <w:rPr>
                <w:rFonts w:hint="default" w:ascii="Times New Roman" w:hAnsi="Times New Roman" w:eastAsia="宋体" w:cs="Times New Roman"/>
                <w:color w:val="auto"/>
                <w:sz w:val="24"/>
                <w:highlight w:val="none"/>
                <w:lang w:val="en-US" w:eastAsia="zh-CN"/>
              </w:rPr>
              <w:t>3个月</w:t>
            </w:r>
            <w:r>
              <w:rPr>
                <w:rFonts w:hint="default" w:ascii="Times New Roman" w:hAnsi="Times New Roman" w:eastAsia="宋体" w:cs="Times New Roman"/>
                <w:color w:val="auto"/>
                <w:sz w:val="24"/>
                <w:highlight w:val="none"/>
              </w:rPr>
              <w:t>。</w:t>
            </w:r>
          </w:p>
          <w:p>
            <w:pPr>
              <w:pStyle w:val="17"/>
              <w:keepNext w:val="0"/>
              <w:keepLines w:val="0"/>
              <w:pageBreakBefore w:val="0"/>
              <w:widowControl w:val="0"/>
              <w:kinsoku/>
              <w:wordWrap/>
              <w:overflowPunct/>
              <w:topLinePunct w:val="0"/>
              <w:autoSpaceDE/>
              <w:autoSpaceDN/>
              <w:bidi w:val="0"/>
              <w:adjustRightInd w:val="0"/>
              <w:snapToGrid w:val="0"/>
              <w:spacing w:line="351"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7、环保投资</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highlight w:val="none"/>
                <w:shd w:val="clear" w:color="auto" w:fill="FFFF00"/>
              </w:rPr>
            </w:pPr>
            <w:r>
              <w:rPr>
                <w:rFonts w:hint="default" w:ascii="Times New Roman" w:hAnsi="Times New Roman" w:eastAsia="宋体" w:cs="Times New Roman"/>
                <w:color w:val="auto"/>
                <w:sz w:val="24"/>
                <w:highlight w:val="none"/>
              </w:rPr>
              <w:t>项目总投资</w:t>
            </w:r>
            <w:r>
              <w:rPr>
                <w:rFonts w:hint="default" w:ascii="Times New Roman" w:hAnsi="Times New Roman" w:eastAsia="宋体" w:cs="Times New Roman"/>
                <w:color w:val="auto"/>
                <w:sz w:val="24"/>
                <w:highlight w:val="none"/>
                <w:lang w:val="en-US" w:eastAsia="zh-CN"/>
              </w:rPr>
              <w:t>2000</w:t>
            </w:r>
            <w:r>
              <w:rPr>
                <w:rFonts w:hint="default" w:ascii="Times New Roman" w:hAnsi="Times New Roman" w:eastAsia="宋体" w:cs="Times New Roman"/>
                <w:color w:val="auto"/>
                <w:sz w:val="24"/>
                <w:highlight w:val="none"/>
              </w:rPr>
              <w:t>万元，</w:t>
            </w:r>
            <w:r>
              <w:rPr>
                <w:rFonts w:hint="default" w:ascii="Times New Roman" w:hAnsi="Times New Roman" w:eastAsia="宋体" w:cs="Times New Roman"/>
                <w:color w:val="auto"/>
                <w:sz w:val="24"/>
                <w:highlight w:val="none"/>
                <w:lang w:val="en-US" w:eastAsia="zh-CN"/>
              </w:rPr>
              <w:t>其中环保</w:t>
            </w:r>
            <w:r>
              <w:rPr>
                <w:rFonts w:hint="default" w:ascii="Times New Roman" w:hAnsi="Times New Roman" w:eastAsia="宋体" w:cs="Times New Roman"/>
                <w:color w:val="auto"/>
                <w:sz w:val="24"/>
                <w:highlight w:val="none"/>
              </w:rPr>
              <w:t>投资</w:t>
            </w:r>
            <w:r>
              <w:rPr>
                <w:rFonts w:hint="default" w:ascii="Times New Roman" w:hAnsi="Times New Roman" w:eastAsia="宋体" w:cs="Times New Roman"/>
                <w:color w:val="auto"/>
                <w:sz w:val="24"/>
                <w:highlight w:val="none"/>
                <w:lang w:val="en-US" w:eastAsia="zh-CN"/>
              </w:rPr>
              <w:t>9.8</w:t>
            </w:r>
            <w:r>
              <w:rPr>
                <w:rFonts w:hint="default" w:ascii="Times New Roman" w:hAnsi="Times New Roman" w:eastAsia="宋体" w:cs="Times New Roman"/>
                <w:color w:val="auto"/>
                <w:sz w:val="24"/>
                <w:highlight w:val="none"/>
              </w:rPr>
              <w:t>万元，占总投资的</w:t>
            </w:r>
            <w:r>
              <w:rPr>
                <w:rFonts w:hint="default" w:ascii="Times New Roman" w:hAnsi="Times New Roman" w:eastAsia="宋体" w:cs="Times New Roman"/>
                <w:color w:val="auto"/>
                <w:sz w:val="24"/>
                <w:highlight w:val="none"/>
                <w:lang w:val="en-US" w:eastAsia="zh-CN"/>
              </w:rPr>
              <w:t>0.49</w:t>
            </w:r>
            <w:r>
              <w:rPr>
                <w:rFonts w:hint="default" w:ascii="Times New Roman" w:hAnsi="Times New Roman" w:eastAsia="宋体" w:cs="Times New Roman"/>
                <w:color w:val="auto"/>
                <w:sz w:val="24"/>
                <w:highlight w:val="none"/>
              </w:rPr>
              <w:t>%，项目环保投资情况见表</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w:t>
            </w:r>
          </w:p>
          <w:p>
            <w:pPr>
              <w:pStyle w:val="15"/>
              <w:spacing w:after="0" w:line="240" w:lineRule="auto"/>
              <w:ind w:left="0" w:leftChars="0" w:firstLine="422"/>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2-6</w:t>
            </w:r>
            <w:r>
              <w:rPr>
                <w:rFonts w:hint="default" w:ascii="Times New Roman" w:hAnsi="Times New Roman" w:eastAsia="宋体" w:cs="Times New Roman"/>
                <w:b/>
                <w:color w:val="auto"/>
                <w:sz w:val="21"/>
                <w:szCs w:val="21"/>
                <w:highlight w:val="none"/>
              </w:rPr>
              <w:t xml:space="preserve">   环保投资概算表   单位：万</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1255"/>
              <w:gridCol w:w="4512"/>
              <w:gridCol w:w="806"/>
              <w:gridCol w:w="677"/>
              <w:gridCol w:w="1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noWrap w:val="0"/>
                  <w:vAlign w:val="center"/>
                </w:tcPr>
                <w:p>
                  <w:pPr>
                    <w:pStyle w:val="9"/>
                    <w:spacing w:line="240" w:lineRule="auto"/>
                    <w:ind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类别</w:t>
                  </w:r>
                </w:p>
              </w:tc>
              <w:tc>
                <w:tcPr>
                  <w:tcW w:w="718" w:type="pct"/>
                  <w:noWrap w:val="0"/>
                  <w:vAlign w:val="center"/>
                </w:tcPr>
                <w:p>
                  <w:pPr>
                    <w:pStyle w:val="9"/>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tc>
              <w:tc>
                <w:tcPr>
                  <w:tcW w:w="2580" w:type="pct"/>
                  <w:noWrap w:val="0"/>
                  <w:vAlign w:val="center"/>
                </w:tcPr>
                <w:p>
                  <w:pPr>
                    <w:pStyle w:val="9"/>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环保设施</w:t>
                  </w:r>
                </w:p>
              </w:tc>
              <w:tc>
                <w:tcPr>
                  <w:tcW w:w="461" w:type="pct"/>
                  <w:noWrap w:val="0"/>
                  <w:vAlign w:val="center"/>
                </w:tcPr>
                <w:p>
                  <w:pPr>
                    <w:pStyle w:val="9"/>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数量</w:t>
                  </w:r>
                </w:p>
              </w:tc>
              <w:tc>
                <w:tcPr>
                  <w:tcW w:w="387" w:type="pct"/>
                  <w:noWrap w:val="0"/>
                  <w:vAlign w:val="center"/>
                </w:tcPr>
                <w:p>
                  <w:pPr>
                    <w:pStyle w:val="9"/>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投资概算</w:t>
                  </w:r>
                </w:p>
              </w:tc>
              <w:tc>
                <w:tcPr>
                  <w:tcW w:w="596" w:type="pct"/>
                  <w:noWrap w:val="0"/>
                  <w:vAlign w:val="center"/>
                </w:tcPr>
                <w:p>
                  <w:pPr>
                    <w:pStyle w:val="9"/>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5" w:hRule="atLeast"/>
                <w:jc w:val="center"/>
              </w:trPr>
              <w:tc>
                <w:tcPr>
                  <w:tcW w:w="255" w:type="pct"/>
                  <w:vMerge w:val="restart"/>
                  <w:noWrap w:val="0"/>
                  <w:vAlign w:val="center"/>
                </w:tcPr>
                <w:p>
                  <w:pPr>
                    <w:pStyle w:val="9"/>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废气治理</w:t>
                  </w:r>
                </w:p>
              </w:tc>
              <w:tc>
                <w:tcPr>
                  <w:tcW w:w="718" w:type="pct"/>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个集气罩+1套</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UV光氧催化+三级活性炭吸附</w:t>
                  </w:r>
                  <w:r>
                    <w:rPr>
                      <w:rFonts w:hint="default" w:ascii="Times New Roman" w:hAnsi="Times New Roman" w:eastAsia="宋体" w:cs="Times New Roman"/>
                      <w:color w:val="auto"/>
                      <w:sz w:val="21"/>
                      <w:szCs w:val="21"/>
                      <w:highlight w:val="none"/>
                    </w:rPr>
                    <w:t>装置</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 w:val="21"/>
                      <w:szCs w:val="21"/>
                      <w:highlight w:val="none"/>
                    </w:rPr>
                    <w:t>+1根15m排气筒（</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w:t>
                  </w:r>
                </w:p>
              </w:tc>
              <w:tc>
                <w:tcPr>
                  <w:tcW w:w="2580" w:type="pct"/>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分别在吹膜机出料口</w:t>
                  </w:r>
                  <w:r>
                    <w:rPr>
                      <w:rFonts w:hint="default" w:ascii="Times New Roman" w:hAnsi="Times New Roman" w:eastAsia="宋体" w:cs="Times New Roman"/>
                      <w:color w:val="auto"/>
                      <w:sz w:val="21"/>
                      <w:szCs w:val="21"/>
                      <w:highlight w:val="none"/>
                    </w:rPr>
                    <w:t>上方</w:t>
                  </w:r>
                  <w:r>
                    <w:rPr>
                      <w:rFonts w:hint="default" w:ascii="Times New Roman" w:hAnsi="Times New Roman" w:eastAsia="宋体" w:cs="Times New Roman"/>
                      <w:color w:val="auto"/>
                      <w:sz w:val="21"/>
                      <w:szCs w:val="21"/>
                      <w:highlight w:val="none"/>
                      <w:lang w:val="en-US" w:eastAsia="zh-CN"/>
                    </w:rPr>
                    <w:t>设置1个集气罩，</w:t>
                  </w:r>
                  <w:r>
                    <w:rPr>
                      <w:rFonts w:hint="default" w:ascii="Times New Roman" w:hAnsi="Times New Roman" w:eastAsia="宋体" w:cs="Times New Roman"/>
                      <w:color w:val="auto"/>
                      <w:sz w:val="21"/>
                      <w:szCs w:val="21"/>
                      <w:highlight w:val="none"/>
                    </w:rPr>
                    <w:t>共设置</w:t>
                  </w: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个集气罩+1套</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UV光氧催化+三级活性炭吸附</w:t>
                  </w:r>
                  <w:r>
                    <w:rPr>
                      <w:rFonts w:hint="default" w:ascii="Times New Roman" w:hAnsi="Times New Roman" w:eastAsia="宋体" w:cs="Times New Roman"/>
                      <w:color w:val="auto"/>
                      <w:sz w:val="21"/>
                      <w:szCs w:val="21"/>
                      <w:highlight w:val="none"/>
                    </w:rPr>
                    <w:t>装置</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 w:val="21"/>
                      <w:szCs w:val="21"/>
                      <w:highlight w:val="none"/>
                    </w:rPr>
                    <w:t>+1根15m高排气筒（预留标准的采样检测口）（</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），用于处理</w:t>
                  </w: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过程产生的有机废气</w:t>
                  </w:r>
                  <w:r>
                    <w:rPr>
                      <w:rFonts w:hint="default" w:ascii="Times New Roman" w:hAnsi="Times New Roman" w:eastAsia="宋体" w:cs="Times New Roman"/>
                      <w:color w:val="auto"/>
                      <w:sz w:val="21"/>
                      <w:szCs w:val="21"/>
                      <w:highlight w:val="none"/>
                      <w:lang w:val="en-US" w:eastAsia="zh-CN"/>
                    </w:rPr>
                    <w:t>及臭气</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0%，风机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75600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UV光氧催化+三级活性炭吸附</w:t>
                  </w:r>
                  <w:r>
                    <w:rPr>
                      <w:rFonts w:hint="default" w:ascii="Times New Roman" w:hAnsi="Times New Roman" w:eastAsia="宋体" w:cs="Times New Roman"/>
                      <w:color w:val="auto"/>
                      <w:sz w:val="21"/>
                      <w:szCs w:val="21"/>
                      <w:highlight w:val="none"/>
                    </w:rPr>
                    <w:t>装置</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bCs/>
                      <w:color w:val="auto"/>
                      <w:sz w:val="21"/>
                      <w:szCs w:val="21"/>
                      <w:highlight w:val="none"/>
                    </w:rPr>
                    <w:t>去除效率</w:t>
                  </w:r>
                  <w:r>
                    <w:rPr>
                      <w:rFonts w:hint="default" w:ascii="Times New Roman" w:hAnsi="Times New Roman" w:eastAsia="宋体" w:cs="Times New Roman"/>
                      <w:bCs/>
                      <w:color w:val="auto"/>
                      <w:sz w:val="21"/>
                      <w:szCs w:val="21"/>
                      <w:highlight w:val="none"/>
                      <w:lang w:val="en-US" w:eastAsia="zh-CN"/>
                    </w:rPr>
                    <w:t>78%</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排气筒内径0.8m</w:t>
                  </w:r>
                  <w:r>
                    <w:rPr>
                      <w:rFonts w:hint="default" w:ascii="Times New Roman" w:hAnsi="Times New Roman" w:eastAsia="宋体" w:cs="Times New Roman"/>
                      <w:color w:val="auto"/>
                      <w:sz w:val="21"/>
                      <w:szCs w:val="21"/>
                      <w:highlight w:val="none"/>
                    </w:rPr>
                    <w:t>。</w:t>
                  </w:r>
                </w:p>
              </w:tc>
              <w:tc>
                <w:tcPr>
                  <w:tcW w:w="461" w:type="pct"/>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387"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rPr>
                  </w:pPr>
                  <w:r>
                    <w:rPr>
                      <w:rFonts w:hint="default" w:ascii="Times New Roman" w:hAnsi="Times New Roman" w:eastAsia="宋体" w:cs="Times New Roman"/>
                      <w:bCs/>
                      <w:color w:val="auto"/>
                      <w:sz w:val="21"/>
                      <w:szCs w:val="21"/>
                      <w:highlight w:val="none"/>
                      <w:lang w:val="en-US" w:eastAsia="zh-CN"/>
                    </w:rPr>
                    <w:t>9.1</w:t>
                  </w:r>
                </w:p>
              </w:tc>
              <w:tc>
                <w:tcPr>
                  <w:tcW w:w="596"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55" w:type="pct"/>
                  <w:vMerge w:val="continue"/>
                  <w:noWrap w:val="0"/>
                  <w:vAlign w:val="center"/>
                </w:tcPr>
                <w:p>
                  <w:pPr>
                    <w:pStyle w:val="9"/>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18" w:type="pct"/>
                  <w:noWrap w:val="0"/>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食堂油烟</w:t>
                  </w:r>
                </w:p>
              </w:tc>
              <w:tc>
                <w:tcPr>
                  <w:tcW w:w="2580" w:type="pct"/>
                  <w:noWrap w:val="0"/>
                  <w:vAlign w:val="center"/>
                </w:tcPr>
                <w:p>
                  <w:pPr>
                    <w:pStyle w:val="1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食堂油烟配套“1个集气罩+1台油烟净化设施+高于生活综合楼房顶1.5m高的排气筒”，油烟净化器净化效率不低于60%。</w:t>
                  </w:r>
                </w:p>
              </w:tc>
              <w:tc>
                <w:tcPr>
                  <w:tcW w:w="461" w:type="pct"/>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387"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596"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依托原项目已建设施进行使用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vMerge w:val="restart"/>
                  <w:noWrap w:val="0"/>
                  <w:vAlign w:val="center"/>
                </w:tcPr>
                <w:p>
                  <w:pPr>
                    <w:pStyle w:val="9"/>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废水治理</w:t>
                  </w:r>
                </w:p>
              </w:tc>
              <w:tc>
                <w:tcPr>
                  <w:tcW w:w="71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雨污</w:t>
                  </w:r>
                  <w:r>
                    <w:rPr>
                      <w:rFonts w:hint="default" w:ascii="Times New Roman" w:hAnsi="Times New Roman" w:eastAsia="宋体" w:cs="Times New Roman"/>
                      <w:color w:val="auto"/>
                      <w:sz w:val="21"/>
                      <w:szCs w:val="21"/>
                      <w:highlight w:val="none"/>
                      <w:lang w:val="en-US" w:eastAsia="zh-CN"/>
                    </w:rPr>
                    <w:t>分流</w:t>
                  </w:r>
                </w:p>
              </w:tc>
              <w:tc>
                <w:tcPr>
                  <w:tcW w:w="258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项目区“雨污分流、清污分流”系统。</w:t>
                  </w:r>
                </w:p>
              </w:tc>
              <w:tc>
                <w:tcPr>
                  <w:tcW w:w="461" w:type="pct"/>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387"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596"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vMerge w:val="continue"/>
                  <w:noWrap w:val="0"/>
                  <w:vAlign w:val="center"/>
                </w:tcPr>
                <w:p>
                  <w:pPr>
                    <w:pStyle w:val="9"/>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18"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tc>
              <w:tc>
                <w:tcPr>
                  <w:tcW w:w="258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default" w:ascii="Times New Roman" w:hAnsi="Times New Roman" w:eastAsia="宋体" w:cs="Times New Roman"/>
                      <w:color w:val="auto"/>
                      <w:sz w:val="21"/>
                      <w:szCs w:val="21"/>
                      <w:highlight w:val="none"/>
                      <w:lang w:val="en-US" w:eastAsia="zh-CN"/>
                    </w:rPr>
                    <w:t>0.5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的隔油池。</w:t>
                  </w:r>
                </w:p>
              </w:tc>
              <w:tc>
                <w:tcPr>
                  <w:tcW w:w="461" w:type="pct"/>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1个</w:t>
                  </w:r>
                </w:p>
              </w:tc>
              <w:tc>
                <w:tcPr>
                  <w:tcW w:w="387"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596"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vMerge w:val="continue"/>
                  <w:noWrap w:val="0"/>
                  <w:vAlign w:val="center"/>
                </w:tcPr>
                <w:p>
                  <w:pPr>
                    <w:pStyle w:val="9"/>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1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58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个容积为</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的化粪池。</w:t>
                  </w:r>
                </w:p>
              </w:tc>
              <w:tc>
                <w:tcPr>
                  <w:tcW w:w="461" w:type="pct"/>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2</w:t>
                  </w:r>
                  <w:r>
                    <w:rPr>
                      <w:rFonts w:hint="default" w:ascii="Times New Roman" w:hAnsi="Times New Roman" w:eastAsia="宋体" w:cs="Times New Roman"/>
                      <w:b w:val="0"/>
                      <w:bCs/>
                      <w:color w:val="auto"/>
                      <w:sz w:val="21"/>
                      <w:szCs w:val="21"/>
                      <w:highlight w:val="none"/>
                    </w:rPr>
                    <w:t>个</w:t>
                  </w:r>
                </w:p>
              </w:tc>
              <w:tc>
                <w:tcPr>
                  <w:tcW w:w="387"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596"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vMerge w:val="continue"/>
                  <w:noWrap w:val="0"/>
                  <w:vAlign w:val="center"/>
                </w:tcPr>
                <w:p>
                  <w:pPr>
                    <w:pStyle w:val="9"/>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1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58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1套处理规模为</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/d的</w:t>
                  </w:r>
                  <w:r>
                    <w:rPr>
                      <w:rFonts w:hint="default" w:ascii="Times New Roman" w:hAnsi="Times New Roman" w:eastAsia="宋体" w:cs="Times New Roman"/>
                      <w:color w:val="auto"/>
                      <w:sz w:val="21"/>
                      <w:szCs w:val="21"/>
                      <w:highlight w:val="none"/>
                      <w:lang w:val="en-US" w:eastAsia="zh-CN"/>
                    </w:rPr>
                    <w:t>地埋式</w:t>
                  </w:r>
                  <w:r>
                    <w:rPr>
                      <w:rFonts w:hint="default" w:ascii="Times New Roman" w:hAnsi="Times New Roman" w:eastAsia="宋体" w:cs="Times New Roman"/>
                      <w:color w:val="auto"/>
                      <w:sz w:val="21"/>
                      <w:szCs w:val="21"/>
                      <w:highlight w:val="none"/>
                    </w:rPr>
                    <w:t>生活污水处理站。</w:t>
                  </w:r>
                </w:p>
              </w:tc>
              <w:tc>
                <w:tcPr>
                  <w:tcW w:w="461" w:type="pct"/>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387"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596"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vMerge w:val="continue"/>
                  <w:noWrap w:val="0"/>
                  <w:vAlign w:val="center"/>
                </w:tcPr>
                <w:p>
                  <w:pPr>
                    <w:pStyle w:val="9"/>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1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58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的蓄水池。</w:t>
                  </w:r>
                </w:p>
              </w:tc>
              <w:tc>
                <w:tcPr>
                  <w:tcW w:w="461" w:type="pct"/>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1个</w:t>
                  </w:r>
                </w:p>
              </w:tc>
              <w:tc>
                <w:tcPr>
                  <w:tcW w:w="387"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596"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vMerge w:val="continue"/>
                  <w:noWrap w:val="0"/>
                  <w:vAlign w:val="center"/>
                </w:tcPr>
                <w:p>
                  <w:pPr>
                    <w:pStyle w:val="9"/>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1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512"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的事故应急池。</w:t>
                  </w:r>
                </w:p>
              </w:tc>
              <w:tc>
                <w:tcPr>
                  <w:tcW w:w="806" w:type="dxa"/>
                  <w:noWrap w:val="0"/>
                  <w:vAlign w:val="center"/>
                </w:tcPr>
                <w:p>
                  <w:pPr>
                    <w:pStyle w:val="78"/>
                    <w:shd w:val="clear"/>
                    <w:adjustRightInd/>
                    <w:spacing w:before="0" w:after="0" w:line="240" w:lineRule="auto"/>
                    <w:ind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1个</w:t>
                  </w:r>
                </w:p>
              </w:tc>
              <w:tc>
                <w:tcPr>
                  <w:tcW w:w="677" w:type="dxa"/>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0.5</w:t>
                  </w:r>
                </w:p>
              </w:tc>
              <w:tc>
                <w:tcPr>
                  <w:tcW w:w="1042"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noWrap w:val="0"/>
                  <w:vAlign w:val="center"/>
                </w:tcPr>
                <w:p>
                  <w:pPr>
                    <w:pStyle w:val="9"/>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71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生产设备噪声</w:t>
                  </w:r>
                </w:p>
              </w:tc>
              <w:tc>
                <w:tcPr>
                  <w:tcW w:w="258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厂房隔音，高噪声设备安装消声、减振装置。</w:t>
                  </w:r>
                </w:p>
              </w:tc>
              <w:tc>
                <w:tcPr>
                  <w:tcW w:w="461"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387"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0.</w:t>
                  </w:r>
                  <w:r>
                    <w:rPr>
                      <w:rFonts w:hint="default" w:ascii="Times New Roman" w:hAnsi="Times New Roman" w:eastAsia="宋体" w:cs="Times New Roman"/>
                      <w:bCs/>
                      <w:color w:val="auto"/>
                      <w:sz w:val="21"/>
                      <w:szCs w:val="21"/>
                      <w:highlight w:val="none"/>
                      <w:lang w:val="en-US" w:eastAsia="zh-CN"/>
                    </w:rPr>
                    <w:t>2</w:t>
                  </w:r>
                </w:p>
              </w:tc>
              <w:tc>
                <w:tcPr>
                  <w:tcW w:w="596"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vMerge w:val="restart"/>
                  <w:noWrap w:val="0"/>
                  <w:vAlign w:val="center"/>
                </w:tcPr>
                <w:p>
                  <w:pPr>
                    <w:pStyle w:val="9"/>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固废治理</w:t>
                  </w:r>
                </w:p>
              </w:tc>
              <w:tc>
                <w:tcPr>
                  <w:tcW w:w="71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258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带盖式生活垃圾收集桶。</w:t>
                  </w:r>
                </w:p>
              </w:tc>
              <w:tc>
                <w:tcPr>
                  <w:tcW w:w="461"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数个</w:t>
                  </w:r>
                </w:p>
              </w:tc>
              <w:tc>
                <w:tcPr>
                  <w:tcW w:w="387"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w:t>
                  </w:r>
                </w:p>
              </w:tc>
              <w:tc>
                <w:tcPr>
                  <w:tcW w:w="596"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依托原项目已建设施进行使用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vMerge w:val="continue"/>
                  <w:noWrap w:val="0"/>
                  <w:vAlign w:val="center"/>
                </w:tcPr>
                <w:p>
                  <w:pPr>
                    <w:pStyle w:val="9"/>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1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泔水桶</w:t>
                  </w:r>
                </w:p>
              </w:tc>
              <w:tc>
                <w:tcPr>
                  <w:tcW w:w="2580" w:type="pct"/>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2只，1用1备，用于收集食堂泔水。</w:t>
                  </w:r>
                </w:p>
              </w:tc>
              <w:tc>
                <w:tcPr>
                  <w:tcW w:w="461"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2只</w:t>
                  </w:r>
                </w:p>
              </w:tc>
              <w:tc>
                <w:tcPr>
                  <w:tcW w:w="387"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w:t>
                  </w:r>
                </w:p>
              </w:tc>
              <w:tc>
                <w:tcPr>
                  <w:tcW w:w="596"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vMerge w:val="continue"/>
                  <w:noWrap w:val="0"/>
                  <w:vAlign w:val="center"/>
                </w:tcPr>
                <w:p>
                  <w:pPr>
                    <w:pStyle w:val="9"/>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1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废油脂收集桶</w:t>
                  </w:r>
                </w:p>
              </w:tc>
              <w:tc>
                <w:tcPr>
                  <w:tcW w:w="2580" w:type="pct"/>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2只，1用1备，用于收集食堂隔油池废油脂。</w:t>
                  </w:r>
                </w:p>
              </w:tc>
              <w:tc>
                <w:tcPr>
                  <w:tcW w:w="461"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2只</w:t>
                  </w:r>
                </w:p>
              </w:tc>
              <w:tc>
                <w:tcPr>
                  <w:tcW w:w="387"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w:t>
                  </w:r>
                </w:p>
              </w:tc>
              <w:tc>
                <w:tcPr>
                  <w:tcW w:w="596"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vMerge w:val="continue"/>
                  <w:noWrap w:val="0"/>
                  <w:vAlign w:val="center"/>
                </w:tcPr>
                <w:p>
                  <w:pPr>
                    <w:pStyle w:val="9"/>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1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一般固废暂存区</w:t>
                  </w:r>
                </w:p>
              </w:tc>
              <w:tc>
                <w:tcPr>
                  <w:tcW w:w="258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面积为20m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的一般固体废物暂存区，收集、暂存设施、清运处置</w:t>
                  </w:r>
                  <w:r>
                    <w:rPr>
                      <w:rFonts w:hint="default" w:ascii="Times New Roman" w:hAnsi="Times New Roman" w:eastAsia="宋体" w:cs="Times New Roman"/>
                      <w:color w:val="auto"/>
                      <w:sz w:val="21"/>
                      <w:szCs w:val="21"/>
                      <w:highlight w:val="none"/>
                      <w:lang w:eastAsia="zh-CN"/>
                    </w:rPr>
                    <w:t>。</w:t>
                  </w:r>
                </w:p>
              </w:tc>
              <w:tc>
                <w:tcPr>
                  <w:tcW w:w="461"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20m</w:t>
                  </w:r>
                  <w:r>
                    <w:rPr>
                      <w:rFonts w:hint="default" w:ascii="Times New Roman" w:hAnsi="Times New Roman" w:eastAsia="宋体" w:cs="Times New Roman"/>
                      <w:bCs/>
                      <w:color w:val="auto"/>
                      <w:sz w:val="21"/>
                      <w:szCs w:val="21"/>
                      <w:highlight w:val="none"/>
                      <w:vertAlign w:val="superscript"/>
                    </w:rPr>
                    <w:t>2</w:t>
                  </w:r>
                </w:p>
              </w:tc>
              <w:tc>
                <w:tcPr>
                  <w:tcW w:w="387"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596"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vMerge w:val="continue"/>
                  <w:noWrap w:val="0"/>
                  <w:vAlign w:val="center"/>
                </w:tcPr>
                <w:p>
                  <w:pPr>
                    <w:pStyle w:val="9"/>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1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废UV灯管、废</w:t>
                  </w:r>
                  <w:r>
                    <w:rPr>
                      <w:rFonts w:hint="default" w:ascii="Times New Roman" w:hAnsi="Times New Roman" w:eastAsia="宋体" w:cs="Times New Roman"/>
                      <w:color w:val="auto"/>
                      <w:sz w:val="21"/>
                      <w:szCs w:val="21"/>
                      <w:highlight w:val="none"/>
                    </w:rPr>
                    <w:t>活性炭、废机油</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机修废物</w:t>
                  </w:r>
                </w:p>
              </w:tc>
              <w:tc>
                <w:tcPr>
                  <w:tcW w:w="258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项目区内</w:t>
                  </w:r>
                  <w:r>
                    <w:rPr>
                      <w:rFonts w:hint="default" w:ascii="Times New Roman" w:hAnsi="Times New Roman" w:eastAsia="宋体" w:cs="Times New Roman"/>
                      <w:color w:val="auto"/>
                      <w:sz w:val="21"/>
                      <w:szCs w:val="21"/>
                      <w:highlight w:val="none"/>
                      <w:lang w:val="en-US" w:eastAsia="zh-CN"/>
                    </w:rPr>
                    <w:t>已</w:t>
                  </w:r>
                  <w:r>
                    <w:rPr>
                      <w:rFonts w:hint="default" w:ascii="Times New Roman" w:hAnsi="Times New Roman" w:eastAsia="宋体" w:cs="Times New Roman"/>
                      <w:color w:val="auto"/>
                      <w:sz w:val="21"/>
                      <w:szCs w:val="21"/>
                      <w:highlight w:val="none"/>
                    </w:rPr>
                    <w:t>设置</w:t>
                  </w:r>
                  <w:r>
                    <w:rPr>
                      <w:rFonts w:hint="default" w:ascii="Times New Roman" w:hAnsi="Times New Roman" w:eastAsia="宋体" w:cs="Times New Roman"/>
                      <w:color w:val="auto"/>
                      <w:sz w:val="21"/>
                      <w:szCs w:val="21"/>
                      <w:highlight w:val="none"/>
                      <w:lang w:val="en-US" w:eastAsia="zh-CN"/>
                    </w:rPr>
                    <w:t>了</w:t>
                  </w:r>
                  <w:r>
                    <w:rPr>
                      <w:rFonts w:hint="default" w:ascii="Times New Roman" w:hAnsi="Times New Roman" w:eastAsia="宋体" w:cs="Times New Roman"/>
                      <w:color w:val="auto"/>
                      <w:sz w:val="21"/>
                      <w:szCs w:val="21"/>
                      <w:highlight w:val="none"/>
                    </w:rPr>
                    <w:t>1间</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的危废暂存间，内设2个危废收集容器，渗透系数≤1×10</w:t>
                  </w:r>
                  <w:r>
                    <w:rPr>
                      <w:rFonts w:hint="default" w:ascii="Times New Roman" w:hAnsi="Times New Roman" w:eastAsia="宋体" w:cs="Times New Roman"/>
                      <w:color w:val="auto"/>
                      <w:sz w:val="21"/>
                      <w:szCs w:val="21"/>
                      <w:highlight w:val="none"/>
                      <w:vertAlign w:val="superscript"/>
                    </w:rPr>
                    <w:t>-10</w:t>
                  </w:r>
                  <w:r>
                    <w:rPr>
                      <w:rFonts w:hint="default" w:ascii="Times New Roman" w:hAnsi="Times New Roman" w:eastAsia="宋体" w:cs="Times New Roman"/>
                      <w:color w:val="auto"/>
                      <w:sz w:val="21"/>
                      <w:szCs w:val="21"/>
                      <w:highlight w:val="none"/>
                    </w:rPr>
                    <w:t>cm/s，危险废物分区暂存，并设危废暂存间标识牌和转移台账，委托资质单位清运、处置。</w:t>
                  </w:r>
                </w:p>
              </w:tc>
              <w:tc>
                <w:tcPr>
                  <w:tcW w:w="461"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10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2</w:t>
                  </w:r>
                </w:p>
              </w:tc>
              <w:tc>
                <w:tcPr>
                  <w:tcW w:w="387"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596"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依托原项目已建设施进行使用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4"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合计</w:t>
                  </w:r>
                </w:p>
              </w:tc>
              <w:tc>
                <w:tcPr>
                  <w:tcW w:w="461"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387"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9.8</w:t>
                  </w:r>
                </w:p>
              </w:tc>
              <w:tc>
                <w:tcPr>
                  <w:tcW w:w="596"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pPr>
              <w:pStyle w:val="17"/>
              <w:keepNext w:val="0"/>
              <w:keepLines w:val="0"/>
              <w:pageBreakBefore w:val="0"/>
              <w:widowControl w:val="0"/>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8、水平衡</w:t>
            </w:r>
          </w:p>
          <w:p>
            <w:pPr>
              <w:pStyle w:val="14"/>
              <w:keepNext w:val="0"/>
              <w:keepLines w:val="0"/>
              <w:pageBreakBefore w:val="0"/>
              <w:widowControl w:val="0"/>
              <w:kinsoku/>
              <w:wordWrap/>
              <w:overflowPunct/>
              <w:topLinePunct w:val="0"/>
              <w:autoSpaceDE/>
              <w:autoSpaceDN/>
              <w:bidi w:val="0"/>
              <w:adjustRightInd w:val="0"/>
              <w:snapToGrid w:val="0"/>
              <w:spacing w:before="0" w:after="0" w:line="348" w:lineRule="auto"/>
              <w:ind w:left="0" w:right="0" w:firstLine="482" w:firstLineChars="200"/>
              <w:textAlignment w:val="auto"/>
              <w:rPr>
                <w:rFonts w:hint="default" w:ascii="Times New Roman" w:hAnsi="Times New Roman" w:eastAsia="宋体" w:cs="Times New Roman"/>
                <w:b/>
                <w:bCs/>
                <w:caps w:val="0"/>
                <w:snapToGrid w:val="0"/>
                <w:color w:val="auto"/>
                <w:spacing w:val="0"/>
                <w:w w:val="100"/>
                <w:position w:val="0"/>
                <w:sz w:val="24"/>
                <w:szCs w:val="24"/>
                <w:highlight w:val="none"/>
              </w:rPr>
            </w:pPr>
            <w:r>
              <w:rPr>
                <w:rFonts w:hint="default" w:ascii="Times New Roman" w:hAnsi="Times New Roman" w:eastAsia="宋体" w:cs="Times New Roman"/>
                <w:b/>
                <w:bCs/>
                <w:caps w:val="0"/>
                <w:snapToGrid w:val="0"/>
                <w:color w:val="auto"/>
                <w:spacing w:val="0"/>
                <w:w w:val="100"/>
                <w:position w:val="0"/>
                <w:sz w:val="24"/>
                <w:szCs w:val="24"/>
                <w:highlight w:val="none"/>
              </w:rPr>
              <w:t>（</w:t>
            </w:r>
            <w:r>
              <w:rPr>
                <w:rFonts w:hint="default" w:ascii="Times New Roman" w:hAnsi="Times New Roman" w:eastAsia="宋体" w:cs="Times New Roman"/>
                <w:b/>
                <w:bCs/>
                <w:caps w:val="0"/>
                <w:snapToGrid w:val="0"/>
                <w:color w:val="auto"/>
                <w:spacing w:val="0"/>
                <w:w w:val="100"/>
                <w:position w:val="0"/>
                <w:sz w:val="24"/>
                <w:szCs w:val="24"/>
                <w:highlight w:val="none"/>
                <w:lang w:val="en-US" w:eastAsia="zh-CN"/>
              </w:rPr>
              <w:t>1</w:t>
            </w:r>
            <w:r>
              <w:rPr>
                <w:rFonts w:hint="default" w:ascii="Times New Roman" w:hAnsi="Times New Roman" w:eastAsia="宋体" w:cs="Times New Roman"/>
                <w:b/>
                <w:bCs/>
                <w:caps w:val="0"/>
                <w:snapToGrid w:val="0"/>
                <w:color w:val="auto"/>
                <w:spacing w:val="0"/>
                <w:w w:val="100"/>
                <w:position w:val="0"/>
                <w:sz w:val="24"/>
                <w:szCs w:val="24"/>
                <w:highlight w:val="none"/>
              </w:rPr>
              <w:t>）产排污参数计算</w:t>
            </w:r>
          </w:p>
          <w:p>
            <w:pPr>
              <w:pStyle w:val="14"/>
              <w:keepNext w:val="0"/>
              <w:keepLines w:val="0"/>
              <w:pageBreakBefore w:val="0"/>
              <w:widowControl/>
              <w:kinsoku/>
              <w:wordWrap/>
              <w:overflowPunct/>
              <w:topLinePunct w:val="0"/>
              <w:autoSpaceDE/>
              <w:autoSpaceDN/>
              <w:bidi w:val="0"/>
              <w:adjustRightInd/>
              <w:snapToGrid w:val="0"/>
              <w:spacing w:before="0" w:after="0" w:line="348" w:lineRule="auto"/>
              <w:ind w:left="0" w:right="0" w:firstLine="480" w:firstLineChars="200"/>
              <w:jc w:val="both"/>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本项目生产过程不使用水，仅办公生活区用水，因此废水为办公生活污水。</w:t>
            </w:r>
          </w:p>
          <w:p>
            <w:pPr>
              <w:pStyle w:val="14"/>
              <w:keepNext w:val="0"/>
              <w:keepLines w:val="0"/>
              <w:pageBreakBefore w:val="0"/>
              <w:widowControl/>
              <w:kinsoku/>
              <w:wordWrap/>
              <w:overflowPunct/>
              <w:topLinePunct w:val="0"/>
              <w:autoSpaceDE/>
              <w:autoSpaceDN/>
              <w:bidi w:val="0"/>
              <w:adjustRightInd/>
              <w:snapToGrid w:val="0"/>
              <w:spacing w:before="0" w:after="0" w:line="348" w:lineRule="auto"/>
              <w:ind w:left="0" w:right="0" w:firstLine="480" w:firstLineChars="200"/>
              <w:jc w:val="both"/>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运营期工作人员20人，年工作300天，均在项目区食宿，用水主要为食堂用水和其它办公生活用水。根据《云南省地方标准用水定额》（DB53/T168-2019）</w:t>
            </w:r>
            <w:r>
              <w:rPr>
                <w:rFonts w:hint="default" w:ascii="Times New Roman" w:hAnsi="Times New Roman" w:eastAsia="宋体" w:cs="Times New Roman"/>
                <w:color w:val="auto"/>
                <w:sz w:val="24"/>
                <w:highlight w:val="none"/>
              </w:rPr>
              <w:t>表1</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城镇居民生活用水定额</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，用水定额按100L/（人·d）计，则办公生活区用水量为2m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/d、600m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/a，产污系数按0.8计算，废水量为1.6m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/d、480m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w:t>
            </w:r>
          </w:p>
          <w:p>
            <w:pPr>
              <w:pStyle w:val="14"/>
              <w:keepNext w:val="0"/>
              <w:keepLines w:val="0"/>
              <w:pageBreakBefore w:val="0"/>
              <w:widowControl/>
              <w:kinsoku/>
              <w:wordWrap/>
              <w:overflowPunct/>
              <w:topLinePunct w:val="0"/>
              <w:autoSpaceDE/>
              <w:autoSpaceDN/>
              <w:bidi w:val="0"/>
              <w:adjustRightInd/>
              <w:snapToGrid w:val="0"/>
              <w:spacing w:before="0" w:after="0" w:line="348" w:lineRule="auto"/>
              <w:ind w:left="0" w:right="0" w:firstLine="480" w:firstLineChars="200"/>
              <w:jc w:val="both"/>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其中食堂用水量占生活总用水量的20%，其他办公生活用水占80%，则食堂用水量为0.4m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/d、120m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/a，废水量为0.32m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/d、96m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/a；其他办公生活用水量为1.6m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/d、480m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/a，废水量为1.28m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/d、384m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w:t>
            </w:r>
          </w:p>
          <w:p>
            <w:pPr>
              <w:pStyle w:val="77"/>
              <w:keepNext w:val="0"/>
              <w:keepLines w:val="0"/>
              <w:pageBreakBefore w:val="0"/>
              <w:widowControl w:val="0"/>
              <w:kinsoku/>
              <w:wordWrap/>
              <w:overflowPunct/>
              <w:topLinePunct w:val="0"/>
              <w:autoSpaceDE/>
              <w:autoSpaceDN/>
              <w:bidi w:val="0"/>
              <w:spacing w:beforeLines="0" w:afterLines="0" w:line="348" w:lineRule="auto"/>
              <w:ind w:left="0"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）项目用排水情况汇总统计</w:t>
            </w:r>
          </w:p>
          <w:p>
            <w:pPr>
              <w:pStyle w:val="77"/>
              <w:keepNext w:val="0"/>
              <w:keepLines w:val="0"/>
              <w:pageBreakBefore w:val="0"/>
              <w:widowControl w:val="0"/>
              <w:kinsoku/>
              <w:wordWrap/>
              <w:overflowPunct/>
              <w:topLinePunct w:val="0"/>
              <w:autoSpaceDE/>
              <w:autoSpaceDN/>
              <w:bidi w:val="0"/>
              <w:spacing w:beforeLines="0" w:afterLines="0" w:line="348" w:lineRule="auto"/>
              <w:ind w:left="0" w:right="0" w:firstLine="480" w:firstLineChars="200"/>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项目餐饮废水先经隔油池处理后，再同其他生活污水排入化粪池、生活污水处理站处理达《城市污水再生利用 城市杂用水水质》（GB/T18920-2020）</w:t>
            </w:r>
            <w:r>
              <w:rPr>
                <w:rFonts w:hint="default" w:ascii="Times New Roman" w:hAnsi="Times New Roman" w:eastAsia="宋体" w:cs="Times New Roman"/>
                <w:color w:val="auto"/>
                <w:sz w:val="24"/>
                <w:szCs w:val="24"/>
                <w:highlight w:val="none"/>
                <w:lang w:val="en-US" w:eastAsia="zh-CN"/>
              </w:rPr>
              <w:t>中的城市绿化、道路清扫、消防、建筑施工标准后，</w:t>
            </w:r>
            <w:r>
              <w:rPr>
                <w:rFonts w:hint="default" w:ascii="Times New Roman" w:hAnsi="Times New Roman" w:eastAsia="宋体" w:cs="Times New Roman"/>
                <w:b w:val="0"/>
                <w:bCs w:val="0"/>
                <w:color w:val="auto"/>
                <w:sz w:val="24"/>
                <w:szCs w:val="24"/>
                <w:highlight w:val="none"/>
                <w:lang w:val="en-US" w:eastAsia="zh-CN"/>
              </w:rPr>
              <w:t>用于项目区内绿化及道路场地洒水降尘，不外排。</w:t>
            </w:r>
          </w:p>
          <w:p>
            <w:pPr>
              <w:keepNext w:val="0"/>
              <w:keepLines w:val="0"/>
              <w:pageBreakBefore w:val="0"/>
              <w:widowControl w:val="0"/>
              <w:kinsoku/>
              <w:wordWrap/>
              <w:overflowPunct/>
              <w:topLinePunct w:val="0"/>
              <w:autoSpaceDE/>
              <w:autoSpaceDN/>
              <w:bidi w:val="0"/>
              <w:adjustRightInd w:val="0"/>
              <w:snapToGrid w:val="0"/>
              <w:spacing w:line="348" w:lineRule="auto"/>
              <w:ind w:left="0" w:right="0" w:firstLine="480" w:firstLineChars="200"/>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zh-CN" w:eastAsia="zh-CN" w:bidi="ar-SA"/>
              </w:rPr>
              <w:t>综上，项目用水量、污水排放量详见表</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2</w:t>
            </w:r>
            <w:r>
              <w:rPr>
                <w:rFonts w:hint="default" w:ascii="Times New Roman" w:hAnsi="Times New Roman" w:eastAsia="宋体" w:cs="Times New Roman"/>
                <w:caps w:val="0"/>
                <w:snapToGrid w:val="0"/>
                <w:color w:val="auto"/>
                <w:spacing w:val="0"/>
                <w:w w:val="100"/>
                <w:kern w:val="2"/>
                <w:position w:val="0"/>
                <w:sz w:val="24"/>
                <w:szCs w:val="24"/>
                <w:highlight w:val="none"/>
                <w:lang w:val="zh-CN" w:eastAsia="zh-CN" w:bidi="ar-SA"/>
              </w:rPr>
              <w:t>-</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7</w:t>
            </w:r>
            <w:r>
              <w:rPr>
                <w:rFonts w:hint="default" w:ascii="Times New Roman" w:hAnsi="Times New Roman" w:eastAsia="宋体" w:cs="Times New Roman"/>
                <w:caps w:val="0"/>
                <w:snapToGrid w:val="0"/>
                <w:color w:val="auto"/>
                <w:spacing w:val="0"/>
                <w:w w:val="100"/>
                <w:kern w:val="2"/>
                <w:position w:val="0"/>
                <w:sz w:val="24"/>
                <w:szCs w:val="24"/>
                <w:highlight w:val="none"/>
                <w:lang w:val="zh-CN" w:eastAsia="zh-CN" w:bidi="ar-SA"/>
              </w:rPr>
              <w:t>。</w:t>
            </w:r>
          </w:p>
          <w:p>
            <w:pPr>
              <w:keepNext w:val="0"/>
              <w:keepLines w:val="0"/>
              <w:pageBreakBefore w:val="0"/>
              <w:widowControl w:val="0"/>
              <w:kinsoku/>
              <w:wordWrap/>
              <w:overflowPunct/>
              <w:topLinePunct w:val="0"/>
              <w:bidi w:val="0"/>
              <w:snapToGrid w:val="0"/>
              <w:jc w:val="center"/>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表</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caps w:val="0"/>
                <w:snapToGrid w:val="0"/>
                <w:color w:val="auto"/>
                <w:spacing w:val="0"/>
                <w:w w:val="100"/>
                <w:position w:val="0"/>
                <w:sz w:val="21"/>
                <w:szCs w:val="21"/>
                <w:highlight w:val="none"/>
              </w:rPr>
              <w:t>-</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7</w:t>
            </w:r>
            <w:r>
              <w:rPr>
                <w:rFonts w:hint="default" w:ascii="Times New Roman" w:hAnsi="Times New Roman" w:eastAsia="宋体" w:cs="Times New Roman"/>
                <w:b/>
                <w:caps w:val="0"/>
                <w:snapToGrid w:val="0"/>
                <w:color w:val="auto"/>
                <w:spacing w:val="0"/>
                <w:w w:val="100"/>
                <w:position w:val="0"/>
                <w:sz w:val="21"/>
                <w:szCs w:val="21"/>
                <w:highlight w:val="none"/>
              </w:rPr>
              <w:t xml:space="preserve">   项目用排水情况一览表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0"/>
              <w:gridCol w:w="1260"/>
              <w:gridCol w:w="1545"/>
              <w:gridCol w:w="974"/>
              <w:gridCol w:w="687"/>
              <w:gridCol w:w="981"/>
              <w:gridCol w:w="731"/>
              <w:gridCol w:w="808"/>
              <w:gridCol w:w="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16" w:type="pct"/>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项目</w:t>
                  </w:r>
                </w:p>
              </w:tc>
              <w:tc>
                <w:tcPr>
                  <w:tcW w:w="884"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用水定额</w:t>
                  </w:r>
                </w:p>
              </w:tc>
              <w:tc>
                <w:tcPr>
                  <w:tcW w:w="557"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数量</w:t>
                  </w:r>
                </w:p>
              </w:tc>
              <w:tc>
                <w:tcPr>
                  <w:tcW w:w="954"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用水量</w:t>
                  </w:r>
                </w:p>
              </w:tc>
              <w:tc>
                <w:tcPr>
                  <w:tcW w:w="418"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产污率</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污水量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16"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88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55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39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tc>
              <w:tc>
                <w:tcPr>
                  <w:tcW w:w="56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/a</w:t>
                  </w:r>
                </w:p>
              </w:tc>
              <w:tc>
                <w:tcPr>
                  <w:tcW w:w="41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46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tc>
              <w:tc>
                <w:tcPr>
                  <w:tcW w:w="40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5"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办公生活区</w:t>
                  </w:r>
                </w:p>
              </w:tc>
              <w:tc>
                <w:tcPr>
                  <w:tcW w:w="72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食堂</w:t>
                  </w:r>
                </w:p>
              </w:tc>
              <w:tc>
                <w:tcPr>
                  <w:tcW w:w="88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20L/人·d</w:t>
                  </w:r>
                </w:p>
              </w:tc>
              <w:tc>
                <w:tcPr>
                  <w:tcW w:w="55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20人</w:t>
                  </w:r>
                </w:p>
              </w:tc>
              <w:tc>
                <w:tcPr>
                  <w:tcW w:w="39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0.4</w:t>
                  </w:r>
                </w:p>
              </w:tc>
              <w:tc>
                <w:tcPr>
                  <w:tcW w:w="56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120</w:t>
                  </w:r>
                </w:p>
              </w:tc>
              <w:tc>
                <w:tcPr>
                  <w:tcW w:w="41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0.8</w:t>
                  </w:r>
                </w:p>
              </w:tc>
              <w:tc>
                <w:tcPr>
                  <w:tcW w:w="46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0.32</w:t>
                  </w:r>
                </w:p>
              </w:tc>
              <w:tc>
                <w:tcPr>
                  <w:tcW w:w="40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72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办公生活</w:t>
                  </w:r>
                </w:p>
              </w:tc>
              <w:tc>
                <w:tcPr>
                  <w:tcW w:w="88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80L/人·d</w:t>
                  </w:r>
                </w:p>
              </w:tc>
              <w:tc>
                <w:tcPr>
                  <w:tcW w:w="55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20人</w:t>
                  </w:r>
                </w:p>
              </w:tc>
              <w:tc>
                <w:tcPr>
                  <w:tcW w:w="39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1.6</w:t>
                  </w:r>
                </w:p>
              </w:tc>
              <w:tc>
                <w:tcPr>
                  <w:tcW w:w="56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480</w:t>
                  </w:r>
                </w:p>
              </w:tc>
              <w:tc>
                <w:tcPr>
                  <w:tcW w:w="41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0.8</w:t>
                  </w:r>
                </w:p>
              </w:tc>
              <w:tc>
                <w:tcPr>
                  <w:tcW w:w="46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1.28</w:t>
                  </w:r>
                </w:p>
              </w:tc>
              <w:tc>
                <w:tcPr>
                  <w:tcW w:w="40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00" w:type="pct"/>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小计</w:t>
                  </w:r>
                </w:p>
              </w:tc>
              <w:tc>
                <w:tcPr>
                  <w:tcW w:w="55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39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w:t>
                  </w:r>
                </w:p>
              </w:tc>
              <w:tc>
                <w:tcPr>
                  <w:tcW w:w="56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600</w:t>
                  </w:r>
                </w:p>
              </w:tc>
              <w:tc>
                <w:tcPr>
                  <w:tcW w:w="41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0.8</w:t>
                  </w:r>
                </w:p>
              </w:tc>
              <w:tc>
                <w:tcPr>
                  <w:tcW w:w="46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1.6</w:t>
                  </w:r>
                </w:p>
              </w:tc>
              <w:tc>
                <w:tcPr>
                  <w:tcW w:w="40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480</w:t>
                  </w:r>
                </w:p>
              </w:tc>
            </w:tr>
          </w:tbl>
          <w:p>
            <w:pPr>
              <w:pStyle w:val="14"/>
              <w:keepNext w:val="0"/>
              <w:keepLines w:val="0"/>
              <w:pageBreakBefore w:val="0"/>
              <w:widowControl w:val="0"/>
              <w:kinsoku/>
              <w:wordWrap/>
              <w:overflowPunct/>
              <w:topLinePunct w:val="0"/>
              <w:autoSpaceDE/>
              <w:autoSpaceDN/>
              <w:bidi w:val="0"/>
              <w:adjustRightInd w:val="0"/>
              <w:snapToGrid w:val="0"/>
              <w:spacing w:after="0" w:line="351" w:lineRule="auto"/>
              <w:ind w:firstLine="482" w:firstLineChars="200"/>
              <w:textAlignment w:val="auto"/>
              <w:rPr>
                <w:rFonts w:hint="default" w:ascii="Times New Roman" w:hAnsi="Times New Roman" w:eastAsia="宋体" w:cs="Times New Roman"/>
                <w:b/>
                <w:bCs/>
                <w:caps w:val="0"/>
                <w:snapToGrid w:val="0"/>
                <w:color w:val="auto"/>
                <w:spacing w:val="0"/>
                <w:w w:val="100"/>
                <w:position w:val="0"/>
                <w:sz w:val="24"/>
                <w:highlight w:val="none"/>
              </w:rPr>
            </w:pPr>
            <w:r>
              <w:rPr>
                <w:rFonts w:hint="default" w:ascii="Times New Roman" w:hAnsi="Times New Roman" w:eastAsia="宋体" w:cs="Times New Roman"/>
                <w:b/>
                <w:bCs/>
                <w:caps w:val="0"/>
                <w:snapToGrid w:val="0"/>
                <w:color w:val="auto"/>
                <w:spacing w:val="0"/>
                <w:w w:val="100"/>
                <w:position w:val="0"/>
                <w:sz w:val="24"/>
                <w:highlight w:val="none"/>
              </w:rPr>
              <w:t>（</w:t>
            </w:r>
            <w:r>
              <w:rPr>
                <w:rFonts w:hint="default" w:ascii="Times New Roman" w:hAnsi="Times New Roman" w:eastAsia="宋体" w:cs="Times New Roman"/>
                <w:b/>
                <w:bCs/>
                <w:caps w:val="0"/>
                <w:snapToGrid w:val="0"/>
                <w:color w:val="auto"/>
                <w:spacing w:val="0"/>
                <w:w w:val="100"/>
                <w:position w:val="0"/>
                <w:sz w:val="24"/>
                <w:highlight w:val="none"/>
                <w:lang w:val="en-US" w:eastAsia="zh-CN"/>
              </w:rPr>
              <w:t>3</w:t>
            </w:r>
            <w:r>
              <w:rPr>
                <w:rFonts w:hint="default" w:ascii="Times New Roman" w:hAnsi="Times New Roman" w:eastAsia="宋体" w:cs="Times New Roman"/>
                <w:b/>
                <w:bCs/>
                <w:caps w:val="0"/>
                <w:snapToGrid w:val="0"/>
                <w:color w:val="auto"/>
                <w:spacing w:val="0"/>
                <w:w w:val="100"/>
                <w:position w:val="0"/>
                <w:sz w:val="24"/>
                <w:highlight w:val="none"/>
              </w:rPr>
              <w:t>）项目运营期用排水平衡</w:t>
            </w:r>
          </w:p>
          <w:p>
            <w:pPr>
              <w:pStyle w:val="14"/>
              <w:keepNext w:val="0"/>
              <w:keepLines w:val="0"/>
              <w:pageBreakBefore w:val="0"/>
              <w:widowControl w:val="0"/>
              <w:kinsoku/>
              <w:wordWrap/>
              <w:overflowPunct/>
              <w:topLinePunct w:val="0"/>
              <w:autoSpaceDE/>
              <w:autoSpaceDN/>
              <w:bidi w:val="0"/>
              <w:adjustRightInd w:val="0"/>
              <w:snapToGrid w:val="0"/>
              <w:spacing w:after="0" w:line="351"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eastAsia="zh-CN"/>
              </w:rPr>
            </w:pPr>
            <w:r>
              <w:rPr>
                <w:rFonts w:hint="default" w:ascii="Times New Roman" w:hAnsi="Times New Roman" w:eastAsia="宋体" w:cs="Times New Roman"/>
                <w:caps w:val="0"/>
                <w:snapToGrid w:val="0"/>
                <w:color w:val="auto"/>
                <w:spacing w:val="0"/>
                <w:w w:val="100"/>
                <w:position w:val="0"/>
                <w:sz w:val="24"/>
                <w:highlight w:val="none"/>
              </w:rPr>
              <w:t>项目运营期水平衡如图</w:t>
            </w:r>
            <w:r>
              <w:rPr>
                <w:rFonts w:hint="default" w:ascii="Times New Roman" w:hAnsi="Times New Roman" w:eastAsia="宋体" w:cs="Times New Roman"/>
                <w:caps w:val="0"/>
                <w:snapToGrid w:val="0"/>
                <w:color w:val="auto"/>
                <w:spacing w:val="0"/>
                <w:w w:val="100"/>
                <w:position w:val="0"/>
                <w:sz w:val="24"/>
                <w:highlight w:val="none"/>
                <w:lang w:val="en-US" w:eastAsia="zh-CN"/>
              </w:rPr>
              <w:t>2</w:t>
            </w:r>
            <w:r>
              <w:rPr>
                <w:rFonts w:hint="default" w:ascii="Times New Roman" w:hAnsi="Times New Roman" w:eastAsia="宋体" w:cs="Times New Roman"/>
                <w:caps w:val="0"/>
                <w:snapToGrid w:val="0"/>
                <w:color w:val="auto"/>
                <w:spacing w:val="0"/>
                <w:w w:val="100"/>
                <w:position w:val="0"/>
                <w:sz w:val="24"/>
                <w:highlight w:val="none"/>
              </w:rPr>
              <w:t>-</w:t>
            </w:r>
            <w:r>
              <w:rPr>
                <w:rFonts w:hint="default" w:ascii="Times New Roman" w:hAnsi="Times New Roman" w:eastAsia="宋体" w:cs="Times New Roman"/>
                <w:caps w:val="0"/>
                <w:snapToGrid w:val="0"/>
                <w:color w:val="auto"/>
                <w:spacing w:val="0"/>
                <w:w w:val="100"/>
                <w:position w:val="0"/>
                <w:sz w:val="24"/>
                <w:highlight w:val="none"/>
                <w:lang w:val="en-US" w:eastAsia="zh-CN"/>
              </w:rPr>
              <w:t>1</w:t>
            </w:r>
            <w:r>
              <w:rPr>
                <w:rFonts w:hint="default" w:ascii="Times New Roman" w:hAnsi="Times New Roman" w:eastAsia="宋体" w:cs="Times New Roman"/>
                <w:caps w:val="0"/>
                <w:snapToGrid w:val="0"/>
                <w:color w:val="auto"/>
                <w:spacing w:val="0"/>
                <w:w w:val="100"/>
                <w:position w:val="0"/>
                <w:sz w:val="24"/>
                <w:highlight w:val="none"/>
              </w:rPr>
              <w:t>所示。</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rPr>
              <w:object>
                <v:shape id="_x0000_i1025" o:spt="75" type="#_x0000_t75" style="height:147.85pt;width:437.55pt;" o:ole="t" filled="f" o:preferrelative="t" stroked="f" coordsize="21600,21600">
                  <v:path/>
                  <v:fill on="f" focussize="0,0"/>
                  <v:stroke on="f"/>
                  <v:imagedata r:id="rId19" o:title=""/>
                  <o:lock v:ext="edit" aspectratio="t"/>
                  <w10:wrap type="none"/>
                  <w10:anchorlock/>
                </v:shape>
                <o:OLEObject Type="Embed" ProgID="Visio.Drawing.11" ShapeID="_x0000_i1025" DrawAspect="Content" ObjectID="_1468075725" r:id="rId18">
                  <o:LockedField>false</o:LockedField>
                </o:OLEObject>
              </w:object>
            </w:r>
            <w:r>
              <w:rPr>
                <w:rFonts w:hint="default" w:ascii="Times New Roman" w:hAnsi="Times New Roman" w:eastAsia="宋体" w:cs="Times New Roman"/>
                <w:b/>
                <w:bCs/>
                <w:caps w:val="0"/>
                <w:snapToGrid w:val="0"/>
                <w:color w:val="auto"/>
                <w:spacing w:val="0"/>
                <w:w w:val="100"/>
                <w:position w:val="0"/>
                <w:sz w:val="21"/>
                <w:szCs w:val="21"/>
                <w:highlight w:val="none"/>
              </w:rPr>
              <w:t>图</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bCs/>
                <w:caps w:val="0"/>
                <w:snapToGrid w:val="0"/>
                <w:color w:val="auto"/>
                <w:spacing w:val="0"/>
                <w:w w:val="100"/>
                <w:position w:val="0"/>
                <w:sz w:val="21"/>
                <w:szCs w:val="21"/>
                <w:highlight w:val="none"/>
              </w:rPr>
              <w:t>-</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1</w:t>
            </w:r>
            <w:r>
              <w:rPr>
                <w:rFonts w:hint="default" w:ascii="Times New Roman" w:hAnsi="Times New Roman" w:eastAsia="宋体" w:cs="Times New Roman"/>
                <w:b/>
                <w:bCs/>
                <w:caps w:val="0"/>
                <w:snapToGrid w:val="0"/>
                <w:color w:val="auto"/>
                <w:spacing w:val="0"/>
                <w:w w:val="100"/>
                <w:position w:val="0"/>
                <w:sz w:val="21"/>
                <w:szCs w:val="21"/>
                <w:highlight w:val="none"/>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rPr>
              <w:t xml:space="preserve"> 运营期水平衡示意图   单位：m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6" w:type="dxa"/>
            <w:vAlign w:val="center"/>
          </w:tcPr>
          <w:p>
            <w:pPr>
              <w:pStyle w:val="23"/>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工艺流程和产排污环节</w:t>
            </w:r>
          </w:p>
        </w:tc>
        <w:tc>
          <w:tcPr>
            <w:tcW w:w="8936" w:type="dxa"/>
            <w:vAlign w:val="top"/>
          </w:tcPr>
          <w:p>
            <w:pPr>
              <w:keepNext w:val="0"/>
              <w:keepLines w:val="0"/>
              <w:pageBreakBefore w:val="0"/>
              <w:widowControl w:val="0"/>
              <w:kinsoku/>
              <w:wordWrap/>
              <w:overflowPunct/>
              <w:topLinePunct w:val="0"/>
              <w:autoSpaceDE/>
              <w:autoSpaceDN/>
              <w:bidi w:val="0"/>
              <w:adjustRightInd/>
              <w:snapToGrid/>
              <w:spacing w:after="0" w:line="351" w:lineRule="auto"/>
              <w:textAlignment w:val="auto"/>
              <w:rPr>
                <w:rFonts w:hint="default" w:ascii="Times New Roman" w:hAnsi="Times New Roman" w:eastAsia="宋体" w:cs="Times New Roman"/>
                <w:b/>
                <w:color w:val="auto"/>
                <w:sz w:val="24"/>
                <w:highlight w:val="none"/>
                <w:lang w:val="en-US" w:eastAsia="zh-CN"/>
              </w:rPr>
            </w:pPr>
            <w:bookmarkStart w:id="17" w:name="_Toc16932"/>
            <w:r>
              <w:rPr>
                <w:rFonts w:hint="default" w:ascii="Times New Roman" w:hAnsi="Times New Roman" w:eastAsia="宋体" w:cs="Times New Roman"/>
                <w:b/>
                <w:color w:val="auto"/>
                <w:sz w:val="24"/>
                <w:highlight w:val="none"/>
              </w:rPr>
              <w:t>一、施工期</w:t>
            </w:r>
            <w:r>
              <w:rPr>
                <w:rFonts w:hint="default" w:ascii="Times New Roman" w:hAnsi="Times New Roman" w:eastAsia="宋体" w:cs="Times New Roman"/>
                <w:b/>
                <w:color w:val="auto"/>
                <w:sz w:val="24"/>
                <w:highlight w:val="none"/>
                <w:lang w:val="en-US" w:eastAsia="zh-CN"/>
              </w:rPr>
              <w:t>工艺流程和产排污节点</w:t>
            </w:r>
          </w:p>
          <w:p>
            <w:pPr>
              <w:keepNext w:val="0"/>
              <w:keepLines w:val="0"/>
              <w:pageBreakBefore w:val="0"/>
              <w:widowControl w:val="0"/>
              <w:kinsoku/>
              <w:wordWrap/>
              <w:overflowPunct/>
              <w:topLinePunct w:val="0"/>
              <w:autoSpaceDE/>
              <w:autoSpaceDN/>
              <w:bidi w:val="0"/>
              <w:adjustRightInd/>
              <w:snapToGrid/>
              <w:spacing w:line="351"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1、施工主要工作内容</w:t>
            </w:r>
          </w:p>
          <w:p>
            <w:pPr>
              <w:keepNext w:val="0"/>
              <w:keepLines w:val="0"/>
              <w:pageBreakBefore w:val="0"/>
              <w:widowControl w:val="0"/>
              <w:kinsoku/>
              <w:wordWrap/>
              <w:overflowPunct/>
              <w:topLinePunct w:val="0"/>
              <w:autoSpaceDE/>
              <w:autoSpaceDN/>
              <w:bidi w:val="0"/>
              <w:adjustRightInd/>
              <w:snapToGrid/>
              <w:spacing w:line="351" w:lineRule="auto"/>
              <w:ind w:firstLine="480" w:firstLineChars="200"/>
              <w:textAlignment w:val="auto"/>
              <w:rPr>
                <w:rFonts w:hint="default" w:ascii="Times New Roman" w:hAnsi="Times New Roman" w:eastAsia="宋体" w:cs="Times New Roman"/>
                <w:b w:val="0"/>
                <w:bCs w:val="0"/>
                <w:iCs/>
                <w:color w:val="auto"/>
                <w:sz w:val="24"/>
                <w:highlight w:val="none"/>
                <w:lang w:val="en-US" w:eastAsia="zh-CN"/>
              </w:rPr>
            </w:pPr>
            <w:r>
              <w:rPr>
                <w:rFonts w:hint="default" w:ascii="Times New Roman" w:hAnsi="Times New Roman" w:eastAsia="宋体" w:cs="Times New Roman"/>
                <w:b w:val="0"/>
                <w:bCs w:val="0"/>
                <w:iCs/>
                <w:color w:val="auto"/>
                <w:sz w:val="24"/>
                <w:highlight w:val="none"/>
                <w:lang w:val="en-US" w:eastAsia="zh-CN"/>
              </w:rPr>
              <w:t>本次扩建在原项目已建生产厂房内，施工期主要进行简单隔断分区及设备安装，不涉及土建工程。</w:t>
            </w:r>
          </w:p>
          <w:p>
            <w:pPr>
              <w:keepNext w:val="0"/>
              <w:keepLines w:val="0"/>
              <w:pageBreakBefore w:val="0"/>
              <w:widowControl w:val="0"/>
              <w:kinsoku/>
              <w:wordWrap/>
              <w:overflowPunct/>
              <w:topLinePunct w:val="0"/>
              <w:autoSpaceDE/>
              <w:autoSpaceDN/>
              <w:bidi w:val="0"/>
              <w:adjustRightInd/>
              <w:snapToGrid/>
              <w:spacing w:line="351"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、施工组织安排</w:t>
            </w:r>
          </w:p>
          <w:p>
            <w:pPr>
              <w:keepNext w:val="0"/>
              <w:keepLines w:val="0"/>
              <w:pageBreakBefore w:val="0"/>
              <w:widowControl w:val="0"/>
              <w:kinsoku/>
              <w:wordWrap/>
              <w:overflowPunct/>
              <w:topLinePunct w:val="0"/>
              <w:autoSpaceDE/>
              <w:autoSpaceDN/>
              <w:bidi w:val="0"/>
              <w:adjustRightInd/>
              <w:snapToGrid/>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b w:val="0"/>
                <w:bCs w:val="0"/>
                <w:iCs/>
                <w:color w:val="auto"/>
                <w:sz w:val="24"/>
                <w:highlight w:val="none"/>
                <w:lang w:val="en-US" w:eastAsia="zh-CN"/>
              </w:rPr>
              <w:t>项目施工周期为3个月，</w:t>
            </w:r>
            <w:r>
              <w:rPr>
                <w:rFonts w:hint="default" w:ascii="Times New Roman" w:hAnsi="Times New Roman" w:eastAsia="宋体" w:cs="Times New Roman"/>
                <w:color w:val="auto"/>
                <w:sz w:val="24"/>
                <w:szCs w:val="24"/>
                <w:highlight w:val="none"/>
                <w:lang w:val="zh-CN"/>
              </w:rPr>
              <w:t>施工高峰期施工人员总量约为</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zh-CN"/>
              </w:rPr>
              <w:t>0人，施工场地内不设置施工生活营地，施工人员的餐饮住宿均依托周边配套服务设施。</w:t>
            </w:r>
          </w:p>
          <w:p>
            <w:pPr>
              <w:keepNext w:val="0"/>
              <w:keepLines w:val="0"/>
              <w:pageBreakBefore w:val="0"/>
              <w:widowControl w:val="0"/>
              <w:kinsoku/>
              <w:wordWrap/>
              <w:overflowPunct/>
              <w:topLinePunct w:val="0"/>
              <w:autoSpaceDE/>
              <w:autoSpaceDN/>
              <w:bidi w:val="0"/>
              <w:adjustRightInd/>
              <w:snapToGrid/>
              <w:spacing w:line="351"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zh-CN"/>
              </w:rPr>
              <w:t>、施工产污环节分析</w:t>
            </w:r>
          </w:p>
          <w:p>
            <w:pPr>
              <w:keepNext w:val="0"/>
              <w:keepLines w:val="0"/>
              <w:pageBreakBefore w:val="0"/>
              <w:widowControl w:val="0"/>
              <w:kinsoku/>
              <w:wordWrap/>
              <w:overflowPunct/>
              <w:topLinePunct w:val="0"/>
              <w:autoSpaceDE/>
              <w:autoSpaceDN/>
              <w:bidi w:val="0"/>
              <w:adjustRightInd/>
              <w:snapToGrid/>
              <w:spacing w:line="351" w:lineRule="auto"/>
              <w:ind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项目施工期主要污染工序及产污情况见图</w:t>
            </w:r>
            <w:r>
              <w:rPr>
                <w:rFonts w:hint="default"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lang w:val="zh-CN" w:eastAsia="zh-CN"/>
              </w:rPr>
              <w:t>。</w:t>
            </w:r>
          </w:p>
          <w:p>
            <w:pPr>
              <w:ind w:firstLine="0" w:firstLineChars="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kern w:val="2"/>
                <w:szCs w:val="22"/>
                <w:highlight w:val="none"/>
              </w:rPr>
              <w:object>
                <v:shape id="_x0000_i1026" o:spt="75" type="#_x0000_t75" style="height:89.2pt;width:226.6pt;" o:ole="t" filled="f" o:preferrelative="t" stroked="f" coordsize="21600,21600">
                  <v:path/>
                  <v:fill on="f" focussize="0,0"/>
                  <v:stroke on="f"/>
                  <v:imagedata r:id="rId21" o:title=""/>
                  <o:lock v:ext="edit" aspectratio="t"/>
                  <w10:wrap type="none"/>
                  <w10:anchorlock/>
                </v:shape>
                <o:OLEObject Type="Embed" ProgID="Visio.Drawing.11" ShapeID="_x0000_i1026" DrawAspect="Content" ObjectID="_1468075726" r:id="rId20">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Cs w:val="24"/>
                <w:highlight w:val="none"/>
              </w:rPr>
            </w:pPr>
            <w:r>
              <w:rPr>
                <w:rFonts w:hint="default" w:ascii="Times New Roman" w:hAnsi="Times New Roman" w:eastAsia="宋体" w:cs="Times New Roman"/>
                <w:b/>
                <w:bCs/>
                <w:color w:val="auto"/>
                <w:szCs w:val="24"/>
                <w:highlight w:val="none"/>
              </w:rPr>
              <w:t>图</w:t>
            </w:r>
            <w:r>
              <w:rPr>
                <w:rFonts w:hint="default" w:ascii="Times New Roman" w:hAnsi="Times New Roman" w:eastAsia="宋体" w:cs="Times New Roman"/>
                <w:b/>
                <w:bCs/>
                <w:color w:val="auto"/>
                <w:szCs w:val="24"/>
                <w:highlight w:val="none"/>
                <w:lang w:val="en-US" w:eastAsia="zh-CN"/>
              </w:rPr>
              <w:t>2-2</w:t>
            </w:r>
            <w:r>
              <w:rPr>
                <w:rFonts w:hint="default" w:ascii="Times New Roman" w:hAnsi="Times New Roman" w:eastAsia="宋体" w:cs="Times New Roman"/>
                <w:b/>
                <w:bCs/>
                <w:color w:val="auto"/>
                <w:szCs w:val="24"/>
                <w:highlight w:val="none"/>
              </w:rPr>
              <w:t xml:space="preserve">   项目施工期工艺流程及产污节点图</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rPr>
              <w:t>项目施工期产生的污染物</w:t>
            </w:r>
            <w:r>
              <w:rPr>
                <w:rFonts w:hint="default" w:ascii="Times New Roman" w:hAnsi="Times New Roman" w:eastAsia="宋体" w:cs="Times New Roman"/>
                <w:color w:val="auto"/>
                <w:sz w:val="24"/>
                <w:szCs w:val="24"/>
                <w:highlight w:val="none"/>
                <w:lang w:val="en-US" w:eastAsia="zh-CN"/>
              </w:rPr>
              <w:t>主要</w:t>
            </w:r>
            <w:r>
              <w:rPr>
                <w:rFonts w:hint="default" w:ascii="Times New Roman" w:hAnsi="Times New Roman" w:eastAsia="宋体" w:cs="Times New Roman"/>
                <w:color w:val="auto"/>
                <w:sz w:val="24"/>
                <w:szCs w:val="24"/>
                <w:highlight w:val="none"/>
              </w:rPr>
              <w:t>为</w:t>
            </w:r>
            <w:r>
              <w:rPr>
                <w:rFonts w:hint="default" w:ascii="Times New Roman" w:hAnsi="Times New Roman" w:eastAsia="宋体" w:cs="Times New Roman"/>
                <w:color w:val="auto"/>
                <w:sz w:val="24"/>
                <w:szCs w:val="24"/>
                <w:highlight w:val="none"/>
                <w:lang w:val="en-US" w:eastAsia="zh-CN"/>
              </w:rPr>
              <w:t>施工</w:t>
            </w:r>
            <w:r>
              <w:rPr>
                <w:rFonts w:hint="default" w:ascii="Times New Roman" w:hAnsi="Times New Roman" w:eastAsia="宋体" w:cs="Times New Roman"/>
                <w:color w:val="auto"/>
                <w:sz w:val="24"/>
                <w:szCs w:val="24"/>
                <w:highlight w:val="none"/>
                <w:lang w:eastAsia="zh-CN"/>
              </w:rPr>
              <w:t>废水、扬尘</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固废、</w:t>
            </w:r>
            <w:r>
              <w:rPr>
                <w:rFonts w:hint="default" w:ascii="Times New Roman" w:hAnsi="Times New Roman" w:eastAsia="宋体" w:cs="Times New Roman"/>
                <w:color w:val="auto"/>
                <w:sz w:val="24"/>
                <w:szCs w:val="24"/>
                <w:highlight w:val="none"/>
              </w:rPr>
              <w:t>噪声</w:t>
            </w:r>
            <w:r>
              <w:rPr>
                <w:rFonts w:hint="default" w:ascii="Times New Roman" w:hAnsi="Times New Roman" w:eastAsia="宋体" w:cs="Times New Roman"/>
                <w:color w:val="auto"/>
                <w:sz w:val="24"/>
                <w:szCs w:val="24"/>
                <w:highlight w:val="none"/>
                <w:lang w:val="en-US" w:eastAsia="zh-CN"/>
              </w:rPr>
              <w:t>及施工人员生活污水、生活垃圾</w:t>
            </w:r>
            <w:r>
              <w:rPr>
                <w:rFonts w:hint="default" w:ascii="Times New Roman" w:hAnsi="Times New Roman" w:eastAsia="宋体" w:cs="Times New Roman"/>
                <w:color w:val="auto"/>
                <w:sz w:val="24"/>
                <w:szCs w:val="24"/>
                <w:highlight w:val="none"/>
              </w:rPr>
              <w:t>等</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351" w:lineRule="auto"/>
              <w:textAlignment w:val="auto"/>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lang w:val="en-US" w:eastAsia="zh-CN"/>
              </w:rPr>
              <w:t>二</w:t>
            </w:r>
            <w:r>
              <w:rPr>
                <w:rFonts w:hint="default" w:ascii="Times New Roman" w:hAnsi="Times New Roman" w:eastAsia="宋体" w:cs="Times New Roman"/>
                <w:b/>
                <w:color w:val="auto"/>
                <w:sz w:val="24"/>
                <w:highlight w:val="none"/>
              </w:rPr>
              <w:t>、</w:t>
            </w:r>
            <w:r>
              <w:rPr>
                <w:rFonts w:hint="default" w:ascii="Times New Roman" w:hAnsi="Times New Roman" w:eastAsia="宋体" w:cs="Times New Roman"/>
                <w:b/>
                <w:color w:val="auto"/>
                <w:sz w:val="24"/>
                <w:highlight w:val="none"/>
                <w:lang w:val="en-US" w:eastAsia="zh-CN"/>
              </w:rPr>
              <w:t>运营</w:t>
            </w:r>
            <w:r>
              <w:rPr>
                <w:rFonts w:hint="default" w:ascii="Times New Roman" w:hAnsi="Times New Roman" w:eastAsia="宋体" w:cs="Times New Roman"/>
                <w:b/>
                <w:color w:val="auto"/>
                <w:sz w:val="24"/>
                <w:highlight w:val="none"/>
              </w:rPr>
              <w:t>期</w:t>
            </w:r>
            <w:r>
              <w:rPr>
                <w:rFonts w:hint="default" w:ascii="Times New Roman" w:hAnsi="Times New Roman" w:eastAsia="宋体" w:cs="Times New Roman"/>
                <w:b/>
                <w:color w:val="auto"/>
                <w:sz w:val="24"/>
                <w:highlight w:val="none"/>
                <w:lang w:val="en-US" w:eastAsia="zh-CN"/>
              </w:rPr>
              <w:t>工艺流程和产排污节点</w:t>
            </w:r>
          </w:p>
          <w:p>
            <w:pPr>
              <w:keepNext w:val="0"/>
              <w:keepLines w:val="0"/>
              <w:pageBreakBefore w:val="0"/>
              <w:widowControl w:val="0"/>
              <w:kinsoku/>
              <w:wordWrap/>
              <w:overflowPunct/>
              <w:topLinePunct w:val="0"/>
              <w:autoSpaceDE/>
              <w:autoSpaceDN/>
              <w:bidi w:val="0"/>
              <w:spacing w:line="351" w:lineRule="auto"/>
              <w:ind w:firstLine="482" w:firstLineChars="200"/>
              <w:textAlignment w:val="auto"/>
              <w:rPr>
                <w:rFonts w:hint="default" w:ascii="Times New Roman" w:hAnsi="Times New Roman" w:eastAsia="宋体" w:cs="Times New Roman"/>
                <w:b/>
                <w:bCs/>
                <w:iCs/>
                <w:color w:val="auto"/>
                <w:sz w:val="24"/>
                <w:highlight w:val="none"/>
                <w:lang w:val="en-US" w:eastAsia="zh-CN"/>
              </w:rPr>
            </w:pPr>
            <w:r>
              <w:rPr>
                <w:rFonts w:hint="default" w:ascii="Times New Roman" w:hAnsi="Times New Roman" w:eastAsia="宋体" w:cs="Times New Roman"/>
                <w:b/>
                <w:bCs/>
                <w:iCs/>
                <w:color w:val="auto"/>
                <w:sz w:val="24"/>
                <w:highlight w:val="none"/>
                <w:lang w:val="en-US" w:eastAsia="zh-CN"/>
              </w:rPr>
              <w:t>（一）运营期</w:t>
            </w:r>
            <w:r>
              <w:rPr>
                <w:rFonts w:hint="default" w:ascii="Times New Roman" w:hAnsi="Times New Roman" w:eastAsia="宋体" w:cs="Times New Roman"/>
                <w:b/>
                <w:bCs/>
                <w:color w:val="auto"/>
                <w:sz w:val="24"/>
                <w:highlight w:val="none"/>
                <w:lang w:val="en-US" w:eastAsia="zh-CN"/>
              </w:rPr>
              <w:t>工艺流程</w:t>
            </w:r>
          </w:p>
          <w:p>
            <w:pPr>
              <w:keepNext w:val="0"/>
              <w:keepLines w:val="0"/>
              <w:pageBreakBefore w:val="0"/>
              <w:widowControl w:val="0"/>
              <w:kinsoku/>
              <w:wordWrap/>
              <w:overflowPunct/>
              <w:topLinePunct w:val="0"/>
              <w:autoSpaceDE/>
              <w:autoSpaceDN/>
              <w:bidi w:val="0"/>
              <w:adjustRightInd w:val="0"/>
              <w:snapToGrid w:val="0"/>
              <w:spacing w:line="351"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1、农用塑料地膜、大棚膜生产</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项目主要</w:t>
            </w:r>
            <w:r>
              <w:rPr>
                <w:rFonts w:hint="default" w:ascii="Times New Roman" w:hAnsi="Times New Roman" w:eastAsia="宋体" w:cs="Times New Roman"/>
                <w:color w:val="auto"/>
                <w:sz w:val="24"/>
                <w:szCs w:val="24"/>
                <w:highlight w:val="none"/>
                <w:lang w:val="en-US" w:eastAsia="zh-CN"/>
              </w:rPr>
              <w:t>生产塑料薄膜，</w:t>
            </w:r>
            <w:r>
              <w:rPr>
                <w:rFonts w:hint="default" w:ascii="Times New Roman" w:hAnsi="Times New Roman" w:eastAsia="宋体" w:cs="Times New Roman"/>
                <w:color w:val="auto"/>
                <w:sz w:val="24"/>
                <w:szCs w:val="24"/>
                <w:highlight w:val="none"/>
              </w:rPr>
              <w:t>生产过程中所使用的原辅材料</w:t>
            </w:r>
            <w:r>
              <w:rPr>
                <w:rFonts w:hint="default" w:ascii="Times New Roman" w:hAnsi="Times New Roman" w:eastAsia="宋体" w:cs="Times New Roman"/>
                <w:color w:val="auto"/>
                <w:sz w:val="24"/>
                <w:szCs w:val="24"/>
                <w:highlight w:val="none"/>
                <w:lang w:eastAsia="zh-CN"/>
              </w:rPr>
              <w:t>均为外购新料，不使用回收废料作为原</w:t>
            </w:r>
            <w:r>
              <w:rPr>
                <w:rFonts w:hint="default" w:ascii="Times New Roman" w:hAnsi="Times New Roman" w:eastAsia="宋体" w:cs="Times New Roman"/>
                <w:color w:val="auto"/>
                <w:sz w:val="24"/>
                <w:szCs w:val="24"/>
                <w:highlight w:val="none"/>
                <w:lang w:val="en-US" w:eastAsia="zh-CN"/>
              </w:rPr>
              <w:t>料，农用塑料地膜与大棚膜仅厚度不同，其生产工艺完全一致，生产工艺及产排污节点如下图所示</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highlight w:val="none"/>
              </w:rPr>
              <w:object>
                <v:shape id="_x0000_i1027" o:spt="75" type="#_x0000_t75" style="height:361pt;width:264.4pt;" o:ole="t" filled="f" o:preferrelative="t" stroked="t" coordsize="21600,21600">
                  <v:path/>
                  <v:fill on="f" focussize="0,0"/>
                  <v:stroke weight="0.5pt" color="#000000" joinstyle="miter"/>
                  <v:imagedata r:id="rId23" cropbottom="4813f" o:title=""/>
                  <o:lock v:ext="edit" aspectratio="t"/>
                  <w10:wrap type="none"/>
                  <w10:anchorlock/>
                </v:shape>
                <o:OLEObject Type="Embed" ProgID="Visio.Drawing.11" ShapeID="_x0000_i1027" DrawAspect="Content" ObjectID="_1468075727" r:id="rId22">
                  <o:LockedField>false</o:LockedField>
                </o:OLEObject>
              </w:object>
            </w:r>
          </w:p>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图2-3   项目农用塑料地膜、大棚膜生产</w:t>
            </w:r>
            <w:r>
              <w:rPr>
                <w:rFonts w:hint="default" w:ascii="Times New Roman" w:hAnsi="Times New Roman" w:eastAsia="宋体" w:cs="Times New Roman"/>
                <w:b/>
                <w:bCs/>
                <w:color w:val="auto"/>
                <w:sz w:val="21"/>
                <w:szCs w:val="21"/>
                <w:highlight w:val="none"/>
              </w:rPr>
              <w:t>工艺</w:t>
            </w:r>
            <w:r>
              <w:rPr>
                <w:rFonts w:hint="default" w:ascii="Times New Roman" w:hAnsi="Times New Roman" w:eastAsia="宋体" w:cs="Times New Roman"/>
                <w:b/>
                <w:bCs/>
                <w:color w:val="auto"/>
                <w:sz w:val="21"/>
                <w:szCs w:val="21"/>
                <w:highlight w:val="none"/>
                <w:lang w:val="en-US" w:eastAsia="zh-CN"/>
              </w:rPr>
              <w:t>流程及产排污节点图</w:t>
            </w:r>
          </w:p>
          <w:p>
            <w:pPr>
              <w:keepNext w:val="0"/>
              <w:keepLines w:val="0"/>
              <w:pageBreakBefore w:val="0"/>
              <w:widowControl w:val="0"/>
              <w:wordWrap/>
              <w:topLinePunct w:val="0"/>
              <w:autoSpaceDE/>
              <w:autoSpaceDN/>
              <w:bidi w:val="0"/>
              <w:adjustRightInd w:val="0"/>
              <w:snapToGrid w:val="0"/>
              <w:spacing w:line="356" w:lineRule="auto"/>
              <w:ind w:firstLine="482" w:firstLineChars="200"/>
              <w:textAlignment w:val="auto"/>
              <w:outlineLvl w:val="9"/>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工艺流程</w:t>
            </w:r>
            <w:r>
              <w:rPr>
                <w:rFonts w:hint="default" w:ascii="Times New Roman" w:hAnsi="Times New Roman" w:eastAsia="宋体" w:cs="Times New Roman"/>
                <w:b/>
                <w:color w:val="auto"/>
                <w:sz w:val="24"/>
                <w:highlight w:val="none"/>
                <w:lang w:val="en-US" w:eastAsia="zh-CN"/>
              </w:rPr>
              <w:t>简述</w:t>
            </w:r>
            <w:r>
              <w:rPr>
                <w:rFonts w:hint="default" w:ascii="Times New Roman" w:hAnsi="Times New Roman" w:eastAsia="宋体" w:cs="Times New Roman"/>
                <w:b/>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highlight w:val="none"/>
                <w:lang w:val="zh-CN" w:eastAsia="zh-CN"/>
              </w:rPr>
            </w:pPr>
            <w:r>
              <w:rPr>
                <w:rFonts w:hint="default" w:ascii="Times New Roman" w:hAnsi="Times New Roman" w:eastAsia="宋体" w:cs="Times New Roman"/>
                <w:b/>
                <w:bCs/>
                <w:color w:val="auto"/>
                <w:sz w:val="24"/>
                <w:szCs w:val="24"/>
                <w:highlight w:val="none"/>
                <w:lang w:val="en-US" w:eastAsia="zh-CN"/>
              </w:rPr>
              <w:t>①</w:t>
            </w:r>
            <w:r>
              <w:rPr>
                <w:rFonts w:hint="default" w:ascii="Times New Roman" w:hAnsi="Times New Roman" w:eastAsia="宋体" w:cs="Times New Roman"/>
                <w:b/>
                <w:bCs/>
                <w:color w:val="auto"/>
                <w:sz w:val="24"/>
                <w:szCs w:val="24"/>
                <w:highlight w:val="none"/>
                <w:lang w:val="zh-CN" w:eastAsia="zh-CN"/>
              </w:rPr>
              <w:t>原料贮存、开包、计量</w:t>
            </w:r>
          </w:p>
          <w:p>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进厂的原料为袋装</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zh-CN" w:eastAsia="zh-CN"/>
              </w:rPr>
              <w:t>mm的</w:t>
            </w:r>
            <w:r>
              <w:rPr>
                <w:rFonts w:hint="default" w:ascii="Times New Roman" w:hAnsi="Times New Roman" w:eastAsia="宋体" w:cs="Times New Roman"/>
                <w:color w:val="auto"/>
                <w:sz w:val="24"/>
                <w:szCs w:val="24"/>
                <w:highlight w:val="none"/>
                <w:lang w:val="en-US" w:eastAsia="zh-CN"/>
              </w:rPr>
              <w:t>成品</w:t>
            </w:r>
            <w:r>
              <w:rPr>
                <w:rFonts w:hint="default" w:ascii="Times New Roman" w:hAnsi="Times New Roman" w:eastAsia="宋体" w:cs="Times New Roman"/>
                <w:color w:val="auto"/>
                <w:sz w:val="24"/>
                <w:szCs w:val="24"/>
                <w:highlight w:val="none"/>
                <w:lang w:val="zh-CN" w:eastAsia="zh-CN"/>
              </w:rPr>
              <w:t>粒料（</w:t>
            </w:r>
            <w:r>
              <w:rPr>
                <w:rFonts w:hint="default" w:ascii="Times New Roman" w:hAnsi="Times New Roman" w:eastAsia="宋体" w:cs="Times New Roman"/>
                <w:color w:val="auto"/>
                <w:sz w:val="24"/>
                <w:szCs w:val="24"/>
                <w:highlight w:val="none"/>
                <w:lang w:val="en-US" w:eastAsia="zh-CN"/>
              </w:rPr>
              <w:t>25kg</w:t>
            </w:r>
            <w:r>
              <w:rPr>
                <w:rFonts w:hint="default" w:ascii="Times New Roman" w:hAnsi="Times New Roman" w:eastAsia="宋体" w:cs="Times New Roman"/>
                <w:color w:val="auto"/>
                <w:sz w:val="24"/>
                <w:szCs w:val="24"/>
                <w:highlight w:val="none"/>
                <w:lang w:val="zh-CN" w:eastAsia="zh-CN"/>
              </w:rPr>
              <w:t>/袋）。用叉车将原料仓库内的原料搬运到生产车间计量工序，人工开包拆除原料包装的封口线，合格的原辅材料</w:t>
            </w:r>
            <w:r>
              <w:rPr>
                <w:rFonts w:hint="default" w:ascii="Times New Roman" w:hAnsi="Times New Roman" w:eastAsia="宋体" w:cs="Times New Roman"/>
                <w:color w:val="auto"/>
                <w:sz w:val="24"/>
                <w:szCs w:val="24"/>
                <w:highlight w:val="none"/>
                <w:lang w:val="en-US" w:eastAsia="zh-CN"/>
              </w:rPr>
              <w:t>高密度</w:t>
            </w:r>
            <w:r>
              <w:rPr>
                <w:rFonts w:hint="default" w:ascii="Times New Roman" w:hAnsi="Times New Roman" w:eastAsia="宋体" w:cs="Times New Roman"/>
                <w:color w:val="auto"/>
                <w:sz w:val="24"/>
                <w:szCs w:val="24"/>
                <w:highlight w:val="none"/>
                <w:lang w:val="zh-CN" w:eastAsia="zh-CN"/>
              </w:rPr>
              <w:t>聚乙烯</w:t>
            </w:r>
            <w:r>
              <w:rPr>
                <w:rFonts w:hint="default" w:ascii="Times New Roman" w:hAnsi="Times New Roman" w:eastAsia="宋体" w:cs="Times New Roman"/>
                <w:color w:val="auto"/>
                <w:sz w:val="24"/>
                <w:szCs w:val="24"/>
                <w:highlight w:val="none"/>
                <w:lang w:val="en-US" w:eastAsia="zh-CN"/>
              </w:rPr>
              <w:t>、低密度</w:t>
            </w:r>
            <w:r>
              <w:rPr>
                <w:rFonts w:hint="default" w:ascii="Times New Roman" w:hAnsi="Times New Roman" w:eastAsia="宋体" w:cs="Times New Roman"/>
                <w:color w:val="auto"/>
                <w:sz w:val="24"/>
                <w:szCs w:val="24"/>
                <w:highlight w:val="none"/>
                <w:lang w:val="zh-CN" w:eastAsia="zh-CN"/>
              </w:rPr>
              <w:t>聚乙烯、抗老化母料</w:t>
            </w:r>
            <w:r>
              <w:rPr>
                <w:rFonts w:hint="default" w:ascii="Times New Roman" w:hAnsi="Times New Roman" w:eastAsia="宋体" w:cs="Times New Roman"/>
                <w:color w:val="auto"/>
                <w:sz w:val="24"/>
                <w:szCs w:val="24"/>
                <w:highlight w:val="none"/>
                <w:lang w:val="en-US" w:eastAsia="zh-CN"/>
              </w:rPr>
              <w:t>及色母粒</w:t>
            </w:r>
            <w:r>
              <w:rPr>
                <w:rFonts w:hint="default" w:ascii="Times New Roman" w:hAnsi="Times New Roman" w:eastAsia="宋体" w:cs="Times New Roman"/>
                <w:color w:val="auto"/>
                <w:sz w:val="24"/>
                <w:szCs w:val="24"/>
                <w:highlight w:val="none"/>
                <w:lang w:val="zh-CN" w:eastAsia="zh-CN"/>
              </w:rPr>
              <w:t>按工艺要求倒入</w:t>
            </w:r>
            <w:r>
              <w:rPr>
                <w:rFonts w:hint="default" w:ascii="Times New Roman" w:hAnsi="Times New Roman" w:eastAsia="宋体" w:cs="Times New Roman"/>
                <w:color w:val="auto"/>
                <w:sz w:val="24"/>
                <w:szCs w:val="24"/>
                <w:highlight w:val="none"/>
                <w:lang w:val="en-US" w:eastAsia="zh-CN"/>
              </w:rPr>
              <w:t>搅拌机</w:t>
            </w:r>
            <w:r>
              <w:rPr>
                <w:rFonts w:hint="default" w:ascii="Times New Roman" w:hAnsi="Times New Roman" w:eastAsia="宋体" w:cs="Times New Roman"/>
                <w:color w:val="auto"/>
                <w:sz w:val="24"/>
                <w:szCs w:val="24"/>
                <w:highlight w:val="none"/>
                <w:lang w:val="zh-CN" w:eastAsia="zh-CN"/>
              </w:rPr>
              <w:t>料仓内。</w:t>
            </w:r>
          </w:p>
          <w:p>
            <w:pPr>
              <w:pStyle w:val="82"/>
              <w:keepNext w:val="0"/>
              <w:keepLines w:val="0"/>
              <w:pageBreakBefore w:val="0"/>
              <w:widowControl w:val="0"/>
              <w:wordWrap/>
              <w:topLinePunct w:val="0"/>
              <w:autoSpaceDE/>
              <w:autoSpaceDN/>
              <w:bidi w:val="0"/>
              <w:spacing w:beforeLines="0" w:afterLines="0" w:line="356" w:lineRule="auto"/>
              <w:ind w:firstLine="482"/>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lang w:eastAsia="zh-CN"/>
              </w:rPr>
              <w:t>此过程拆除原料时会产生废包装材料</w:t>
            </w:r>
            <w:r>
              <w:rPr>
                <w:rFonts w:hint="default" w:ascii="Times New Roman" w:hAnsi="Times New Roman" w:eastAsia="宋体" w:cs="Times New Roman"/>
                <w:color w:val="auto"/>
                <w:sz w:val="24"/>
                <w:szCs w:val="24"/>
                <w:highlight w:val="none"/>
                <w:lang w:val="en-US" w:eastAsia="zh-CN"/>
              </w:rPr>
              <w:t>S</w:t>
            </w:r>
            <w:r>
              <w:rPr>
                <w:rFonts w:hint="default" w:ascii="Times New Roman" w:hAnsi="Times New Roman" w:eastAsia="宋体" w:cs="Times New Roman"/>
                <w:color w:val="auto"/>
                <w:sz w:val="24"/>
                <w:szCs w:val="24"/>
                <w:highlight w:val="none"/>
                <w:vertAlign w:val="baseline"/>
                <w:lang w:val="en-US" w:eastAsia="zh-CN"/>
              </w:rPr>
              <w:t>1</w:t>
            </w:r>
            <w:r>
              <w:rPr>
                <w:rFonts w:hint="default" w:ascii="Times New Roman" w:hAnsi="Times New Roman" w:eastAsia="宋体" w:cs="Times New Roman"/>
                <w:color w:val="auto"/>
                <w:sz w:val="24"/>
                <w:szCs w:val="24"/>
                <w:highlight w:val="none"/>
              </w:rPr>
              <w:t>。</w:t>
            </w:r>
          </w:p>
          <w:p>
            <w:pPr>
              <w:pStyle w:val="82"/>
              <w:keepNext w:val="0"/>
              <w:keepLines w:val="0"/>
              <w:pageBreakBefore w:val="0"/>
              <w:widowControl w:val="0"/>
              <w:wordWrap/>
              <w:topLinePunct w:val="0"/>
              <w:autoSpaceDE/>
              <w:autoSpaceDN/>
              <w:bidi w:val="0"/>
              <w:spacing w:beforeLines="0" w:afterLines="0" w:line="356" w:lineRule="auto"/>
              <w:ind w:firstLine="482"/>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color w:val="auto"/>
                <w:sz w:val="24"/>
                <w:szCs w:val="24"/>
                <w:highlight w:val="none"/>
                <w:lang w:val="en-US" w:eastAsia="zh-CN"/>
              </w:rPr>
              <w:t>②</w:t>
            </w:r>
            <w:r>
              <w:rPr>
                <w:rFonts w:hint="default" w:ascii="Times New Roman" w:hAnsi="Times New Roman" w:eastAsia="宋体" w:cs="Times New Roman"/>
                <w:b/>
                <w:color w:val="auto"/>
                <w:sz w:val="24"/>
                <w:szCs w:val="24"/>
                <w:highlight w:val="none"/>
              </w:rPr>
              <w:t>拌料</w:t>
            </w: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color w:val="auto"/>
                <w:szCs w:val="24"/>
                <w:highlight w:val="none"/>
                <w:lang w:val="zh-CN"/>
              </w:rPr>
              <w:t>将</w:t>
            </w:r>
            <w:r>
              <w:rPr>
                <w:rFonts w:hint="default" w:ascii="Times New Roman" w:hAnsi="Times New Roman" w:eastAsia="宋体" w:cs="Times New Roman"/>
                <w:color w:val="auto"/>
                <w:sz w:val="24"/>
                <w:szCs w:val="24"/>
                <w:highlight w:val="none"/>
                <w:lang w:val="en-US" w:eastAsia="zh-CN"/>
              </w:rPr>
              <w:t>高密度</w:t>
            </w:r>
            <w:r>
              <w:rPr>
                <w:rFonts w:hint="default" w:ascii="Times New Roman" w:hAnsi="Times New Roman" w:eastAsia="宋体" w:cs="Times New Roman"/>
                <w:color w:val="auto"/>
                <w:sz w:val="24"/>
                <w:szCs w:val="24"/>
                <w:highlight w:val="none"/>
                <w:lang w:val="zh-CN" w:eastAsia="zh-CN"/>
              </w:rPr>
              <w:t>聚乙烯</w:t>
            </w:r>
            <w:r>
              <w:rPr>
                <w:rFonts w:hint="default" w:ascii="Times New Roman" w:hAnsi="Times New Roman" w:eastAsia="宋体" w:cs="Times New Roman"/>
                <w:color w:val="auto"/>
                <w:sz w:val="24"/>
                <w:szCs w:val="24"/>
                <w:highlight w:val="none"/>
                <w:lang w:val="en-US" w:eastAsia="zh-CN"/>
              </w:rPr>
              <w:t>、低密度</w:t>
            </w:r>
            <w:r>
              <w:rPr>
                <w:rFonts w:hint="default" w:ascii="Times New Roman" w:hAnsi="Times New Roman" w:eastAsia="宋体" w:cs="Times New Roman"/>
                <w:color w:val="auto"/>
                <w:sz w:val="24"/>
                <w:szCs w:val="24"/>
                <w:highlight w:val="none"/>
                <w:lang w:val="zh-CN" w:eastAsia="zh-CN"/>
              </w:rPr>
              <w:t>聚乙烯、抗老化母料</w:t>
            </w:r>
            <w:r>
              <w:rPr>
                <w:rFonts w:hint="default" w:ascii="Times New Roman" w:hAnsi="Times New Roman" w:eastAsia="宋体" w:cs="Times New Roman"/>
                <w:color w:val="auto"/>
                <w:szCs w:val="24"/>
                <w:highlight w:val="none"/>
                <w:lang w:val="zh-CN"/>
              </w:rPr>
              <w:t>颗粒原料</w:t>
            </w:r>
            <w:r>
              <w:rPr>
                <w:rFonts w:hint="default" w:ascii="Times New Roman" w:hAnsi="Times New Roman" w:eastAsia="宋体" w:cs="Times New Roman"/>
                <w:color w:val="auto"/>
                <w:szCs w:val="24"/>
                <w:highlight w:val="none"/>
              </w:rPr>
              <w:t>按照颜色配比加入一定量的色母粒后，在密闭搅拌桶内进行混合搅拌</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szCs w:val="24"/>
                <w:highlight w:val="none"/>
                <w:lang w:val="en-US" w:eastAsia="zh-CN"/>
              </w:rPr>
              <w:t>项目区内的原辅料均</w:t>
            </w:r>
            <w:r>
              <w:rPr>
                <w:rFonts w:hint="default" w:ascii="Times New Roman" w:hAnsi="Times New Roman" w:eastAsia="宋体" w:cs="Times New Roman"/>
                <w:color w:val="auto"/>
                <w:szCs w:val="24"/>
                <w:highlight w:val="none"/>
              </w:rPr>
              <w:t>为颗粒状，粒径在3-4mm</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拌料过程</w:t>
            </w:r>
            <w:r>
              <w:rPr>
                <w:rFonts w:hint="default" w:ascii="Times New Roman" w:hAnsi="Times New Roman" w:eastAsia="宋体" w:cs="Times New Roman"/>
                <w:color w:val="auto"/>
                <w:sz w:val="24"/>
                <w:szCs w:val="24"/>
                <w:highlight w:val="none"/>
              </w:rPr>
              <w:t>不易产尘</w:t>
            </w:r>
            <w:r>
              <w:rPr>
                <w:rFonts w:hint="default" w:ascii="Times New Roman" w:hAnsi="Times New Roman" w:eastAsia="宋体" w:cs="Times New Roman"/>
                <w:color w:val="auto"/>
                <w:sz w:val="24"/>
                <w:szCs w:val="24"/>
                <w:highlight w:val="none"/>
                <w:lang w:eastAsia="zh-CN"/>
              </w:rPr>
              <w:t>。</w:t>
            </w:r>
          </w:p>
          <w:p>
            <w:pPr>
              <w:pStyle w:val="82"/>
              <w:keepNext w:val="0"/>
              <w:keepLines w:val="0"/>
              <w:pageBreakBefore w:val="0"/>
              <w:widowControl w:val="0"/>
              <w:wordWrap/>
              <w:topLinePunct w:val="0"/>
              <w:autoSpaceDE/>
              <w:autoSpaceDN/>
              <w:bidi w:val="0"/>
              <w:spacing w:beforeLines="0" w:afterLines="0" w:line="356" w:lineRule="auto"/>
              <w:ind w:firstLine="482"/>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Cs w:val="24"/>
                <w:highlight w:val="none"/>
              </w:rPr>
              <w:t>此过程中会产生设备噪声</w:t>
            </w:r>
            <w:r>
              <w:rPr>
                <w:rFonts w:hint="default" w:ascii="Times New Roman" w:hAnsi="Times New Roman" w:eastAsia="宋体" w:cs="Times New Roman"/>
                <w:color w:val="auto"/>
                <w:sz w:val="24"/>
                <w:szCs w:val="24"/>
                <w:highlight w:val="none"/>
                <w:lang w:val="en-US" w:eastAsia="zh-CN"/>
              </w:rPr>
              <w:t>N1</w:t>
            </w:r>
            <w:r>
              <w:rPr>
                <w:rFonts w:hint="default" w:ascii="Times New Roman" w:hAnsi="Times New Roman" w:eastAsia="宋体" w:cs="Times New Roman"/>
                <w:color w:val="auto"/>
                <w:szCs w:val="24"/>
                <w:highlight w:val="none"/>
              </w:rPr>
              <w:t>。</w:t>
            </w:r>
          </w:p>
          <w:p>
            <w:pPr>
              <w:pStyle w:val="82"/>
              <w:keepNext w:val="0"/>
              <w:keepLines w:val="0"/>
              <w:pageBreakBefore w:val="0"/>
              <w:widowControl w:val="0"/>
              <w:wordWrap/>
              <w:topLinePunct w:val="0"/>
              <w:autoSpaceDE/>
              <w:autoSpaceDN/>
              <w:bidi w:val="0"/>
              <w:spacing w:beforeLines="0" w:afterLines="0" w:line="356" w:lineRule="auto"/>
              <w:ind w:firstLine="482"/>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③上料、加热、吹膜、风环冷却、牵引、卷膜成筒</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val="0"/>
                <w:bCs/>
                <w:color w:val="auto"/>
                <w:sz w:val="24"/>
                <w:szCs w:val="24"/>
                <w:highlight w:val="none"/>
                <w:lang w:val="en-US" w:eastAsia="zh-CN"/>
              </w:rPr>
              <w:t>上料、加热、吹膜、风环冷却、卷膜成筒在一体化的吹膜机内完成。</w:t>
            </w:r>
            <w:r>
              <w:rPr>
                <w:rFonts w:hint="default" w:ascii="Times New Roman" w:hAnsi="Times New Roman" w:eastAsia="宋体" w:cs="Times New Roman"/>
                <w:color w:val="auto"/>
                <w:sz w:val="24"/>
                <w:szCs w:val="24"/>
                <w:highlight w:val="none"/>
              </w:rPr>
              <w:t>拌料完毕后</w:t>
            </w:r>
            <w:r>
              <w:rPr>
                <w:rFonts w:hint="default" w:ascii="Times New Roman" w:hAnsi="Times New Roman" w:eastAsia="宋体" w:cs="Times New Roman"/>
                <w:color w:val="auto"/>
                <w:szCs w:val="24"/>
                <w:highlight w:val="none"/>
              </w:rPr>
              <w:t>的原辅料由螺旋输送系统</w:t>
            </w:r>
            <w:r>
              <w:rPr>
                <w:rFonts w:hint="default" w:ascii="Times New Roman" w:hAnsi="Times New Roman" w:eastAsia="宋体" w:cs="Times New Roman"/>
                <w:color w:val="auto"/>
                <w:sz w:val="24"/>
                <w:szCs w:val="24"/>
                <w:highlight w:val="none"/>
              </w:rPr>
              <w:t>向</w:t>
            </w:r>
            <w:r>
              <w:rPr>
                <w:rFonts w:hint="default" w:ascii="Times New Roman" w:hAnsi="Times New Roman" w:eastAsia="宋体" w:cs="Times New Roman"/>
                <w:color w:val="auto"/>
                <w:sz w:val="24"/>
                <w:szCs w:val="24"/>
                <w:highlight w:val="none"/>
                <w:lang w:val="en-US" w:eastAsia="zh-CN"/>
              </w:rPr>
              <w:t>吹膜机</w:t>
            </w:r>
            <w:r>
              <w:rPr>
                <w:rFonts w:hint="default" w:ascii="Times New Roman" w:hAnsi="Times New Roman" w:eastAsia="宋体" w:cs="Times New Roman"/>
                <w:color w:val="auto"/>
                <w:sz w:val="24"/>
                <w:szCs w:val="24"/>
                <w:highlight w:val="none"/>
              </w:rPr>
              <w:t>供料仓真空抽取供料，螺旋上料系统为全密封。</w:t>
            </w:r>
            <w:r>
              <w:rPr>
                <w:rFonts w:hint="default" w:ascii="Times New Roman" w:hAnsi="Times New Roman" w:eastAsia="宋体" w:cs="Times New Roman"/>
                <w:color w:val="auto"/>
                <w:sz w:val="24"/>
                <w:szCs w:val="24"/>
                <w:highlight w:val="none"/>
                <w:lang w:val="en-US" w:eastAsia="zh-CN"/>
              </w:rPr>
              <w:t>供料仓内粒料靠本身的重量进入螺杆，当粒料与螺纹斜棱接触后，旋转的斜棱面对塑料产生与斜棱面相垂直的推力，将粒料向前推移，推移过程中，由于塑料与螺杆、塑料与机筒之间的摩擦以及颗粒间的碰撞</w:t>
            </w:r>
            <w:r>
              <w:rPr>
                <w:rFonts w:hint="eastAsia" w:cs="Times New Roman"/>
                <w:color w:val="auto"/>
                <w:sz w:val="24"/>
                <w:szCs w:val="24"/>
                <w:highlight w:val="none"/>
                <w:lang w:val="en-US" w:eastAsia="zh-CN"/>
              </w:rPr>
              <w:t>摩擦</w:t>
            </w:r>
            <w:r>
              <w:rPr>
                <w:rFonts w:hint="default" w:ascii="Times New Roman" w:hAnsi="Times New Roman" w:eastAsia="宋体" w:cs="Times New Roman"/>
                <w:color w:val="auto"/>
                <w:sz w:val="24"/>
                <w:szCs w:val="24"/>
                <w:highlight w:val="none"/>
                <w:lang w:val="en-US" w:eastAsia="zh-CN"/>
              </w:rPr>
              <w:t>，同时还有机筒外部加热</w:t>
            </w:r>
            <w:r>
              <w:rPr>
                <w:rFonts w:hint="default" w:ascii="Times New Roman" w:hAnsi="Times New Roman" w:eastAsia="宋体" w:cs="Times New Roman"/>
                <w:color w:val="auto"/>
                <w:sz w:val="24"/>
                <w:szCs w:val="24"/>
                <w:highlight w:val="none"/>
              </w:rPr>
              <w:t>（电加热，熔融温度控制在</w:t>
            </w:r>
            <w:r>
              <w:rPr>
                <w:rFonts w:hint="default" w:ascii="Times New Roman" w:hAnsi="Times New Roman" w:eastAsia="宋体" w:cs="Times New Roman"/>
                <w:color w:val="auto"/>
                <w:sz w:val="24"/>
                <w:szCs w:val="24"/>
                <w:highlight w:val="none"/>
                <w:lang w:val="en-US" w:eastAsia="zh-CN"/>
              </w:rPr>
              <w:t>150</w:t>
            </w:r>
            <w:r>
              <w:rPr>
                <w:rFonts w:hint="default" w:ascii="Times New Roman" w:hAnsi="Times New Roman" w:eastAsia="宋体" w:cs="Times New Roman"/>
                <w:color w:val="auto"/>
                <w:sz w:val="24"/>
                <w:szCs w:val="24"/>
                <w:highlight w:val="none"/>
              </w:rPr>
              <w:t>℃左右）</w:t>
            </w:r>
            <w:r>
              <w:rPr>
                <w:rFonts w:hint="default" w:ascii="Times New Roman" w:hAnsi="Times New Roman" w:eastAsia="宋体" w:cs="Times New Roman"/>
                <w:color w:val="auto"/>
                <w:sz w:val="24"/>
                <w:szCs w:val="24"/>
                <w:highlight w:val="none"/>
                <w:lang w:val="en-US" w:eastAsia="zh-CN"/>
              </w:rPr>
              <w:t>而使塑料颗粒逐步</w:t>
            </w:r>
            <w:r>
              <w:rPr>
                <w:rFonts w:hint="eastAsia" w:cs="Times New Roman"/>
                <w:color w:val="auto"/>
                <w:sz w:val="24"/>
                <w:szCs w:val="24"/>
                <w:highlight w:val="none"/>
                <w:lang w:val="en-US" w:eastAsia="zh-CN"/>
              </w:rPr>
              <w:t>熔化</w:t>
            </w:r>
            <w:r>
              <w:rPr>
                <w:rFonts w:hint="default" w:ascii="Times New Roman" w:hAnsi="Times New Roman" w:eastAsia="宋体" w:cs="Times New Roman"/>
                <w:color w:val="auto"/>
                <w:sz w:val="24"/>
                <w:szCs w:val="24"/>
                <w:highlight w:val="none"/>
                <w:lang w:val="en-US" w:eastAsia="zh-CN"/>
              </w:rPr>
              <w:t>。熔融的塑料从模头模口出来，经风环冷却、吹胀，经稳架人字板、牵引辊将成品薄膜卷成筒。</w:t>
            </w:r>
          </w:p>
          <w:p>
            <w:pPr>
              <w:pStyle w:val="82"/>
              <w:keepNext w:val="0"/>
              <w:keepLines w:val="0"/>
              <w:pageBreakBefore w:val="0"/>
              <w:widowControl w:val="0"/>
              <w:wordWrap/>
              <w:topLinePunct w:val="0"/>
              <w:autoSpaceDE/>
              <w:autoSpaceDN/>
              <w:bidi w:val="0"/>
              <w:spacing w:beforeLines="0" w:afterLines="0" w:line="356" w:lineRule="auto"/>
              <w:ind w:firstLine="482"/>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eastAsia="zh-CN"/>
              </w:rPr>
              <w:t>此过程会产生废气G1（非甲烷总烃、臭气浓度）、边角料S2、吹膜机噪声N2。</w:t>
            </w:r>
          </w:p>
          <w:p>
            <w:pPr>
              <w:pStyle w:val="82"/>
              <w:keepNext w:val="0"/>
              <w:keepLines w:val="0"/>
              <w:pageBreakBefore w:val="0"/>
              <w:widowControl w:val="0"/>
              <w:wordWrap/>
              <w:topLinePunct w:val="0"/>
              <w:autoSpaceDE/>
              <w:autoSpaceDN/>
              <w:bidi w:val="0"/>
              <w:spacing w:beforeLines="0" w:afterLines="0" w:line="356" w:lineRule="auto"/>
              <w:ind w:firstLine="482"/>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吹膜过程产生的废气由集气罩收集进入1套</w:t>
            </w:r>
            <w:r>
              <w:rPr>
                <w:rFonts w:hint="default" w:ascii="Times New Roman" w:hAnsi="Times New Roman" w:eastAsia="宋体" w:cs="Times New Roman"/>
                <w:color w:val="auto"/>
                <w:szCs w:val="24"/>
                <w:highlight w:val="none"/>
              </w:rPr>
              <w:t>“</w:t>
            </w:r>
            <w:r>
              <w:rPr>
                <w:rFonts w:hint="default" w:ascii="Times New Roman" w:hAnsi="Times New Roman" w:eastAsia="宋体" w:cs="Times New Roman"/>
                <w:color w:val="auto"/>
                <w:szCs w:val="24"/>
                <w:highlight w:val="none"/>
                <w:lang w:val="en-US" w:eastAsia="zh-CN"/>
              </w:rPr>
              <w:t>UV光氧催化+三级活性炭吸附</w:t>
            </w:r>
            <w:r>
              <w:rPr>
                <w:rFonts w:hint="default" w:ascii="Times New Roman" w:hAnsi="Times New Roman" w:eastAsia="宋体" w:cs="Times New Roman"/>
                <w:color w:val="auto"/>
                <w:sz w:val="24"/>
                <w:szCs w:val="24"/>
                <w:highlight w:val="none"/>
              </w:rPr>
              <w:t>装置</w:t>
            </w:r>
            <w:r>
              <w:rPr>
                <w:rFonts w:hint="default" w:ascii="Times New Roman" w:hAnsi="Times New Roman" w:eastAsia="宋体" w:cs="Times New Roman"/>
                <w:color w:val="auto"/>
                <w:szCs w:val="24"/>
                <w:highlight w:val="none"/>
              </w:rPr>
              <w:t>”</w:t>
            </w:r>
            <w:r>
              <w:rPr>
                <w:rFonts w:hint="default" w:ascii="Times New Roman" w:hAnsi="Times New Roman" w:eastAsia="宋体" w:cs="Times New Roman"/>
                <w:color w:val="auto"/>
                <w:sz w:val="24"/>
                <w:szCs w:val="24"/>
                <w:highlight w:val="none"/>
                <w:lang w:val="en-US" w:eastAsia="zh-CN"/>
              </w:rPr>
              <w:t>处理后由1根15m高的排气筒排放，此过程产生废活性炭S4、废UV灯管S5。</w:t>
            </w:r>
          </w:p>
          <w:p>
            <w:pPr>
              <w:pStyle w:val="82"/>
              <w:keepNext w:val="0"/>
              <w:keepLines w:val="0"/>
              <w:pageBreakBefore w:val="0"/>
              <w:widowControl w:val="0"/>
              <w:wordWrap/>
              <w:topLinePunct w:val="0"/>
              <w:autoSpaceDE/>
              <w:autoSpaceDN/>
              <w:bidi w:val="0"/>
              <w:spacing w:beforeLines="0" w:afterLines="0" w:line="356" w:lineRule="auto"/>
              <w:ind w:firstLine="482"/>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b/>
                <w:color w:val="auto"/>
                <w:sz w:val="24"/>
                <w:szCs w:val="24"/>
                <w:highlight w:val="none"/>
                <w:lang w:val="en-US" w:eastAsia="zh-CN"/>
              </w:rPr>
              <w:t>③</w:t>
            </w:r>
            <w:r>
              <w:rPr>
                <w:rFonts w:hint="default" w:ascii="Times New Roman" w:hAnsi="Times New Roman" w:eastAsia="宋体" w:cs="Times New Roman"/>
                <w:b/>
                <w:color w:val="auto"/>
                <w:sz w:val="24"/>
                <w:szCs w:val="24"/>
                <w:highlight w:val="none"/>
              </w:rPr>
              <w:t>检验：</w:t>
            </w:r>
            <w:r>
              <w:rPr>
                <w:rFonts w:hint="default" w:ascii="Times New Roman" w:hAnsi="Times New Roman" w:eastAsia="宋体" w:cs="Times New Roman"/>
                <w:b w:val="0"/>
                <w:bCs/>
                <w:color w:val="auto"/>
                <w:sz w:val="24"/>
                <w:szCs w:val="24"/>
                <w:highlight w:val="none"/>
                <w:lang w:val="en-US" w:eastAsia="zh-CN"/>
              </w:rPr>
              <w:t>卷膜成</w:t>
            </w:r>
            <w:r>
              <w:rPr>
                <w:rFonts w:hint="default" w:ascii="Times New Roman" w:hAnsi="Times New Roman" w:eastAsia="宋体" w:cs="Times New Roman"/>
                <w:color w:val="auto"/>
                <w:sz w:val="24"/>
                <w:szCs w:val="24"/>
                <w:highlight w:val="none"/>
                <w:lang w:val="en-US" w:eastAsia="zh-CN"/>
              </w:rPr>
              <w:t>筒</w:t>
            </w:r>
            <w:r>
              <w:rPr>
                <w:rFonts w:hint="default" w:ascii="Times New Roman" w:hAnsi="Times New Roman" w:eastAsia="宋体" w:cs="Times New Roman"/>
                <w:color w:val="auto"/>
                <w:sz w:val="24"/>
                <w:szCs w:val="24"/>
                <w:highlight w:val="none"/>
                <w:lang w:val="zh-CN" w:eastAsia="zh-CN"/>
              </w:rPr>
              <w:t>完成后对产品进行</w:t>
            </w:r>
            <w:r>
              <w:rPr>
                <w:rFonts w:hint="default" w:ascii="Times New Roman" w:hAnsi="Times New Roman" w:eastAsia="宋体" w:cs="Times New Roman"/>
                <w:color w:val="auto"/>
                <w:sz w:val="24"/>
                <w:szCs w:val="24"/>
                <w:highlight w:val="none"/>
                <w:lang w:val="en-US" w:eastAsia="zh-CN"/>
              </w:rPr>
              <w:t>物理</w:t>
            </w:r>
            <w:r>
              <w:rPr>
                <w:rFonts w:hint="default" w:ascii="Times New Roman" w:hAnsi="Times New Roman" w:eastAsia="宋体" w:cs="Times New Roman"/>
                <w:color w:val="auto"/>
                <w:sz w:val="24"/>
                <w:szCs w:val="24"/>
                <w:highlight w:val="none"/>
                <w:lang w:val="zh-CN" w:eastAsia="zh-CN"/>
              </w:rPr>
              <w:t>检验，</w:t>
            </w:r>
            <w:r>
              <w:rPr>
                <w:rFonts w:hint="default" w:ascii="Times New Roman" w:hAnsi="Times New Roman" w:eastAsia="宋体" w:cs="Times New Roman"/>
                <w:color w:val="auto"/>
                <w:sz w:val="24"/>
                <w:szCs w:val="24"/>
                <w:highlight w:val="none"/>
                <w:lang w:val="en-US" w:eastAsia="zh-CN"/>
              </w:rPr>
              <w:t>检验内容主要为厚度、强度、冲击性能、弯曲度等，</w:t>
            </w:r>
            <w:r>
              <w:rPr>
                <w:rFonts w:hint="default" w:ascii="Times New Roman" w:hAnsi="Times New Roman" w:eastAsia="宋体" w:cs="Times New Roman"/>
                <w:color w:val="auto"/>
                <w:sz w:val="24"/>
                <w:szCs w:val="24"/>
                <w:highlight w:val="none"/>
                <w:lang w:val="zh-CN" w:eastAsia="zh-CN"/>
              </w:rPr>
              <w:t>检验合格的即为成品，检验不合格的</w:t>
            </w:r>
            <w:r>
              <w:rPr>
                <w:rFonts w:hint="default" w:ascii="Times New Roman" w:hAnsi="Times New Roman" w:eastAsia="宋体" w:cs="Times New Roman"/>
                <w:color w:val="auto"/>
                <w:sz w:val="24"/>
                <w:szCs w:val="24"/>
                <w:highlight w:val="none"/>
                <w:lang w:val="en-US" w:eastAsia="zh-CN"/>
              </w:rPr>
              <w:t>统一收集暂存于一般固废暂存区后定期外售</w:t>
            </w:r>
            <w:r>
              <w:rPr>
                <w:rFonts w:hint="default" w:ascii="Times New Roman" w:hAnsi="Times New Roman" w:eastAsia="宋体" w:cs="Times New Roman"/>
                <w:color w:val="auto"/>
                <w:sz w:val="24"/>
                <w:szCs w:val="24"/>
                <w:highlight w:val="none"/>
                <w:lang w:val="zh-CN" w:eastAsia="zh-CN"/>
              </w:rPr>
              <w:t>。</w:t>
            </w:r>
          </w:p>
          <w:p>
            <w:pPr>
              <w:pStyle w:val="82"/>
              <w:keepNext w:val="0"/>
              <w:keepLines w:val="0"/>
              <w:pageBreakBefore w:val="0"/>
              <w:widowControl w:val="0"/>
              <w:wordWrap/>
              <w:topLinePunct w:val="0"/>
              <w:autoSpaceDE/>
              <w:autoSpaceDN/>
              <w:bidi w:val="0"/>
              <w:spacing w:beforeLines="0" w:afterLines="0" w:line="356" w:lineRule="auto"/>
              <w:ind w:firstLine="482"/>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此过程会产生不合格产品S3。</w:t>
            </w:r>
          </w:p>
          <w:p>
            <w:pPr>
              <w:pStyle w:val="82"/>
              <w:keepNext w:val="0"/>
              <w:keepLines w:val="0"/>
              <w:pageBreakBefore w:val="0"/>
              <w:widowControl w:val="0"/>
              <w:wordWrap/>
              <w:topLinePunct w:val="0"/>
              <w:autoSpaceDE/>
              <w:autoSpaceDN/>
              <w:bidi w:val="0"/>
              <w:spacing w:beforeLines="0" w:afterLines="0" w:line="356" w:lineRule="auto"/>
              <w:ind w:firstLine="482"/>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b/>
                <w:bCs/>
                <w:color w:val="auto"/>
                <w:sz w:val="24"/>
                <w:szCs w:val="24"/>
                <w:highlight w:val="none"/>
                <w:lang w:val="en-US" w:eastAsia="zh-CN"/>
              </w:rPr>
              <w:t>④</w:t>
            </w:r>
            <w:r>
              <w:rPr>
                <w:rFonts w:hint="default" w:ascii="Times New Roman" w:hAnsi="Times New Roman" w:eastAsia="宋体" w:cs="Times New Roman"/>
                <w:b/>
                <w:bCs/>
                <w:color w:val="auto"/>
                <w:sz w:val="24"/>
                <w:szCs w:val="24"/>
                <w:highlight w:val="none"/>
                <w:lang w:val="zh-CN" w:eastAsia="zh-CN"/>
              </w:rPr>
              <w:t>包装入库：</w:t>
            </w:r>
            <w:r>
              <w:rPr>
                <w:rFonts w:hint="default" w:ascii="Times New Roman" w:hAnsi="Times New Roman" w:eastAsia="宋体" w:cs="Times New Roman"/>
                <w:color w:val="auto"/>
                <w:sz w:val="24"/>
                <w:szCs w:val="24"/>
                <w:highlight w:val="none"/>
                <w:lang w:val="zh-CN" w:eastAsia="zh-CN"/>
              </w:rPr>
              <w:t>对检验合格的产品进行包装，然后送入成品库。</w:t>
            </w:r>
          </w:p>
          <w:p>
            <w:pPr>
              <w:pStyle w:val="82"/>
              <w:keepNext w:val="0"/>
              <w:keepLines w:val="0"/>
              <w:pageBreakBefore w:val="0"/>
              <w:widowControl w:val="0"/>
              <w:wordWrap/>
              <w:topLinePunct w:val="0"/>
              <w:autoSpaceDE/>
              <w:autoSpaceDN/>
              <w:bidi w:val="0"/>
              <w:spacing w:beforeLines="0" w:afterLines="0" w:line="356" w:lineRule="auto"/>
              <w:ind w:firstLine="482"/>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此过程会产生废包装材料</w:t>
            </w:r>
            <w:r>
              <w:rPr>
                <w:rFonts w:hint="default" w:ascii="Times New Roman" w:hAnsi="Times New Roman" w:eastAsia="宋体" w:cs="Times New Roman"/>
                <w:color w:val="auto"/>
                <w:sz w:val="24"/>
                <w:szCs w:val="24"/>
                <w:highlight w:val="none"/>
                <w:lang w:val="en-US" w:eastAsia="zh-CN"/>
              </w:rPr>
              <w:t>S1</w:t>
            </w:r>
            <w:r>
              <w:rPr>
                <w:rFonts w:hint="default" w:ascii="Times New Roman" w:hAnsi="Times New Roman" w:eastAsia="宋体" w:cs="Times New Roman"/>
                <w:color w:val="auto"/>
                <w:sz w:val="24"/>
                <w:szCs w:val="24"/>
                <w:highlight w:val="none"/>
                <w:lang w:val="zh-CN" w:eastAsia="zh-CN"/>
              </w:rPr>
              <w:t>。</w:t>
            </w:r>
          </w:p>
          <w:bookmarkEnd w:id="17"/>
          <w:p>
            <w:pPr>
              <w:pStyle w:val="24"/>
              <w:keepNext w:val="0"/>
              <w:keepLines w:val="0"/>
              <w:pageBreakBefore w:val="0"/>
              <w:widowControl w:val="0"/>
              <w:numPr>
                <w:ilvl w:val="0"/>
                <w:numId w:val="0"/>
              </w:numPr>
              <w:kinsoku/>
              <w:wordWrap/>
              <w:overflowPunct/>
              <w:topLinePunct w:val="0"/>
              <w:autoSpaceDE/>
              <w:autoSpaceDN/>
              <w:bidi w:val="0"/>
              <w:adjustRightInd/>
              <w:snapToGrid w:val="0"/>
              <w:spacing w:after="0" w:line="356"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2、项目其他产污环节分析</w:t>
            </w:r>
          </w:p>
          <w:p>
            <w:pPr>
              <w:keepNext w:val="0"/>
              <w:keepLines w:val="0"/>
              <w:pageBreakBefore w:val="0"/>
              <w:widowControl w:val="0"/>
              <w:wordWrap/>
              <w:topLinePunct w:val="0"/>
              <w:autoSpaceDE/>
              <w:autoSpaceDN/>
              <w:bidi w:val="0"/>
              <w:spacing w:line="356" w:lineRule="auto"/>
              <w:ind w:firstLine="480" w:firstLineChars="200"/>
              <w:textAlignment w:val="auto"/>
              <w:rPr>
                <w:rFonts w:hint="default" w:ascii="Times New Roman" w:hAnsi="Times New Roman" w:eastAsia="宋体" w:cs="Times New Roman"/>
                <w:bCs/>
                <w:color w:val="auto"/>
                <w:sz w:val="24"/>
                <w:szCs w:val="22"/>
                <w:highlight w:val="none"/>
              </w:rPr>
            </w:pPr>
            <w:r>
              <w:rPr>
                <w:rFonts w:hint="default" w:ascii="Times New Roman" w:hAnsi="Times New Roman" w:eastAsia="宋体" w:cs="Times New Roman"/>
                <w:color w:val="auto"/>
                <w:sz w:val="24"/>
                <w:szCs w:val="24"/>
                <w:highlight w:val="none"/>
                <w:lang w:val="en-US" w:eastAsia="zh-CN"/>
              </w:rPr>
              <w:t>本项目设置办公生活区，为职工提供食宿，项目办公生活产污环节详见图2-4所示。</w:t>
            </w:r>
          </w:p>
          <w:p>
            <w:pPr>
              <w:pStyle w:val="24"/>
              <w:ind w:firstLine="24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object>
                <v:shape id="_x0000_i1028" o:spt="75" type="#_x0000_t75" style="height:123.05pt;width:299.25pt;" o:ole="t" filled="f" o:preferrelative="t" stroked="f" coordsize="21600,21600">
                  <v:path/>
                  <v:fill on="f" focussize="0,0"/>
                  <v:stroke on="f"/>
                  <v:imagedata r:id="rId25" o:title=""/>
                  <o:lock v:ext="edit" aspectratio="t"/>
                  <w10:wrap type="none"/>
                  <w10:anchorlock/>
                </v:shape>
                <o:OLEObject Type="Embed" ProgID="Visio.Drawing.11" ShapeID="_x0000_i1028" DrawAspect="Content" ObjectID="_1468075728" r:id="rId24">
                  <o:LockedField>false</o:LockedField>
                </o:OLEObject>
              </w:object>
            </w:r>
          </w:p>
          <w:p>
            <w:pPr>
              <w:pStyle w:val="24"/>
              <w:spacing w:after="0"/>
              <w:ind w:firstLine="24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图</w:t>
            </w:r>
            <w:r>
              <w:rPr>
                <w:rFonts w:hint="default" w:ascii="Times New Roman" w:hAnsi="Times New Roman" w:eastAsia="宋体" w:cs="Times New Roman"/>
                <w:b/>
                <w:color w:val="auto"/>
                <w:sz w:val="21"/>
                <w:szCs w:val="21"/>
                <w:highlight w:val="none"/>
                <w:lang w:val="en-US" w:eastAsia="zh-CN"/>
              </w:rPr>
              <w:t xml:space="preserve">2-4 </w:t>
            </w:r>
            <w:r>
              <w:rPr>
                <w:rFonts w:hint="default" w:ascii="Times New Roman" w:hAnsi="Times New Roman" w:eastAsia="宋体" w:cs="Times New Roman"/>
                <w:b/>
                <w:color w:val="auto"/>
                <w:sz w:val="21"/>
                <w:szCs w:val="21"/>
                <w:highlight w:val="none"/>
              </w:rPr>
              <w:t xml:space="preserve">  办公生活产物节点图</w:t>
            </w:r>
          </w:p>
          <w:p>
            <w:pPr>
              <w:pStyle w:val="25"/>
              <w:spacing w:after="0" w:line="360" w:lineRule="auto"/>
              <w:ind w:left="0" w:leftChars="0" w:firstLine="482"/>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（二）项目主要污染工序</w:t>
            </w:r>
          </w:p>
          <w:p>
            <w:pPr>
              <w:pStyle w:val="24"/>
              <w:spacing w:after="0"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本项目运营期主要污染工序详见表</w:t>
            </w:r>
            <w:r>
              <w:rPr>
                <w:rFonts w:hint="default" w:ascii="Times New Roman" w:hAnsi="Times New Roman" w:eastAsia="宋体" w:cs="Times New Roman"/>
                <w:color w:val="auto"/>
                <w:highlight w:val="none"/>
                <w:lang w:val="en-US" w:eastAsia="zh-CN"/>
              </w:rPr>
              <w:t>2-8</w:t>
            </w:r>
            <w:r>
              <w:rPr>
                <w:rFonts w:hint="default" w:ascii="Times New Roman" w:hAnsi="Times New Roman" w:eastAsia="宋体" w:cs="Times New Roman"/>
                <w:color w:val="auto"/>
                <w:highlight w:val="none"/>
              </w:rPr>
              <w:t>。</w:t>
            </w:r>
          </w:p>
          <w:p>
            <w:pPr>
              <w:pStyle w:val="24"/>
              <w:spacing w:after="0"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rPr>
              <w:t xml:space="preserve">   运营期主要污染工序一览表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1686"/>
              <w:gridCol w:w="2167"/>
              <w:gridCol w:w="2864"/>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污染类别</w:t>
                  </w:r>
                </w:p>
              </w:tc>
              <w:tc>
                <w:tcPr>
                  <w:tcW w:w="168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产污环节</w:t>
                  </w:r>
                </w:p>
              </w:tc>
              <w:tc>
                <w:tcPr>
                  <w:tcW w:w="216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主要</w:t>
                  </w:r>
                  <w:r>
                    <w:rPr>
                      <w:rFonts w:hint="default" w:ascii="Times New Roman" w:hAnsi="Times New Roman" w:eastAsia="宋体" w:cs="Times New Roman"/>
                      <w:b/>
                      <w:color w:val="auto"/>
                      <w:sz w:val="21"/>
                      <w:szCs w:val="21"/>
                      <w:highlight w:val="none"/>
                    </w:rPr>
                    <w:t>污染物</w:t>
                  </w:r>
                </w:p>
              </w:tc>
              <w:tc>
                <w:tcPr>
                  <w:tcW w:w="286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治理措施</w:t>
                  </w:r>
                </w:p>
              </w:tc>
              <w:tc>
                <w:tcPr>
                  <w:tcW w:w="125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废气</w:t>
                  </w:r>
                </w:p>
              </w:tc>
              <w:tc>
                <w:tcPr>
                  <w:tcW w:w="1686" w:type="dxa"/>
                  <w:tcBorders>
                    <w:tl2br w:val="nil"/>
                    <w:tr2bl w:val="nil"/>
                  </w:tcBorders>
                  <w:noWrap w:val="0"/>
                  <w:vAlign w:val="center"/>
                </w:tcPr>
                <w:p>
                  <w:pPr>
                    <w:pStyle w:val="24"/>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生产车间吹膜</w:t>
                  </w:r>
                </w:p>
              </w:tc>
              <w:tc>
                <w:tcPr>
                  <w:tcW w:w="2167" w:type="dxa"/>
                  <w:tcBorders>
                    <w:tl2br w:val="nil"/>
                    <w:tr2bl w:val="nil"/>
                  </w:tcBorders>
                  <w:noWrap w:val="0"/>
                  <w:vAlign w:val="center"/>
                </w:tcPr>
                <w:p>
                  <w:pPr>
                    <w:pStyle w:val="24"/>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挥发性有机废气</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以</w:t>
                  </w:r>
                  <w:r>
                    <w:rPr>
                      <w:rFonts w:hint="default" w:ascii="Times New Roman" w:hAnsi="Times New Roman" w:eastAsia="宋体" w:cs="Times New Roman"/>
                      <w:color w:val="auto"/>
                      <w:sz w:val="21"/>
                      <w:szCs w:val="21"/>
                      <w:highlight w:val="none"/>
                      <w:lang w:eastAsia="zh-CN"/>
                    </w:rPr>
                    <w:t>非甲烷总烃</w:t>
                  </w:r>
                  <w:r>
                    <w:rPr>
                      <w:rFonts w:hint="default" w:ascii="Times New Roman" w:hAnsi="Times New Roman" w:eastAsia="宋体" w:cs="Times New Roman"/>
                      <w:color w:val="auto"/>
                      <w:sz w:val="21"/>
                      <w:szCs w:val="21"/>
                      <w:highlight w:val="none"/>
                      <w:lang w:val="en-US" w:eastAsia="zh-CN"/>
                    </w:rPr>
                    <w:t>计</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臭气浓度</w:t>
                  </w:r>
                </w:p>
              </w:tc>
              <w:tc>
                <w:tcPr>
                  <w:tcW w:w="2864"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15个集气罩收集进入1套</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UV光氧催化+三级活性炭吸附</w:t>
                  </w:r>
                  <w:r>
                    <w:rPr>
                      <w:rFonts w:hint="default" w:ascii="Times New Roman" w:hAnsi="Times New Roman" w:eastAsia="宋体" w:cs="Times New Roman"/>
                      <w:color w:val="auto"/>
                      <w:sz w:val="21"/>
                      <w:szCs w:val="21"/>
                      <w:highlight w:val="none"/>
                    </w:rPr>
                    <w:t>装置</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 w:val="21"/>
                      <w:szCs w:val="21"/>
                      <w:highlight w:val="none"/>
                      <w:lang w:val="en-US" w:eastAsia="zh-CN"/>
                    </w:rPr>
                    <w:t>处理达标后由1根15m高排气筒排放</w:t>
                  </w:r>
                  <w:r>
                    <w:rPr>
                      <w:rFonts w:hint="default" w:ascii="Times New Roman" w:hAnsi="Times New Roman" w:eastAsia="宋体" w:cs="Times New Roman"/>
                      <w:color w:val="auto"/>
                      <w:sz w:val="21"/>
                      <w:szCs w:val="21"/>
                      <w:highlight w:val="none"/>
                      <w:lang w:eastAsia="zh-CN"/>
                    </w:rPr>
                    <w:t>。</w:t>
                  </w:r>
                </w:p>
              </w:tc>
              <w:tc>
                <w:tcPr>
                  <w:tcW w:w="1255"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15m高排气筒（DA001）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86" w:type="dxa"/>
                  <w:tcBorders>
                    <w:tl2br w:val="nil"/>
                    <w:tr2bl w:val="nil"/>
                  </w:tcBorders>
                  <w:noWrap w:val="0"/>
                  <w:vAlign w:val="center"/>
                </w:tcPr>
                <w:p>
                  <w:pPr>
                    <w:pStyle w:val="24"/>
                    <w:spacing w:after="0"/>
                    <w:ind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卫生间、化粪池、</w:t>
                  </w:r>
                  <w:r>
                    <w:rPr>
                      <w:rFonts w:hint="default" w:ascii="Times New Roman" w:hAnsi="Times New Roman" w:eastAsia="宋体" w:cs="Times New Roman"/>
                      <w:color w:val="auto"/>
                      <w:sz w:val="21"/>
                      <w:szCs w:val="21"/>
                      <w:highlight w:val="none"/>
                      <w:lang w:val="en-US" w:eastAsia="zh-CN"/>
                    </w:rPr>
                    <w:t>污水处理设施</w:t>
                  </w:r>
                </w:p>
              </w:tc>
              <w:tc>
                <w:tcPr>
                  <w:tcW w:w="2167" w:type="dxa"/>
                  <w:tcBorders>
                    <w:tl2br w:val="nil"/>
                    <w:tr2bl w:val="nil"/>
                  </w:tcBorders>
                  <w:noWrap w:val="0"/>
                  <w:vAlign w:val="center"/>
                </w:tcPr>
                <w:p>
                  <w:pPr>
                    <w:pStyle w:val="24"/>
                    <w:spacing w:after="0"/>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异味</w:t>
                  </w:r>
                </w:p>
              </w:tc>
              <w:tc>
                <w:tcPr>
                  <w:tcW w:w="286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加强管理、日产日清。</w:t>
                  </w:r>
                </w:p>
              </w:tc>
              <w:tc>
                <w:tcPr>
                  <w:tcW w:w="125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8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职工食堂</w:t>
                  </w:r>
                </w:p>
              </w:tc>
              <w:tc>
                <w:tcPr>
                  <w:tcW w:w="216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油烟</w:t>
                  </w:r>
                </w:p>
              </w:tc>
              <w:tc>
                <w:tcPr>
                  <w:tcW w:w="286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集气罩+</w:t>
                  </w:r>
                  <w:r>
                    <w:rPr>
                      <w:rFonts w:hint="default" w:ascii="Times New Roman" w:hAnsi="Times New Roman" w:eastAsia="宋体" w:cs="Times New Roman"/>
                      <w:color w:val="auto"/>
                      <w:sz w:val="21"/>
                      <w:szCs w:val="21"/>
                      <w:highlight w:val="none"/>
                    </w:rPr>
                    <w:t>油烟净化设施</w:t>
                  </w:r>
                  <w:r>
                    <w:rPr>
                      <w:rFonts w:hint="default" w:ascii="Times New Roman" w:hAnsi="Times New Roman" w:eastAsia="宋体" w:cs="Times New Roman"/>
                      <w:color w:val="auto"/>
                      <w:sz w:val="21"/>
                      <w:szCs w:val="21"/>
                      <w:highlight w:val="none"/>
                      <w:lang w:val="en-US" w:eastAsia="zh-CN"/>
                    </w:rPr>
                    <w:t>+高于房顶1.5m高排气筒。</w:t>
                  </w:r>
                </w:p>
              </w:tc>
              <w:tc>
                <w:tcPr>
                  <w:tcW w:w="125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68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职工生活</w:t>
                  </w:r>
                </w:p>
              </w:tc>
              <w:tc>
                <w:tcPr>
                  <w:tcW w:w="216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日常盥洗、冲厕及其他</w:t>
                  </w:r>
                </w:p>
              </w:tc>
              <w:tc>
                <w:tcPr>
                  <w:tcW w:w="2864"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食堂含油废水经隔油池预处理后与其它办公生活废水一同进入化粪池、污水处理站处理</w:t>
                  </w:r>
                  <w:r>
                    <w:rPr>
                      <w:rFonts w:hint="default" w:ascii="Times New Roman" w:hAnsi="Times New Roman" w:eastAsia="宋体" w:cs="Times New Roman"/>
                      <w:color w:val="auto"/>
                      <w:sz w:val="21"/>
                      <w:szCs w:val="21"/>
                      <w:highlight w:val="none"/>
                      <w:lang w:val="en-US" w:eastAsia="zh-CN"/>
                    </w:rPr>
                    <w:t>达标后，晴天用于绿化或道路场地洒水，雨天储存于蓄水池中待晴天再回用，不外排。</w:t>
                  </w:r>
                </w:p>
              </w:tc>
              <w:tc>
                <w:tcPr>
                  <w:tcW w:w="125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回用，不外排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8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食堂</w:t>
                  </w:r>
                </w:p>
              </w:tc>
              <w:tc>
                <w:tcPr>
                  <w:tcW w:w="216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含油废水</w:t>
                  </w:r>
                </w:p>
              </w:tc>
              <w:tc>
                <w:tcPr>
                  <w:tcW w:w="2864"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25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9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168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原辅料拆包及包装工序</w:t>
                  </w:r>
                </w:p>
              </w:tc>
              <w:tc>
                <w:tcPr>
                  <w:tcW w:w="216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废包装材料</w:t>
                  </w:r>
                </w:p>
              </w:tc>
              <w:tc>
                <w:tcPr>
                  <w:tcW w:w="2864"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统一收集后暂存于一般固体废物暂存区，定期外卖。</w:t>
                  </w:r>
                </w:p>
              </w:tc>
              <w:tc>
                <w:tcPr>
                  <w:tcW w:w="125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合理处置</w:t>
                  </w:r>
                  <w:r>
                    <w:rPr>
                      <w:rFonts w:hint="default" w:ascii="Times New Roman" w:hAnsi="Times New Roman" w:eastAsia="宋体" w:cs="Times New Roman"/>
                      <w:color w:val="auto"/>
                      <w:sz w:val="21"/>
                      <w:szCs w:val="21"/>
                      <w:highlight w:val="none"/>
                      <w:lang w:eastAsia="zh-CN"/>
                    </w:rPr>
                    <w:t>，处置率</w:t>
                  </w:r>
                  <w:r>
                    <w:rPr>
                      <w:rFonts w:hint="default" w:ascii="Times New Roman" w:hAnsi="Times New Roman" w:eastAsia="宋体" w:cs="Times New Roman"/>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86"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吹膜</w:t>
                  </w:r>
                </w:p>
              </w:tc>
              <w:tc>
                <w:tcPr>
                  <w:tcW w:w="216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吹膜过程</w:t>
                  </w:r>
                  <w:r>
                    <w:rPr>
                      <w:rFonts w:hint="default" w:ascii="Times New Roman" w:hAnsi="Times New Roman" w:eastAsia="宋体" w:cs="Times New Roman"/>
                      <w:color w:val="auto"/>
                      <w:sz w:val="21"/>
                      <w:szCs w:val="21"/>
                      <w:highlight w:val="none"/>
                      <w:lang w:val="en-US" w:eastAsia="zh-CN"/>
                    </w:rPr>
                    <w:t>废边角料</w:t>
                  </w:r>
                </w:p>
              </w:tc>
              <w:tc>
                <w:tcPr>
                  <w:tcW w:w="2864"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125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86"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产品</w:t>
                  </w:r>
                  <w:r>
                    <w:rPr>
                      <w:rFonts w:hint="default" w:ascii="Times New Roman" w:hAnsi="Times New Roman" w:eastAsia="宋体" w:cs="Times New Roman"/>
                      <w:b w:val="0"/>
                      <w:bCs w:val="0"/>
                      <w:color w:val="auto"/>
                      <w:sz w:val="21"/>
                      <w:szCs w:val="21"/>
                      <w:highlight w:val="none"/>
                      <w:lang w:eastAsia="zh-CN"/>
                    </w:rPr>
                    <w:t>检验</w:t>
                  </w:r>
                </w:p>
              </w:tc>
              <w:tc>
                <w:tcPr>
                  <w:tcW w:w="216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不合格品</w:t>
                  </w:r>
                </w:p>
              </w:tc>
              <w:tc>
                <w:tcPr>
                  <w:tcW w:w="2864"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125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86"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w:t>
                  </w:r>
                </w:p>
              </w:tc>
              <w:tc>
                <w:tcPr>
                  <w:tcW w:w="216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废活性炭</w:t>
                  </w:r>
                </w:p>
              </w:tc>
              <w:tc>
                <w:tcPr>
                  <w:tcW w:w="2864"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统一收集后暂存于危废暂存间，委托有资质的单位定期清运处置。</w:t>
                  </w:r>
                </w:p>
              </w:tc>
              <w:tc>
                <w:tcPr>
                  <w:tcW w:w="125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8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p>
              </w:tc>
              <w:tc>
                <w:tcPr>
                  <w:tcW w:w="216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废UV灯管</w:t>
                  </w:r>
                </w:p>
              </w:tc>
              <w:tc>
                <w:tcPr>
                  <w:tcW w:w="2864"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125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8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机械维修</w:t>
                  </w:r>
                </w:p>
              </w:tc>
              <w:tc>
                <w:tcPr>
                  <w:tcW w:w="216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废机油、</w:t>
                  </w:r>
                  <w:r>
                    <w:rPr>
                      <w:rFonts w:hint="default" w:ascii="Times New Roman" w:hAnsi="Times New Roman" w:eastAsia="宋体" w:cs="Times New Roman"/>
                      <w:color w:val="auto"/>
                      <w:sz w:val="21"/>
                      <w:szCs w:val="21"/>
                      <w:highlight w:val="none"/>
                      <w:lang w:val="en-US" w:eastAsia="zh-CN"/>
                    </w:rPr>
                    <w:t>废弃的含油抹布、劳保用品</w:t>
                  </w:r>
                </w:p>
              </w:tc>
              <w:tc>
                <w:tcPr>
                  <w:tcW w:w="2864"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125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8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职工生活</w:t>
                  </w:r>
                </w:p>
              </w:tc>
              <w:tc>
                <w:tcPr>
                  <w:tcW w:w="216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286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收集后</w:t>
                  </w:r>
                  <w:r>
                    <w:rPr>
                      <w:rFonts w:hint="default" w:ascii="Times New Roman" w:hAnsi="Times New Roman" w:eastAsia="宋体" w:cs="Times New Roman"/>
                      <w:color w:val="auto"/>
                      <w:sz w:val="21"/>
                      <w:szCs w:val="21"/>
                      <w:highlight w:val="none"/>
                      <w:lang w:eastAsia="zh-CN"/>
                    </w:rPr>
                    <w:t>委托园区</w:t>
                  </w:r>
                  <w:r>
                    <w:rPr>
                      <w:rFonts w:hint="default" w:ascii="Times New Roman" w:hAnsi="Times New Roman" w:eastAsia="宋体" w:cs="Times New Roman"/>
                      <w:color w:val="auto"/>
                      <w:sz w:val="21"/>
                      <w:szCs w:val="21"/>
                      <w:highlight w:val="none"/>
                    </w:rPr>
                    <w:t>环卫部门</w:t>
                  </w:r>
                  <w:r>
                    <w:rPr>
                      <w:rFonts w:hint="default" w:ascii="Times New Roman" w:hAnsi="Times New Roman" w:eastAsia="宋体" w:cs="Times New Roman"/>
                      <w:color w:val="auto"/>
                      <w:sz w:val="21"/>
                      <w:szCs w:val="21"/>
                      <w:highlight w:val="none"/>
                      <w:lang w:eastAsia="zh-CN"/>
                    </w:rPr>
                    <w:t>清运、</w:t>
                  </w:r>
                  <w:r>
                    <w:rPr>
                      <w:rFonts w:hint="default" w:ascii="Times New Roman" w:hAnsi="Times New Roman" w:eastAsia="宋体" w:cs="Times New Roman"/>
                      <w:color w:val="auto"/>
                      <w:sz w:val="21"/>
                      <w:szCs w:val="21"/>
                      <w:highlight w:val="none"/>
                    </w:rPr>
                    <w:t>处置</w:t>
                  </w:r>
                  <w:r>
                    <w:rPr>
                      <w:rFonts w:hint="default" w:ascii="Times New Roman" w:hAnsi="Times New Roman" w:eastAsia="宋体" w:cs="Times New Roman"/>
                      <w:color w:val="auto"/>
                      <w:sz w:val="21"/>
                      <w:szCs w:val="21"/>
                      <w:highlight w:val="none"/>
                      <w:lang w:eastAsia="zh-CN"/>
                    </w:rPr>
                    <w:t>。</w:t>
                  </w:r>
                </w:p>
              </w:tc>
              <w:tc>
                <w:tcPr>
                  <w:tcW w:w="125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8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食堂</w:t>
                  </w:r>
                </w:p>
              </w:tc>
              <w:tc>
                <w:tcPr>
                  <w:tcW w:w="216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b w:val="0"/>
                      <w:bCs w:val="0"/>
                      <w:color w:val="auto"/>
                      <w:kern w:val="2"/>
                      <w:sz w:val="21"/>
                      <w:szCs w:val="21"/>
                      <w:highlight w:val="none"/>
                      <w:lang w:eastAsia="zh-CN" w:bidi="ar"/>
                    </w:rPr>
                    <w:t>餐厨垃圾、隔油池废油脂</w:t>
                  </w:r>
                </w:p>
              </w:tc>
              <w:tc>
                <w:tcPr>
                  <w:tcW w:w="286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统一收集后委托有资质的单位定期清运、处置。</w:t>
                  </w:r>
                </w:p>
              </w:tc>
              <w:tc>
                <w:tcPr>
                  <w:tcW w:w="125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8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化粪池、一体化污水处理站</w:t>
                  </w:r>
                </w:p>
              </w:tc>
              <w:tc>
                <w:tcPr>
                  <w:tcW w:w="216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ar"/>
                    </w:rPr>
                    <w:t>污泥</w:t>
                  </w:r>
                </w:p>
              </w:tc>
              <w:tc>
                <w:tcPr>
                  <w:tcW w:w="286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定期清掏后委托环卫部门清运、处置。</w:t>
                  </w:r>
                </w:p>
              </w:tc>
              <w:tc>
                <w:tcPr>
                  <w:tcW w:w="125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68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生产工序</w:t>
                  </w:r>
                </w:p>
              </w:tc>
              <w:tc>
                <w:tcPr>
                  <w:tcW w:w="216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设备噪声</w:t>
                  </w:r>
                </w:p>
              </w:tc>
              <w:tc>
                <w:tcPr>
                  <w:tcW w:w="286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室内布置、基础减震、距离衰减</w:t>
                  </w:r>
                  <w:r>
                    <w:rPr>
                      <w:rFonts w:hint="default" w:ascii="Times New Roman" w:hAnsi="Times New Roman" w:eastAsia="宋体" w:cs="Times New Roman"/>
                      <w:color w:val="auto"/>
                      <w:sz w:val="21"/>
                      <w:szCs w:val="21"/>
                      <w:highlight w:val="none"/>
                      <w:lang w:eastAsia="zh-CN"/>
                    </w:rPr>
                    <w:t>。</w:t>
                  </w:r>
                </w:p>
              </w:tc>
              <w:tc>
                <w:tcPr>
                  <w:tcW w:w="125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8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人员活动</w:t>
                  </w:r>
                </w:p>
              </w:tc>
              <w:tc>
                <w:tcPr>
                  <w:tcW w:w="216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社会生活噪声</w:t>
                  </w:r>
                </w:p>
              </w:tc>
              <w:tc>
                <w:tcPr>
                  <w:tcW w:w="286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距离衰减</w:t>
                  </w:r>
                </w:p>
              </w:tc>
              <w:tc>
                <w:tcPr>
                  <w:tcW w:w="125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间断</w:t>
                  </w:r>
                </w:p>
              </w:tc>
            </w:tr>
          </w:tbl>
          <w:p>
            <w:pPr>
              <w:pStyle w:val="7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2" w:firstLineChars="200"/>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highlight w:val="none"/>
                <w:lang w:val="en-US" w:eastAsia="zh-CN"/>
              </w:rPr>
              <w:t>三</w:t>
            </w: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highlight w:val="none"/>
                <w:lang w:val="en-US" w:eastAsia="zh-CN"/>
              </w:rPr>
              <w:t>物料平衡</w:t>
            </w:r>
          </w:p>
          <w:p>
            <w:pPr>
              <w:keepNext w:val="0"/>
              <w:keepLines w:val="0"/>
              <w:pageBreakBefore w:val="0"/>
              <w:kinsoku/>
              <w:wordWrap/>
              <w:overflowPunct/>
              <w:topLinePunct w:val="0"/>
              <w:autoSpaceDE w:val="0"/>
              <w:autoSpaceDN w:val="0"/>
              <w:bidi w:val="0"/>
              <w:adjustRightInd/>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本项目生产工艺物料平衡表见表</w:t>
            </w:r>
            <w:r>
              <w:rPr>
                <w:rFonts w:hint="default" w:ascii="Times New Roman" w:hAnsi="Times New Roman" w:eastAsia="宋体" w:cs="Times New Roman"/>
                <w:color w:val="auto"/>
                <w:sz w:val="24"/>
                <w:szCs w:val="24"/>
                <w:highlight w:val="none"/>
                <w:lang w:val="en-US" w:eastAsia="zh-CN"/>
              </w:rPr>
              <w:t>2-9</w:t>
            </w:r>
            <w:r>
              <w:rPr>
                <w:rFonts w:hint="default" w:ascii="Times New Roman" w:hAnsi="Times New Roman" w:eastAsia="宋体" w:cs="Times New Roman"/>
                <w:color w:val="auto"/>
                <w:sz w:val="24"/>
                <w:szCs w:val="24"/>
                <w:highlight w:val="none"/>
              </w:rPr>
              <w:t>。</w:t>
            </w:r>
          </w:p>
          <w:p>
            <w:pPr>
              <w:pStyle w:val="8"/>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 xml:space="preserve">2-9 </w:t>
            </w:r>
            <w:r>
              <w:rPr>
                <w:rFonts w:hint="default" w:ascii="Times New Roman" w:hAnsi="Times New Roman" w:eastAsia="宋体" w:cs="Times New Roman"/>
                <w:color w:val="auto"/>
                <w:sz w:val="21"/>
                <w:szCs w:val="21"/>
                <w:highlight w:val="none"/>
              </w:rPr>
              <w:t xml:space="preserve">  项目总物料平衡表</w:t>
            </w:r>
          </w:p>
          <w:tbl>
            <w:tblPr>
              <w:tblStyle w:val="26"/>
              <w:tblW w:w="4959" w:type="pct"/>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42"/>
              <w:gridCol w:w="1530"/>
              <w:gridCol w:w="1173"/>
              <w:gridCol w:w="354"/>
              <w:gridCol w:w="954"/>
              <w:gridCol w:w="3033"/>
              <w:gridCol w:w="9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0" w:hRule="atLeast"/>
              </w:trPr>
              <w:tc>
                <w:tcPr>
                  <w:tcW w:w="1928" w:type="pct"/>
                  <w:gridSpan w:val="3"/>
                  <w:tcBorders>
                    <w:tl2br w:val="nil"/>
                    <w:tr2bl w:val="nil"/>
                  </w:tcBorders>
                  <w:noWrap w:val="0"/>
                  <w:vAlign w:val="center"/>
                </w:tcPr>
                <w:p>
                  <w:pPr>
                    <w:pStyle w:val="7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color w:val="auto"/>
                      <w:sz w:val="21"/>
                      <w:szCs w:val="21"/>
                      <w:highlight w:val="none"/>
                    </w:rPr>
                  </w:pPr>
                  <w:bookmarkStart w:id="18" w:name="投入"/>
                  <w:bookmarkEnd w:id="18"/>
                  <w:r>
                    <w:rPr>
                      <w:rFonts w:hint="default" w:ascii="Times New Roman" w:hAnsi="Times New Roman" w:eastAsia="宋体" w:cs="Times New Roman"/>
                      <w:b/>
                      <w:color w:val="auto"/>
                      <w:sz w:val="21"/>
                      <w:szCs w:val="21"/>
                      <w:highlight w:val="none"/>
                    </w:rPr>
                    <w:t>投入</w:t>
                  </w:r>
                </w:p>
              </w:tc>
              <w:tc>
                <w:tcPr>
                  <w:tcW w:w="3071" w:type="pct"/>
                  <w:gridSpan w:val="4"/>
                  <w:tcBorders>
                    <w:tl2br w:val="nil"/>
                    <w:tr2bl w:val="nil"/>
                  </w:tcBorders>
                  <w:noWrap w:val="0"/>
                  <w:vAlign w:val="center"/>
                </w:tcPr>
                <w:p>
                  <w:pPr>
                    <w:pStyle w:val="7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color w:val="auto"/>
                      <w:sz w:val="21"/>
                      <w:szCs w:val="21"/>
                      <w:highlight w:val="none"/>
                    </w:rPr>
                  </w:pPr>
                  <w:bookmarkStart w:id="19" w:name="产出"/>
                  <w:bookmarkEnd w:id="19"/>
                  <w:r>
                    <w:rPr>
                      <w:rFonts w:hint="default" w:ascii="Times New Roman" w:hAnsi="Times New Roman" w:eastAsia="宋体" w:cs="Times New Roman"/>
                      <w:b/>
                      <w:color w:val="auto"/>
                      <w:sz w:val="21"/>
                      <w:szCs w:val="21"/>
                      <w:highlight w:val="none"/>
                    </w:rPr>
                    <w:t>产出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370" w:type="pct"/>
                  <w:tcBorders>
                    <w:tl2br w:val="nil"/>
                    <w:tr2bl w:val="nil"/>
                  </w:tcBorders>
                  <w:noWrap w:val="0"/>
                  <w:vAlign w:val="center"/>
                </w:tcPr>
                <w:p>
                  <w:pPr>
                    <w:pStyle w:val="7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color w:val="auto"/>
                      <w:sz w:val="21"/>
                      <w:szCs w:val="21"/>
                      <w:highlight w:val="none"/>
                    </w:rPr>
                  </w:pPr>
                  <w:bookmarkStart w:id="20" w:name="序号"/>
                  <w:bookmarkEnd w:id="20"/>
                  <w:r>
                    <w:rPr>
                      <w:rFonts w:hint="default" w:ascii="Times New Roman" w:hAnsi="Times New Roman" w:eastAsia="宋体" w:cs="Times New Roman"/>
                      <w:b/>
                      <w:color w:val="auto"/>
                      <w:sz w:val="21"/>
                      <w:szCs w:val="21"/>
                      <w:highlight w:val="none"/>
                    </w:rPr>
                    <w:t>序号</w:t>
                  </w:r>
                </w:p>
              </w:tc>
              <w:tc>
                <w:tcPr>
                  <w:tcW w:w="882" w:type="pct"/>
                  <w:tcBorders>
                    <w:tl2br w:val="nil"/>
                    <w:tr2bl w:val="nil"/>
                  </w:tcBorders>
                  <w:noWrap w:val="0"/>
                  <w:vAlign w:val="center"/>
                </w:tcPr>
                <w:p>
                  <w:pPr>
                    <w:pStyle w:val="7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color w:val="auto"/>
                      <w:sz w:val="21"/>
                      <w:szCs w:val="21"/>
                      <w:highlight w:val="none"/>
                    </w:rPr>
                  </w:pPr>
                  <w:bookmarkStart w:id="21" w:name="物料名称"/>
                  <w:bookmarkEnd w:id="21"/>
                  <w:r>
                    <w:rPr>
                      <w:rFonts w:hint="default" w:ascii="Times New Roman" w:hAnsi="Times New Roman" w:eastAsia="宋体" w:cs="Times New Roman"/>
                      <w:b/>
                      <w:color w:val="auto"/>
                      <w:sz w:val="21"/>
                      <w:szCs w:val="21"/>
                      <w:highlight w:val="none"/>
                    </w:rPr>
                    <w:t>物料名称</w:t>
                  </w:r>
                </w:p>
              </w:tc>
              <w:tc>
                <w:tcPr>
                  <w:tcW w:w="676" w:type="pct"/>
                  <w:tcBorders>
                    <w:tl2br w:val="nil"/>
                    <w:tr2bl w:val="nil"/>
                  </w:tcBorders>
                  <w:noWrap w:val="0"/>
                  <w:vAlign w:val="center"/>
                </w:tcPr>
                <w:p>
                  <w:pPr>
                    <w:pStyle w:val="7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color w:val="auto"/>
                      <w:sz w:val="21"/>
                      <w:szCs w:val="21"/>
                      <w:highlight w:val="none"/>
                    </w:rPr>
                  </w:pPr>
                  <w:bookmarkStart w:id="22" w:name="投入量t/a"/>
                  <w:bookmarkEnd w:id="22"/>
                  <w:r>
                    <w:rPr>
                      <w:rFonts w:hint="default" w:ascii="Times New Roman" w:hAnsi="Times New Roman" w:eastAsia="宋体" w:cs="Times New Roman"/>
                      <w:b/>
                      <w:color w:val="auto"/>
                      <w:sz w:val="21"/>
                      <w:szCs w:val="21"/>
                      <w:highlight w:val="none"/>
                    </w:rPr>
                    <w:t>投入量t/a</w:t>
                  </w:r>
                </w:p>
              </w:tc>
              <w:tc>
                <w:tcPr>
                  <w:tcW w:w="2502" w:type="pct"/>
                  <w:gridSpan w:val="3"/>
                  <w:tcBorders>
                    <w:tl2br w:val="nil"/>
                    <w:tr2bl w:val="nil"/>
                  </w:tcBorders>
                  <w:noWrap w:val="0"/>
                  <w:vAlign w:val="center"/>
                </w:tcPr>
                <w:p>
                  <w:pPr>
                    <w:pStyle w:val="7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color w:val="auto"/>
                      <w:sz w:val="21"/>
                      <w:szCs w:val="21"/>
                      <w:highlight w:val="none"/>
                    </w:rPr>
                  </w:pPr>
                  <w:bookmarkStart w:id="23" w:name="物料名称"/>
                  <w:bookmarkEnd w:id="23"/>
                  <w:r>
                    <w:rPr>
                      <w:rFonts w:hint="default" w:ascii="Times New Roman" w:hAnsi="Times New Roman" w:eastAsia="宋体" w:cs="Times New Roman"/>
                      <w:b/>
                      <w:color w:val="auto"/>
                      <w:sz w:val="21"/>
                      <w:szCs w:val="21"/>
                      <w:highlight w:val="none"/>
                    </w:rPr>
                    <w:t>物料名称</w:t>
                  </w:r>
                </w:p>
              </w:tc>
              <w:tc>
                <w:tcPr>
                  <w:tcW w:w="568" w:type="pct"/>
                  <w:tcBorders>
                    <w:tl2br w:val="nil"/>
                    <w:tr2bl w:val="nil"/>
                  </w:tcBorders>
                  <w:noWrap w:val="0"/>
                  <w:vAlign w:val="center"/>
                </w:tcPr>
                <w:p>
                  <w:pPr>
                    <w:pStyle w:val="7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color w:val="auto"/>
                      <w:sz w:val="21"/>
                      <w:szCs w:val="21"/>
                      <w:highlight w:val="none"/>
                    </w:rPr>
                  </w:pPr>
                  <w:bookmarkStart w:id="24" w:name="数量t/a"/>
                  <w:bookmarkEnd w:id="24"/>
                  <w:r>
                    <w:rPr>
                      <w:rFonts w:hint="default" w:ascii="Times New Roman" w:hAnsi="Times New Roman" w:eastAsia="宋体" w:cs="Times New Roman"/>
                      <w:b/>
                      <w:color w:val="auto"/>
                      <w:sz w:val="21"/>
                      <w:szCs w:val="21"/>
                      <w:highlight w:val="none"/>
                    </w:rPr>
                    <w:t>数量t/a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370" w:type="pct"/>
                  <w:tcBorders>
                    <w:tl2br w:val="nil"/>
                    <w:tr2bl w:val="nil"/>
                  </w:tcBorders>
                  <w:noWrap w:val="0"/>
                  <w:vAlign w:val="center"/>
                </w:tcPr>
                <w:p>
                  <w:pPr>
                    <w:pStyle w:val="7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val="0"/>
                      <w:bCs/>
                      <w:color w:val="auto"/>
                      <w:sz w:val="21"/>
                      <w:szCs w:val="21"/>
                      <w:highlight w:val="none"/>
                    </w:rPr>
                  </w:pPr>
                  <w:bookmarkStart w:id="25" w:name="1"/>
                  <w:bookmarkEnd w:id="25"/>
                  <w:r>
                    <w:rPr>
                      <w:rFonts w:hint="default" w:ascii="Times New Roman" w:hAnsi="Times New Roman" w:eastAsia="宋体" w:cs="Times New Roman"/>
                      <w:b w:val="0"/>
                      <w:bCs/>
                      <w:color w:val="auto"/>
                      <w:sz w:val="21"/>
                      <w:szCs w:val="21"/>
                      <w:highlight w:val="none"/>
                    </w:rPr>
                    <w:t>1</w:t>
                  </w:r>
                </w:p>
              </w:tc>
              <w:tc>
                <w:tcPr>
                  <w:tcW w:w="882" w:type="pct"/>
                  <w:tcBorders>
                    <w:tl2br w:val="nil"/>
                    <w:tr2bl w:val="nil"/>
                  </w:tcBorders>
                  <w:noWrap w:val="0"/>
                  <w:vAlign w:val="center"/>
                </w:tcPr>
                <w:p>
                  <w:pPr>
                    <w:autoSpaceDN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高密度</w:t>
                  </w:r>
                  <w:r>
                    <w:rPr>
                      <w:rFonts w:hint="default" w:ascii="Times New Roman" w:hAnsi="Times New Roman" w:eastAsia="宋体" w:cs="Times New Roman"/>
                      <w:color w:val="auto"/>
                      <w:sz w:val="21"/>
                      <w:szCs w:val="21"/>
                      <w:highlight w:val="none"/>
                      <w:lang w:eastAsia="zh-CN"/>
                    </w:rPr>
                    <w:t>聚乙烯</w:t>
                  </w:r>
                </w:p>
              </w:tc>
              <w:tc>
                <w:tcPr>
                  <w:tcW w:w="116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1010</w:t>
                  </w:r>
                </w:p>
              </w:tc>
              <w:tc>
                <w:tcPr>
                  <w:tcW w:w="754" w:type="pct"/>
                  <w:gridSpan w:val="2"/>
                  <w:tcBorders>
                    <w:tl2br w:val="nil"/>
                    <w:tr2bl w:val="nil"/>
                  </w:tcBorders>
                  <w:noWrap w:val="0"/>
                  <w:vAlign w:val="center"/>
                </w:tcPr>
                <w:p>
                  <w:pPr>
                    <w:pStyle w:val="7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val="0"/>
                      <w:bCs/>
                      <w:color w:val="auto"/>
                      <w:sz w:val="21"/>
                      <w:szCs w:val="21"/>
                      <w:highlight w:val="none"/>
                    </w:rPr>
                  </w:pPr>
                  <w:bookmarkStart w:id="26" w:name="产品"/>
                  <w:bookmarkEnd w:id="26"/>
                  <w:r>
                    <w:rPr>
                      <w:rFonts w:hint="default" w:ascii="Times New Roman" w:hAnsi="Times New Roman" w:eastAsia="宋体" w:cs="Times New Roman"/>
                      <w:b w:val="0"/>
                      <w:bCs/>
                      <w:color w:val="auto"/>
                      <w:sz w:val="21"/>
                      <w:szCs w:val="21"/>
                      <w:highlight w:val="none"/>
                    </w:rPr>
                    <w:t>产品</w:t>
                  </w:r>
                </w:p>
              </w:tc>
              <w:tc>
                <w:tcPr>
                  <w:tcW w:w="1747" w:type="pct"/>
                  <w:tcBorders>
                    <w:tl2br w:val="nil"/>
                    <w:tr2bl w:val="nil"/>
                  </w:tcBorders>
                  <w:noWrap w:val="0"/>
                  <w:vAlign w:val="center"/>
                </w:tcPr>
                <w:p>
                  <w:pPr>
                    <w:pStyle w:val="7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val="0"/>
                      <w:bCs/>
                      <w:color w:val="auto"/>
                      <w:sz w:val="21"/>
                      <w:szCs w:val="21"/>
                      <w:highlight w:val="none"/>
                      <w:lang w:val="en-US" w:eastAsia="zh-CN"/>
                    </w:rPr>
                  </w:pPr>
                  <w:bookmarkStart w:id="27" w:name="商品混凝土"/>
                  <w:bookmarkEnd w:id="27"/>
                  <w:r>
                    <w:rPr>
                      <w:rFonts w:hint="default" w:ascii="Times New Roman" w:hAnsi="Times New Roman" w:eastAsia="宋体" w:cs="Times New Roman"/>
                      <w:color w:val="auto"/>
                      <w:sz w:val="21"/>
                      <w:szCs w:val="21"/>
                      <w:highlight w:val="none"/>
                      <w:lang w:val="en-US" w:eastAsia="zh-CN"/>
                    </w:rPr>
                    <w:t>农用塑料地膜、农用塑料大棚膜</w:t>
                  </w:r>
                </w:p>
              </w:tc>
              <w:tc>
                <w:tcPr>
                  <w:tcW w:w="56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bookmarkStart w:id="28" w:name="462500"/>
                  <w:bookmarkEnd w:id="28"/>
                  <w:r>
                    <w:rPr>
                      <w:rFonts w:hint="default" w:ascii="Times New Roman" w:hAnsi="Times New Roman" w:eastAsia="宋体" w:cs="Times New Roman"/>
                      <w:b w:val="0"/>
                      <w:bCs/>
                      <w:color w:val="auto"/>
                      <w:sz w:val="21"/>
                      <w:szCs w:val="21"/>
                      <w:highlight w:val="none"/>
                      <w:lang w:val="en-US" w:eastAsia="zh-CN"/>
                    </w:rPr>
                    <w:t>5000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370" w:type="pct"/>
                  <w:tcBorders>
                    <w:tl2br w:val="nil"/>
                    <w:tr2bl w:val="nil"/>
                  </w:tcBorders>
                  <w:noWrap w:val="0"/>
                  <w:vAlign w:val="center"/>
                </w:tcPr>
                <w:p>
                  <w:pPr>
                    <w:pStyle w:val="7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val="0"/>
                      <w:bCs/>
                      <w:color w:val="auto"/>
                      <w:sz w:val="21"/>
                      <w:szCs w:val="21"/>
                      <w:highlight w:val="none"/>
                    </w:rPr>
                  </w:pPr>
                  <w:bookmarkStart w:id="29" w:name="2"/>
                  <w:bookmarkEnd w:id="29"/>
                  <w:r>
                    <w:rPr>
                      <w:rFonts w:hint="default" w:ascii="Times New Roman" w:hAnsi="Times New Roman" w:eastAsia="宋体" w:cs="Times New Roman"/>
                      <w:b w:val="0"/>
                      <w:bCs/>
                      <w:color w:val="auto"/>
                      <w:sz w:val="21"/>
                      <w:szCs w:val="21"/>
                      <w:highlight w:val="none"/>
                    </w:rPr>
                    <w:t>2</w:t>
                  </w:r>
                </w:p>
              </w:tc>
              <w:tc>
                <w:tcPr>
                  <w:tcW w:w="882" w:type="pct"/>
                  <w:tcBorders>
                    <w:tl2br w:val="nil"/>
                    <w:tr2bl w:val="nil"/>
                  </w:tcBorders>
                  <w:noWrap w:val="0"/>
                  <w:vAlign w:val="center"/>
                </w:tcPr>
                <w:p>
                  <w:pPr>
                    <w:autoSpaceDN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低密度</w:t>
                  </w:r>
                  <w:r>
                    <w:rPr>
                      <w:rFonts w:hint="default" w:ascii="Times New Roman" w:hAnsi="Times New Roman" w:eastAsia="宋体" w:cs="Times New Roman"/>
                      <w:color w:val="auto"/>
                      <w:sz w:val="21"/>
                      <w:szCs w:val="21"/>
                      <w:highlight w:val="none"/>
                      <w:lang w:eastAsia="zh-CN"/>
                    </w:rPr>
                    <w:t>聚乙烯</w:t>
                  </w:r>
                </w:p>
              </w:tc>
              <w:tc>
                <w:tcPr>
                  <w:tcW w:w="116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3510</w:t>
                  </w:r>
                </w:p>
              </w:tc>
              <w:tc>
                <w:tcPr>
                  <w:tcW w:w="204" w:type="pct"/>
                  <w:vMerge w:val="restart"/>
                  <w:tcBorders>
                    <w:tl2br w:val="nil"/>
                    <w:tr2bl w:val="nil"/>
                  </w:tcBorders>
                  <w:noWrap w:val="0"/>
                  <w:vAlign w:val="center"/>
                </w:tcPr>
                <w:p>
                  <w:pPr>
                    <w:pStyle w:val="7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val="0"/>
                      <w:bCs/>
                      <w:color w:val="auto"/>
                      <w:sz w:val="21"/>
                      <w:szCs w:val="21"/>
                      <w:highlight w:val="none"/>
                    </w:rPr>
                  </w:pPr>
                  <w:bookmarkStart w:id="30" w:name="其他损失"/>
                  <w:bookmarkEnd w:id="30"/>
                  <w:r>
                    <w:rPr>
                      <w:rFonts w:hint="default" w:ascii="Times New Roman" w:hAnsi="Times New Roman" w:eastAsia="宋体" w:cs="Times New Roman"/>
                      <w:b w:val="0"/>
                      <w:bCs/>
                      <w:color w:val="auto"/>
                      <w:sz w:val="21"/>
                      <w:szCs w:val="21"/>
                      <w:highlight w:val="none"/>
                    </w:rPr>
                    <w:t>废</w:t>
                  </w:r>
                  <w:bookmarkStart w:id="31" w:name="6"/>
                  <w:bookmarkEnd w:id="31"/>
                  <w:r>
                    <w:rPr>
                      <w:rFonts w:hint="default" w:ascii="Times New Roman" w:hAnsi="Times New Roman" w:eastAsia="宋体" w:cs="Times New Roman"/>
                      <w:b w:val="0"/>
                      <w:bCs/>
                      <w:color w:val="auto"/>
                      <w:sz w:val="21"/>
                      <w:szCs w:val="21"/>
                      <w:highlight w:val="none"/>
                    </w:rPr>
                    <w:t>气</w:t>
                  </w:r>
                </w:p>
              </w:tc>
              <w:tc>
                <w:tcPr>
                  <w:tcW w:w="550" w:type="pct"/>
                  <w:tcBorders>
                    <w:tl2br w:val="nil"/>
                    <w:tr2bl w:val="nil"/>
                  </w:tcBorders>
                  <w:noWrap w:val="0"/>
                  <w:vAlign w:val="center"/>
                </w:tcPr>
                <w:p>
                  <w:pPr>
                    <w:pStyle w:val="7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val="0"/>
                      <w:bCs/>
                      <w:color w:val="auto"/>
                      <w:sz w:val="21"/>
                      <w:szCs w:val="21"/>
                      <w:highlight w:val="none"/>
                    </w:rPr>
                  </w:pPr>
                  <w:bookmarkStart w:id="32" w:name="水量蒸发损耗"/>
                  <w:bookmarkEnd w:id="32"/>
                  <w:r>
                    <w:rPr>
                      <w:rFonts w:hint="default" w:ascii="Times New Roman" w:hAnsi="Times New Roman" w:eastAsia="宋体" w:cs="Times New Roman"/>
                      <w:b w:val="0"/>
                      <w:bCs/>
                      <w:color w:val="auto"/>
                      <w:sz w:val="21"/>
                      <w:szCs w:val="21"/>
                      <w:highlight w:val="none"/>
                    </w:rPr>
                    <w:t>有组织</w:t>
                  </w:r>
                </w:p>
              </w:tc>
              <w:tc>
                <w:tcPr>
                  <w:tcW w:w="1747" w:type="pct"/>
                  <w:tcBorders>
                    <w:tl2br w:val="nil"/>
                    <w:tr2bl w:val="nil"/>
                  </w:tcBorders>
                  <w:noWrap w:val="0"/>
                  <w:vAlign w:val="center"/>
                </w:tcPr>
                <w:p>
                  <w:pPr>
                    <w:pStyle w:val="7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val="0"/>
                      <w:bCs/>
                      <w:color w:val="auto"/>
                      <w:sz w:val="21"/>
                      <w:szCs w:val="21"/>
                      <w:highlight w:val="none"/>
                      <w:lang w:val="en-US" w:eastAsia="zh-CN"/>
                    </w:rPr>
                  </w:pPr>
                  <w:bookmarkStart w:id="33" w:name="2697.3"/>
                  <w:bookmarkEnd w:id="33"/>
                  <w:r>
                    <w:rPr>
                      <w:rFonts w:hint="default" w:ascii="Times New Roman" w:hAnsi="Times New Roman" w:eastAsia="宋体" w:cs="Times New Roman"/>
                      <w:b w:val="0"/>
                      <w:bCs/>
                      <w:color w:val="auto"/>
                      <w:sz w:val="21"/>
                      <w:szCs w:val="21"/>
                      <w:highlight w:val="none"/>
                      <w:lang w:val="en-US" w:eastAsia="zh-CN"/>
                    </w:rPr>
                    <w:t>非甲烷总烃</w:t>
                  </w:r>
                </w:p>
              </w:tc>
              <w:tc>
                <w:tcPr>
                  <w:tcW w:w="56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370" w:type="pct"/>
                  <w:tcBorders>
                    <w:tl2br w:val="nil"/>
                    <w:tr2bl w:val="nil"/>
                  </w:tcBorders>
                  <w:noWrap w:val="0"/>
                  <w:vAlign w:val="center"/>
                </w:tcPr>
                <w:p>
                  <w:pPr>
                    <w:pStyle w:val="7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val="0"/>
                      <w:bCs/>
                      <w:color w:val="auto"/>
                      <w:sz w:val="21"/>
                      <w:szCs w:val="21"/>
                      <w:highlight w:val="none"/>
                    </w:rPr>
                  </w:pPr>
                  <w:bookmarkStart w:id="34" w:name="3"/>
                  <w:bookmarkEnd w:id="34"/>
                  <w:r>
                    <w:rPr>
                      <w:rFonts w:hint="default" w:ascii="Times New Roman" w:hAnsi="Times New Roman" w:eastAsia="宋体" w:cs="Times New Roman"/>
                      <w:b w:val="0"/>
                      <w:bCs/>
                      <w:color w:val="auto"/>
                      <w:sz w:val="21"/>
                      <w:szCs w:val="21"/>
                      <w:highlight w:val="none"/>
                    </w:rPr>
                    <w:t>3</w:t>
                  </w:r>
                </w:p>
              </w:tc>
              <w:tc>
                <w:tcPr>
                  <w:tcW w:w="882" w:type="pct"/>
                  <w:tcBorders>
                    <w:tl2br w:val="nil"/>
                    <w:tr2bl w:val="nil"/>
                  </w:tcBorders>
                  <w:noWrap w:val="0"/>
                  <w:vAlign w:val="center"/>
                </w:tcPr>
                <w:p>
                  <w:pPr>
                    <w:autoSpaceDN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抗老化母料</w:t>
                  </w:r>
                </w:p>
              </w:tc>
              <w:tc>
                <w:tcPr>
                  <w:tcW w:w="116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400</w:t>
                  </w:r>
                </w:p>
              </w:tc>
              <w:tc>
                <w:tcPr>
                  <w:tcW w:w="204" w:type="pct"/>
                  <w:vMerge w:val="continue"/>
                  <w:tcBorders>
                    <w:tl2br w:val="nil"/>
                    <w:tr2bl w:val="nil"/>
                  </w:tcBorders>
                  <w:noWrap w:val="0"/>
                  <w:vAlign w:val="center"/>
                </w:tcPr>
                <w:p>
                  <w:pPr>
                    <w:pStyle w:val="7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val="0"/>
                      <w:bCs/>
                      <w:color w:val="auto"/>
                      <w:sz w:val="21"/>
                      <w:szCs w:val="21"/>
                      <w:highlight w:val="none"/>
                    </w:rPr>
                  </w:pPr>
                  <w:bookmarkStart w:id="35" w:name="5"/>
                  <w:bookmarkEnd w:id="35"/>
                  <w:bookmarkStart w:id="36" w:name="4"/>
                  <w:bookmarkEnd w:id="36"/>
                  <w:bookmarkStart w:id="37" w:name="废气"/>
                  <w:bookmarkEnd w:id="37"/>
                </w:p>
              </w:tc>
              <w:tc>
                <w:tcPr>
                  <w:tcW w:w="550" w:type="pct"/>
                  <w:tcBorders>
                    <w:tl2br w:val="nil"/>
                    <w:tr2bl w:val="nil"/>
                  </w:tcBorders>
                  <w:noWrap w:val="0"/>
                  <w:vAlign w:val="center"/>
                </w:tcPr>
                <w:p>
                  <w:pPr>
                    <w:pStyle w:val="7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bookmarkStart w:id="38" w:name="有组织"/>
                  <w:bookmarkEnd w:id="38"/>
                  <w:r>
                    <w:rPr>
                      <w:rFonts w:hint="default" w:ascii="Times New Roman" w:hAnsi="Times New Roman" w:eastAsia="宋体" w:cs="Times New Roman"/>
                      <w:b w:val="0"/>
                      <w:bCs/>
                      <w:color w:val="auto"/>
                      <w:sz w:val="21"/>
                      <w:szCs w:val="21"/>
                      <w:highlight w:val="none"/>
                    </w:rPr>
                    <w:t>无组织</w:t>
                  </w:r>
                </w:p>
              </w:tc>
              <w:tc>
                <w:tcPr>
                  <w:tcW w:w="1747" w:type="pct"/>
                  <w:tcBorders>
                    <w:tl2br w:val="nil"/>
                    <w:tr2bl w:val="nil"/>
                  </w:tcBorders>
                  <w:noWrap w:val="0"/>
                  <w:vAlign w:val="center"/>
                </w:tcPr>
                <w:p>
                  <w:pPr>
                    <w:pStyle w:val="7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bookmarkStart w:id="39" w:name="粉料筒仓外排粉尘"/>
                  <w:bookmarkEnd w:id="39"/>
                  <w:r>
                    <w:rPr>
                      <w:rFonts w:hint="default" w:ascii="Times New Roman" w:hAnsi="Times New Roman" w:eastAsia="宋体" w:cs="Times New Roman"/>
                      <w:b w:val="0"/>
                      <w:bCs/>
                      <w:color w:val="auto"/>
                      <w:sz w:val="21"/>
                      <w:szCs w:val="21"/>
                      <w:highlight w:val="none"/>
                      <w:lang w:val="en-US" w:eastAsia="zh-CN"/>
                    </w:rPr>
                    <w:t>非甲烷总烃</w:t>
                  </w:r>
                </w:p>
              </w:tc>
              <w:tc>
                <w:tcPr>
                  <w:tcW w:w="56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bookmarkStart w:id="40" w:name="0.624"/>
                  <w:bookmarkEnd w:id="40"/>
                  <w:r>
                    <w:rPr>
                      <w:rFonts w:hint="default" w:ascii="Times New Roman" w:hAnsi="Times New Roman" w:eastAsia="宋体" w:cs="Times New Roman"/>
                      <w:b w:val="0"/>
                      <w:bCs/>
                      <w:color w:val="auto"/>
                      <w:sz w:val="21"/>
                      <w:szCs w:val="21"/>
                      <w:highlight w:val="none"/>
                      <w:lang w:val="en-US" w:eastAsia="zh-CN"/>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370" w:type="pct"/>
                  <w:vMerge w:val="restart"/>
                  <w:tcBorders>
                    <w:tl2br w:val="nil"/>
                    <w:tr2bl w:val="nil"/>
                  </w:tcBorders>
                  <w:noWrap w:val="0"/>
                  <w:vAlign w:val="center"/>
                </w:tcPr>
                <w:p>
                  <w:pPr>
                    <w:pStyle w:val="7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w:t>
                  </w:r>
                </w:p>
              </w:tc>
              <w:tc>
                <w:tcPr>
                  <w:tcW w:w="882" w:type="pct"/>
                  <w:vMerge w:val="restart"/>
                  <w:tcBorders>
                    <w:tl2br w:val="nil"/>
                    <w:tr2bl w:val="nil"/>
                  </w:tcBorders>
                  <w:noWrap w:val="0"/>
                  <w:vAlign w:val="center"/>
                </w:tcPr>
                <w:p>
                  <w:pPr>
                    <w:autoSpaceDN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色母料</w:t>
                  </w:r>
                </w:p>
              </w:tc>
              <w:tc>
                <w:tcPr>
                  <w:tcW w:w="1169"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103.7</w:t>
                  </w:r>
                </w:p>
              </w:tc>
              <w:tc>
                <w:tcPr>
                  <w:tcW w:w="754" w:type="pct"/>
                  <w:gridSpan w:val="2"/>
                  <w:vMerge w:val="restart"/>
                  <w:tcBorders>
                    <w:tl2br w:val="nil"/>
                    <w:tr2bl w:val="nil"/>
                  </w:tcBorders>
                  <w:noWrap w:val="0"/>
                  <w:vAlign w:val="center"/>
                </w:tcPr>
                <w:p>
                  <w:pPr>
                    <w:pStyle w:val="7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固废</w:t>
                  </w:r>
                </w:p>
              </w:tc>
              <w:tc>
                <w:tcPr>
                  <w:tcW w:w="1747" w:type="pct"/>
                  <w:tcBorders>
                    <w:tl2br w:val="nil"/>
                    <w:tr2bl w:val="nil"/>
                  </w:tcBorders>
                  <w:noWrap w:val="0"/>
                  <w:vAlign w:val="center"/>
                </w:tcPr>
                <w:p>
                  <w:pPr>
                    <w:pStyle w:val="7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rPr>
                  </w:pPr>
                  <w:bookmarkStart w:id="41" w:name="搅拌机排放粉尘"/>
                  <w:bookmarkEnd w:id="41"/>
                  <w:r>
                    <w:rPr>
                      <w:rFonts w:hint="default" w:ascii="Times New Roman" w:hAnsi="Times New Roman" w:eastAsia="宋体" w:cs="Times New Roman"/>
                      <w:b w:val="0"/>
                      <w:bCs/>
                      <w:color w:val="auto"/>
                      <w:sz w:val="21"/>
                      <w:szCs w:val="21"/>
                      <w:highlight w:val="none"/>
                      <w:lang w:val="en-US" w:eastAsia="zh-CN"/>
                    </w:rPr>
                    <w:t>边角废料、不合格品</w:t>
                  </w:r>
                </w:p>
              </w:tc>
              <w:tc>
                <w:tcPr>
                  <w:tcW w:w="56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bookmarkStart w:id="42" w:name="0.246"/>
                  <w:bookmarkEnd w:id="42"/>
                  <w:r>
                    <w:rPr>
                      <w:rFonts w:hint="default" w:ascii="Times New Roman" w:hAnsi="Times New Roman" w:eastAsia="宋体" w:cs="Times New Roman"/>
                      <w:b w:val="0"/>
                      <w:bCs/>
                      <w:color w:val="auto"/>
                      <w:sz w:val="21"/>
                      <w:szCs w:val="21"/>
                      <w:highlight w:val="none"/>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370" w:type="pct"/>
                  <w:vMerge w:val="continue"/>
                  <w:tcBorders>
                    <w:tl2br w:val="nil"/>
                    <w:tr2bl w:val="nil"/>
                  </w:tcBorders>
                  <w:noWrap w:val="0"/>
                  <w:vAlign w:val="center"/>
                </w:tcPr>
                <w:p>
                  <w:pPr>
                    <w:pStyle w:val="7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val="0"/>
                      <w:bCs/>
                      <w:color w:val="auto"/>
                      <w:sz w:val="21"/>
                      <w:szCs w:val="21"/>
                      <w:highlight w:val="none"/>
                    </w:rPr>
                  </w:pPr>
                </w:p>
              </w:tc>
              <w:tc>
                <w:tcPr>
                  <w:tcW w:w="882"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676" w:type="pct"/>
                  <w:vMerge w:val="continue"/>
                  <w:tcBorders>
                    <w:tl2br w:val="nil"/>
                    <w:tr2bl w:val="nil"/>
                  </w:tcBorders>
                  <w:noWrap w:val="0"/>
                  <w:vAlign w:val="center"/>
                </w:tcPr>
                <w:p>
                  <w:pPr>
                    <w:jc w:val="center"/>
                    <w:textAlignment w:val="center"/>
                    <w:rPr>
                      <w:rFonts w:hint="default" w:ascii="Times New Roman" w:hAnsi="Times New Roman" w:eastAsia="宋体" w:cs="Times New Roman"/>
                      <w:color w:val="auto"/>
                      <w:sz w:val="21"/>
                      <w:szCs w:val="21"/>
                      <w:highlight w:val="none"/>
                    </w:rPr>
                  </w:pPr>
                </w:p>
              </w:tc>
              <w:tc>
                <w:tcPr>
                  <w:tcW w:w="754" w:type="pct"/>
                  <w:gridSpan w:val="2"/>
                  <w:vMerge w:val="continue"/>
                  <w:tcBorders>
                    <w:tl2br w:val="nil"/>
                    <w:tr2bl w:val="nil"/>
                  </w:tcBorders>
                  <w:noWrap w:val="0"/>
                  <w:vAlign w:val="center"/>
                </w:tcPr>
                <w:p>
                  <w:pPr>
                    <w:pStyle w:val="7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val="0"/>
                      <w:bCs/>
                      <w:color w:val="auto"/>
                      <w:sz w:val="21"/>
                      <w:szCs w:val="21"/>
                      <w:highlight w:val="none"/>
                    </w:rPr>
                  </w:pPr>
                  <w:bookmarkStart w:id="43" w:name="无组织"/>
                  <w:bookmarkEnd w:id="43"/>
                </w:p>
              </w:tc>
              <w:tc>
                <w:tcPr>
                  <w:tcW w:w="1747" w:type="pct"/>
                  <w:tcBorders>
                    <w:tl2br w:val="nil"/>
                    <w:tr2bl w:val="nil"/>
                  </w:tcBorders>
                  <w:noWrap w:val="0"/>
                  <w:vAlign w:val="center"/>
                </w:tcPr>
                <w:p>
                  <w:pPr>
                    <w:pStyle w:val="7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bookmarkStart w:id="44" w:name="仓库卸料、配料地仓进料、皮带输送环节的外排粉尘"/>
                  <w:bookmarkEnd w:id="44"/>
                  <w:r>
                    <w:rPr>
                      <w:rFonts w:hint="default" w:ascii="Times New Roman" w:hAnsi="Times New Roman" w:eastAsia="宋体" w:cs="Times New Roman"/>
                      <w:b w:val="0"/>
                      <w:bCs/>
                      <w:color w:val="auto"/>
                      <w:sz w:val="21"/>
                      <w:szCs w:val="21"/>
                      <w:highlight w:val="none"/>
                      <w:lang w:val="en-US" w:eastAsia="zh-CN"/>
                    </w:rPr>
                    <w:t>原辅料包装材料</w:t>
                  </w:r>
                </w:p>
              </w:tc>
              <w:tc>
                <w:tcPr>
                  <w:tcW w:w="56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bookmarkStart w:id="45" w:name="0.2235"/>
                  <w:bookmarkEnd w:id="45"/>
                  <w:r>
                    <w:rPr>
                      <w:rFonts w:hint="default" w:ascii="Times New Roman" w:hAnsi="Times New Roman" w:eastAsia="宋体" w:cs="Times New Roman"/>
                      <w:b w:val="0"/>
                      <w:bCs/>
                      <w:color w:val="auto"/>
                      <w:sz w:val="21"/>
                      <w:szCs w:val="21"/>
                      <w:highlight w:val="none"/>
                      <w:lang w:val="en-US" w:eastAsia="zh-CN"/>
                    </w:rPr>
                    <w:t>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252" w:type="pct"/>
                  <w:gridSpan w:val="2"/>
                  <w:tcBorders>
                    <w:tl2br w:val="nil"/>
                    <w:tr2bl w:val="nil"/>
                  </w:tcBorders>
                  <w:noWrap w:val="0"/>
                  <w:vAlign w:val="center"/>
                </w:tcPr>
                <w:p>
                  <w:pPr>
                    <w:pStyle w:val="7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color w:val="auto"/>
                      <w:sz w:val="21"/>
                      <w:szCs w:val="21"/>
                      <w:highlight w:val="none"/>
                    </w:rPr>
                  </w:pPr>
                  <w:bookmarkStart w:id="46" w:name="合计"/>
                  <w:bookmarkEnd w:id="46"/>
                  <w:r>
                    <w:rPr>
                      <w:rFonts w:hint="default" w:ascii="Times New Roman" w:hAnsi="Times New Roman" w:eastAsia="宋体" w:cs="Times New Roman"/>
                      <w:b/>
                      <w:color w:val="auto"/>
                      <w:sz w:val="21"/>
                      <w:szCs w:val="21"/>
                      <w:highlight w:val="none"/>
                    </w:rPr>
                    <w:t>合计</w:t>
                  </w:r>
                </w:p>
              </w:tc>
              <w:tc>
                <w:tcPr>
                  <w:tcW w:w="676" w:type="pct"/>
                  <w:tcBorders>
                    <w:tl2br w:val="nil"/>
                    <w:tr2bl w:val="nil"/>
                  </w:tcBorders>
                  <w:noWrap w:val="0"/>
                  <w:vAlign w:val="center"/>
                </w:tcPr>
                <w:p>
                  <w:pPr>
                    <w:pStyle w:val="7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color w:val="auto"/>
                      <w:sz w:val="21"/>
                      <w:szCs w:val="21"/>
                      <w:highlight w:val="none"/>
                      <w:lang w:val="en-US" w:eastAsia="zh-CN"/>
                    </w:rPr>
                  </w:pPr>
                  <w:bookmarkStart w:id="47" w:name="465550"/>
                  <w:bookmarkEnd w:id="47"/>
                  <w:r>
                    <w:rPr>
                      <w:rFonts w:hint="default" w:ascii="Times New Roman" w:hAnsi="Times New Roman" w:eastAsia="宋体" w:cs="Times New Roman"/>
                      <w:b/>
                      <w:color w:val="auto"/>
                      <w:sz w:val="21"/>
                      <w:szCs w:val="21"/>
                      <w:highlight w:val="none"/>
                      <w:lang w:val="en-US" w:eastAsia="zh-CN"/>
                    </w:rPr>
                    <w:t>5023.7</w:t>
                  </w:r>
                </w:p>
              </w:tc>
              <w:tc>
                <w:tcPr>
                  <w:tcW w:w="754" w:type="pct"/>
                  <w:gridSpan w:val="2"/>
                  <w:tcBorders>
                    <w:tl2br w:val="nil"/>
                    <w:tr2bl w:val="nil"/>
                  </w:tcBorders>
                  <w:noWrap w:val="0"/>
                  <w:vAlign w:val="center"/>
                </w:tcPr>
                <w:p>
                  <w:pPr>
                    <w:pStyle w:val="7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color w:val="auto"/>
                      <w:sz w:val="21"/>
                      <w:szCs w:val="21"/>
                      <w:highlight w:val="none"/>
                    </w:rPr>
                  </w:pPr>
                  <w:bookmarkStart w:id="48" w:name="合计"/>
                  <w:bookmarkEnd w:id="48"/>
                  <w:r>
                    <w:rPr>
                      <w:rFonts w:hint="default" w:ascii="Times New Roman" w:hAnsi="Times New Roman" w:eastAsia="宋体" w:cs="Times New Roman"/>
                      <w:b/>
                      <w:color w:val="auto"/>
                      <w:sz w:val="21"/>
                      <w:szCs w:val="21"/>
                      <w:highlight w:val="none"/>
                    </w:rPr>
                    <w:t>合计</w:t>
                  </w:r>
                </w:p>
              </w:tc>
              <w:tc>
                <w:tcPr>
                  <w:tcW w:w="2316" w:type="pct"/>
                  <w:gridSpan w:val="2"/>
                  <w:tcBorders>
                    <w:tl2br w:val="nil"/>
                    <w:tr2bl w:val="nil"/>
                  </w:tcBorders>
                  <w:noWrap w:val="0"/>
                  <w:vAlign w:val="center"/>
                </w:tcPr>
                <w:p>
                  <w:pPr>
                    <w:pStyle w:val="7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color w:val="auto"/>
                      <w:sz w:val="21"/>
                      <w:szCs w:val="21"/>
                      <w:highlight w:val="none"/>
                      <w:lang w:val="en-US" w:eastAsia="zh-CN"/>
                    </w:rPr>
                  </w:pPr>
                  <w:bookmarkStart w:id="49" w:name="465550"/>
                  <w:bookmarkEnd w:id="49"/>
                  <w:r>
                    <w:rPr>
                      <w:rFonts w:hint="default" w:ascii="Times New Roman" w:hAnsi="Times New Roman" w:eastAsia="宋体" w:cs="Times New Roman"/>
                      <w:b/>
                      <w:color w:val="auto"/>
                      <w:sz w:val="21"/>
                      <w:szCs w:val="21"/>
                      <w:highlight w:val="none"/>
                      <w:lang w:val="en-US" w:eastAsia="zh-CN"/>
                    </w:rPr>
                    <w:t>5023.7</w:t>
                  </w:r>
                </w:p>
              </w:tc>
            </w:tr>
          </w:tbl>
          <w:p>
            <w:pPr>
              <w:pStyle w:val="24"/>
              <w:spacing w:beforeLines="0" w:after="0" w:afterLines="0" w:line="360" w:lineRule="auto"/>
              <w:ind w:firstLine="422" w:firstLineChars="200"/>
              <w:jc w:val="center"/>
              <w:rPr>
                <w:rFonts w:hint="default" w:ascii="Times New Roman" w:hAnsi="Times New Roman" w:eastAsia="宋体" w:cs="Times New Roman"/>
                <w:b/>
                <w:bCs/>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6" w:type="dxa"/>
            <w:vAlign w:val="center"/>
          </w:tcPr>
          <w:p>
            <w:pPr>
              <w:pStyle w:val="23"/>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2"/>
                <w:sz w:val="24"/>
                <w:szCs w:val="24"/>
                <w:highlight w:val="none"/>
              </w:rPr>
              <w:t>与项目有关的原有环境污染问题</w:t>
            </w:r>
          </w:p>
        </w:tc>
        <w:tc>
          <w:tcPr>
            <w:tcW w:w="8936" w:type="dxa"/>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本次扩建项目在原项目已建生产车间内划定部分闲置区域进行使用。</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一、原项目环保手续履行情况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原项目环保手续履行情况如下：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建设单位已委托北京文华东方环境科技有限公司编制了《昆明茂源卫生用品、纸和纸板容器制造生产建设项目环境影响报告表》，并于2020年5月11日取得了昆明市生态环境局寻甸分局关于对《昆明茂源卫生用品、纸和纸板容器制造生产建设项目环境影响报告表》的批复（昆生环寻[2020]38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②原项目已于2021年3月19日在昆明市生态环境局寻甸分局进行了突发环境事件应急预案备案，备案编号：530-129-2021-020L；</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③建设单位已于2021年4月12日进行了固定污染源排污登记，登记编号：91530129MA6NXWW0XC001P；</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④2021年8月22日，由建设单位组织进行了《昆明茂源卫生用品、纸和纸板容器制造生产建设项目竣工环境保护验收》，验收组同意验收合格，取得了验收意见。</w:t>
            </w:r>
          </w:p>
          <w:p>
            <w:pPr>
              <w:adjustRightInd w:val="0"/>
              <w:snapToGrid w:val="0"/>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二、</w:t>
            </w:r>
            <w:r>
              <w:rPr>
                <w:rFonts w:hint="default" w:ascii="Times New Roman" w:hAnsi="Times New Roman" w:eastAsia="宋体" w:cs="Times New Roman"/>
                <w:b/>
                <w:bCs/>
                <w:color w:val="auto"/>
                <w:sz w:val="24"/>
                <w:highlight w:val="none"/>
              </w:rPr>
              <w:t>原项目</w:t>
            </w:r>
            <w:r>
              <w:rPr>
                <w:rFonts w:hint="default" w:ascii="Times New Roman" w:hAnsi="Times New Roman" w:eastAsia="宋体" w:cs="Times New Roman"/>
                <w:b/>
                <w:bCs/>
                <w:color w:val="auto"/>
                <w:sz w:val="24"/>
                <w:highlight w:val="none"/>
                <w:lang w:val="en-US" w:eastAsia="zh-CN"/>
              </w:rPr>
              <w:t>现有工程</w:t>
            </w:r>
            <w:r>
              <w:rPr>
                <w:rFonts w:hint="default" w:ascii="Times New Roman" w:hAnsi="Times New Roman" w:eastAsia="宋体" w:cs="Times New Roman"/>
                <w:b/>
                <w:bCs/>
                <w:color w:val="auto"/>
                <w:sz w:val="24"/>
                <w:highlight w:val="none"/>
              </w:rPr>
              <w:t>概况</w:t>
            </w:r>
          </w:p>
          <w:p>
            <w:pPr>
              <w:adjustRightInd w:val="0"/>
              <w:snapToGrid w:val="0"/>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1、原项目基本概况</w:t>
            </w:r>
          </w:p>
          <w:p>
            <w:pPr>
              <w:pStyle w:val="77"/>
              <w:keepNext w:val="0"/>
              <w:keepLines w:val="0"/>
              <w:pageBreakBefore w:val="0"/>
              <w:widowControl w:val="0"/>
              <w:kinsoku/>
              <w:wordWrap/>
              <w:overflowPunct/>
              <w:topLinePunct w:val="0"/>
              <w:autoSpaceDE/>
              <w:autoSpaceDN/>
              <w:bidi w:val="0"/>
              <w:adjustRightInd/>
              <w:snapToGrid/>
              <w:spacing w:line="360" w:lineRule="auto"/>
              <w:ind w:left="0" w:right="0" w:firstLine="482"/>
              <w:textAlignment w:val="auto"/>
              <w:rPr>
                <w:rFonts w:hint="default" w:ascii="Times New Roman" w:hAnsi="Times New Roman" w:eastAsia="宋体" w:cs="Times New Roman"/>
                <w:b w:val="0"/>
                <w:bCs w:val="0"/>
                <w:color w:val="auto"/>
                <w:kern w:val="0"/>
                <w:sz w:val="24"/>
                <w:szCs w:val="20"/>
                <w:highlight w:val="none"/>
                <w:lang w:val="en-US" w:eastAsia="zh-CN" w:bidi="ar-SA"/>
              </w:rPr>
            </w:pPr>
            <w:r>
              <w:rPr>
                <w:rFonts w:hint="default" w:ascii="Times New Roman" w:hAnsi="Times New Roman" w:eastAsia="宋体" w:cs="Times New Roman"/>
                <w:color w:val="auto"/>
                <w:sz w:val="24"/>
                <w:szCs w:val="24"/>
                <w:highlight w:val="none"/>
                <w:lang w:val="en-US" w:eastAsia="zh-CN"/>
              </w:rPr>
              <w:t>原项目共建有1栋3跨标准化厂房（1#厂房）、1栋1跨标准化厂房（2#厂房）、1栋3F综合办公楼，配套建设公用工程及部分环保工程（隔油池、化粪池、地埋式一体化污水处理站）。</w:t>
            </w:r>
            <w:r>
              <w:rPr>
                <w:rFonts w:hint="default" w:ascii="Times New Roman" w:hAnsi="Times New Roman" w:eastAsia="宋体" w:cs="Times New Roman"/>
                <w:color w:val="auto"/>
                <w:highlight w:val="none"/>
              </w:rPr>
              <w:t>总占地面积6670m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，总建筑面积约4760.68m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，实际</w:t>
            </w:r>
            <w:r>
              <w:rPr>
                <w:rFonts w:hint="default" w:ascii="Times New Roman" w:hAnsi="Times New Roman" w:eastAsia="宋体" w:cs="Times New Roman"/>
                <w:color w:val="auto"/>
                <w:highlight w:val="none"/>
                <w:lang w:val="en-US" w:eastAsia="zh-CN"/>
              </w:rPr>
              <w:t>建设了</w:t>
            </w:r>
            <w:r>
              <w:rPr>
                <w:rFonts w:hint="default" w:ascii="Times New Roman" w:hAnsi="Times New Roman" w:eastAsia="宋体" w:cs="Times New Roman"/>
                <w:color w:val="auto"/>
                <w:highlight w:val="none"/>
              </w:rPr>
              <w:t>2条卷纸生产线、3条抽纸生产线、2条面巾纸生产线</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生产规模为</w:t>
            </w:r>
            <w:r>
              <w:rPr>
                <w:rFonts w:hint="default" w:ascii="Times New Roman" w:hAnsi="Times New Roman" w:eastAsia="宋体" w:cs="Times New Roman"/>
                <w:color w:val="auto"/>
                <w:highlight w:val="none"/>
              </w:rPr>
              <w:t>年产卷纸2500</w:t>
            </w:r>
            <w:r>
              <w:rPr>
                <w:rFonts w:hint="default" w:ascii="Times New Roman" w:hAnsi="Times New Roman" w:eastAsia="宋体" w:cs="Times New Roman"/>
                <w:color w:val="auto"/>
                <w:highlight w:val="none"/>
                <w:lang w:val="en-US" w:eastAsia="zh-CN"/>
              </w:rPr>
              <w:t>t/a</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抽纸2100</w:t>
            </w:r>
            <w:r>
              <w:rPr>
                <w:rFonts w:hint="default" w:ascii="Times New Roman" w:hAnsi="Times New Roman" w:eastAsia="宋体" w:cs="Times New Roman"/>
                <w:color w:val="auto"/>
                <w:highlight w:val="none"/>
                <w:lang w:val="en-US" w:eastAsia="zh-CN"/>
              </w:rPr>
              <w:t>t/a</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面巾纸1000</w:t>
            </w:r>
            <w:r>
              <w:rPr>
                <w:rFonts w:hint="default" w:ascii="Times New Roman" w:hAnsi="Times New Roman" w:eastAsia="宋体" w:cs="Times New Roman"/>
                <w:color w:val="auto"/>
                <w:highlight w:val="none"/>
                <w:lang w:val="en-US" w:eastAsia="zh-CN"/>
              </w:rPr>
              <w:t>t/a</w:t>
            </w:r>
            <w:r>
              <w:rPr>
                <w:rFonts w:hint="default" w:ascii="Times New Roman" w:hAnsi="Times New Roman" w:eastAsia="宋体" w:cs="Times New Roman"/>
                <w:color w:val="auto"/>
                <w:highlight w:val="none"/>
              </w:rPr>
              <w:t>。</w:t>
            </w:r>
          </w:p>
          <w:p>
            <w:pPr>
              <w:adjustRightInd w:val="0"/>
              <w:snapToGrid w:val="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rPr>
              <w:t>2、</w:t>
            </w:r>
            <w:r>
              <w:rPr>
                <w:rFonts w:hint="default" w:ascii="Times New Roman" w:hAnsi="Times New Roman" w:eastAsia="宋体" w:cs="Times New Roman"/>
                <w:b/>
                <w:bCs/>
                <w:color w:val="auto"/>
                <w:sz w:val="24"/>
                <w:highlight w:val="none"/>
                <w:lang w:val="en-US" w:eastAsia="zh-CN"/>
              </w:rPr>
              <w:t>原</w:t>
            </w:r>
            <w:r>
              <w:rPr>
                <w:rFonts w:hint="default" w:ascii="Times New Roman" w:hAnsi="Times New Roman" w:eastAsia="宋体" w:cs="Times New Roman"/>
                <w:b/>
                <w:bCs/>
                <w:color w:val="auto"/>
                <w:sz w:val="24"/>
                <w:highlight w:val="none"/>
              </w:rPr>
              <w:t>项目</w:t>
            </w:r>
            <w:r>
              <w:rPr>
                <w:rFonts w:hint="default" w:ascii="Times New Roman" w:hAnsi="Times New Roman" w:eastAsia="宋体" w:cs="Times New Roman"/>
                <w:b/>
                <w:bCs/>
                <w:color w:val="auto"/>
                <w:sz w:val="24"/>
                <w:highlight w:val="none"/>
                <w:lang w:val="en-US" w:eastAsia="zh-CN"/>
              </w:rPr>
              <w:t>建设内容</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kern w:val="2"/>
                <w:sz w:val="24"/>
                <w:szCs w:val="24"/>
                <w:highlight w:val="none"/>
                <w:lang w:val="en-US" w:eastAsia="zh-CN" w:bidi="ar-SA"/>
              </w:rPr>
              <w:t>原项目实际建设过程中较环评中减少了部分生产线（较环评中未设置纸箱、纸杯、纸碗、塑料碗、塑料包装袋及塑料包装袋印刷生产线），</w:t>
            </w:r>
            <w:r>
              <w:rPr>
                <w:rFonts w:hint="default" w:ascii="Times New Roman" w:hAnsi="Times New Roman" w:eastAsia="宋体" w:cs="Times New Roman"/>
                <w:color w:val="auto"/>
                <w:kern w:val="2"/>
                <w:sz w:val="24"/>
                <w:szCs w:val="24"/>
                <w:highlight w:val="none"/>
                <w:lang w:val="zh-CN" w:eastAsia="zh-CN" w:bidi="ar-SA"/>
              </w:rPr>
              <w:t>原项目</w:t>
            </w:r>
            <w:r>
              <w:rPr>
                <w:rFonts w:hint="default" w:ascii="Times New Roman" w:hAnsi="Times New Roman" w:eastAsia="宋体" w:cs="Times New Roman"/>
                <w:color w:val="auto"/>
                <w:kern w:val="2"/>
                <w:sz w:val="24"/>
                <w:szCs w:val="24"/>
                <w:highlight w:val="none"/>
                <w:lang w:val="en-US" w:eastAsia="zh-CN" w:bidi="ar-SA"/>
              </w:rPr>
              <w:t>实际</w:t>
            </w:r>
            <w:r>
              <w:rPr>
                <w:rFonts w:hint="default" w:ascii="Times New Roman" w:hAnsi="Times New Roman" w:eastAsia="宋体" w:cs="Times New Roman"/>
                <w:color w:val="auto"/>
                <w:sz w:val="24"/>
                <w:highlight w:val="none"/>
                <w:lang w:val="zh-CN"/>
              </w:rPr>
              <w:t>组成情况见表</w:t>
            </w:r>
            <w:r>
              <w:rPr>
                <w:rFonts w:hint="default" w:ascii="Times New Roman" w:hAnsi="Times New Roman" w:eastAsia="宋体" w:cs="Times New Roman"/>
                <w:color w:val="auto"/>
                <w:sz w:val="24"/>
                <w:highlight w:val="none"/>
                <w:lang w:val="en-US" w:eastAsia="zh-CN"/>
              </w:rPr>
              <w:t>2-10</w:t>
            </w:r>
            <w:r>
              <w:rPr>
                <w:rFonts w:hint="default" w:ascii="Times New Roman" w:hAnsi="Times New Roman" w:eastAsia="宋体" w:cs="Times New Roman"/>
                <w:color w:val="auto"/>
                <w:sz w:val="24"/>
                <w:highlight w:val="none"/>
                <w:lang w:val="zh-CN"/>
              </w:rPr>
              <w:t>。</w:t>
            </w:r>
          </w:p>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zh-CN"/>
              </w:rPr>
              <w:t>表</w:t>
            </w:r>
            <w:r>
              <w:rPr>
                <w:rFonts w:hint="default" w:ascii="Times New Roman" w:hAnsi="Times New Roman" w:eastAsia="宋体" w:cs="Times New Roman"/>
                <w:b/>
                <w:bCs/>
                <w:color w:val="auto"/>
                <w:szCs w:val="21"/>
                <w:highlight w:val="none"/>
                <w:lang w:val="en-US" w:eastAsia="zh-CN"/>
              </w:rPr>
              <w:t>2-10</w:t>
            </w:r>
            <w:r>
              <w:rPr>
                <w:rFonts w:hint="default" w:ascii="Times New Roman" w:hAnsi="Times New Roman" w:eastAsia="宋体" w:cs="Times New Roman"/>
                <w:b/>
                <w:bCs/>
                <w:color w:val="auto"/>
                <w:szCs w:val="21"/>
                <w:highlight w:val="none"/>
              </w:rPr>
              <w:t xml:space="preserve">   原项目</w:t>
            </w:r>
            <w:r>
              <w:rPr>
                <w:rFonts w:hint="default" w:ascii="Times New Roman" w:hAnsi="Times New Roman" w:eastAsia="宋体" w:cs="Times New Roman"/>
                <w:b/>
                <w:bCs/>
                <w:color w:val="auto"/>
                <w:szCs w:val="21"/>
                <w:highlight w:val="none"/>
                <w:lang w:val="en-US" w:eastAsia="zh-CN"/>
              </w:rPr>
              <w:t>实际</w:t>
            </w:r>
            <w:r>
              <w:rPr>
                <w:rFonts w:hint="default" w:ascii="Times New Roman" w:hAnsi="Times New Roman" w:eastAsia="宋体" w:cs="Times New Roman"/>
                <w:b/>
                <w:bCs/>
                <w:color w:val="auto"/>
                <w:szCs w:val="21"/>
                <w:highlight w:val="none"/>
              </w:rPr>
              <w:t>工程组成</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
              <w:gridCol w:w="479"/>
              <w:gridCol w:w="1571"/>
              <w:gridCol w:w="6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43" w:type="pct"/>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工程名称</w:t>
                  </w:r>
                </w:p>
              </w:tc>
              <w:tc>
                <w:tcPr>
                  <w:tcW w:w="3556"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实际建设内容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主体工程</w:t>
                  </w:r>
                </w:p>
              </w:tc>
              <w:tc>
                <w:tcPr>
                  <w:tcW w:w="1173" w:type="pct"/>
                  <w:gridSpan w:val="2"/>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生产厂房</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3920.68m</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lang w:eastAsia="zh-CN"/>
                    </w:rPr>
                    <w:t>）</w:t>
                  </w:r>
                </w:p>
              </w:tc>
              <w:tc>
                <w:tcPr>
                  <w:tcW w:w="3556"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共设置2栋生产厂房，</w:t>
                  </w:r>
                  <w:r>
                    <w:rPr>
                      <w:rFonts w:hint="default" w:ascii="Times New Roman" w:hAnsi="Times New Roman" w:eastAsia="宋体" w:cs="Times New Roman"/>
                      <w:color w:val="auto"/>
                      <w:sz w:val="21"/>
                      <w:szCs w:val="21"/>
                      <w:highlight w:val="none"/>
                      <w:lang w:val="en-US" w:eastAsia="zh-CN"/>
                    </w:rPr>
                    <w:t>1栋3跨标准化厂房（1#厂房）、1栋1跨标准化厂房（2#厂房）</w:t>
                  </w:r>
                  <w:r>
                    <w:rPr>
                      <w:rFonts w:hint="default" w:ascii="Times New Roman" w:hAnsi="Times New Roman" w:eastAsia="宋体" w:cs="Times New Roman"/>
                      <w:color w:val="auto"/>
                      <w:kern w:val="0"/>
                      <w:sz w:val="21"/>
                      <w:szCs w:val="21"/>
                      <w:highlight w:val="none"/>
                    </w:rPr>
                    <w:t>，厂房高度为9.9m。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74" w:type="pct"/>
                  <w:vMerge w:val="restart"/>
                  <w:tcBorders>
                    <w:top w:val="nil"/>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其中</w:t>
                  </w:r>
                </w:p>
              </w:tc>
              <w:tc>
                <w:tcPr>
                  <w:tcW w:w="898"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1栋3跨标准化厂房（1#厂房）</w:t>
                  </w:r>
                </w:p>
              </w:tc>
              <w:tc>
                <w:tcPr>
                  <w:tcW w:w="3556"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位于</w:t>
                  </w:r>
                  <w:r>
                    <w:rPr>
                      <w:rFonts w:hint="default" w:ascii="Times New Roman" w:hAnsi="Times New Roman" w:eastAsia="宋体" w:cs="Times New Roman"/>
                      <w:color w:val="auto"/>
                      <w:kern w:val="0"/>
                      <w:sz w:val="21"/>
                      <w:szCs w:val="21"/>
                      <w:highlight w:val="none"/>
                      <w:lang w:val="en-US" w:eastAsia="zh-CN"/>
                    </w:rPr>
                    <w:t>整个项目区西侧</w:t>
                  </w:r>
                  <w:r>
                    <w:rPr>
                      <w:rFonts w:hint="default" w:ascii="Times New Roman" w:hAnsi="Times New Roman" w:eastAsia="宋体" w:cs="Times New Roman"/>
                      <w:color w:val="auto"/>
                      <w:kern w:val="0"/>
                      <w:sz w:val="21"/>
                      <w:szCs w:val="21"/>
                      <w:highlight w:val="none"/>
                    </w:rPr>
                    <w:t>，厂房</w:t>
                  </w:r>
                  <w:r>
                    <w:rPr>
                      <w:rFonts w:hint="default" w:ascii="Times New Roman" w:hAnsi="Times New Roman" w:eastAsia="宋体" w:cs="Times New Roman"/>
                      <w:color w:val="auto"/>
                      <w:kern w:val="0"/>
                      <w:sz w:val="21"/>
                      <w:szCs w:val="21"/>
                      <w:highlight w:val="none"/>
                      <w:lang w:val="en-US" w:eastAsia="zh-CN"/>
                    </w:rPr>
                    <w:t>总</w:t>
                  </w:r>
                  <w:r>
                    <w:rPr>
                      <w:rFonts w:hint="default" w:ascii="Times New Roman" w:hAnsi="Times New Roman" w:eastAsia="宋体" w:cs="Times New Roman"/>
                      <w:color w:val="auto"/>
                      <w:kern w:val="0"/>
                      <w:sz w:val="21"/>
                      <w:szCs w:val="21"/>
                      <w:highlight w:val="none"/>
                    </w:rPr>
                    <w:t>建筑面积为</w:t>
                  </w:r>
                  <w:r>
                    <w:rPr>
                      <w:rFonts w:hint="default" w:ascii="Times New Roman" w:hAnsi="Times New Roman" w:eastAsia="宋体" w:cs="Times New Roman"/>
                      <w:color w:val="auto"/>
                      <w:kern w:val="0"/>
                      <w:sz w:val="21"/>
                      <w:szCs w:val="21"/>
                      <w:highlight w:val="none"/>
                      <w:lang w:val="en-US" w:eastAsia="zh-CN"/>
                    </w:rPr>
                    <w:t>3300</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vertAlign w:val="baseline"/>
                      <w:lang w:eastAsia="zh-CN"/>
                    </w:rPr>
                    <w:t>，</w:t>
                  </w:r>
                  <w:r>
                    <w:rPr>
                      <w:rFonts w:hint="default" w:ascii="Times New Roman" w:hAnsi="Times New Roman" w:eastAsia="宋体" w:cs="Times New Roman"/>
                      <w:color w:val="auto"/>
                      <w:kern w:val="0"/>
                      <w:sz w:val="21"/>
                      <w:szCs w:val="21"/>
                      <w:highlight w:val="none"/>
                      <w:vertAlign w:val="baseline"/>
                      <w:lang w:val="en-US" w:eastAsia="zh-CN"/>
                    </w:rPr>
                    <w:t>1#</w:t>
                  </w:r>
                  <w:r>
                    <w:rPr>
                      <w:rFonts w:hint="default" w:ascii="Times New Roman" w:hAnsi="Times New Roman" w:eastAsia="宋体" w:cs="Times New Roman"/>
                      <w:color w:val="auto"/>
                      <w:kern w:val="0"/>
                      <w:sz w:val="21"/>
                      <w:szCs w:val="21"/>
                      <w:highlight w:val="none"/>
                    </w:rPr>
                    <w:t>厂房共分隔为</w:t>
                  </w:r>
                  <w:r>
                    <w:rPr>
                      <w:rFonts w:hint="default" w:ascii="Times New Roman" w:hAnsi="Times New Roman" w:eastAsia="宋体" w:cs="Times New Roman"/>
                      <w:color w:val="auto"/>
                      <w:kern w:val="0"/>
                      <w:sz w:val="21"/>
                      <w:szCs w:val="21"/>
                      <w:highlight w:val="none"/>
                      <w:lang w:val="en-US" w:eastAsia="zh-CN"/>
                    </w:rPr>
                    <w:t>3跨</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vertAlign w:val="baseline"/>
                      <w:lang w:val="en-US" w:eastAsia="zh-CN"/>
                    </w:rPr>
                    <w:t>1#</w:t>
                  </w:r>
                  <w:r>
                    <w:rPr>
                      <w:rFonts w:hint="default" w:ascii="Times New Roman" w:hAnsi="Times New Roman" w:eastAsia="宋体" w:cs="Times New Roman"/>
                      <w:color w:val="auto"/>
                      <w:kern w:val="0"/>
                      <w:sz w:val="21"/>
                      <w:szCs w:val="21"/>
                      <w:highlight w:val="none"/>
                    </w:rPr>
                    <w:t>厂房</w:t>
                  </w:r>
                  <w:r>
                    <w:rPr>
                      <w:rFonts w:hint="default" w:ascii="Times New Roman" w:hAnsi="Times New Roman" w:eastAsia="宋体" w:cs="Times New Roman"/>
                      <w:color w:val="auto"/>
                      <w:kern w:val="0"/>
                      <w:sz w:val="21"/>
                      <w:szCs w:val="21"/>
                      <w:highlight w:val="none"/>
                      <w:lang w:val="en-US" w:eastAsia="zh-CN"/>
                    </w:rPr>
                    <w:t>内的第1跨设置</w:t>
                  </w:r>
                  <w:r>
                    <w:rPr>
                      <w:rFonts w:hint="default" w:ascii="Times New Roman" w:hAnsi="Times New Roman" w:eastAsia="宋体" w:cs="Times New Roman"/>
                      <w:color w:val="auto"/>
                      <w:sz w:val="21"/>
                      <w:szCs w:val="21"/>
                      <w:highlight w:val="none"/>
                      <w:lang w:val="en-US" w:eastAsia="zh-CN"/>
                    </w:rPr>
                    <w:t>了</w:t>
                  </w:r>
                  <w:r>
                    <w:rPr>
                      <w:rFonts w:hint="default" w:ascii="Times New Roman" w:hAnsi="Times New Roman" w:eastAsia="宋体" w:cs="Times New Roman"/>
                      <w:color w:val="auto"/>
                      <w:sz w:val="21"/>
                      <w:szCs w:val="21"/>
                      <w:highlight w:val="none"/>
                    </w:rPr>
                    <w:t>2条卷纸生产线、3条抽纸生产线、2条面巾纸生产线</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第2跨及第3跨目前为闲置，拟作为扩建项目生产车间。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74" w:type="pct"/>
                  <w:vMerge w:val="continue"/>
                  <w:tcBorders>
                    <w:top w:val="nil"/>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898"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1栋1跨标准化厂房（2#厂房）</w:t>
                  </w:r>
                </w:p>
              </w:tc>
              <w:tc>
                <w:tcPr>
                  <w:tcW w:w="3556"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位于</w:t>
                  </w:r>
                  <w:r>
                    <w:rPr>
                      <w:rFonts w:hint="default" w:ascii="Times New Roman" w:hAnsi="Times New Roman" w:eastAsia="宋体" w:cs="Times New Roman"/>
                      <w:color w:val="auto"/>
                      <w:kern w:val="0"/>
                      <w:sz w:val="21"/>
                      <w:szCs w:val="21"/>
                      <w:highlight w:val="none"/>
                      <w:lang w:val="en-US" w:eastAsia="zh-CN"/>
                    </w:rPr>
                    <w:t>整个项目区东北侧</w:t>
                  </w:r>
                  <w:r>
                    <w:rPr>
                      <w:rFonts w:hint="default" w:ascii="Times New Roman" w:hAnsi="Times New Roman" w:eastAsia="宋体" w:cs="Times New Roman"/>
                      <w:color w:val="auto"/>
                      <w:kern w:val="0"/>
                      <w:sz w:val="21"/>
                      <w:szCs w:val="21"/>
                      <w:highlight w:val="none"/>
                    </w:rPr>
                    <w:t>，建筑面积为</w:t>
                  </w:r>
                  <w:r>
                    <w:rPr>
                      <w:rFonts w:hint="default" w:ascii="Times New Roman" w:hAnsi="Times New Roman" w:eastAsia="宋体" w:cs="Times New Roman"/>
                      <w:color w:val="auto"/>
                      <w:kern w:val="0"/>
                      <w:sz w:val="21"/>
                      <w:szCs w:val="21"/>
                      <w:highlight w:val="none"/>
                      <w:lang w:val="en-US" w:eastAsia="zh-CN"/>
                    </w:rPr>
                    <w:t>620.68</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，设置为</w:t>
                  </w:r>
                  <w:r>
                    <w:rPr>
                      <w:rFonts w:hint="default" w:ascii="Times New Roman" w:hAnsi="Times New Roman" w:eastAsia="宋体" w:cs="Times New Roman"/>
                      <w:color w:val="auto"/>
                      <w:kern w:val="0"/>
                      <w:sz w:val="21"/>
                      <w:szCs w:val="21"/>
                      <w:highlight w:val="none"/>
                      <w:lang w:val="en-US" w:eastAsia="zh-CN"/>
                    </w:rPr>
                    <w:t>纸制品库房</w:t>
                  </w:r>
                  <w:r>
                    <w:rPr>
                      <w:rFonts w:hint="default" w:ascii="Times New Roman" w:hAnsi="Times New Roman" w:eastAsia="宋体" w:cs="Times New Roman"/>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辅助工程</w:t>
                  </w:r>
                </w:p>
              </w:tc>
              <w:tc>
                <w:tcPr>
                  <w:tcW w:w="1173" w:type="pct"/>
                  <w:gridSpan w:val="2"/>
                  <w:tcBorders>
                    <w:top w:val="nil"/>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综合</w:t>
                  </w:r>
                  <w:r>
                    <w:rPr>
                      <w:rFonts w:hint="default" w:ascii="Times New Roman" w:hAnsi="Times New Roman" w:eastAsia="宋体" w:cs="Times New Roman"/>
                      <w:color w:val="auto"/>
                      <w:kern w:val="0"/>
                      <w:sz w:val="21"/>
                      <w:szCs w:val="21"/>
                      <w:highlight w:val="none"/>
                    </w:rPr>
                    <w:t>楼</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840m</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lang w:eastAsia="zh-CN"/>
                    </w:rPr>
                    <w:t>）</w:t>
                  </w:r>
                </w:p>
              </w:tc>
              <w:tc>
                <w:tcPr>
                  <w:tcW w:w="3556"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共设置1</w:t>
                  </w:r>
                  <w:r>
                    <w:rPr>
                      <w:rFonts w:hint="default" w:ascii="Times New Roman" w:hAnsi="Times New Roman" w:eastAsia="宋体" w:cs="Times New Roman"/>
                      <w:color w:val="auto"/>
                      <w:kern w:val="0"/>
                      <w:sz w:val="21"/>
                      <w:szCs w:val="21"/>
                      <w:highlight w:val="none"/>
                    </w:rPr>
                    <w:t>栋3层的</w:t>
                  </w:r>
                  <w:r>
                    <w:rPr>
                      <w:rFonts w:hint="default" w:ascii="Times New Roman" w:hAnsi="Times New Roman" w:eastAsia="宋体" w:cs="Times New Roman"/>
                      <w:color w:val="auto"/>
                      <w:kern w:val="0"/>
                      <w:sz w:val="21"/>
                      <w:szCs w:val="21"/>
                      <w:highlight w:val="none"/>
                      <w:lang w:val="en-US" w:eastAsia="zh-CN"/>
                    </w:rPr>
                    <w:t>砖混结构综合</w:t>
                  </w:r>
                  <w:r>
                    <w:rPr>
                      <w:rFonts w:hint="default" w:ascii="Times New Roman" w:hAnsi="Times New Roman" w:eastAsia="宋体" w:cs="Times New Roman"/>
                      <w:color w:val="auto"/>
                      <w:kern w:val="0"/>
                      <w:sz w:val="21"/>
                      <w:szCs w:val="21"/>
                      <w:highlight w:val="none"/>
                    </w:rPr>
                    <w:t>楼</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总建筑面积为840m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高度为12.1m；一层主要包含办公室、展厅、接待室，二三层为员工宿舍、员工活动中心。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74" w:type="pct"/>
                  <w:vMerge w:val="restart"/>
                  <w:tcBorders>
                    <w:top w:val="nil"/>
                    <w:left w:val="nil"/>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其中</w:t>
                  </w:r>
                </w:p>
              </w:tc>
              <w:tc>
                <w:tcPr>
                  <w:tcW w:w="898"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员工宿舍</w:t>
                  </w:r>
                </w:p>
              </w:tc>
              <w:tc>
                <w:tcPr>
                  <w:tcW w:w="3556"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位于综合楼的第二三层，建筑面积约为</w:t>
                  </w:r>
                  <w:r>
                    <w:rPr>
                      <w:rFonts w:hint="default" w:ascii="Times New Roman" w:hAnsi="Times New Roman" w:eastAsia="宋体" w:cs="Times New Roman"/>
                      <w:color w:val="auto"/>
                      <w:kern w:val="0"/>
                      <w:sz w:val="21"/>
                      <w:szCs w:val="21"/>
                      <w:highlight w:val="none"/>
                      <w:lang w:val="en-US" w:eastAsia="zh-CN"/>
                    </w:rPr>
                    <w:t>494.3</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，主要作为厂区员工住宿使用。二层设置有10个双人间，三层设置有2个双人间，1个套间。各房间均有自带卫生间。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74" w:type="pct"/>
                  <w:vMerge w:val="continue"/>
                  <w:tcBorders>
                    <w:left w:val="nil"/>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898"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办公室</w:t>
                  </w:r>
                </w:p>
              </w:tc>
              <w:tc>
                <w:tcPr>
                  <w:tcW w:w="3556"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位于综合楼的第一层南部，建筑面积约为53.03m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，主要作为办公及会议使用。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74" w:type="pct"/>
                  <w:vMerge w:val="continue"/>
                  <w:tcBorders>
                    <w:left w:val="nil"/>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898"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展厅</w:t>
                  </w:r>
                </w:p>
              </w:tc>
              <w:tc>
                <w:tcPr>
                  <w:tcW w:w="3556"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位于综合楼的第一层中间位置，建筑面积为112.32m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，展厅用于公司制成成品的展出。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74" w:type="pct"/>
                  <w:vMerge w:val="continue"/>
                  <w:tcBorders>
                    <w:left w:val="nil"/>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898"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接待室</w:t>
                  </w:r>
                </w:p>
              </w:tc>
              <w:tc>
                <w:tcPr>
                  <w:tcW w:w="3556"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位于综合楼一层的北部，建筑面积约为53.03m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74" w:type="pct"/>
                  <w:vMerge w:val="continue"/>
                  <w:tcBorders>
                    <w:left w:val="nil"/>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898"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员工活动室</w:t>
                  </w:r>
                </w:p>
              </w:tc>
              <w:tc>
                <w:tcPr>
                  <w:tcW w:w="3556"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位于综合楼三层，建筑面积约为112.32m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，供员工休闲娱乐使用。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74" w:type="pct"/>
                  <w:vMerge w:val="continue"/>
                  <w:tcBorders>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898"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食堂</w:t>
                  </w:r>
                </w:p>
              </w:tc>
              <w:tc>
                <w:tcPr>
                  <w:tcW w:w="3556"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位于综合楼</w:t>
                  </w:r>
                  <w:r>
                    <w:rPr>
                      <w:rFonts w:hint="default" w:ascii="Times New Roman" w:hAnsi="Times New Roman" w:eastAsia="宋体" w:cs="Times New Roman"/>
                      <w:color w:val="auto"/>
                      <w:kern w:val="0"/>
                      <w:sz w:val="21"/>
                      <w:szCs w:val="21"/>
                      <w:highlight w:val="none"/>
                      <w:lang w:val="en-US" w:eastAsia="zh-CN"/>
                    </w:rPr>
                    <w:t>一</w:t>
                  </w:r>
                  <w:r>
                    <w:rPr>
                      <w:rFonts w:hint="default" w:ascii="Times New Roman" w:hAnsi="Times New Roman" w:eastAsia="宋体" w:cs="Times New Roman"/>
                      <w:color w:val="auto"/>
                      <w:kern w:val="0"/>
                      <w:sz w:val="21"/>
                      <w:szCs w:val="21"/>
                      <w:highlight w:val="none"/>
                    </w:rPr>
                    <w:t>层，建筑面积约为</w:t>
                  </w:r>
                  <w:r>
                    <w:rPr>
                      <w:rFonts w:hint="default" w:ascii="Times New Roman" w:hAnsi="Times New Roman" w:eastAsia="宋体" w:cs="Times New Roman"/>
                      <w:color w:val="auto"/>
                      <w:kern w:val="0"/>
                      <w:sz w:val="21"/>
                      <w:szCs w:val="21"/>
                      <w:highlight w:val="none"/>
                      <w:lang w:val="en-US" w:eastAsia="zh-CN"/>
                    </w:rPr>
                    <w:t>15</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，供员工用餐</w:t>
                  </w:r>
                  <w:r>
                    <w:rPr>
                      <w:rFonts w:hint="default" w:ascii="Times New Roman" w:hAnsi="Times New Roman" w:eastAsia="宋体" w:cs="Times New Roman"/>
                      <w:color w:val="auto"/>
                      <w:kern w:val="0"/>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公用工程</w:t>
                  </w:r>
                </w:p>
              </w:tc>
              <w:tc>
                <w:tcPr>
                  <w:tcW w:w="1173" w:type="pct"/>
                  <w:gridSpan w:val="2"/>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供水</w:t>
                  </w:r>
                </w:p>
              </w:tc>
              <w:tc>
                <w:tcPr>
                  <w:tcW w:w="3556"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由园区供水管网供给。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173" w:type="pct"/>
                  <w:gridSpan w:val="2"/>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排水</w:t>
                  </w:r>
                </w:p>
              </w:tc>
              <w:tc>
                <w:tcPr>
                  <w:tcW w:w="3556"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项目实行雨污分流制，雨水经雨水管道外排至园区</w:t>
                  </w:r>
                  <w:r>
                    <w:rPr>
                      <w:rFonts w:hint="default" w:ascii="Times New Roman" w:hAnsi="Times New Roman" w:eastAsia="宋体" w:cs="Times New Roman"/>
                      <w:color w:val="auto"/>
                      <w:kern w:val="0"/>
                      <w:sz w:val="21"/>
                      <w:szCs w:val="21"/>
                      <w:highlight w:val="none"/>
                      <w:lang w:val="en-US" w:eastAsia="zh-CN"/>
                    </w:rPr>
                    <w:t>市政</w:t>
                  </w:r>
                  <w:r>
                    <w:rPr>
                      <w:rFonts w:hint="default" w:ascii="Times New Roman" w:hAnsi="Times New Roman" w:eastAsia="宋体" w:cs="Times New Roman"/>
                      <w:color w:val="auto"/>
                      <w:kern w:val="0"/>
                      <w:sz w:val="21"/>
                      <w:szCs w:val="21"/>
                      <w:highlight w:val="none"/>
                    </w:rPr>
                    <w:t>雨水管网。项目运营期产生的生活污水经化粪池处理，再进入到厂区地埋式一体化污水处理设施处理后，达到《城市污水再生利用城市杂用水水质》（GB-T18920-2020）城市绿化、道路清扫标准浓度限值后</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用于项目区内绿化及道路场地洒水降尘，不外排</w:t>
                  </w:r>
                  <w:r>
                    <w:rPr>
                      <w:rFonts w:hint="default" w:ascii="Times New Roman" w:hAnsi="Times New Roman" w:eastAsia="宋体" w:cs="Times New Roman"/>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173" w:type="pct"/>
                  <w:gridSpan w:val="2"/>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供电</w:t>
                  </w:r>
                </w:p>
              </w:tc>
              <w:tc>
                <w:tcPr>
                  <w:tcW w:w="3556"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从园区已有供电系统接入至本项目变压器，由配电房输送至各用电设备。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173" w:type="pct"/>
                  <w:gridSpan w:val="2"/>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消防</w:t>
                  </w:r>
                </w:p>
              </w:tc>
              <w:tc>
                <w:tcPr>
                  <w:tcW w:w="3556"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项目建筑均</w:t>
                  </w:r>
                  <w:r>
                    <w:rPr>
                      <w:rFonts w:hint="eastAsia" w:cs="Times New Roman"/>
                      <w:color w:val="auto"/>
                      <w:kern w:val="0"/>
                      <w:sz w:val="21"/>
                      <w:szCs w:val="21"/>
                      <w:highlight w:val="none"/>
                      <w:lang w:eastAsia="zh-CN"/>
                    </w:rPr>
                    <w:t>配有</w:t>
                  </w:r>
                  <w:r>
                    <w:rPr>
                      <w:rFonts w:hint="default" w:ascii="Times New Roman" w:hAnsi="Times New Roman" w:eastAsia="宋体" w:cs="Times New Roman"/>
                      <w:color w:val="auto"/>
                      <w:kern w:val="0"/>
                      <w:sz w:val="21"/>
                      <w:szCs w:val="21"/>
                      <w:highlight w:val="none"/>
                    </w:rPr>
                    <w:t>灭火器，消防水源为市政管网水，水量水压能满足消防要求。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环保工程</w:t>
                  </w:r>
                </w:p>
              </w:tc>
              <w:tc>
                <w:tcPr>
                  <w:tcW w:w="274" w:type="pct"/>
                  <w:vMerge w:val="restart"/>
                  <w:tcBorders>
                    <w:top w:val="single" w:color="auto" w:sz="4" w:space="0"/>
                    <w:left w:val="nil"/>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废气</w:t>
                  </w:r>
                </w:p>
              </w:tc>
              <w:tc>
                <w:tcPr>
                  <w:tcW w:w="898"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粉尘</w:t>
                  </w:r>
                </w:p>
              </w:tc>
              <w:tc>
                <w:tcPr>
                  <w:tcW w:w="3556"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分切时利用水雾进行抑尘</w:t>
                  </w:r>
                  <w:r>
                    <w:rPr>
                      <w:rFonts w:hint="default" w:ascii="Times New Roman" w:hAnsi="Times New Roman" w:eastAsia="宋体" w:cs="Times New Roman"/>
                      <w:color w:val="auto"/>
                      <w:kern w:val="0"/>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vMerge w:val="continue"/>
                  <w:tcBorders>
                    <w:left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74" w:type="pct"/>
                  <w:vMerge w:val="continue"/>
                  <w:tcBorders>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898"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食堂油烟</w:t>
                  </w:r>
                </w:p>
              </w:tc>
              <w:tc>
                <w:tcPr>
                  <w:tcW w:w="3556"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食堂油烟经集气罩收集进入油烟净化处理设施处理达标后排放。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74" w:type="pct"/>
                  <w:vMerge w:val="restart"/>
                  <w:tcBorders>
                    <w:top w:val="nil"/>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废水</w:t>
                  </w:r>
                </w:p>
              </w:tc>
              <w:tc>
                <w:tcPr>
                  <w:tcW w:w="898"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雨污分流</w:t>
                  </w:r>
                </w:p>
              </w:tc>
              <w:tc>
                <w:tcPr>
                  <w:tcW w:w="3556"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项目厂区采用雨污分流系统。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74" w:type="pct"/>
                  <w:vMerge w:val="continue"/>
                  <w:tcBorders>
                    <w:top w:val="nil"/>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898"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油水分离器</w:t>
                  </w:r>
                </w:p>
              </w:tc>
              <w:tc>
                <w:tcPr>
                  <w:tcW w:w="3556"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rPr>
                    <w:t>1个</w:t>
                  </w:r>
                  <w:r>
                    <w:rPr>
                      <w:rFonts w:hint="default" w:ascii="Times New Roman" w:hAnsi="Times New Roman" w:eastAsia="宋体" w:cs="Times New Roman"/>
                      <w:color w:val="auto"/>
                      <w:sz w:val="21"/>
                      <w:szCs w:val="21"/>
                      <w:highlight w:val="none"/>
                      <w:lang w:val="en-US" w:eastAsia="zh-CN"/>
                    </w:rPr>
                    <w:t>容积约为</w:t>
                  </w:r>
                  <w:r>
                    <w:rPr>
                      <w:rFonts w:hint="default" w:ascii="Times New Roman" w:hAnsi="Times New Roman" w:eastAsia="宋体" w:cs="Times New Roman"/>
                      <w:color w:val="auto"/>
                      <w:sz w:val="21"/>
                      <w:szCs w:val="21"/>
                      <w:highlight w:val="none"/>
                    </w:rPr>
                    <w:t>0.5m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的油水分离器</w:t>
                  </w:r>
                  <w:r>
                    <w:rPr>
                      <w:rFonts w:hint="default" w:ascii="Times New Roman" w:hAnsi="Times New Roman" w:eastAsia="宋体"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74" w:type="pct"/>
                  <w:vMerge w:val="continue"/>
                  <w:tcBorders>
                    <w:top w:val="nil"/>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898"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化粪池</w:t>
                  </w:r>
                </w:p>
              </w:tc>
              <w:tc>
                <w:tcPr>
                  <w:tcW w:w="3556"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1个，容积为</w:t>
                  </w:r>
                  <w:r>
                    <w:rPr>
                      <w:rFonts w:hint="default" w:ascii="Times New Roman" w:hAnsi="Times New Roman" w:eastAsia="宋体" w:cs="Times New Roman"/>
                      <w:color w:val="auto"/>
                      <w:kern w:val="0"/>
                      <w:sz w:val="21"/>
                      <w:szCs w:val="21"/>
                      <w:highlight w:val="none"/>
                      <w:lang w:val="en-US" w:eastAsia="zh-CN"/>
                    </w:rPr>
                    <w:t>5</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74" w:type="pct"/>
                  <w:vMerge w:val="continue"/>
                  <w:tcBorders>
                    <w:top w:val="nil"/>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898"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一体化污水处理设施</w:t>
                  </w:r>
                </w:p>
              </w:tc>
              <w:tc>
                <w:tcPr>
                  <w:tcW w:w="3556"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设置</w:t>
                  </w:r>
                  <w:r>
                    <w:rPr>
                      <w:rFonts w:hint="default" w:ascii="Times New Roman" w:hAnsi="Times New Roman" w:eastAsia="宋体" w:cs="Times New Roman"/>
                      <w:color w:val="auto"/>
                      <w:kern w:val="0"/>
                      <w:sz w:val="21"/>
                      <w:szCs w:val="21"/>
                      <w:highlight w:val="none"/>
                      <w:lang w:val="en-US" w:eastAsia="zh-CN"/>
                    </w:rPr>
                    <w:t>了</w:t>
                  </w:r>
                  <w:r>
                    <w:rPr>
                      <w:rFonts w:hint="default" w:ascii="Times New Roman" w:hAnsi="Times New Roman" w:eastAsia="宋体" w:cs="Times New Roman"/>
                      <w:color w:val="auto"/>
                      <w:kern w:val="0"/>
                      <w:sz w:val="21"/>
                      <w:szCs w:val="21"/>
                      <w:highlight w:val="none"/>
                    </w:rPr>
                    <w:t>一</w:t>
                  </w:r>
                  <w:r>
                    <w:rPr>
                      <w:rFonts w:hint="default" w:ascii="Times New Roman" w:hAnsi="Times New Roman" w:eastAsia="宋体" w:cs="Times New Roman"/>
                      <w:color w:val="auto"/>
                      <w:kern w:val="0"/>
                      <w:sz w:val="21"/>
                      <w:szCs w:val="21"/>
                      <w:highlight w:val="none"/>
                      <w:lang w:val="en-US" w:eastAsia="zh-CN"/>
                    </w:rPr>
                    <w:t>套</w:t>
                  </w:r>
                  <w:r>
                    <w:rPr>
                      <w:rFonts w:hint="default" w:ascii="Times New Roman" w:hAnsi="Times New Roman" w:eastAsia="宋体" w:cs="Times New Roman"/>
                      <w:color w:val="auto"/>
                      <w:kern w:val="0"/>
                      <w:sz w:val="21"/>
                      <w:szCs w:val="21"/>
                      <w:highlight w:val="none"/>
                    </w:rPr>
                    <w:t>日处理规模</w:t>
                  </w:r>
                  <w:r>
                    <w:rPr>
                      <w:rFonts w:hint="default" w:ascii="Times New Roman" w:hAnsi="Times New Roman" w:eastAsia="宋体" w:cs="Times New Roman"/>
                      <w:color w:val="auto"/>
                      <w:kern w:val="0"/>
                      <w:sz w:val="21"/>
                      <w:szCs w:val="21"/>
                      <w:highlight w:val="none"/>
                      <w:lang w:val="en-US" w:eastAsia="zh-CN"/>
                    </w:rPr>
                    <w:t>为</w:t>
                  </w:r>
                  <w:r>
                    <w:rPr>
                      <w:rFonts w:hint="default" w:ascii="Times New Roman" w:hAnsi="Times New Roman" w:eastAsia="宋体" w:cs="Times New Roman"/>
                      <w:color w:val="auto"/>
                      <w:kern w:val="0"/>
                      <w:sz w:val="21"/>
                      <w:szCs w:val="21"/>
                      <w:highlight w:val="none"/>
                    </w:rPr>
                    <w:t>10m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的地埋式污水处理一体化污水处理设备，用于处理项目区产生的废水，处理废水达《城市污水再生利用城市杂用水水质》（GB-T18920-2020）城市绿化、道路清扫标准后</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晴天</w:t>
                  </w:r>
                  <w:r>
                    <w:rPr>
                      <w:rFonts w:hint="default" w:ascii="Times New Roman" w:hAnsi="Times New Roman" w:eastAsia="宋体" w:cs="Times New Roman"/>
                      <w:b w:val="0"/>
                      <w:bCs w:val="0"/>
                      <w:color w:val="auto"/>
                      <w:sz w:val="21"/>
                      <w:szCs w:val="21"/>
                      <w:highlight w:val="none"/>
                      <w:lang w:val="en-US" w:eastAsia="zh-CN"/>
                    </w:rPr>
                    <w:t>用于项目区内绿化及道路场地洒水降尘，不外排</w:t>
                  </w:r>
                  <w:r>
                    <w:rPr>
                      <w:rFonts w:hint="default" w:ascii="Times New Roman" w:hAnsi="Times New Roman" w:eastAsia="宋体" w:cs="Times New Roman"/>
                      <w:color w:val="auto"/>
                      <w:kern w:val="0"/>
                      <w:sz w:val="21"/>
                      <w:szCs w:val="21"/>
                      <w:highlight w:val="none"/>
                    </w:rPr>
                    <w:t>。雨天废水储存于蓄水池中。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74" w:type="pct"/>
                  <w:vMerge w:val="continue"/>
                  <w:tcBorders>
                    <w:top w:val="nil"/>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898"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蓄水池</w:t>
                  </w:r>
                </w:p>
              </w:tc>
              <w:tc>
                <w:tcPr>
                  <w:tcW w:w="3556"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一个容积</w:t>
                  </w:r>
                  <w:r>
                    <w:rPr>
                      <w:rFonts w:hint="default" w:ascii="Times New Roman" w:hAnsi="Times New Roman" w:eastAsia="宋体" w:cs="Times New Roman"/>
                      <w:color w:val="auto"/>
                      <w:kern w:val="0"/>
                      <w:sz w:val="21"/>
                      <w:szCs w:val="21"/>
                      <w:highlight w:val="none"/>
                      <w:lang w:val="en-US" w:eastAsia="zh-CN"/>
                    </w:rPr>
                    <w:t>为</w:t>
                  </w:r>
                  <w:r>
                    <w:rPr>
                      <w:rFonts w:hint="default" w:ascii="Times New Roman" w:hAnsi="Times New Roman" w:eastAsia="宋体" w:cs="Times New Roman"/>
                      <w:color w:val="auto"/>
                      <w:kern w:val="0"/>
                      <w:sz w:val="21"/>
                      <w:szCs w:val="21"/>
                      <w:highlight w:val="none"/>
                    </w:rPr>
                    <w:t>10m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的蓄水池，位于宿舍楼东侧，用于雨天暂存一体化污水处理设备处理好的回用水，待晴天回用于厂区绿化、项目区道路及硬化区洒水降尘。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74" w:type="pct"/>
                  <w:vMerge w:val="restart"/>
                  <w:tcBorders>
                    <w:top w:val="nil"/>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固废</w:t>
                  </w:r>
                </w:p>
              </w:tc>
              <w:tc>
                <w:tcPr>
                  <w:tcW w:w="898"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垃圾收集桶</w:t>
                  </w:r>
                </w:p>
              </w:tc>
              <w:tc>
                <w:tcPr>
                  <w:tcW w:w="3556"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项目内不设垃圾房，在厂区内分散设置若干垃圾桶，用于项目内一般生产固废和生活垃圾的收集。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74" w:type="pct"/>
                  <w:vMerge w:val="continue"/>
                  <w:tcBorders>
                    <w:top w:val="nil"/>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898"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危废暂存间</w:t>
                  </w:r>
                </w:p>
              </w:tc>
              <w:tc>
                <w:tcPr>
                  <w:tcW w:w="3556"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项目在车间</w:t>
                  </w:r>
                  <w:r>
                    <w:rPr>
                      <w:rFonts w:hint="default" w:ascii="Times New Roman" w:hAnsi="Times New Roman" w:eastAsia="宋体" w:cs="Times New Roman"/>
                      <w:color w:val="auto"/>
                      <w:kern w:val="0"/>
                      <w:sz w:val="21"/>
                      <w:szCs w:val="21"/>
                      <w:highlight w:val="none"/>
                      <w:lang w:val="en-US" w:eastAsia="zh-CN"/>
                    </w:rPr>
                    <w:t>内</w:t>
                  </w:r>
                  <w:r>
                    <w:rPr>
                      <w:rFonts w:hint="default" w:ascii="Times New Roman" w:hAnsi="Times New Roman" w:eastAsia="宋体" w:cs="Times New Roman"/>
                      <w:color w:val="auto"/>
                      <w:kern w:val="0"/>
                      <w:sz w:val="21"/>
                      <w:szCs w:val="21"/>
                      <w:highlight w:val="none"/>
                    </w:rPr>
                    <w:t>设置</w:t>
                  </w:r>
                  <w:r>
                    <w:rPr>
                      <w:rFonts w:hint="default" w:ascii="Times New Roman" w:hAnsi="Times New Roman" w:eastAsia="宋体" w:cs="Times New Roman"/>
                      <w:color w:val="auto"/>
                      <w:kern w:val="0"/>
                      <w:sz w:val="21"/>
                      <w:szCs w:val="21"/>
                      <w:highlight w:val="none"/>
                      <w:lang w:val="en-US" w:eastAsia="zh-CN"/>
                    </w:rPr>
                    <w:t>了</w:t>
                  </w:r>
                  <w:r>
                    <w:rPr>
                      <w:rFonts w:hint="default" w:ascii="Times New Roman" w:hAnsi="Times New Roman" w:eastAsia="宋体" w:cs="Times New Roman"/>
                      <w:color w:val="auto"/>
                      <w:kern w:val="0"/>
                      <w:sz w:val="21"/>
                      <w:szCs w:val="21"/>
                      <w:highlight w:val="none"/>
                    </w:rPr>
                    <w:t>一个占地面积为10m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的危废暂存间，用于项目生产过程中危险废物的暂存。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74"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噪声</w:t>
                  </w:r>
                </w:p>
              </w:tc>
              <w:tc>
                <w:tcPr>
                  <w:tcW w:w="898"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减震垫</w:t>
                  </w:r>
                </w:p>
              </w:tc>
              <w:tc>
                <w:tcPr>
                  <w:tcW w:w="3556"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用于降低生产设备噪声。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74"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环境风险</w:t>
                  </w:r>
                </w:p>
              </w:tc>
              <w:tc>
                <w:tcPr>
                  <w:tcW w:w="898"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环境风险防治</w:t>
                  </w:r>
                </w:p>
              </w:tc>
              <w:tc>
                <w:tcPr>
                  <w:tcW w:w="3556"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设置</w:t>
                  </w:r>
                  <w:r>
                    <w:rPr>
                      <w:rFonts w:hint="default" w:ascii="Times New Roman" w:hAnsi="Times New Roman" w:eastAsia="宋体" w:cs="Times New Roman"/>
                      <w:color w:val="auto"/>
                      <w:kern w:val="0"/>
                      <w:sz w:val="21"/>
                      <w:szCs w:val="21"/>
                      <w:highlight w:val="none"/>
                      <w:lang w:val="en-US" w:eastAsia="zh-CN"/>
                    </w:rPr>
                    <w:t>了</w:t>
                  </w:r>
                  <w:r>
                    <w:rPr>
                      <w:rFonts w:hint="default" w:ascii="Times New Roman" w:hAnsi="Times New Roman" w:eastAsia="宋体" w:cs="Times New Roman"/>
                      <w:color w:val="auto"/>
                      <w:kern w:val="0"/>
                      <w:sz w:val="21"/>
                      <w:szCs w:val="21"/>
                      <w:highlight w:val="none"/>
                    </w:rPr>
                    <w:t>一个容积约为108m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的事故池，位于宿舍楼东侧，作为消防废水收集水池。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173" w:type="pct"/>
                  <w:gridSpan w:val="2"/>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绿化</w:t>
                  </w:r>
                </w:p>
              </w:tc>
              <w:tc>
                <w:tcPr>
                  <w:tcW w:w="3556"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厂区绿化面积约280m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w:t>
                  </w:r>
                </w:p>
              </w:tc>
            </w:tr>
          </w:tbl>
          <w:p>
            <w:pPr>
              <w:adjustRightInd w:val="0"/>
              <w:snapToGrid w:val="0"/>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3、原</w:t>
            </w:r>
            <w:r>
              <w:rPr>
                <w:rFonts w:hint="default" w:ascii="Times New Roman" w:hAnsi="Times New Roman" w:eastAsia="宋体" w:cs="Times New Roman"/>
                <w:b/>
                <w:bCs/>
                <w:color w:val="auto"/>
                <w:sz w:val="24"/>
                <w:highlight w:val="none"/>
                <w:lang w:val="en-US" w:eastAsia="zh-CN"/>
              </w:rPr>
              <w:t>项目</w:t>
            </w:r>
            <w:r>
              <w:rPr>
                <w:rFonts w:hint="default" w:ascii="Times New Roman" w:hAnsi="Times New Roman" w:eastAsia="宋体" w:cs="Times New Roman"/>
                <w:b/>
                <w:bCs/>
                <w:color w:val="auto"/>
                <w:sz w:val="24"/>
                <w:highlight w:val="none"/>
              </w:rPr>
              <w:t>主要生产设备</w:t>
            </w:r>
          </w:p>
          <w:p>
            <w:pPr>
              <w:tabs>
                <w:tab w:val="left" w:pos="450"/>
              </w:tabs>
              <w:adjustRightInd w:val="0"/>
              <w:snapToGrid w:val="0"/>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原项目实际主要生产设备如下表所示。</w:t>
            </w:r>
          </w:p>
          <w:p>
            <w:pPr>
              <w:keepNext w:val="0"/>
              <w:keepLines w:val="0"/>
              <w:pageBreakBefore w:val="0"/>
              <w:widowControl w:val="0"/>
              <w:tabs>
                <w:tab w:val="left" w:pos="45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b/>
                <w:bCs/>
                <w:color w:val="auto"/>
                <w:sz w:val="21"/>
                <w:szCs w:val="21"/>
                <w:highlight w:val="none"/>
                <w:lang w:val="zh-CN"/>
              </w:rPr>
              <w:t>表</w:t>
            </w:r>
            <w:r>
              <w:rPr>
                <w:rFonts w:hint="default" w:ascii="Times New Roman" w:hAnsi="Times New Roman" w:eastAsia="宋体" w:cs="Times New Roman"/>
                <w:b/>
                <w:bCs/>
                <w:color w:val="auto"/>
                <w:sz w:val="21"/>
                <w:szCs w:val="21"/>
                <w:highlight w:val="none"/>
                <w:lang w:val="en-US" w:eastAsia="zh-CN"/>
              </w:rPr>
              <w:t>2-11</w:t>
            </w:r>
            <w:r>
              <w:rPr>
                <w:rFonts w:hint="default" w:ascii="Times New Roman" w:hAnsi="Times New Roman" w:eastAsia="宋体" w:cs="Times New Roman"/>
                <w:b/>
                <w:bCs/>
                <w:color w:val="auto"/>
                <w:sz w:val="21"/>
                <w:szCs w:val="21"/>
                <w:highlight w:val="none"/>
              </w:rPr>
              <w:t xml:space="preserve">   原项目</w:t>
            </w:r>
            <w:r>
              <w:rPr>
                <w:rFonts w:hint="default" w:ascii="Times New Roman" w:hAnsi="Times New Roman" w:eastAsia="宋体" w:cs="Times New Roman"/>
                <w:b/>
                <w:bCs/>
                <w:color w:val="auto"/>
                <w:sz w:val="21"/>
                <w:szCs w:val="21"/>
                <w:highlight w:val="none"/>
                <w:lang w:val="en-US" w:eastAsia="zh-CN"/>
              </w:rPr>
              <w:t>实际主要生产设备一览表</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3"/>
              <w:gridCol w:w="4824"/>
              <w:gridCol w:w="2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0"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产品类型</w:t>
                  </w:r>
                </w:p>
              </w:tc>
              <w:tc>
                <w:tcPr>
                  <w:tcW w:w="27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设备名称</w:t>
                  </w:r>
                </w:p>
              </w:tc>
              <w:tc>
                <w:tcPr>
                  <w:tcW w:w="12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0" w:type="pct"/>
                  <w:vMerge w:val="restar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面巾纸</w:t>
                  </w:r>
                </w:p>
              </w:tc>
              <w:tc>
                <w:tcPr>
                  <w:tcW w:w="27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螺杆空压机</w:t>
                  </w:r>
                </w:p>
              </w:tc>
              <w:tc>
                <w:tcPr>
                  <w:tcW w:w="12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0" w:type="pct"/>
                  <w:vMerge w:val="continue"/>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FC-Ⅱ型气动式盘纸分切复卷机</w:t>
                  </w:r>
                </w:p>
              </w:tc>
              <w:tc>
                <w:tcPr>
                  <w:tcW w:w="12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0" w:type="pct"/>
                  <w:vMerge w:val="continue"/>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ML-Ⅲ型迷你压花纸巾折叠机</w:t>
                  </w:r>
                </w:p>
              </w:tc>
              <w:tc>
                <w:tcPr>
                  <w:tcW w:w="12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0" w:type="pct"/>
                  <w:vMerge w:val="continue"/>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PCM-2型折纸数片机</w:t>
                  </w:r>
                </w:p>
              </w:tc>
              <w:tc>
                <w:tcPr>
                  <w:tcW w:w="12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0" w:type="pct"/>
                  <w:vMerge w:val="continue"/>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包装机</w:t>
                  </w:r>
                </w:p>
              </w:tc>
              <w:tc>
                <w:tcPr>
                  <w:tcW w:w="12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0" w:type="pct"/>
                  <w:vMerge w:val="continue"/>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贴标机</w:t>
                  </w:r>
                </w:p>
              </w:tc>
              <w:tc>
                <w:tcPr>
                  <w:tcW w:w="12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0" w:type="pct"/>
                  <w:vMerge w:val="restar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卷纸</w:t>
                  </w:r>
                </w:p>
              </w:tc>
              <w:tc>
                <w:tcPr>
                  <w:tcW w:w="27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螺杆空压机</w:t>
                  </w:r>
                </w:p>
              </w:tc>
              <w:tc>
                <w:tcPr>
                  <w:tcW w:w="12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0" w:type="pct"/>
                  <w:vMerge w:val="continue"/>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CKC-JZ-FJ型自动修边封口打孔复卷机</w:t>
                  </w:r>
                </w:p>
              </w:tc>
              <w:tc>
                <w:tcPr>
                  <w:tcW w:w="12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0" w:type="pct"/>
                  <w:vMerge w:val="continue"/>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卷纸全自动带刀切纸机</w:t>
                  </w:r>
                </w:p>
              </w:tc>
              <w:tc>
                <w:tcPr>
                  <w:tcW w:w="12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0" w:type="pct"/>
                  <w:vMerge w:val="continue"/>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圆卷卷筒纸全自动多包包装机</w:t>
                  </w:r>
                </w:p>
              </w:tc>
              <w:tc>
                <w:tcPr>
                  <w:tcW w:w="12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0" w:type="pct"/>
                  <w:vMerge w:val="continue"/>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封口机</w:t>
                  </w:r>
                </w:p>
              </w:tc>
              <w:tc>
                <w:tcPr>
                  <w:tcW w:w="12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0" w:type="pct"/>
                  <w:vMerge w:val="restar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抽纸</w:t>
                  </w:r>
                </w:p>
              </w:tc>
              <w:tc>
                <w:tcPr>
                  <w:tcW w:w="27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螺杆空压机</w:t>
                  </w:r>
                </w:p>
              </w:tc>
              <w:tc>
                <w:tcPr>
                  <w:tcW w:w="12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0" w:type="pct"/>
                  <w:vMerge w:val="continue"/>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抽纸机</w:t>
                  </w:r>
                </w:p>
              </w:tc>
              <w:tc>
                <w:tcPr>
                  <w:tcW w:w="12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0" w:type="pct"/>
                  <w:vMerge w:val="continue"/>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大回旋切纸机</w:t>
                  </w:r>
                </w:p>
              </w:tc>
              <w:tc>
                <w:tcPr>
                  <w:tcW w:w="12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0" w:type="pct"/>
                  <w:vMerge w:val="continue"/>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卫生纸单粒包装机</w:t>
                  </w:r>
                </w:p>
              </w:tc>
              <w:tc>
                <w:tcPr>
                  <w:tcW w:w="12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0" w:type="pct"/>
                  <w:vMerge w:val="continue"/>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盒装机</w:t>
                  </w:r>
                </w:p>
              </w:tc>
              <w:tc>
                <w:tcPr>
                  <w:tcW w:w="1259"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bl>
          <w:p>
            <w:pPr>
              <w:adjustRightInd w:val="0"/>
              <w:snapToGrid w:val="0"/>
              <w:spacing w:before="156" w:beforeLines="50"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、原</w:t>
            </w:r>
            <w:r>
              <w:rPr>
                <w:rFonts w:hint="default" w:ascii="Times New Roman" w:hAnsi="Times New Roman" w:eastAsia="宋体" w:cs="Times New Roman"/>
                <w:b/>
                <w:bCs/>
                <w:color w:val="auto"/>
                <w:sz w:val="24"/>
                <w:highlight w:val="none"/>
                <w:lang w:val="en-US" w:eastAsia="zh-CN"/>
              </w:rPr>
              <w:t>项目产品方案</w:t>
            </w:r>
          </w:p>
          <w:p>
            <w:pPr>
              <w:pStyle w:val="17"/>
              <w:adjustRightInd w:val="0"/>
              <w:snapToGrid w:val="0"/>
              <w:spacing w:line="360" w:lineRule="auto"/>
              <w:ind w:firstLine="480"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val="0"/>
                <w:color w:val="auto"/>
                <w:sz w:val="24"/>
                <w:highlight w:val="none"/>
              </w:rPr>
              <w:t>原</w:t>
            </w:r>
            <w:r>
              <w:rPr>
                <w:rFonts w:hint="default" w:ascii="Times New Roman" w:hAnsi="Times New Roman" w:eastAsia="宋体" w:cs="Times New Roman"/>
                <w:b w:val="0"/>
                <w:bCs w:val="0"/>
                <w:color w:val="auto"/>
                <w:sz w:val="24"/>
                <w:highlight w:val="none"/>
                <w:lang w:val="en-US" w:eastAsia="zh-CN"/>
              </w:rPr>
              <w:t>项目实际产品方案</w:t>
            </w:r>
            <w:r>
              <w:rPr>
                <w:rFonts w:hint="default" w:ascii="Times New Roman" w:hAnsi="Times New Roman" w:eastAsia="宋体" w:cs="Times New Roman"/>
                <w:b w:val="0"/>
                <w:bCs/>
                <w:color w:val="auto"/>
                <w:sz w:val="24"/>
                <w:highlight w:val="none"/>
                <w:lang w:val="en-US" w:eastAsia="zh-CN"/>
              </w:rPr>
              <w:t>表2-12所示。</w:t>
            </w:r>
          </w:p>
          <w:p>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表2-12   原项目实际产品方案一览表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3"/>
              <w:gridCol w:w="1548"/>
              <w:gridCol w:w="1034"/>
              <w:gridCol w:w="1291"/>
              <w:gridCol w:w="2470"/>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1"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885"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产品名称</w:t>
                  </w:r>
                </w:p>
              </w:tc>
              <w:tc>
                <w:tcPr>
                  <w:tcW w:w="591"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单位</w:t>
                  </w:r>
                </w:p>
              </w:tc>
              <w:tc>
                <w:tcPr>
                  <w:tcW w:w="738"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年产量</w:t>
                  </w:r>
                </w:p>
              </w:tc>
              <w:tc>
                <w:tcPr>
                  <w:tcW w:w="1412" w:type="pct"/>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产品规格参数</w:t>
                  </w:r>
                </w:p>
              </w:tc>
              <w:tc>
                <w:tcPr>
                  <w:tcW w:w="779" w:type="pct"/>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1"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885"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卷纸</w:t>
                  </w:r>
                </w:p>
              </w:tc>
              <w:tc>
                <w:tcPr>
                  <w:tcW w:w="591"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738"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2500</w:t>
                  </w:r>
                </w:p>
              </w:tc>
              <w:tc>
                <w:tcPr>
                  <w:tcW w:w="1412" w:type="pct"/>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200g/个，60个/件</w:t>
                  </w:r>
                </w:p>
              </w:tc>
              <w:tc>
                <w:tcPr>
                  <w:tcW w:w="779" w:type="pct"/>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1"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885"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抽纸</w:t>
                  </w:r>
                </w:p>
              </w:tc>
              <w:tc>
                <w:tcPr>
                  <w:tcW w:w="591"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738"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2100</w:t>
                  </w:r>
                </w:p>
              </w:tc>
              <w:tc>
                <w:tcPr>
                  <w:tcW w:w="1412" w:type="pct"/>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180g/包，100包/件</w:t>
                  </w:r>
                </w:p>
              </w:tc>
              <w:tc>
                <w:tcPr>
                  <w:tcW w:w="779" w:type="pct"/>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1"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885"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面巾纸</w:t>
                  </w:r>
                </w:p>
              </w:tc>
              <w:tc>
                <w:tcPr>
                  <w:tcW w:w="591"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738"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w:t>
                  </w:r>
                </w:p>
              </w:tc>
              <w:tc>
                <w:tcPr>
                  <w:tcW w:w="1412" w:type="pct"/>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480包/件，6kg/件</w:t>
                  </w:r>
                </w:p>
              </w:tc>
              <w:tc>
                <w:tcPr>
                  <w:tcW w:w="779" w:type="pct"/>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外售</w:t>
                  </w:r>
                </w:p>
              </w:tc>
            </w:tr>
          </w:tbl>
          <w:p>
            <w:pPr>
              <w:adjustRightInd w:val="0"/>
              <w:snapToGrid w:val="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rPr>
              <w:t>、原</w:t>
            </w:r>
            <w:r>
              <w:rPr>
                <w:rFonts w:hint="default" w:ascii="Times New Roman" w:hAnsi="Times New Roman" w:eastAsia="宋体" w:cs="Times New Roman"/>
                <w:b/>
                <w:bCs/>
                <w:color w:val="auto"/>
                <w:sz w:val="24"/>
                <w:highlight w:val="none"/>
                <w:lang w:val="en-US" w:eastAsia="zh-CN"/>
              </w:rPr>
              <w:t>项目原辅材料</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原项目实际原辅材料一览表。</w:t>
            </w:r>
          </w:p>
          <w:p>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表2-13   原项目主要原辅材料及能源消耗</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7"/>
              <w:gridCol w:w="2327"/>
              <w:gridCol w:w="1168"/>
              <w:gridCol w:w="3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65" w:type="pct"/>
                  <w:vMerge w:val="restar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产品类型</w:t>
                  </w:r>
                </w:p>
              </w:tc>
              <w:tc>
                <w:tcPr>
                  <w:tcW w:w="1331"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668" w:type="pct"/>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形态</w:t>
                  </w:r>
                </w:p>
              </w:tc>
              <w:tc>
                <w:tcPr>
                  <w:tcW w:w="1834"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年用量</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t</w:t>
                  </w:r>
                  <w:r>
                    <w:rPr>
                      <w:rFonts w:hint="default" w:ascii="Times New Roman" w:hAnsi="Times New Roman" w:eastAsia="宋体" w:cs="Times New Roman"/>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65" w:type="pct"/>
                  <w:vMerge w:val="restar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卫生纸</w:t>
                  </w:r>
                </w:p>
              </w:tc>
              <w:tc>
                <w:tcPr>
                  <w:tcW w:w="1331"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原纸</w:t>
                  </w:r>
                </w:p>
              </w:tc>
              <w:tc>
                <w:tcPr>
                  <w:tcW w:w="668" w:type="pct"/>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固态</w:t>
                  </w:r>
                </w:p>
              </w:tc>
              <w:tc>
                <w:tcPr>
                  <w:tcW w:w="1834"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65" w:type="pct"/>
                  <w:vMerge w:val="continue"/>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31"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塑料包装袋</w:t>
                  </w:r>
                </w:p>
              </w:tc>
              <w:tc>
                <w:tcPr>
                  <w:tcW w:w="668" w:type="pct"/>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固态</w:t>
                  </w:r>
                </w:p>
              </w:tc>
              <w:tc>
                <w:tcPr>
                  <w:tcW w:w="1834"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65" w:type="pct"/>
                  <w:vMerge w:val="continue"/>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31"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胶带</w:t>
                  </w:r>
                </w:p>
              </w:tc>
              <w:tc>
                <w:tcPr>
                  <w:tcW w:w="668" w:type="pct"/>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固态</w:t>
                  </w:r>
                </w:p>
              </w:tc>
              <w:tc>
                <w:tcPr>
                  <w:tcW w:w="1834"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65" w:type="pct"/>
                  <w:vMerge w:val="continue"/>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31"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纸芯</w:t>
                  </w:r>
                </w:p>
              </w:tc>
              <w:tc>
                <w:tcPr>
                  <w:tcW w:w="668" w:type="pct"/>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固态</w:t>
                  </w:r>
                </w:p>
              </w:tc>
              <w:tc>
                <w:tcPr>
                  <w:tcW w:w="1834"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65" w:type="pct"/>
                  <w:vMerge w:val="continue"/>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31"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贴标纸</w:t>
                  </w:r>
                </w:p>
              </w:tc>
              <w:tc>
                <w:tcPr>
                  <w:tcW w:w="668" w:type="pct"/>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固态</w:t>
                  </w:r>
                </w:p>
              </w:tc>
              <w:tc>
                <w:tcPr>
                  <w:tcW w:w="1834" w:type="pct"/>
                  <w:noWrap/>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r>
          </w:tbl>
          <w:p>
            <w:pPr>
              <w:adjustRightInd w:val="0"/>
              <w:snapToGrid w:val="0"/>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rPr>
              <w:t>、原项目劳动定员及工作制度</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b w:val="0"/>
                <w:bCs w:val="0"/>
                <w:color w:val="auto"/>
                <w:sz w:val="24"/>
                <w:highlight w:val="none"/>
              </w:rPr>
              <w:t>工作制</w:t>
            </w:r>
            <w:r>
              <w:rPr>
                <w:rFonts w:hint="default" w:ascii="Times New Roman" w:hAnsi="Times New Roman" w:eastAsia="宋体" w:cs="Times New Roman"/>
                <w:color w:val="auto"/>
                <w:sz w:val="24"/>
                <w:highlight w:val="none"/>
              </w:rPr>
              <w:t>度：原项目年工作</w:t>
            </w:r>
            <w:r>
              <w:rPr>
                <w:rFonts w:hint="default" w:ascii="Times New Roman" w:hAnsi="Times New Roman" w:eastAsia="宋体" w:cs="Times New Roman"/>
                <w:color w:val="auto"/>
                <w:sz w:val="24"/>
                <w:highlight w:val="none"/>
                <w:lang w:val="en-US" w:eastAsia="zh-CN"/>
              </w:rPr>
              <w:t>300</w:t>
            </w:r>
            <w:r>
              <w:rPr>
                <w:rFonts w:hint="default" w:ascii="Times New Roman" w:hAnsi="Times New Roman" w:eastAsia="宋体" w:cs="Times New Roman"/>
                <w:color w:val="auto"/>
                <w:sz w:val="24"/>
                <w:highlight w:val="none"/>
              </w:rPr>
              <w:t>天，采取</w:t>
            </w:r>
            <w:r>
              <w:rPr>
                <w:rFonts w:hint="default" w:ascii="Times New Roman" w:hAnsi="Times New Roman" w:eastAsia="宋体" w:cs="Times New Roman"/>
                <w:color w:val="auto"/>
                <w:sz w:val="24"/>
                <w:highlight w:val="none"/>
                <w:lang w:val="en-US" w:eastAsia="zh-CN"/>
              </w:rPr>
              <w:t>一</w:t>
            </w:r>
            <w:r>
              <w:rPr>
                <w:rFonts w:hint="default" w:ascii="Times New Roman" w:hAnsi="Times New Roman" w:eastAsia="宋体" w:cs="Times New Roman"/>
                <w:color w:val="auto"/>
                <w:sz w:val="24"/>
                <w:highlight w:val="none"/>
              </w:rPr>
              <w:t>班工作制，每班工作8h</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rPr>
              <w:t>劳动定员：</w:t>
            </w:r>
            <w:r>
              <w:rPr>
                <w:rFonts w:hint="default" w:ascii="Times New Roman" w:hAnsi="Times New Roman" w:eastAsia="宋体" w:cs="Times New Roman"/>
                <w:color w:val="auto"/>
                <w:sz w:val="24"/>
                <w:highlight w:val="none"/>
                <w:lang w:val="en-US" w:eastAsia="zh-CN"/>
              </w:rPr>
              <w:t>原项目设置10人</w:t>
            </w:r>
            <w:r>
              <w:rPr>
                <w:rFonts w:hint="default" w:ascii="Times New Roman" w:hAnsi="Times New Roman" w:eastAsia="宋体" w:cs="Times New Roman"/>
                <w:color w:val="auto"/>
                <w:spacing w:val="-5"/>
                <w:sz w:val="24"/>
                <w:highlight w:val="none"/>
              </w:rPr>
              <w:t>，</w:t>
            </w:r>
            <w:r>
              <w:rPr>
                <w:rFonts w:hint="default" w:ascii="Times New Roman" w:hAnsi="Times New Roman" w:eastAsia="宋体" w:cs="Times New Roman"/>
                <w:color w:val="auto"/>
                <w:spacing w:val="-5"/>
                <w:sz w:val="24"/>
                <w:highlight w:val="none"/>
                <w:lang w:val="en-US" w:eastAsia="zh-CN"/>
              </w:rPr>
              <w:t>均在项区内食宿</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7、原项目工艺流程</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原项目实际生产过程主要生产</w:t>
            </w:r>
            <w:r>
              <w:rPr>
                <w:rFonts w:hint="default" w:ascii="Times New Roman" w:hAnsi="Times New Roman" w:eastAsia="宋体" w:cs="Times New Roman"/>
                <w:color w:val="auto"/>
                <w:sz w:val="24"/>
                <w:szCs w:val="24"/>
                <w:highlight w:val="none"/>
              </w:rPr>
              <w:t>卷纸、抽纸、面巾纸，生产工艺流程及产污环节见图2-</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、2-</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（1）抽纸、面巾纸生产工艺</w:t>
            </w:r>
          </w:p>
          <w:p>
            <w:pPr>
              <w:adjustRightInd w:val="0"/>
              <w:snapToGrid w:val="0"/>
              <w:spacing w:line="240" w:lineRule="auto"/>
              <w:ind w:firstLine="48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5012055" cy="1837690"/>
                  <wp:effectExtent l="0" t="0" r="17145" b="1016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26"/>
                          <a:stretch>
                            <a:fillRect/>
                          </a:stretch>
                        </pic:blipFill>
                        <pic:spPr>
                          <a:xfrm>
                            <a:off x="0" y="0"/>
                            <a:ext cx="5012055" cy="1837690"/>
                          </a:xfrm>
                          <a:prstGeom prst="rect">
                            <a:avLst/>
                          </a:prstGeom>
                          <a:noFill/>
                          <a:ln>
                            <a:noFill/>
                          </a:ln>
                        </pic:spPr>
                      </pic:pic>
                    </a:graphicData>
                  </a:graphic>
                </wp:inline>
              </w:drawing>
            </w:r>
          </w:p>
          <w:p>
            <w:pPr>
              <w:ind w:firstLine="482"/>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图2-</w:t>
            </w:r>
            <w:r>
              <w:rPr>
                <w:rFonts w:hint="default" w:ascii="Times New Roman" w:hAnsi="Times New Roman" w:eastAsia="宋体" w:cs="Times New Roman"/>
                <w:b/>
                <w:bCs/>
                <w:color w:val="auto"/>
                <w:highlight w:val="none"/>
                <w:lang w:val="en-US" w:eastAsia="zh-CN"/>
              </w:rPr>
              <w:t>5</w:t>
            </w:r>
            <w:r>
              <w:rPr>
                <w:rFonts w:hint="default" w:ascii="Times New Roman" w:hAnsi="Times New Roman" w:eastAsia="宋体" w:cs="Times New Roman"/>
                <w:b/>
                <w:bCs/>
                <w:color w:val="auto"/>
                <w:highlight w:val="none"/>
              </w:rPr>
              <w:t xml:space="preserve">   项目抽纸、面巾纸生产工艺流程及产污环节图</w:t>
            </w:r>
          </w:p>
          <w:p>
            <w:pPr>
              <w:pStyle w:val="71"/>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工艺流程简述：</w:t>
            </w:r>
          </w:p>
          <w:p>
            <w:pPr>
              <w:pStyle w:val="71"/>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复卷分切：根据需求采购原纸，将采购的原纸进行复卷分切，在复卷的时候会喷洒一定的水雾（自来水）以增加卫生纸的柔软性以及复合性，同时也抑制了粉尘的产生，此生产过程中会有边角废料、粉尘和噪声产生；</w:t>
            </w:r>
          </w:p>
          <w:p>
            <w:pPr>
              <w:pStyle w:val="71"/>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压花折叠分切：原纸复卷分切后使用压花纸巾折叠机进行压花折叠并按规格进行分切，此生产过程中会有粉尘和噪声产生；</w:t>
            </w:r>
          </w:p>
          <w:p>
            <w:pPr>
              <w:pStyle w:val="71"/>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单粒包装：将压花后折叠分切好的纸巾使用包装机进行包装并贴标，此过程会有噪声和废包装物产生；</w:t>
            </w:r>
          </w:p>
          <w:p>
            <w:pPr>
              <w:pStyle w:val="71"/>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包装入库：将包装好的小包纸巾通过包装机进行包装，此过程会有噪声和废包装物产生。</w:t>
            </w:r>
          </w:p>
          <w:p>
            <w:pPr>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（2）卷纸生产工艺</w:t>
            </w:r>
          </w:p>
          <w:p>
            <w:pPr>
              <w:adjustRightInd w:val="0"/>
              <w:snapToGrid w:val="0"/>
              <w:spacing w:line="240" w:lineRule="auto"/>
              <w:ind w:firstLine="48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4702175" cy="1975485"/>
                  <wp:effectExtent l="0" t="0" r="3175" b="571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7"/>
                          <a:stretch>
                            <a:fillRect/>
                          </a:stretch>
                        </pic:blipFill>
                        <pic:spPr>
                          <a:xfrm>
                            <a:off x="0" y="0"/>
                            <a:ext cx="4702175" cy="1975485"/>
                          </a:xfrm>
                          <a:prstGeom prst="rect">
                            <a:avLst/>
                          </a:prstGeom>
                          <a:noFill/>
                          <a:ln>
                            <a:noFill/>
                          </a:ln>
                        </pic:spPr>
                      </pic:pic>
                    </a:graphicData>
                  </a:graphic>
                </wp:inline>
              </w:drawing>
            </w:r>
          </w:p>
          <w:p>
            <w:pPr>
              <w:ind w:firstLine="482"/>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图2-</w:t>
            </w:r>
            <w:r>
              <w:rPr>
                <w:rFonts w:hint="default" w:ascii="Times New Roman" w:hAnsi="Times New Roman" w:eastAsia="宋体" w:cs="Times New Roman"/>
                <w:b/>
                <w:bCs/>
                <w:color w:val="auto"/>
                <w:highlight w:val="none"/>
                <w:lang w:val="en-US" w:eastAsia="zh-CN"/>
              </w:rPr>
              <w:t>6</w:t>
            </w:r>
            <w:r>
              <w:rPr>
                <w:rFonts w:hint="default" w:ascii="Times New Roman" w:hAnsi="Times New Roman" w:eastAsia="宋体" w:cs="Times New Roman"/>
                <w:b/>
                <w:bCs/>
                <w:color w:val="auto"/>
                <w:highlight w:val="none"/>
              </w:rPr>
              <w:t xml:space="preserve">   项目卷纸生产工艺流程及产污环节图</w:t>
            </w:r>
          </w:p>
          <w:p>
            <w:pPr>
              <w:pStyle w:val="71"/>
              <w:keepNext w:val="0"/>
              <w:keepLines w:val="0"/>
              <w:pageBreakBefore w:val="0"/>
              <w:widowControl w:val="0"/>
              <w:kinsoku/>
              <w:wordWrap/>
              <w:overflowPunct/>
              <w:topLinePunct w:val="0"/>
              <w:bidi w:val="0"/>
              <w:adjustRightInd w:val="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工艺流程简述：</w:t>
            </w:r>
          </w:p>
          <w:p>
            <w:pPr>
              <w:pStyle w:val="71"/>
              <w:keepNext w:val="0"/>
              <w:keepLines w:val="0"/>
              <w:pageBreakBefore w:val="0"/>
              <w:widowControl w:val="0"/>
              <w:kinsoku/>
              <w:wordWrap/>
              <w:overflowPunct/>
              <w:topLinePunct w:val="0"/>
              <w:bidi w:val="0"/>
              <w:adjustRightInd w:val="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复卷分切：根据需求采购原纸和纸芯，将采购的原纸进行复卷分切，在复卷的时候会喷洒一定的水雾（自来水）以增加卫生纸的柔软性以及复合性，同时也抑制了粉尘的产生，此生产过程中会有边角废料、粉尘和噪声产生；</w:t>
            </w:r>
          </w:p>
          <w:p>
            <w:pPr>
              <w:pStyle w:val="71"/>
              <w:keepNext w:val="0"/>
              <w:keepLines w:val="0"/>
              <w:pageBreakBefore w:val="0"/>
              <w:widowControl w:val="0"/>
              <w:kinsoku/>
              <w:wordWrap/>
              <w:overflowPunct/>
              <w:topLinePunct w:val="0"/>
              <w:bidi w:val="0"/>
              <w:adjustRightInd w:val="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单粒包装：对分切后的卷纸进行包装，此过程会有噪声和废包装物产生；</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包装入库：通过包装机对卷纸进行包装，此过程会有噪声和废包装物产生。</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三、原项目污染物实际排放情况</w:t>
            </w:r>
          </w:p>
          <w:p>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highlight w:val="none"/>
              </w:rPr>
              <w:t>根据</w:t>
            </w:r>
            <w:r>
              <w:rPr>
                <w:rFonts w:hint="default" w:ascii="Times New Roman" w:hAnsi="Times New Roman" w:eastAsia="宋体" w:cs="Times New Roman"/>
                <w:b w:val="0"/>
                <w:bCs w:val="0"/>
                <w:color w:val="auto"/>
                <w:sz w:val="24"/>
                <w:highlight w:val="none"/>
                <w:lang w:val="en-US" w:eastAsia="zh-CN"/>
              </w:rPr>
              <w:t>2021年9</w:t>
            </w:r>
            <w:r>
              <w:rPr>
                <w:rFonts w:hint="default" w:ascii="Times New Roman" w:hAnsi="Times New Roman" w:eastAsia="宋体" w:cs="Times New Roman"/>
                <w:color w:val="auto"/>
                <w:spacing w:val="-5"/>
                <w:kern w:val="2"/>
                <w:sz w:val="24"/>
                <w:szCs w:val="24"/>
                <w:highlight w:val="none"/>
                <w:lang w:val="en-US" w:eastAsia="zh-CN" w:bidi="ar-SA"/>
              </w:rPr>
              <w:t>月云南众城生态环境建设有限公司编制的</w:t>
            </w:r>
            <w:r>
              <w:rPr>
                <w:rFonts w:hint="default" w:ascii="Times New Roman" w:hAnsi="Times New Roman" w:eastAsia="宋体" w:cs="Times New Roman"/>
                <w:color w:val="auto"/>
                <w:spacing w:val="-5"/>
                <w:kern w:val="2"/>
                <w:sz w:val="24"/>
                <w:szCs w:val="24"/>
                <w:highlight w:val="none"/>
                <w:lang w:val="zh-CN" w:eastAsia="zh-CN" w:bidi="ar-SA"/>
              </w:rPr>
              <w:t>《</w:t>
            </w:r>
            <w:r>
              <w:rPr>
                <w:rFonts w:hint="default" w:ascii="Times New Roman" w:hAnsi="Times New Roman" w:eastAsia="宋体" w:cs="Times New Roman"/>
                <w:color w:val="auto"/>
                <w:spacing w:val="-5"/>
                <w:kern w:val="2"/>
                <w:sz w:val="24"/>
                <w:szCs w:val="24"/>
                <w:highlight w:val="none"/>
                <w:lang w:val="en-US" w:eastAsia="zh-CN" w:bidi="ar-SA"/>
              </w:rPr>
              <w:t>昆明茂源卫生用品、纸和纸板容器制造</w:t>
            </w:r>
            <w:r>
              <w:rPr>
                <w:rFonts w:hint="default" w:ascii="Times New Roman" w:hAnsi="Times New Roman" w:eastAsia="宋体" w:cs="Times New Roman"/>
                <w:b w:val="0"/>
                <w:bCs w:val="0"/>
                <w:color w:val="auto"/>
                <w:sz w:val="24"/>
                <w:szCs w:val="24"/>
                <w:highlight w:val="none"/>
              </w:rPr>
              <w:t>生产建设项目竣工环境保护验收监测报告表</w:t>
            </w:r>
            <w:r>
              <w:rPr>
                <w:rFonts w:hint="default" w:ascii="Times New Roman" w:hAnsi="Times New Roman" w:eastAsia="宋体" w:cs="Times New Roman"/>
                <w:b w:val="0"/>
                <w:bCs w:val="0"/>
                <w:color w:val="auto"/>
                <w:sz w:val="24"/>
                <w:szCs w:val="24"/>
                <w:highlight w:val="none"/>
                <w:lang w:val="zh-CN"/>
              </w:rPr>
              <w:t>》</w:t>
            </w:r>
            <w:r>
              <w:rPr>
                <w:rFonts w:hint="default" w:ascii="Times New Roman" w:hAnsi="Times New Roman" w:eastAsia="宋体" w:cs="Times New Roman"/>
                <w:b w:val="0"/>
                <w:bCs w:val="0"/>
                <w:color w:val="auto"/>
                <w:sz w:val="24"/>
                <w:szCs w:val="24"/>
                <w:highlight w:val="none"/>
              </w:rPr>
              <w:t>及业主实际</w:t>
            </w:r>
            <w:r>
              <w:rPr>
                <w:rFonts w:hint="default" w:ascii="Times New Roman" w:hAnsi="Times New Roman" w:eastAsia="宋体" w:cs="Times New Roman"/>
                <w:b w:val="0"/>
                <w:bCs w:val="0"/>
                <w:color w:val="auto"/>
                <w:sz w:val="24"/>
                <w:szCs w:val="24"/>
                <w:highlight w:val="none"/>
                <w:lang w:val="en-US" w:eastAsia="zh-CN"/>
              </w:rPr>
              <w:t>试</w:t>
            </w:r>
            <w:r>
              <w:rPr>
                <w:rFonts w:hint="default" w:ascii="Times New Roman" w:hAnsi="Times New Roman" w:eastAsia="宋体" w:cs="Times New Roman"/>
                <w:b w:val="0"/>
                <w:bCs w:val="0"/>
                <w:color w:val="auto"/>
                <w:sz w:val="24"/>
                <w:szCs w:val="24"/>
                <w:highlight w:val="none"/>
              </w:rPr>
              <w:t>运营经验可知，与本项目有关的原有污染物具体产排情况如下：</w:t>
            </w:r>
          </w:p>
          <w:p>
            <w:pPr>
              <w:pStyle w:val="64"/>
              <w:keepNext w:val="0"/>
              <w:keepLines w:val="0"/>
              <w:pageBreakBefore w:val="0"/>
              <w:widowControl w:val="0"/>
              <w:tabs>
                <w:tab w:val="left" w:pos="1310"/>
              </w:tabs>
              <w:kinsoku/>
              <w:wordWrap/>
              <w:overflowPunct/>
              <w:topLinePunct w:val="0"/>
              <w:autoSpaceDE/>
              <w:autoSpaceDN/>
              <w:bidi w:val="0"/>
              <w:adjustRightInd/>
              <w:snapToGrid/>
              <w:spacing w:line="360" w:lineRule="auto"/>
              <w:ind w:left="0" w:leftChars="0" w:firstLine="482" w:firstLineChars="2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废气</w:t>
            </w:r>
          </w:p>
          <w:p>
            <w:pPr>
              <w:pStyle w:val="71"/>
              <w:keepNext w:val="0"/>
              <w:keepLines w:val="0"/>
              <w:pageBreakBefore w:val="0"/>
              <w:widowControl w:val="0"/>
              <w:kinsoku/>
              <w:wordWrap/>
              <w:overflowPunct/>
              <w:topLinePunct w:val="0"/>
              <w:bidi w:val="0"/>
              <w:snapToGrid/>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原</w:t>
            </w:r>
            <w:r>
              <w:rPr>
                <w:rFonts w:hint="default" w:ascii="Times New Roman" w:hAnsi="Times New Roman" w:eastAsia="宋体" w:cs="Times New Roman"/>
                <w:color w:val="auto"/>
                <w:sz w:val="24"/>
                <w:szCs w:val="24"/>
                <w:highlight w:val="none"/>
              </w:rPr>
              <w:t>项目运营期废气主要有纸巾分切等工段产生的粉尘</w:t>
            </w:r>
            <w:r>
              <w:rPr>
                <w:rFonts w:hint="default"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rPr>
              <w:t>食堂油烟。</w:t>
            </w:r>
          </w:p>
          <w:p>
            <w:pPr>
              <w:pStyle w:val="104"/>
              <w:keepNext w:val="0"/>
              <w:keepLines w:val="0"/>
              <w:pageBreakBefore w:val="0"/>
              <w:widowControl w:val="0"/>
              <w:kinsoku/>
              <w:wordWrap/>
              <w:overflowPunct/>
              <w:topLinePunct w:val="0"/>
              <w:bidi w:val="0"/>
              <w:snapToGrid/>
              <w:spacing w:line="360" w:lineRule="auto"/>
              <w:ind w:lef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val="en-US" w:eastAsia="zh-CN"/>
              </w:rPr>
              <w:t>①</w:t>
            </w:r>
            <w:r>
              <w:rPr>
                <w:rFonts w:hint="default" w:ascii="Times New Roman" w:hAnsi="Times New Roman" w:eastAsia="宋体" w:cs="Times New Roman"/>
                <w:bCs/>
                <w:color w:val="auto"/>
                <w:sz w:val="24"/>
                <w:szCs w:val="24"/>
                <w:highlight w:val="none"/>
              </w:rPr>
              <w:t>粉尘</w:t>
            </w:r>
          </w:p>
          <w:p>
            <w:pPr>
              <w:pStyle w:val="71"/>
              <w:keepNext w:val="0"/>
              <w:keepLines w:val="0"/>
              <w:pageBreakBefore w:val="0"/>
              <w:widowControl w:val="0"/>
              <w:kinsoku/>
              <w:wordWrap/>
              <w:overflowPunct/>
              <w:topLinePunct w:val="0"/>
              <w:bidi w:val="0"/>
              <w:snapToGrid/>
              <w:spacing w:line="360" w:lineRule="auto"/>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在卷纸、面巾纸、抽纸等生产过程中，在复卷分切、压花折叠分切工段的分切过程会有少量的粉尘产生。项目纸制品生产过程中，复卷的时候会喷洒一定的水雾以增加卫生纸的柔软性以及复合性，同时也抑制了粉尘的产生。进行喷洒水雾后，生产过程中粉尘无组织排放。</w:t>
            </w:r>
            <w:r>
              <w:rPr>
                <w:rFonts w:hint="default" w:ascii="Times New Roman" w:hAnsi="Times New Roman" w:eastAsia="宋体" w:cs="Times New Roman"/>
                <w:color w:val="auto"/>
                <w:sz w:val="24"/>
                <w:szCs w:val="24"/>
                <w:highlight w:val="none"/>
                <w:lang w:val="en-US" w:eastAsia="zh-CN"/>
              </w:rPr>
              <w:t>根</w:t>
            </w:r>
            <w:r>
              <w:rPr>
                <w:rFonts w:hint="default" w:ascii="Times New Roman" w:hAnsi="Times New Roman" w:eastAsia="宋体" w:cs="Times New Roman"/>
                <w:color w:val="auto"/>
                <w:spacing w:val="-5"/>
                <w:sz w:val="24"/>
                <w:szCs w:val="24"/>
                <w:highlight w:val="none"/>
                <w:lang w:val="zh-CN" w:eastAsia="zh-CN"/>
              </w:rPr>
              <w:t>据</w:t>
            </w:r>
            <w:r>
              <w:rPr>
                <w:rFonts w:hint="default" w:ascii="Times New Roman" w:hAnsi="Times New Roman" w:eastAsia="宋体" w:cs="Times New Roman"/>
                <w:color w:val="auto"/>
                <w:spacing w:val="-5"/>
                <w:kern w:val="2"/>
                <w:sz w:val="24"/>
                <w:szCs w:val="24"/>
                <w:highlight w:val="none"/>
                <w:lang w:val="zh-CN" w:eastAsia="zh-CN" w:bidi="ar-SA"/>
              </w:rPr>
              <w:t>《</w:t>
            </w:r>
            <w:r>
              <w:rPr>
                <w:rFonts w:hint="default" w:ascii="Times New Roman" w:hAnsi="Times New Roman" w:eastAsia="宋体" w:cs="Times New Roman"/>
                <w:color w:val="auto"/>
                <w:spacing w:val="-5"/>
                <w:highlight w:val="none"/>
                <w:lang w:val="zh-CN"/>
              </w:rPr>
              <w:t>昆明茂源卫生用品、纸和纸板容器制造生产建设项目</w:t>
            </w:r>
            <w:r>
              <w:rPr>
                <w:rFonts w:hint="default" w:ascii="Times New Roman" w:hAnsi="Times New Roman" w:eastAsia="宋体" w:cs="Times New Roman"/>
                <w:b w:val="0"/>
                <w:color w:val="auto"/>
                <w:spacing w:val="-5"/>
                <w:sz w:val="24"/>
                <w:szCs w:val="24"/>
                <w:highlight w:val="none"/>
                <w:lang w:val="zh-CN"/>
              </w:rPr>
              <w:t>环境影响报告表</w:t>
            </w:r>
            <w:r>
              <w:rPr>
                <w:rFonts w:hint="default" w:ascii="Times New Roman" w:hAnsi="Times New Roman" w:eastAsia="宋体" w:cs="Times New Roman"/>
                <w:b w:val="0"/>
                <w:bCs w:val="0"/>
                <w:color w:val="auto"/>
                <w:spacing w:val="-5"/>
                <w:sz w:val="24"/>
                <w:szCs w:val="24"/>
                <w:highlight w:val="none"/>
                <w:lang w:val="zh-CN"/>
              </w:rPr>
              <w:t>》</w:t>
            </w:r>
            <w:r>
              <w:rPr>
                <w:rFonts w:hint="default" w:ascii="Times New Roman" w:hAnsi="Times New Roman" w:eastAsia="宋体" w:cs="Times New Roman"/>
                <w:b w:val="0"/>
                <w:bCs w:val="0"/>
                <w:color w:val="auto"/>
                <w:spacing w:val="-5"/>
                <w:sz w:val="24"/>
                <w:szCs w:val="24"/>
                <w:highlight w:val="none"/>
                <w:lang w:val="en-US" w:eastAsia="zh-CN"/>
              </w:rPr>
              <w:t>可知</w:t>
            </w:r>
            <w:r>
              <w:rPr>
                <w:rFonts w:hint="default" w:ascii="Times New Roman" w:hAnsi="Times New Roman" w:eastAsia="宋体" w:cs="Times New Roman"/>
                <w:color w:val="auto"/>
                <w:spacing w:val="-5"/>
                <w:sz w:val="24"/>
                <w:szCs w:val="24"/>
                <w:highlight w:val="none"/>
                <w:lang w:val="zh-CN" w:eastAsia="zh-CN"/>
              </w:rPr>
              <w:t>，</w:t>
            </w:r>
            <w:r>
              <w:rPr>
                <w:rFonts w:hint="default" w:ascii="Times New Roman" w:hAnsi="Times New Roman" w:eastAsia="宋体" w:cs="Times New Roman"/>
                <w:color w:val="auto"/>
                <w:sz w:val="24"/>
                <w:szCs w:val="24"/>
                <w:highlight w:val="none"/>
                <w:lang w:val="en-US" w:eastAsia="zh-CN"/>
              </w:rPr>
              <w:t>此过程粉尘产生量约为0.27t/a，排放量约为0.162t/a。</w:t>
            </w:r>
          </w:p>
          <w:p>
            <w:pPr>
              <w:keepNext w:val="0"/>
              <w:keepLines w:val="0"/>
              <w:pageBreakBefore w:val="0"/>
              <w:widowControl w:val="0"/>
              <w:kinsoku/>
              <w:wordWrap/>
              <w:overflowPunct/>
              <w:topLinePunct w:val="0"/>
              <w:bidi w:val="0"/>
              <w:snapToGrid/>
              <w:spacing w:line="360" w:lineRule="auto"/>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bCs/>
                <w:color w:val="auto"/>
                <w:sz w:val="24"/>
                <w:szCs w:val="24"/>
                <w:highlight w:val="none"/>
              </w:rPr>
              <w:t>云南环绿环境检测技术有限公司</w:t>
            </w:r>
            <w:r>
              <w:rPr>
                <w:rFonts w:hint="default" w:ascii="Times New Roman" w:hAnsi="Times New Roman" w:eastAsia="宋体" w:cs="Times New Roman"/>
                <w:color w:val="auto"/>
                <w:sz w:val="24"/>
                <w:szCs w:val="24"/>
                <w:highlight w:val="none"/>
                <w:lang w:val="en-US" w:eastAsia="zh-CN"/>
              </w:rPr>
              <w:t>2021年7月7日-8日对项目区上风向及下风向进行的</w:t>
            </w:r>
            <w:r>
              <w:rPr>
                <w:rFonts w:hint="default" w:ascii="Times New Roman" w:hAnsi="Times New Roman" w:eastAsia="宋体" w:cs="Times New Roman"/>
                <w:color w:val="auto"/>
                <w:sz w:val="24"/>
                <w:szCs w:val="24"/>
                <w:highlight w:val="none"/>
              </w:rPr>
              <w:t>无组织废气（TSP）检测结果</w:t>
            </w:r>
            <w:r>
              <w:rPr>
                <w:rFonts w:hint="default" w:ascii="Times New Roman" w:hAnsi="Times New Roman" w:eastAsia="宋体" w:cs="Times New Roman"/>
                <w:color w:val="auto"/>
                <w:sz w:val="24"/>
                <w:szCs w:val="24"/>
                <w:highlight w:val="none"/>
                <w:lang w:val="en-US" w:eastAsia="zh-CN"/>
              </w:rPr>
              <w:t>可知</w:t>
            </w:r>
            <w:r>
              <w:rPr>
                <w:rFonts w:hint="default" w:ascii="Times New Roman" w:hAnsi="Times New Roman" w:eastAsia="宋体" w:cs="Times New Roman"/>
                <w:color w:val="auto"/>
                <w:sz w:val="24"/>
                <w:szCs w:val="24"/>
                <w:highlight w:val="none"/>
              </w:rPr>
              <w:t>，项目产生的无组织颗粒物</w:t>
            </w:r>
            <w:r>
              <w:rPr>
                <w:rFonts w:hint="default" w:ascii="Times New Roman" w:hAnsi="Times New Roman" w:eastAsia="宋体" w:cs="Times New Roman"/>
                <w:color w:val="auto"/>
                <w:sz w:val="24"/>
                <w:szCs w:val="24"/>
                <w:highlight w:val="none"/>
                <w:lang w:val="en-US" w:eastAsia="zh-CN"/>
              </w:rPr>
              <w:t>均</w:t>
            </w:r>
            <w:r>
              <w:rPr>
                <w:rFonts w:hint="default" w:ascii="Times New Roman" w:hAnsi="Times New Roman" w:eastAsia="宋体" w:cs="Times New Roman"/>
                <w:color w:val="auto"/>
                <w:sz w:val="24"/>
                <w:szCs w:val="24"/>
                <w:highlight w:val="none"/>
              </w:rPr>
              <w:t>能</w:t>
            </w:r>
            <w:r>
              <w:rPr>
                <w:rFonts w:hint="default" w:ascii="Times New Roman" w:hAnsi="Times New Roman" w:eastAsia="宋体" w:cs="Times New Roman"/>
                <w:color w:val="auto"/>
                <w:sz w:val="24"/>
                <w:szCs w:val="24"/>
                <w:highlight w:val="none"/>
                <w:lang w:val="en-US" w:eastAsia="zh-CN"/>
              </w:rPr>
              <w:t>满足</w:t>
            </w:r>
            <w:r>
              <w:rPr>
                <w:rFonts w:hint="default" w:ascii="Times New Roman" w:hAnsi="Times New Roman" w:eastAsia="宋体" w:cs="Times New Roman"/>
                <w:color w:val="auto"/>
                <w:sz w:val="24"/>
                <w:szCs w:val="24"/>
                <w:highlight w:val="none"/>
              </w:rPr>
              <w:t>《大气污染物综合排放标准》GB16297-1996表2限值要求，即：颗粒物≤1.0</w:t>
            </w:r>
            <w:r>
              <w:rPr>
                <w:rFonts w:hint="default" w:ascii="Times New Roman" w:hAnsi="Times New Roman" w:eastAsia="宋体" w:cs="Times New Roman"/>
                <w:bCs/>
                <w:color w:val="auto"/>
                <w:sz w:val="24"/>
                <w:szCs w:val="24"/>
                <w:highlight w:val="none"/>
              </w:rPr>
              <w:t>mg/m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bCs/>
                <w:color w:val="auto"/>
                <w:sz w:val="24"/>
                <w:szCs w:val="24"/>
                <w:highlight w:val="none"/>
              </w:rPr>
              <w:t>。</w:t>
            </w:r>
          </w:p>
          <w:p>
            <w:pPr>
              <w:keepNext w:val="0"/>
              <w:keepLines w:val="0"/>
              <w:pageBreakBefore w:val="0"/>
              <w:widowControl w:val="0"/>
              <w:kinsoku/>
              <w:wordWrap/>
              <w:overflowPunct/>
              <w:topLinePunct w:val="0"/>
              <w:bidi w:val="0"/>
              <w:snapToGrid/>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食堂油烟</w:t>
            </w:r>
          </w:p>
          <w:p>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原</w:t>
            </w:r>
            <w:r>
              <w:rPr>
                <w:rFonts w:hint="default" w:ascii="Times New Roman" w:hAnsi="Times New Roman" w:eastAsia="宋体" w:cs="Times New Roman"/>
                <w:color w:val="auto"/>
                <w:sz w:val="24"/>
                <w:szCs w:val="24"/>
                <w:highlight w:val="none"/>
              </w:rPr>
              <w:t>项目设置</w:t>
            </w:r>
            <w:r>
              <w:rPr>
                <w:rFonts w:hint="default" w:ascii="Times New Roman" w:hAnsi="Times New Roman" w:eastAsia="宋体" w:cs="Times New Roman"/>
                <w:color w:val="auto"/>
                <w:sz w:val="24"/>
                <w:szCs w:val="24"/>
                <w:highlight w:val="none"/>
                <w:lang w:val="en-US" w:eastAsia="zh-CN"/>
              </w:rPr>
              <w:t>1个小型</w:t>
            </w:r>
            <w:r>
              <w:rPr>
                <w:rFonts w:hint="default" w:ascii="Times New Roman" w:hAnsi="Times New Roman" w:eastAsia="宋体" w:cs="Times New Roman"/>
                <w:color w:val="auto"/>
                <w:sz w:val="24"/>
                <w:szCs w:val="24"/>
                <w:highlight w:val="none"/>
              </w:rPr>
              <w:t>食堂，厨房在烹饪过程会产生油烟，项目在灶头上方设置了1个集气罩，产生油烟经集气罩收集后通过1台油烟净化器处理，油烟净化器风量约2000m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/h，油烟去除率约为60%左右，</w:t>
            </w:r>
            <w:r>
              <w:rPr>
                <w:rFonts w:hint="default" w:ascii="Times New Roman" w:hAnsi="Times New Roman" w:eastAsia="宋体" w:cs="Times New Roman"/>
                <w:bCs/>
                <w:color w:val="auto"/>
                <w:sz w:val="24"/>
                <w:szCs w:val="24"/>
                <w:highlight w:val="none"/>
              </w:rPr>
              <w:t>经净化后的食堂油烟从专用烟道排出</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油烟产生量约为0.0018t/a，排放量约为0.0004t/a。</w:t>
            </w:r>
          </w:p>
          <w:p>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2、用排</w:t>
            </w:r>
            <w:r>
              <w:rPr>
                <w:rFonts w:hint="default" w:ascii="Times New Roman" w:hAnsi="Times New Roman" w:eastAsia="宋体" w:cs="Times New Roman"/>
                <w:b/>
                <w:bCs/>
                <w:color w:val="auto"/>
                <w:sz w:val="24"/>
                <w:szCs w:val="24"/>
                <w:highlight w:val="none"/>
              </w:rPr>
              <w:t>水</w:t>
            </w:r>
          </w:p>
          <w:p>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color w:val="auto"/>
                <w:sz w:val="24"/>
                <w:szCs w:val="24"/>
                <w:highlight w:val="none"/>
                <w:lang w:val="en-US" w:eastAsia="zh-CN"/>
              </w:rPr>
              <w:t>原</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用水包括生产用水、办公生活用水及绿化、道路浇洒用水；</w:t>
            </w:r>
            <w:r>
              <w:rPr>
                <w:rFonts w:hint="default" w:ascii="Times New Roman" w:hAnsi="Times New Roman" w:eastAsia="宋体" w:cs="Times New Roman"/>
                <w:color w:val="auto"/>
                <w:sz w:val="24"/>
                <w:szCs w:val="24"/>
                <w:highlight w:val="none"/>
              </w:rPr>
              <w:t>无生产废水产生；生活污水为员工生活产生的污水。</w:t>
            </w:r>
          </w:p>
          <w:p>
            <w:pPr>
              <w:pStyle w:val="9"/>
              <w:adjustRightInd/>
              <w:spacing w:line="360" w:lineRule="auto"/>
              <w:ind w:firstLine="48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①生产用排水</w:t>
            </w:r>
          </w:p>
          <w:p>
            <w:pPr>
              <w:pStyle w:val="9"/>
              <w:adjustRightInd/>
              <w:spacing w:line="360" w:lineRule="auto"/>
              <w:ind w:firstLine="48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rPr>
              <w:t>项目生产过程中用水主要是分切时，需要喷洒水雾对原纸进行湿润处理，用水使用自来水，分切机自带水汽雾化设备。</w:t>
            </w:r>
            <w:r>
              <w:rPr>
                <w:rFonts w:hint="default" w:ascii="Times New Roman" w:hAnsi="Times New Roman" w:eastAsia="宋体" w:cs="Times New Roman"/>
                <w:color w:val="auto"/>
                <w:spacing w:val="-5"/>
                <w:kern w:val="2"/>
                <w:sz w:val="24"/>
                <w:szCs w:val="24"/>
                <w:highlight w:val="none"/>
                <w:lang w:val="zh-CN" w:eastAsia="zh-CN" w:bidi="ar-SA"/>
              </w:rPr>
              <w:t>《</w:t>
            </w:r>
            <w:r>
              <w:rPr>
                <w:rFonts w:hint="default" w:ascii="Times New Roman" w:hAnsi="Times New Roman" w:eastAsia="宋体" w:cs="Times New Roman"/>
                <w:color w:val="auto"/>
                <w:spacing w:val="-5"/>
                <w:sz w:val="24"/>
                <w:highlight w:val="none"/>
                <w:lang w:val="zh-CN"/>
              </w:rPr>
              <w:t>昆明茂源卫生用品、纸和纸板容器制造生产建设项目</w:t>
            </w:r>
            <w:r>
              <w:rPr>
                <w:rFonts w:hint="default" w:ascii="Times New Roman" w:hAnsi="Times New Roman" w:eastAsia="宋体" w:cs="Times New Roman"/>
                <w:b w:val="0"/>
                <w:color w:val="auto"/>
                <w:spacing w:val="-5"/>
                <w:sz w:val="24"/>
                <w:szCs w:val="24"/>
                <w:highlight w:val="none"/>
                <w:lang w:val="zh-CN"/>
              </w:rPr>
              <w:t>环境影响报告表</w:t>
            </w:r>
            <w:r>
              <w:rPr>
                <w:rFonts w:hint="default" w:ascii="Times New Roman" w:hAnsi="Times New Roman" w:eastAsia="宋体" w:cs="Times New Roman"/>
                <w:b w:val="0"/>
                <w:bCs w:val="0"/>
                <w:color w:val="auto"/>
                <w:spacing w:val="-5"/>
                <w:sz w:val="24"/>
                <w:szCs w:val="24"/>
                <w:highlight w:val="none"/>
                <w:lang w:val="zh-CN"/>
              </w:rPr>
              <w:t>》</w:t>
            </w:r>
            <w:r>
              <w:rPr>
                <w:rFonts w:hint="default" w:ascii="Times New Roman" w:hAnsi="Times New Roman" w:eastAsia="宋体" w:cs="Times New Roman"/>
                <w:b w:val="0"/>
                <w:bCs w:val="0"/>
                <w:color w:val="auto"/>
                <w:spacing w:val="-5"/>
                <w:sz w:val="24"/>
                <w:szCs w:val="24"/>
                <w:highlight w:val="none"/>
                <w:lang w:val="en-US" w:eastAsia="zh-CN"/>
              </w:rPr>
              <w:t>可知</w:t>
            </w:r>
            <w:r>
              <w:rPr>
                <w:rFonts w:hint="default" w:ascii="Times New Roman" w:hAnsi="Times New Roman" w:eastAsia="宋体" w:cs="Times New Roman"/>
                <w:color w:val="auto"/>
                <w:sz w:val="24"/>
              </w:rPr>
              <w:t>，用水量约为5.4t/a，0.018t/d。用水附着在原纸上，在后续分切、贴合等过程中蒸发损耗，无废水产生。</w:t>
            </w:r>
          </w:p>
          <w:p>
            <w:pPr>
              <w:pStyle w:val="9"/>
              <w:adjustRightInd/>
              <w:spacing w:line="360" w:lineRule="auto"/>
              <w:ind w:firstLine="48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②办公生活用排水</w:t>
            </w:r>
          </w:p>
          <w:p>
            <w:pPr>
              <w:pStyle w:val="9"/>
              <w:adjustRightInd/>
              <w:spacing w:line="360" w:lineRule="auto"/>
              <w:ind w:firstLine="480"/>
              <w:jc w:val="both"/>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szCs w:val="24"/>
                <w:highlight w:val="none"/>
              </w:rPr>
              <w:t>项目设置有员工10人，均在项目内食宿，</w:t>
            </w:r>
            <w:r>
              <w:rPr>
                <w:rFonts w:hint="default" w:ascii="Times New Roman" w:hAnsi="Times New Roman" w:eastAsia="宋体" w:cs="Times New Roman"/>
                <w:color w:val="auto"/>
                <w:sz w:val="24"/>
                <w:szCs w:val="24"/>
                <w:highlight w:val="none"/>
                <w:lang w:bidi="ar"/>
              </w:rPr>
              <w:t>生活污水主要为住宿洗漱废水、水冲厕废水和食堂污水。</w:t>
            </w:r>
            <w:r>
              <w:rPr>
                <w:rFonts w:hint="default" w:ascii="Times New Roman" w:hAnsi="Times New Roman" w:eastAsia="宋体" w:cs="Times New Roman"/>
                <w:color w:val="auto"/>
                <w:sz w:val="24"/>
                <w:szCs w:val="24"/>
                <w:highlight w:val="none"/>
              </w:rPr>
              <w:t>根据建设单位提供的用水缴费记录可知，每天生活用水量为</w:t>
            </w:r>
            <w:r>
              <w:rPr>
                <w:rFonts w:hint="default" w:ascii="Times New Roman" w:hAnsi="Times New Roman" w:eastAsia="宋体" w:cs="Times New Roman"/>
                <w:color w:val="auto"/>
                <w:sz w:val="24"/>
                <w:szCs w:val="24"/>
                <w:highlight w:val="none"/>
                <w:lang w:val="en-US" w:eastAsia="zh-CN"/>
              </w:rPr>
              <w:t>1m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/d、300m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/a，产污系数按0.8计算，则生活废水量为0.8m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/d、240m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p>
          <w:p>
            <w:pPr>
              <w:pStyle w:val="9"/>
              <w:adjustRightInd/>
              <w:spacing w:line="360" w:lineRule="auto"/>
              <w:ind w:firstLine="48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食堂产生的厨房废水先经油水分离器处理后与其他生活污水一同进入化粪池处理，经化粪池处理后排入自建的一体化污水处理设施处理后晴天回用作为绿化浇灌，雨天废水储存于容积为10m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的蓄水池中。</w:t>
            </w:r>
          </w:p>
          <w:p>
            <w:pPr>
              <w:pStyle w:val="9"/>
              <w:adjustRightInd/>
              <w:spacing w:line="360" w:lineRule="auto"/>
              <w:ind w:firstLine="0"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29" o:spt="75" type="#_x0000_t75" style="height:39pt;width:416.25pt;" o:ole="t" filled="f" o:preferrelative="t" stroked="f" coordsize="21600,21600">
                  <v:path/>
                  <v:fill on="f" focussize="0,0"/>
                  <v:stroke on="f"/>
                  <v:imagedata r:id="rId29" o:title=""/>
                  <o:lock v:ext="edit" aspectratio="f"/>
                  <w10:wrap type="none"/>
                  <w10:anchorlock/>
                </v:shape>
                <o:OLEObject Type="Embed" ProgID="Visio.Drawing.11" ShapeID="_x0000_i1029" DrawAspect="Content" ObjectID="_1468075729" r:id="rId28">
                  <o:LockedField>false</o:LockedField>
                </o:OLEObject>
              </w:object>
            </w:r>
          </w:p>
          <w:p>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highlight w:val="none"/>
              </w:rPr>
              <w:t>图</w:t>
            </w:r>
            <w:r>
              <w:rPr>
                <w:rFonts w:hint="default" w:ascii="Times New Roman" w:hAnsi="Times New Roman" w:eastAsia="宋体" w:cs="Times New Roman"/>
                <w:b/>
                <w:bCs/>
                <w:color w:val="auto"/>
                <w:highlight w:val="none"/>
                <w:lang w:val="en-US" w:eastAsia="zh-CN"/>
              </w:rPr>
              <w:t xml:space="preserve">2-7  </w:t>
            </w:r>
            <w:r>
              <w:rPr>
                <w:rFonts w:hint="default" w:ascii="Times New Roman" w:hAnsi="Times New Roman" w:eastAsia="宋体" w:cs="Times New Roman"/>
                <w:b/>
                <w:bCs/>
                <w:color w:val="auto"/>
                <w:highlight w:val="none"/>
              </w:rPr>
              <w:t xml:space="preserve"> 项目废水处理流程图</w:t>
            </w:r>
          </w:p>
          <w:p>
            <w:pPr>
              <w:pStyle w:val="14"/>
              <w:keepNext w:val="0"/>
              <w:keepLines w:val="0"/>
              <w:pageBreakBefore w:val="0"/>
              <w:kinsoku/>
              <w:wordWrap/>
              <w:overflowPunct/>
              <w:topLinePunct w:val="0"/>
              <w:autoSpaceDE/>
              <w:autoSpaceDN/>
              <w:bidi w:val="0"/>
              <w:adjustRightInd/>
              <w:spacing w:after="0" w:line="360" w:lineRule="auto"/>
              <w:ind w:left="0" w:leftChars="0" w:firstLine="480"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bCs/>
                <w:color w:val="auto"/>
                <w:sz w:val="24"/>
                <w:szCs w:val="24"/>
                <w:highlight w:val="none"/>
              </w:rPr>
              <w:t>云南环绿环境检测技术有限公司</w:t>
            </w:r>
            <w:r>
              <w:rPr>
                <w:rFonts w:hint="default" w:ascii="Times New Roman" w:hAnsi="Times New Roman" w:eastAsia="宋体" w:cs="Times New Roman"/>
                <w:color w:val="auto"/>
                <w:sz w:val="24"/>
                <w:szCs w:val="24"/>
                <w:highlight w:val="none"/>
                <w:lang w:val="en-US" w:eastAsia="zh-CN"/>
              </w:rPr>
              <w:t>2021年7月7日-8日对项目区一体化污水处理设备出水口的</w:t>
            </w:r>
            <w:r>
              <w:rPr>
                <w:rFonts w:hint="default" w:ascii="Times New Roman" w:hAnsi="Times New Roman" w:eastAsia="宋体" w:cs="Times New Roman"/>
                <w:color w:val="auto"/>
                <w:sz w:val="24"/>
                <w:szCs w:val="24"/>
                <w:highlight w:val="none"/>
              </w:rPr>
              <w:t>检测结果</w:t>
            </w:r>
            <w:r>
              <w:rPr>
                <w:rFonts w:hint="default" w:ascii="Times New Roman" w:hAnsi="Times New Roman" w:eastAsia="宋体" w:cs="Times New Roman"/>
                <w:color w:val="auto"/>
                <w:sz w:val="24"/>
                <w:szCs w:val="24"/>
                <w:highlight w:val="none"/>
                <w:lang w:val="en-US" w:eastAsia="zh-CN"/>
              </w:rPr>
              <w:t>可知</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本项目生活污水均</w:t>
            </w:r>
            <w:r>
              <w:rPr>
                <w:rFonts w:hint="default" w:ascii="Times New Roman" w:hAnsi="Times New Roman" w:eastAsia="宋体" w:cs="Times New Roman"/>
                <w:color w:val="auto"/>
                <w:sz w:val="24"/>
                <w:szCs w:val="24"/>
                <w:highlight w:val="none"/>
              </w:rPr>
              <w:t>能达到《城市污水再生利用</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城市杂用水水质标准》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GB/T18920-2020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中的</w:t>
            </w:r>
            <w:r>
              <w:rPr>
                <w:rFonts w:hint="default" w:ascii="Times New Roman" w:hAnsi="Times New Roman" w:eastAsia="宋体" w:cs="Times New Roman"/>
                <w:color w:val="auto"/>
                <w:sz w:val="24"/>
                <w:szCs w:val="24"/>
                <w:highlight w:val="none"/>
              </w:rPr>
              <w:t>绿化及道路清扫标准</w:t>
            </w:r>
            <w:r>
              <w:rPr>
                <w:rFonts w:hint="default" w:ascii="Times New Roman" w:hAnsi="Times New Roman" w:eastAsia="宋体" w:cs="Times New Roman"/>
                <w:color w:val="auto"/>
                <w:sz w:val="24"/>
                <w:szCs w:val="24"/>
                <w:highlight w:val="none"/>
                <w:lang w:val="en-US" w:eastAsia="zh-CN"/>
              </w:rPr>
              <w:t>要求，可全部回用不外排</w:t>
            </w:r>
            <w:r>
              <w:rPr>
                <w:rFonts w:hint="default" w:ascii="Times New Roman" w:hAnsi="Times New Roman" w:eastAsia="宋体" w:cs="Times New Roman"/>
                <w:color w:val="auto"/>
                <w:sz w:val="24"/>
                <w:szCs w:val="24"/>
                <w:highlight w:val="none"/>
              </w:rPr>
              <w:t>。</w:t>
            </w:r>
          </w:p>
          <w:p>
            <w:pPr>
              <w:pStyle w:val="14"/>
              <w:keepNext w:val="0"/>
              <w:keepLines w:val="0"/>
              <w:pageBreakBefore w:val="0"/>
              <w:kinsoku/>
              <w:wordWrap/>
              <w:overflowPunct/>
              <w:topLinePunct w:val="0"/>
              <w:autoSpaceDE/>
              <w:autoSpaceDN/>
              <w:bidi w:val="0"/>
              <w:adjustRightInd/>
              <w:spacing w:after="0" w:line="360" w:lineRule="auto"/>
              <w:ind w:left="0"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③绿化、道路场地洒水</w:t>
            </w:r>
          </w:p>
          <w:p>
            <w:pPr>
              <w:pStyle w:val="35"/>
              <w:spacing w:line="348" w:lineRule="auto"/>
              <w:ind w:firstLine="47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项目区内</w:t>
            </w:r>
            <w:r>
              <w:rPr>
                <w:rFonts w:hint="default" w:ascii="Times New Roman" w:hAnsi="Times New Roman" w:eastAsia="宋体" w:cs="Times New Roman"/>
                <w:b w:val="0"/>
                <w:bCs w:val="0"/>
                <w:color w:val="auto"/>
                <w:sz w:val="24"/>
                <w:szCs w:val="24"/>
                <w:highlight w:val="none"/>
                <w:lang w:val="en-US" w:eastAsia="zh-CN"/>
              </w:rPr>
              <w:t>绿化面积为280m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lang w:val="en-US" w:eastAsia="zh-CN"/>
              </w:rPr>
              <w:t>，道路及硬化场地面积</w:t>
            </w:r>
            <w:r>
              <w:rPr>
                <w:rFonts w:hint="default" w:ascii="Times New Roman" w:hAnsi="Times New Roman" w:eastAsia="宋体" w:cs="Times New Roman"/>
                <w:b w:val="0"/>
                <w:bCs w:val="0"/>
                <w:color w:val="auto"/>
                <w:sz w:val="24"/>
                <w:szCs w:val="24"/>
                <w:highlight w:val="none"/>
                <w:lang w:eastAsia="zh-CN"/>
              </w:rPr>
              <w:t>约为</w:t>
            </w:r>
            <w:r>
              <w:rPr>
                <w:rFonts w:hint="default" w:ascii="Times New Roman" w:hAnsi="Times New Roman" w:eastAsia="宋体" w:cs="Times New Roman"/>
                <w:color w:val="auto"/>
                <w:sz w:val="24"/>
                <w:szCs w:val="24"/>
                <w:highlight w:val="none"/>
                <w:lang w:val="en-US" w:eastAsia="zh-CN"/>
              </w:rPr>
              <w:t>1500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b w:val="0"/>
                <w:bCs w:val="0"/>
                <w:color w:val="auto"/>
                <w:sz w:val="24"/>
                <w:szCs w:val="24"/>
                <w:highlight w:val="none"/>
                <w:lang w:eastAsia="zh-CN"/>
              </w:rPr>
              <w:t>，根据</w:t>
            </w:r>
            <w:r>
              <w:rPr>
                <w:rFonts w:hint="default" w:ascii="Times New Roman" w:hAnsi="Times New Roman" w:eastAsia="宋体" w:cs="Times New Roman"/>
                <w:color w:val="auto"/>
                <w:sz w:val="24"/>
                <w:szCs w:val="24"/>
                <w:highlight w:val="none"/>
                <w:lang w:bidi="ar"/>
              </w:rPr>
              <w:t>《云南省地方标准 用水定额》（DB53/168-201</w:t>
            </w:r>
            <w:r>
              <w:rPr>
                <w:rFonts w:hint="default" w:ascii="Times New Roman" w:hAnsi="Times New Roman" w:eastAsia="宋体" w:cs="Times New Roman"/>
                <w:color w:val="auto"/>
                <w:sz w:val="24"/>
                <w:szCs w:val="24"/>
                <w:highlight w:val="none"/>
                <w:lang w:val="en-US" w:eastAsia="zh-CN" w:bidi="ar"/>
              </w:rPr>
              <w:t>9</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b w:val="0"/>
                <w:bCs w:val="0"/>
                <w:color w:val="auto"/>
                <w:sz w:val="24"/>
                <w:szCs w:val="24"/>
                <w:highlight w:val="none"/>
                <w:lang w:val="en-US" w:eastAsia="zh-CN"/>
              </w:rPr>
              <w:t>场地</w:t>
            </w:r>
            <w:r>
              <w:rPr>
                <w:rFonts w:hint="default" w:ascii="Times New Roman" w:hAnsi="Times New Roman" w:eastAsia="宋体" w:cs="Times New Roman"/>
                <w:color w:val="auto"/>
                <w:sz w:val="24"/>
                <w:szCs w:val="24"/>
                <w:highlight w:val="none"/>
                <w:lang w:val="en-US" w:eastAsia="zh-CN"/>
              </w:rPr>
              <w:t>浇洒</w:t>
            </w:r>
            <w:r>
              <w:rPr>
                <w:rFonts w:hint="default" w:ascii="Times New Roman" w:hAnsi="Times New Roman" w:eastAsia="宋体" w:cs="Times New Roman"/>
                <w:b w:val="0"/>
                <w:bCs w:val="0"/>
                <w:color w:val="auto"/>
                <w:sz w:val="24"/>
                <w:szCs w:val="24"/>
                <w:highlight w:val="none"/>
                <w:lang w:eastAsia="zh-CN"/>
              </w:rPr>
              <w:t>用水</w:t>
            </w:r>
            <w:r>
              <w:rPr>
                <w:rFonts w:hint="default" w:ascii="Times New Roman" w:hAnsi="Times New Roman" w:eastAsia="宋体" w:cs="Times New Roman"/>
                <w:b w:val="0"/>
                <w:bCs w:val="0"/>
                <w:color w:val="auto"/>
                <w:sz w:val="24"/>
                <w:szCs w:val="24"/>
                <w:highlight w:val="none"/>
                <w:lang w:val="en-US" w:eastAsia="zh-CN"/>
              </w:rPr>
              <w:t>为2</w:t>
            </w:r>
            <w:r>
              <w:rPr>
                <w:rFonts w:hint="default" w:ascii="Times New Roman" w:hAnsi="Times New Roman" w:eastAsia="宋体" w:cs="Times New Roman"/>
                <w:b w:val="0"/>
                <w:bCs w:val="0"/>
                <w:color w:val="auto"/>
                <w:sz w:val="24"/>
                <w:szCs w:val="24"/>
                <w:highlight w:val="none"/>
                <w:lang w:eastAsia="zh-CN"/>
              </w:rPr>
              <w:t>L/（m</w:t>
            </w:r>
            <w:r>
              <w:rPr>
                <w:rFonts w:hint="default" w:ascii="Times New Roman" w:hAnsi="Times New Roman" w:eastAsia="宋体" w:cs="Times New Roman"/>
                <w:b w:val="0"/>
                <w:bCs w:val="0"/>
                <w:color w:val="auto"/>
                <w:sz w:val="24"/>
                <w:szCs w:val="24"/>
                <w:highlight w:val="none"/>
                <w:vertAlign w:val="superscript"/>
                <w:lang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次</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园林绿化用水为3</w:t>
            </w:r>
            <w:r>
              <w:rPr>
                <w:rFonts w:hint="default" w:ascii="Times New Roman" w:hAnsi="Times New Roman" w:eastAsia="宋体" w:cs="Times New Roman"/>
                <w:b w:val="0"/>
                <w:bCs w:val="0"/>
                <w:color w:val="auto"/>
                <w:sz w:val="24"/>
                <w:szCs w:val="24"/>
                <w:highlight w:val="none"/>
                <w:lang w:eastAsia="zh-CN"/>
              </w:rPr>
              <w:t>L/（m</w:t>
            </w:r>
            <w:r>
              <w:rPr>
                <w:rFonts w:hint="default" w:ascii="Times New Roman" w:hAnsi="Times New Roman" w:eastAsia="宋体" w:cs="Times New Roman"/>
                <w:b w:val="0"/>
                <w:bCs w:val="0"/>
                <w:color w:val="auto"/>
                <w:sz w:val="24"/>
                <w:szCs w:val="24"/>
                <w:highlight w:val="none"/>
                <w:vertAlign w:val="superscript"/>
                <w:lang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次</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道路及绿化均为非雨天每天</w:t>
            </w:r>
            <w:r>
              <w:rPr>
                <w:rFonts w:hint="default" w:ascii="Times New Roman" w:hAnsi="Times New Roman" w:eastAsia="宋体" w:cs="Times New Roman"/>
                <w:color w:val="auto"/>
                <w:sz w:val="24"/>
                <w:szCs w:val="24"/>
                <w:highlight w:val="none"/>
                <w:lang w:val="en-US" w:eastAsia="zh-CN"/>
              </w:rPr>
              <w:t>浇洒</w:t>
            </w:r>
            <w:r>
              <w:rPr>
                <w:rFonts w:hint="default" w:ascii="Times New Roman" w:hAnsi="Times New Roman" w:eastAsia="宋体" w:cs="Times New Roman"/>
                <w:b w:val="0"/>
                <w:bCs w:val="0"/>
                <w:color w:val="auto"/>
                <w:sz w:val="24"/>
                <w:szCs w:val="24"/>
                <w:highlight w:val="none"/>
                <w:lang w:val="en-US" w:eastAsia="zh-CN"/>
              </w:rPr>
              <w:t>一次，</w:t>
            </w:r>
            <w:r>
              <w:rPr>
                <w:rFonts w:hint="default" w:ascii="Times New Roman" w:hAnsi="Times New Roman" w:eastAsia="宋体" w:cs="Times New Roman"/>
                <w:b w:val="0"/>
                <w:bCs w:val="0"/>
                <w:color w:val="auto"/>
                <w:sz w:val="24"/>
                <w:szCs w:val="24"/>
                <w:highlight w:val="none"/>
                <w:lang w:eastAsia="zh-CN"/>
              </w:rPr>
              <w:t>则</w:t>
            </w:r>
            <w:r>
              <w:rPr>
                <w:rFonts w:hint="default" w:ascii="Times New Roman" w:hAnsi="Times New Roman" w:eastAsia="宋体" w:cs="Times New Roman"/>
                <w:b w:val="0"/>
                <w:bCs w:val="0"/>
                <w:color w:val="auto"/>
                <w:sz w:val="24"/>
                <w:szCs w:val="24"/>
                <w:highlight w:val="none"/>
                <w:lang w:val="en-US" w:eastAsia="zh-CN"/>
              </w:rPr>
              <w:t>项目绿化及</w:t>
            </w:r>
            <w:r>
              <w:rPr>
                <w:rFonts w:hint="default" w:ascii="Times New Roman" w:hAnsi="Times New Roman" w:eastAsia="宋体" w:cs="Times New Roman"/>
                <w:color w:val="auto"/>
                <w:sz w:val="24"/>
                <w:szCs w:val="24"/>
                <w:highlight w:val="none"/>
                <w:lang w:val="en-US" w:eastAsia="zh-CN"/>
              </w:rPr>
              <w:t>道路场地</w:t>
            </w:r>
            <w:r>
              <w:rPr>
                <w:rFonts w:hint="default" w:ascii="Times New Roman" w:hAnsi="Times New Roman" w:eastAsia="宋体" w:cs="Times New Roman"/>
                <w:b w:val="0"/>
                <w:bCs w:val="0"/>
                <w:color w:val="auto"/>
                <w:sz w:val="24"/>
                <w:szCs w:val="24"/>
                <w:highlight w:val="none"/>
                <w:lang w:val="en-US" w:eastAsia="zh-CN"/>
              </w:rPr>
              <w:t>洒水</w:t>
            </w:r>
            <w:r>
              <w:rPr>
                <w:rFonts w:hint="default" w:ascii="Times New Roman" w:hAnsi="Times New Roman" w:eastAsia="宋体" w:cs="Times New Roman"/>
                <w:b w:val="0"/>
                <w:bCs w:val="0"/>
                <w:color w:val="auto"/>
                <w:sz w:val="24"/>
                <w:szCs w:val="24"/>
                <w:highlight w:val="none"/>
                <w:lang w:eastAsia="zh-CN"/>
              </w:rPr>
              <w:t>用水</w:t>
            </w:r>
            <w:r>
              <w:rPr>
                <w:rFonts w:hint="default" w:ascii="Times New Roman" w:hAnsi="Times New Roman" w:eastAsia="宋体" w:cs="Times New Roman"/>
                <w:b w:val="0"/>
                <w:bCs w:val="0"/>
                <w:color w:val="auto"/>
                <w:sz w:val="24"/>
                <w:szCs w:val="24"/>
                <w:highlight w:val="none"/>
                <w:lang w:val="en-US" w:eastAsia="zh-CN"/>
              </w:rPr>
              <w:t>量为3.84</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802.56</w:t>
            </w:r>
            <w:r>
              <w:rPr>
                <w:rFonts w:hint="default" w:ascii="Times New Roman" w:hAnsi="Times New Roman" w:eastAsia="宋体" w:cs="Times New Roman"/>
                <w:color w:val="auto"/>
                <w:sz w:val="24"/>
                <w:szCs w:val="24"/>
                <w:highlight w:val="none"/>
                <w:lang w:val="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rPr>
              <w:t>/a</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非雨天按209d计</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绿化及</w:t>
            </w:r>
            <w:r>
              <w:rPr>
                <w:rFonts w:hint="default" w:ascii="Times New Roman" w:hAnsi="Times New Roman" w:eastAsia="宋体" w:cs="Times New Roman"/>
                <w:color w:val="auto"/>
                <w:sz w:val="24"/>
                <w:szCs w:val="24"/>
                <w:highlight w:val="none"/>
                <w:lang w:val="en-US" w:eastAsia="zh-CN"/>
              </w:rPr>
              <w:t>道路场地洒水</w:t>
            </w:r>
            <w:r>
              <w:rPr>
                <w:rFonts w:hint="default" w:ascii="Times New Roman" w:hAnsi="Times New Roman" w:eastAsia="宋体" w:cs="Times New Roman"/>
                <w:b w:val="0"/>
                <w:bCs w:val="0"/>
                <w:color w:val="auto"/>
                <w:sz w:val="24"/>
                <w:szCs w:val="24"/>
                <w:highlight w:val="none"/>
                <w:lang w:val="en-US" w:eastAsia="zh-CN"/>
              </w:rPr>
              <w:t>使用</w:t>
            </w:r>
            <w:r>
              <w:rPr>
                <w:rFonts w:hint="default" w:ascii="Times New Roman" w:hAnsi="Times New Roman" w:eastAsia="宋体" w:cs="Times New Roman"/>
                <w:color w:val="auto"/>
                <w:sz w:val="24"/>
                <w:szCs w:val="24"/>
                <w:highlight w:val="none"/>
                <w:lang w:eastAsia="zh-CN" w:bidi="ar"/>
              </w:rPr>
              <w:t>一体化</w:t>
            </w:r>
            <w:r>
              <w:rPr>
                <w:rFonts w:hint="default" w:ascii="Times New Roman" w:hAnsi="Times New Roman" w:eastAsia="宋体" w:cs="Times New Roman"/>
                <w:b w:val="0"/>
                <w:bCs w:val="0"/>
                <w:color w:val="auto"/>
                <w:sz w:val="24"/>
                <w:szCs w:val="24"/>
                <w:highlight w:val="none"/>
                <w:lang w:val="en-US" w:eastAsia="zh-CN"/>
              </w:rPr>
              <w:t>污水处理站处理达标的中水，不足部分补充新鲜水，</w:t>
            </w:r>
            <w:r>
              <w:rPr>
                <w:rFonts w:hint="default" w:ascii="Times New Roman" w:hAnsi="Times New Roman" w:eastAsia="宋体" w:cs="Times New Roman"/>
                <w:color w:val="auto"/>
                <w:sz w:val="24"/>
                <w:szCs w:val="24"/>
                <w:highlight w:val="none"/>
                <w:lang w:val="en-US" w:eastAsia="zh-CN"/>
              </w:rPr>
              <w:t>洒</w:t>
            </w:r>
            <w:r>
              <w:rPr>
                <w:rFonts w:hint="default" w:ascii="Times New Roman" w:hAnsi="Times New Roman" w:eastAsia="宋体" w:cs="Times New Roman"/>
                <w:b w:val="0"/>
                <w:bCs w:val="0"/>
                <w:color w:val="auto"/>
                <w:sz w:val="24"/>
                <w:szCs w:val="24"/>
                <w:highlight w:val="none"/>
                <w:lang w:val="en-US" w:eastAsia="zh-CN"/>
              </w:rPr>
              <w:t>水后水分自然蒸发，不产生废水。</w:t>
            </w:r>
          </w:p>
          <w:p>
            <w:pPr>
              <w:pStyle w:val="14"/>
              <w:keepNext w:val="0"/>
              <w:keepLines w:val="0"/>
              <w:pageBreakBefore w:val="0"/>
              <w:kinsoku/>
              <w:wordWrap/>
              <w:overflowPunct/>
              <w:topLinePunct w:val="0"/>
              <w:autoSpaceDE/>
              <w:autoSpaceDN/>
              <w:bidi w:val="0"/>
              <w:adjustRightInd/>
              <w:spacing w:after="0" w:line="360" w:lineRule="auto"/>
              <w:ind w:left="0" w:leftChars="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3、噪声</w:t>
            </w:r>
          </w:p>
          <w:p>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原项目噪声主要</w:t>
            </w:r>
            <w:r>
              <w:rPr>
                <w:rFonts w:hint="eastAsia" w:cs="Times New Roman"/>
                <w:color w:val="auto"/>
                <w:kern w:val="2"/>
                <w:sz w:val="24"/>
                <w:szCs w:val="24"/>
                <w:highlight w:val="none"/>
                <w:lang w:val="en-US" w:eastAsia="zh-CN" w:bidi="ar-SA"/>
              </w:rPr>
              <w:t>来自</w:t>
            </w:r>
            <w:r>
              <w:rPr>
                <w:rFonts w:hint="default" w:ascii="Times New Roman" w:hAnsi="Times New Roman" w:eastAsia="宋体" w:cs="Times New Roman"/>
                <w:color w:val="auto"/>
                <w:kern w:val="2"/>
                <w:sz w:val="24"/>
                <w:szCs w:val="24"/>
                <w:highlight w:val="none"/>
                <w:lang w:val="en-US" w:eastAsia="zh-CN" w:bidi="ar-SA"/>
              </w:rPr>
              <w:t>开卷机、分切机等生产设备，通过采用低噪声优质生产设备，并将产噪设备设置基础减震和安装于半封闭式生产车间内等措施进行隔音，噪声通过厂房隔声、距离衰减等措施进行防治。</w:t>
            </w:r>
          </w:p>
          <w:p>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bCs/>
                <w:color w:val="auto"/>
                <w:sz w:val="24"/>
                <w:szCs w:val="24"/>
                <w:highlight w:val="none"/>
              </w:rPr>
              <w:t>云南环绿环境检测技术有限公司</w:t>
            </w:r>
            <w:r>
              <w:rPr>
                <w:rFonts w:hint="default" w:ascii="Times New Roman" w:hAnsi="Times New Roman" w:eastAsia="宋体" w:cs="Times New Roman"/>
                <w:color w:val="auto"/>
                <w:sz w:val="24"/>
                <w:szCs w:val="24"/>
                <w:highlight w:val="none"/>
                <w:lang w:val="en-US" w:eastAsia="zh-CN"/>
              </w:rPr>
              <w:t>2021年7月7日-8日对项目区厂界四周噪声</w:t>
            </w:r>
            <w:r>
              <w:rPr>
                <w:rFonts w:hint="default" w:ascii="Times New Roman" w:hAnsi="Times New Roman" w:eastAsia="宋体" w:cs="Times New Roman"/>
                <w:color w:val="auto"/>
                <w:sz w:val="24"/>
                <w:szCs w:val="24"/>
                <w:highlight w:val="none"/>
              </w:rPr>
              <w:t>检测结果</w:t>
            </w:r>
            <w:r>
              <w:rPr>
                <w:rFonts w:hint="default" w:ascii="Times New Roman" w:hAnsi="Times New Roman" w:eastAsia="宋体" w:cs="Times New Roman"/>
                <w:color w:val="auto"/>
                <w:sz w:val="24"/>
                <w:szCs w:val="24"/>
                <w:highlight w:val="none"/>
                <w:lang w:val="en-US" w:eastAsia="zh-CN"/>
              </w:rPr>
              <w:t>可知</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北、西、南厂界</w:t>
            </w:r>
            <w:r>
              <w:rPr>
                <w:rFonts w:hint="default" w:ascii="Times New Roman" w:hAnsi="Times New Roman" w:eastAsia="宋体" w:cs="Times New Roman"/>
                <w:color w:val="auto"/>
                <w:sz w:val="24"/>
                <w:szCs w:val="24"/>
                <w:highlight w:val="none"/>
              </w:rPr>
              <w:t>噪声</w:t>
            </w:r>
            <w:r>
              <w:rPr>
                <w:rFonts w:hint="default" w:ascii="Times New Roman" w:hAnsi="Times New Roman" w:eastAsia="宋体" w:cs="Times New Roman"/>
                <w:color w:val="auto"/>
                <w:sz w:val="24"/>
                <w:szCs w:val="24"/>
                <w:highlight w:val="none"/>
                <w:lang w:val="en-US" w:eastAsia="zh-CN"/>
              </w:rPr>
              <w:t>均能满足</w:t>
            </w:r>
            <w:r>
              <w:rPr>
                <w:rFonts w:hint="default" w:ascii="Times New Roman" w:hAnsi="Times New Roman" w:eastAsia="宋体" w:cs="Times New Roman"/>
                <w:color w:val="auto"/>
                <w:sz w:val="24"/>
                <w:szCs w:val="24"/>
                <w:highlight w:val="none"/>
              </w:rPr>
              <w:t>《工业企业厂界环境噪声排放标准》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GB12348-2008</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3类标准限值</w:t>
            </w:r>
            <w:r>
              <w:rPr>
                <w:rFonts w:hint="default" w:ascii="Times New Roman" w:hAnsi="Times New Roman" w:eastAsia="宋体" w:cs="Times New Roman"/>
                <w:color w:val="auto"/>
                <w:sz w:val="24"/>
                <w:szCs w:val="24"/>
                <w:highlight w:val="none"/>
                <w:lang w:val="en-US" w:eastAsia="zh-CN"/>
              </w:rPr>
              <w:t>要求，</w:t>
            </w:r>
            <w:r>
              <w:rPr>
                <w:rFonts w:hint="default" w:ascii="Times New Roman" w:hAnsi="Times New Roman" w:eastAsia="宋体" w:cs="Times New Roman"/>
                <w:color w:val="auto"/>
                <w:sz w:val="24"/>
                <w:szCs w:val="24"/>
                <w:highlight w:val="none"/>
              </w:rPr>
              <w:t>临1号路一侧</w:t>
            </w:r>
            <w:r>
              <w:rPr>
                <w:rFonts w:hint="default" w:ascii="Times New Roman" w:hAnsi="Times New Roman" w:eastAsia="宋体"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rPr>
              <w:t>m范围内</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东厂界</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噪声</w:t>
            </w:r>
            <w:r>
              <w:rPr>
                <w:rFonts w:hint="default" w:ascii="Times New Roman" w:hAnsi="Times New Roman" w:eastAsia="宋体" w:cs="Times New Roman"/>
                <w:color w:val="auto"/>
                <w:sz w:val="24"/>
                <w:szCs w:val="24"/>
                <w:highlight w:val="none"/>
                <w:lang w:val="en-US" w:eastAsia="zh-CN"/>
              </w:rPr>
              <w:t>可满足</w:t>
            </w:r>
            <w:r>
              <w:rPr>
                <w:rFonts w:hint="default" w:ascii="Times New Roman" w:hAnsi="Times New Roman" w:eastAsia="宋体" w:cs="Times New Roman"/>
                <w:color w:val="auto"/>
                <w:sz w:val="24"/>
                <w:szCs w:val="24"/>
                <w:highlight w:val="none"/>
              </w:rPr>
              <w:t>《工业企业厂界环境噪声排放标准》（GB12348-2008）</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类要求。</w:t>
            </w:r>
          </w:p>
          <w:p>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4、固体废物</w:t>
            </w:r>
          </w:p>
          <w:p>
            <w:pPr>
              <w:pStyle w:val="71"/>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bidi="ar"/>
              </w:rPr>
              <w:t>原</w:t>
            </w:r>
            <w:r>
              <w:rPr>
                <w:rFonts w:hint="default" w:ascii="Times New Roman" w:hAnsi="Times New Roman" w:eastAsia="宋体" w:cs="Times New Roman"/>
                <w:color w:val="auto"/>
                <w:sz w:val="24"/>
                <w:szCs w:val="24"/>
                <w:highlight w:val="none"/>
                <w:lang w:bidi="ar"/>
              </w:rPr>
              <w:t>项目运营期的固体废物主要有一般固废和危险废物。</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1）一般固废</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①边角料、不合格产品</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废包装材料</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原</w:t>
            </w:r>
            <w:r>
              <w:rPr>
                <w:rFonts w:hint="default" w:ascii="Times New Roman" w:hAnsi="Times New Roman" w:eastAsia="宋体" w:cs="Times New Roman"/>
                <w:color w:val="auto"/>
                <w:sz w:val="24"/>
                <w:szCs w:val="24"/>
                <w:highlight w:val="none"/>
              </w:rPr>
              <w:t>项目在原纸分切和</w:t>
            </w:r>
            <w:r>
              <w:rPr>
                <w:rFonts w:hint="default" w:ascii="Times New Roman" w:hAnsi="Times New Roman" w:eastAsia="宋体" w:cs="Times New Roman"/>
                <w:color w:val="auto"/>
                <w:sz w:val="24"/>
                <w:szCs w:val="24"/>
                <w:highlight w:val="none"/>
                <w:lang w:bidi="ar"/>
              </w:rPr>
              <w:t>纸板容器加工中会产生一定边角料</w:t>
            </w:r>
            <w:r>
              <w:rPr>
                <w:rFonts w:hint="default" w:ascii="Times New Roman" w:hAnsi="Times New Roman" w:eastAsia="宋体" w:cs="Times New Roman"/>
                <w:color w:val="auto"/>
                <w:sz w:val="24"/>
                <w:szCs w:val="24"/>
                <w:highlight w:val="none"/>
                <w:lang w:val="en-US" w:eastAsia="zh-CN" w:bidi="ar"/>
              </w:rPr>
              <w:t>及不合格产品</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color w:val="auto"/>
                <w:sz w:val="24"/>
                <w:szCs w:val="24"/>
                <w:highlight w:val="none"/>
              </w:rPr>
              <w:t>产品包装过程中会产生一定量的废弃塑料包装袋，</w:t>
            </w:r>
            <w:r>
              <w:rPr>
                <w:rFonts w:hint="default" w:ascii="Times New Roman" w:hAnsi="Times New Roman" w:eastAsia="宋体" w:cs="Times New Roman"/>
                <w:color w:val="auto"/>
                <w:sz w:val="24"/>
                <w:szCs w:val="24"/>
                <w:highlight w:val="none"/>
                <w:lang w:val="en-US" w:eastAsia="zh-CN"/>
              </w:rPr>
              <w:t>均</w:t>
            </w:r>
            <w:r>
              <w:rPr>
                <w:rFonts w:hint="default" w:ascii="Times New Roman" w:hAnsi="Times New Roman" w:eastAsia="宋体" w:cs="Times New Roman"/>
                <w:color w:val="auto"/>
                <w:sz w:val="24"/>
                <w:szCs w:val="24"/>
                <w:highlight w:val="none"/>
              </w:rPr>
              <w:t>属于一般固废</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据建设单位统计，</w:t>
            </w:r>
            <w:r>
              <w:rPr>
                <w:rFonts w:hint="default" w:ascii="Times New Roman" w:hAnsi="Times New Roman" w:eastAsia="宋体" w:cs="Times New Roman"/>
                <w:color w:val="auto"/>
                <w:sz w:val="24"/>
                <w:szCs w:val="24"/>
                <w:highlight w:val="none"/>
                <w:lang w:val="en-US" w:eastAsia="zh-CN"/>
              </w:rPr>
              <w:t>产生量约为18t/a，</w:t>
            </w:r>
            <w:r>
              <w:rPr>
                <w:rFonts w:hint="default" w:ascii="Times New Roman" w:hAnsi="Times New Roman" w:eastAsia="宋体" w:cs="Times New Roman"/>
                <w:color w:val="auto"/>
                <w:sz w:val="24"/>
                <w:szCs w:val="24"/>
                <w:highlight w:val="none"/>
              </w:rPr>
              <w:t>统一收集后进行</w:t>
            </w:r>
            <w:r>
              <w:rPr>
                <w:rFonts w:hint="default" w:ascii="Times New Roman" w:hAnsi="Times New Roman" w:eastAsia="宋体" w:cs="Times New Roman"/>
                <w:color w:val="auto"/>
                <w:sz w:val="24"/>
                <w:szCs w:val="24"/>
                <w:highlight w:val="none"/>
                <w:lang w:val="en-US" w:eastAsia="zh-CN"/>
              </w:rPr>
              <w:t>外售</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②生活垃圾</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本项目劳动定员10人，据建设单位统计，</w:t>
            </w:r>
            <w:r>
              <w:rPr>
                <w:rFonts w:hint="default" w:ascii="Times New Roman" w:hAnsi="Times New Roman" w:eastAsia="宋体" w:cs="Times New Roman"/>
                <w:color w:val="auto"/>
                <w:sz w:val="24"/>
                <w:szCs w:val="24"/>
                <w:highlight w:val="none"/>
                <w:lang w:val="en-US" w:eastAsia="zh-CN"/>
              </w:rPr>
              <w:t>原</w:t>
            </w:r>
            <w:r>
              <w:rPr>
                <w:rFonts w:hint="default" w:ascii="Times New Roman" w:hAnsi="Times New Roman" w:eastAsia="宋体" w:cs="Times New Roman"/>
                <w:color w:val="auto"/>
                <w:sz w:val="24"/>
                <w:szCs w:val="24"/>
                <w:highlight w:val="none"/>
              </w:rPr>
              <w:t>项目生活垃圾产生量</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kern w:val="0"/>
                <w:sz w:val="24"/>
                <w:szCs w:val="24"/>
                <w:highlight w:val="none"/>
              </w:rPr>
              <w:t>项目不设置垃圾房，经垃圾桶收集后，委托园区环卫部门定期清运</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处置。</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③餐厨垃圾</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rPr>
              <w:t>食堂餐厨垃圾主要为食品加工过程中产生的剩饭剩菜及</w:t>
            </w:r>
            <w:r>
              <w:rPr>
                <w:rFonts w:hint="default" w:ascii="Times New Roman" w:hAnsi="Times New Roman" w:eastAsia="宋体" w:cs="Times New Roman"/>
                <w:b w:val="0"/>
                <w:bCs w:val="0"/>
                <w:color w:val="auto"/>
                <w:sz w:val="24"/>
                <w:szCs w:val="24"/>
                <w:highlight w:val="none"/>
                <w:lang w:eastAsia="zh-CN"/>
              </w:rPr>
              <w:t>隔油池废油</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color w:val="auto"/>
                <w:sz w:val="24"/>
                <w:szCs w:val="24"/>
                <w:highlight w:val="none"/>
              </w:rPr>
              <w:t>据建设单位统计，</w:t>
            </w:r>
            <w:r>
              <w:rPr>
                <w:rFonts w:hint="default" w:ascii="Times New Roman" w:hAnsi="Times New Roman" w:eastAsia="宋体" w:cs="Times New Roman"/>
                <w:color w:val="auto"/>
                <w:sz w:val="24"/>
                <w:szCs w:val="24"/>
                <w:highlight w:val="none"/>
                <w:lang w:val="en-US" w:eastAsia="zh-CN"/>
              </w:rPr>
              <w:t>原项目</w:t>
            </w:r>
            <w:r>
              <w:rPr>
                <w:rFonts w:hint="default" w:ascii="Times New Roman" w:hAnsi="Times New Roman" w:eastAsia="宋体" w:cs="Times New Roman"/>
                <w:b w:val="0"/>
                <w:bCs w:val="0"/>
                <w:color w:val="auto"/>
                <w:sz w:val="24"/>
                <w:szCs w:val="24"/>
                <w:highlight w:val="none"/>
              </w:rPr>
              <w:t>餐厨垃圾产生</w:t>
            </w:r>
            <w:r>
              <w:rPr>
                <w:rFonts w:hint="default" w:ascii="Times New Roman" w:hAnsi="Times New Roman" w:eastAsia="宋体" w:cs="Times New Roman"/>
                <w:b w:val="0"/>
                <w:bCs w:val="0"/>
                <w:color w:val="auto"/>
                <w:sz w:val="24"/>
                <w:szCs w:val="24"/>
                <w:highlight w:val="none"/>
                <w:lang w:val="en-US" w:eastAsia="zh-CN"/>
              </w:rPr>
              <w:t>量约</w:t>
            </w:r>
            <w:r>
              <w:rPr>
                <w:rFonts w:hint="default" w:ascii="Times New Roman" w:hAnsi="Times New Roman" w:eastAsia="宋体" w:cs="Times New Roman"/>
                <w:b w:val="0"/>
                <w:bCs w:val="0"/>
                <w:color w:val="auto"/>
                <w:sz w:val="24"/>
                <w:szCs w:val="24"/>
                <w:highlight w:val="none"/>
              </w:rPr>
              <w:t>为</w:t>
            </w:r>
            <w:r>
              <w:rPr>
                <w:rFonts w:hint="default" w:ascii="Times New Roman" w:hAnsi="Times New Roman" w:eastAsia="宋体" w:cs="Times New Roman"/>
                <w:b w:val="0"/>
                <w:bCs w:val="0"/>
                <w:color w:val="auto"/>
                <w:sz w:val="24"/>
                <w:szCs w:val="24"/>
                <w:highlight w:val="none"/>
                <w:lang w:val="en-US" w:eastAsia="zh-CN"/>
              </w:rPr>
              <w:t>0.9</w:t>
            </w:r>
            <w:r>
              <w:rPr>
                <w:rFonts w:hint="default" w:ascii="Times New Roman" w:hAnsi="Times New Roman" w:eastAsia="宋体" w:cs="Times New Roman"/>
                <w:b w:val="0"/>
                <w:bCs w:val="0"/>
                <w:color w:val="auto"/>
                <w:sz w:val="24"/>
                <w:szCs w:val="24"/>
                <w:highlight w:val="none"/>
              </w:rPr>
              <w:t>t/a。食堂餐厨垃圾通过加盖塑料桶收集后</w:t>
            </w:r>
            <w:r>
              <w:rPr>
                <w:rFonts w:hint="default" w:ascii="Times New Roman" w:hAnsi="Times New Roman" w:eastAsia="宋体" w:cs="Times New Roman"/>
                <w:b w:val="0"/>
                <w:bCs w:val="0"/>
                <w:color w:val="auto"/>
                <w:sz w:val="24"/>
                <w:szCs w:val="24"/>
                <w:highlight w:val="none"/>
                <w:lang w:eastAsia="zh-CN"/>
              </w:rPr>
              <w:t>由有资质的单位定期清运、处置</w:t>
            </w:r>
            <w:r>
              <w:rPr>
                <w:rFonts w:hint="default" w:ascii="Times New Roman" w:hAnsi="Times New Roman" w:eastAsia="宋体" w:cs="Times New Roman"/>
                <w:b w:val="0"/>
                <w:bCs w:val="0"/>
                <w:color w:val="auto"/>
                <w:sz w:val="24"/>
                <w:szCs w:val="24"/>
                <w:highlight w:val="none"/>
              </w:rPr>
              <w:t>。</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④</w:t>
            </w:r>
            <w:r>
              <w:rPr>
                <w:rFonts w:hint="default" w:ascii="Times New Roman" w:hAnsi="Times New Roman" w:eastAsia="宋体" w:cs="Times New Roman"/>
                <w:color w:val="auto"/>
                <w:sz w:val="24"/>
                <w:szCs w:val="24"/>
                <w:highlight w:val="none"/>
              </w:rPr>
              <w:t>污水处理设施污泥、化粪池污泥</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据建设单位统计，本项目污水处理设施污泥、化粪池污泥</w:t>
            </w:r>
            <w:r>
              <w:rPr>
                <w:rFonts w:hint="default" w:ascii="Times New Roman" w:hAnsi="Times New Roman" w:eastAsia="宋体" w:cs="Times New Roman"/>
                <w:color w:val="auto"/>
                <w:sz w:val="24"/>
                <w:szCs w:val="24"/>
                <w:highlight w:val="none"/>
                <w:lang w:val="en-US" w:eastAsia="zh-CN"/>
              </w:rPr>
              <w:t>产生量约为0.2</w:t>
            </w:r>
            <w:r>
              <w:rPr>
                <w:rFonts w:hint="default" w:ascii="Times New Roman" w:hAnsi="Times New Roman" w:eastAsia="宋体" w:cs="Times New Roman"/>
                <w:color w:val="auto"/>
                <w:sz w:val="24"/>
                <w:szCs w:val="24"/>
                <w:highlight w:val="none"/>
              </w:rPr>
              <w:t>kg/d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0.06</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定期</w:t>
            </w:r>
            <w:r>
              <w:rPr>
                <w:rFonts w:hint="default" w:ascii="Times New Roman" w:hAnsi="Times New Roman" w:eastAsia="宋体" w:cs="Times New Roman"/>
                <w:color w:val="auto"/>
                <w:sz w:val="24"/>
                <w:szCs w:val="24"/>
                <w:highlight w:val="none"/>
                <w:lang w:val="en-US" w:eastAsia="zh-CN"/>
              </w:rPr>
              <w:t>清掏</w:t>
            </w:r>
            <w:r>
              <w:rPr>
                <w:rFonts w:hint="default" w:ascii="Times New Roman" w:hAnsi="Times New Roman" w:eastAsia="宋体" w:cs="Times New Roman"/>
                <w:color w:val="auto"/>
                <w:sz w:val="24"/>
                <w:szCs w:val="24"/>
                <w:highlight w:val="none"/>
              </w:rPr>
              <w:t>后和生活垃圾一起委托当地环卫部门进行清运处置</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2）危险废物</w:t>
            </w:r>
          </w:p>
          <w:p>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原</w:t>
            </w:r>
            <w:r>
              <w:rPr>
                <w:rFonts w:hint="default" w:ascii="Times New Roman" w:hAnsi="Times New Roman" w:eastAsia="宋体" w:cs="Times New Roman"/>
                <w:color w:val="auto"/>
                <w:sz w:val="24"/>
                <w:szCs w:val="24"/>
                <w:highlight w:val="none"/>
              </w:rPr>
              <w:t>项目设备定期检修时会产生更换下来的废机油，</w:t>
            </w:r>
            <w:r>
              <w:rPr>
                <w:rFonts w:hint="default" w:ascii="Times New Roman" w:hAnsi="Times New Roman" w:eastAsia="宋体" w:cs="Times New Roman"/>
                <w:color w:val="auto"/>
                <w:sz w:val="24"/>
                <w:szCs w:val="24"/>
                <w:highlight w:val="none"/>
                <w:lang w:val="en-US" w:eastAsia="zh-CN"/>
              </w:rPr>
              <w:t>产生量约为0.1t/a，</w:t>
            </w:r>
            <w:r>
              <w:rPr>
                <w:rFonts w:hint="default" w:ascii="Times New Roman" w:hAnsi="Times New Roman" w:eastAsia="宋体" w:cs="Times New Roman"/>
                <w:color w:val="auto"/>
                <w:sz w:val="24"/>
                <w:szCs w:val="24"/>
                <w:highlight w:val="none"/>
              </w:rPr>
              <w:t>对照《国家危险废物名录》（2021），废机油属于危险废物，代码为HW08-900-214-08</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废弃的含油抹布、劳保用品等</w:t>
            </w:r>
            <w:r>
              <w:rPr>
                <w:rFonts w:hint="default" w:ascii="Times New Roman" w:hAnsi="Times New Roman" w:eastAsia="宋体" w:cs="Times New Roman"/>
                <w:bCs/>
                <w:color w:val="auto"/>
                <w:sz w:val="24"/>
                <w:szCs w:val="24"/>
                <w:highlight w:val="none"/>
              </w:rPr>
              <w:t>产生</w:t>
            </w:r>
            <w:r>
              <w:rPr>
                <w:rFonts w:hint="default" w:ascii="Times New Roman" w:hAnsi="Times New Roman" w:eastAsia="宋体" w:cs="Times New Roman"/>
                <w:color w:val="auto"/>
                <w:sz w:val="24"/>
                <w:szCs w:val="24"/>
                <w:highlight w:val="none"/>
              </w:rPr>
              <w:t>约为</w:t>
            </w:r>
            <w:r>
              <w:rPr>
                <w:rFonts w:hint="default" w:ascii="Times New Roman" w:hAnsi="Times New Roman" w:eastAsia="宋体" w:cs="Times New Roman"/>
                <w:color w:val="auto"/>
                <w:sz w:val="24"/>
                <w:szCs w:val="24"/>
                <w:highlight w:val="none"/>
                <w:lang w:val="en-US" w:eastAsia="zh-CN"/>
              </w:rPr>
              <w:t>0.2</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废弃的含油抹布、劳保用品</w:t>
            </w:r>
            <w:r>
              <w:rPr>
                <w:rFonts w:hint="default" w:ascii="Times New Roman" w:hAnsi="Times New Roman" w:eastAsia="宋体" w:cs="Times New Roman"/>
                <w:color w:val="auto"/>
                <w:sz w:val="24"/>
                <w:szCs w:val="24"/>
                <w:highlight w:val="none"/>
                <w:lang w:eastAsia="zh-CN"/>
              </w:rPr>
              <w:t>属于</w:t>
            </w:r>
            <w:r>
              <w:rPr>
                <w:rFonts w:hint="default" w:ascii="Times New Roman" w:hAnsi="Times New Roman" w:eastAsia="宋体" w:cs="Times New Roman"/>
                <w:color w:val="auto"/>
                <w:sz w:val="24"/>
                <w:szCs w:val="24"/>
                <w:highlight w:val="none"/>
              </w:rPr>
              <w:t>HW49其他废物</w:t>
            </w:r>
            <w:r>
              <w:rPr>
                <w:rFonts w:hint="default" w:ascii="Times New Roman" w:hAnsi="Times New Roman" w:eastAsia="宋体" w:cs="Times New Roman"/>
                <w:color w:val="auto"/>
                <w:sz w:val="24"/>
                <w:szCs w:val="24"/>
                <w:highlight w:val="none"/>
                <w:lang w:val="en-US" w:eastAsia="zh-CN"/>
              </w:rPr>
              <w:t>类</w:t>
            </w:r>
            <w:r>
              <w:rPr>
                <w:rFonts w:hint="default" w:ascii="Times New Roman" w:hAnsi="Times New Roman" w:eastAsia="宋体" w:cs="Times New Roman"/>
                <w:color w:val="auto"/>
                <w:sz w:val="24"/>
                <w:szCs w:val="24"/>
                <w:highlight w:val="none"/>
              </w:rPr>
              <w:t>危险废物，危废代码为900-041-49</w:t>
            </w:r>
            <w:r>
              <w:rPr>
                <w:rStyle w:val="92"/>
                <w:rFonts w:hint="default" w:ascii="Times New Roman" w:hAnsi="Times New Roman" w:eastAsia="宋体" w:cs="Times New Roman"/>
                <w:color w:val="auto"/>
                <w:spacing w:val="0"/>
                <w:sz w:val="24"/>
                <w:szCs w:val="24"/>
                <w:highlight w:val="none"/>
              </w:rPr>
              <w:t>。</w:t>
            </w:r>
            <w:r>
              <w:rPr>
                <w:rFonts w:hint="default" w:ascii="Times New Roman" w:hAnsi="Times New Roman" w:eastAsia="宋体" w:cs="Times New Roman"/>
                <w:color w:val="auto"/>
                <w:sz w:val="24"/>
                <w:szCs w:val="24"/>
                <w:highlight w:val="none"/>
              </w:rPr>
              <w:t>项目产生的废机油</w:t>
            </w:r>
            <w:r>
              <w:rPr>
                <w:rFonts w:hint="default"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rPr>
              <w:t>废弃的含油抹布、劳保用品经收集后暂存于危废暂存间内，定期委托</w:t>
            </w:r>
            <w:r>
              <w:rPr>
                <w:rFonts w:hint="default" w:ascii="Times New Roman" w:hAnsi="Times New Roman" w:eastAsia="宋体" w:cs="Times New Roman"/>
                <w:color w:val="auto"/>
                <w:sz w:val="24"/>
                <w:szCs w:val="24"/>
                <w:highlight w:val="none"/>
                <w:lang w:val="en-US" w:eastAsia="zh-CN"/>
              </w:rPr>
              <w:t>资质单位进行处理，目前建设单位已与</w:t>
            </w:r>
            <w:r>
              <w:rPr>
                <w:rFonts w:hint="default" w:ascii="Times New Roman" w:hAnsi="Times New Roman" w:eastAsia="宋体" w:cs="Times New Roman"/>
                <w:color w:val="auto"/>
                <w:sz w:val="24"/>
                <w:szCs w:val="24"/>
                <w:highlight w:val="none"/>
              </w:rPr>
              <w:t>云南大地丰源环保有限公司</w:t>
            </w:r>
            <w:r>
              <w:rPr>
                <w:rFonts w:hint="default" w:ascii="Times New Roman" w:hAnsi="Times New Roman" w:eastAsia="宋体" w:cs="Times New Roman"/>
                <w:color w:val="auto"/>
                <w:sz w:val="24"/>
                <w:szCs w:val="24"/>
                <w:highlight w:val="none"/>
                <w:lang w:val="en-US" w:eastAsia="zh-CN"/>
              </w:rPr>
              <w:t>签订了危废处置协议</w:t>
            </w:r>
            <w:r>
              <w:rPr>
                <w:rFonts w:hint="default" w:ascii="Times New Roman" w:hAnsi="Times New Roman" w:eastAsia="宋体" w:cs="Times New Roman"/>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5、原项目污染物汇总</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综上，原项目污染物产排情况详见下表所示。</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20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表2-14   原项目污染物排放情况一览表</w:t>
            </w:r>
          </w:p>
          <w:tbl>
            <w:tblPr>
              <w:tblStyle w:val="27"/>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2031"/>
              <w:gridCol w:w="1530"/>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内容</w:t>
                  </w:r>
                </w:p>
              </w:tc>
              <w:tc>
                <w:tcPr>
                  <w:tcW w:w="1162" w:type="pc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排放源</w:t>
                  </w:r>
                </w:p>
              </w:tc>
              <w:tc>
                <w:tcPr>
                  <w:tcW w:w="875" w:type="pc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污染物排放量</w:t>
                  </w:r>
                </w:p>
              </w:tc>
              <w:tc>
                <w:tcPr>
                  <w:tcW w:w="2574" w:type="pc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废水</w:t>
                  </w:r>
                </w:p>
              </w:tc>
              <w:tc>
                <w:tcPr>
                  <w:tcW w:w="1162" w:type="pc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生活污水</w:t>
                  </w:r>
                </w:p>
              </w:tc>
              <w:tc>
                <w:tcPr>
                  <w:tcW w:w="875" w:type="pc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w:t>
                  </w:r>
                </w:p>
              </w:tc>
              <w:tc>
                <w:tcPr>
                  <w:tcW w:w="2574" w:type="pc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食堂产生的厨房废水先经油水分离器处理后与其他生活污水一同进入化粪池处理，经化粪池处理后排入自建的一体化污水处理设施处理后晴天回用作为绿化浇灌，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387" w:type="pct"/>
                  <w:vMerge w:val="restar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废气</w:t>
                  </w:r>
                </w:p>
              </w:tc>
              <w:tc>
                <w:tcPr>
                  <w:tcW w:w="1162" w:type="pc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纸巾分切粉尘</w:t>
                  </w:r>
                </w:p>
              </w:tc>
              <w:tc>
                <w:tcPr>
                  <w:tcW w:w="875" w:type="pc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0.162t/a</w:t>
                  </w:r>
                </w:p>
              </w:tc>
              <w:tc>
                <w:tcPr>
                  <w:tcW w:w="2574" w:type="pc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喷雾降尘。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387" w:type="pct"/>
                  <w:vMerge w:val="continue"/>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162" w:type="pc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油烟</w:t>
                  </w:r>
                </w:p>
              </w:tc>
              <w:tc>
                <w:tcPr>
                  <w:tcW w:w="875" w:type="pc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0.0004t/a</w:t>
                  </w:r>
                </w:p>
              </w:tc>
              <w:tc>
                <w:tcPr>
                  <w:tcW w:w="2574" w:type="pc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集气罩收集进入1台油烟净化器处理后达标排放。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噪声</w:t>
                  </w:r>
                </w:p>
              </w:tc>
              <w:tc>
                <w:tcPr>
                  <w:tcW w:w="1162" w:type="pc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生产设备噪声</w:t>
                  </w:r>
                </w:p>
              </w:tc>
              <w:tc>
                <w:tcPr>
                  <w:tcW w:w="875" w:type="pc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574" w:type="pc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消声、减震，厂房隔音，距离衰减。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Merge w:val="restar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固废</w:t>
                  </w:r>
                </w:p>
              </w:tc>
              <w:tc>
                <w:tcPr>
                  <w:tcW w:w="1162" w:type="pc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边角料、不合格产品、废包装材料</w:t>
                  </w:r>
                </w:p>
              </w:tc>
              <w:tc>
                <w:tcPr>
                  <w:tcW w:w="875" w:type="pc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18t/a</w:t>
                  </w:r>
                </w:p>
              </w:tc>
              <w:tc>
                <w:tcPr>
                  <w:tcW w:w="2574" w:type="pc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统一收集后进行售卖。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Merge w:val="continue"/>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62" w:type="pc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生活垃圾</w:t>
                  </w:r>
                </w:p>
              </w:tc>
              <w:tc>
                <w:tcPr>
                  <w:tcW w:w="875" w:type="pc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3t/a</w:t>
                  </w:r>
                </w:p>
              </w:tc>
              <w:tc>
                <w:tcPr>
                  <w:tcW w:w="2574" w:type="pct"/>
                  <w:vMerge w:val="restar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定期清掏后和生活垃圾一起委托当地环卫部门进行清运处置。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387" w:type="pct"/>
                  <w:vMerge w:val="continue"/>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62" w:type="pc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污水处理设施污泥、化粪池污泥</w:t>
                  </w:r>
                </w:p>
              </w:tc>
              <w:tc>
                <w:tcPr>
                  <w:tcW w:w="875" w:type="pc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0.06t/a</w:t>
                  </w:r>
                </w:p>
              </w:tc>
              <w:tc>
                <w:tcPr>
                  <w:tcW w:w="2574" w:type="pct"/>
                  <w:vMerge w:val="continue"/>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Merge w:val="continue"/>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62" w:type="pc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餐厨垃圾</w:t>
                  </w:r>
                </w:p>
              </w:tc>
              <w:tc>
                <w:tcPr>
                  <w:tcW w:w="875" w:type="pc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0.9t/a</w:t>
                  </w:r>
                </w:p>
              </w:tc>
              <w:tc>
                <w:tcPr>
                  <w:tcW w:w="2574" w:type="pc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食堂餐厨垃圾通过加盖塑料桶收集后由有资质的单位定期清运、处置。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Merge w:val="continue"/>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62" w:type="pc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废机油</w:t>
                  </w:r>
                </w:p>
              </w:tc>
              <w:tc>
                <w:tcPr>
                  <w:tcW w:w="875" w:type="pc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0.1t/a</w:t>
                  </w:r>
                </w:p>
              </w:tc>
              <w:tc>
                <w:tcPr>
                  <w:tcW w:w="2574" w:type="pct"/>
                  <w:vMerge w:val="restar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收集后暂存于危废暂存间内，定期委托资质单位进行处理。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Merge w:val="continue"/>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62" w:type="pc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废弃的含油抹布、劳保用品</w:t>
                  </w:r>
                </w:p>
              </w:tc>
              <w:tc>
                <w:tcPr>
                  <w:tcW w:w="875" w:type="pct"/>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0.2t/a</w:t>
                  </w:r>
                </w:p>
              </w:tc>
              <w:tc>
                <w:tcPr>
                  <w:tcW w:w="2574" w:type="pct"/>
                  <w:vMerge w:val="continue"/>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四、与本项目有关的主要环境问题及整改措施</w:t>
            </w:r>
          </w:p>
          <w:p>
            <w:pPr>
              <w:pStyle w:val="25"/>
              <w:keepNext w:val="0"/>
              <w:keepLines w:val="0"/>
              <w:pageBreakBefore w:val="0"/>
              <w:widowControl w:val="0"/>
              <w:numPr>
                <w:ilvl w:val="0"/>
                <w:numId w:val="0"/>
              </w:numPr>
              <w:kinsoku/>
              <w:wordWrap/>
              <w:overflowPunct/>
              <w:topLinePunct w:val="0"/>
              <w:autoSpaceDE/>
              <w:autoSpaceDN/>
              <w:bidi w:val="0"/>
              <w:spacing w:after="0" w:line="360" w:lineRule="auto"/>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1、与本项目有关的主要环境问题</w:t>
            </w:r>
          </w:p>
          <w:p>
            <w:pPr>
              <w:pStyle w:val="25"/>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①</w:t>
            </w:r>
            <w:r>
              <w:rPr>
                <w:rFonts w:hint="default" w:ascii="Times New Roman" w:hAnsi="Times New Roman" w:eastAsia="宋体" w:cs="Times New Roman"/>
                <w:b w:val="0"/>
                <w:bCs w:val="0"/>
                <w:color w:val="auto"/>
                <w:sz w:val="24"/>
                <w:szCs w:val="24"/>
                <w:highlight w:val="none"/>
              </w:rPr>
              <w:t>项目运营期间会产生废机油等危险废物，目前</w:t>
            </w:r>
            <w:r>
              <w:rPr>
                <w:rFonts w:hint="default" w:ascii="Times New Roman" w:hAnsi="Times New Roman" w:eastAsia="宋体" w:cs="Times New Roman"/>
                <w:b w:val="0"/>
                <w:bCs w:val="0"/>
                <w:color w:val="auto"/>
                <w:sz w:val="24"/>
                <w:szCs w:val="24"/>
                <w:highlight w:val="none"/>
                <w:lang w:val="en-US" w:eastAsia="zh-CN"/>
              </w:rPr>
              <w:t>项目区内已</w:t>
            </w:r>
            <w:r>
              <w:rPr>
                <w:rFonts w:hint="default" w:ascii="Times New Roman" w:hAnsi="Times New Roman" w:eastAsia="宋体" w:cs="Times New Roman"/>
                <w:b w:val="0"/>
                <w:bCs w:val="0"/>
                <w:color w:val="auto"/>
                <w:sz w:val="24"/>
                <w:szCs w:val="24"/>
                <w:highlight w:val="none"/>
              </w:rPr>
              <w:t>设置危险废物暂存间，</w:t>
            </w:r>
            <w:r>
              <w:rPr>
                <w:rFonts w:hint="default" w:ascii="Times New Roman" w:hAnsi="Times New Roman" w:eastAsia="宋体" w:cs="Times New Roman"/>
                <w:b w:val="0"/>
                <w:bCs w:val="0"/>
                <w:color w:val="auto"/>
                <w:sz w:val="24"/>
                <w:szCs w:val="24"/>
                <w:highlight w:val="none"/>
                <w:lang w:val="en-US" w:eastAsia="zh-CN"/>
              </w:rPr>
              <w:t>但</w:t>
            </w:r>
            <w:r>
              <w:rPr>
                <w:rFonts w:hint="default" w:ascii="Times New Roman" w:hAnsi="Times New Roman" w:eastAsia="宋体" w:cs="Times New Roman"/>
                <w:b w:val="0"/>
                <w:bCs w:val="0"/>
                <w:color w:val="auto"/>
                <w:sz w:val="24"/>
                <w:szCs w:val="24"/>
                <w:highlight w:val="none"/>
              </w:rPr>
              <w:t>危险废物收集处置暂存</w:t>
            </w:r>
            <w:r>
              <w:rPr>
                <w:rFonts w:hint="default" w:ascii="Times New Roman" w:hAnsi="Times New Roman" w:eastAsia="宋体" w:cs="Times New Roman"/>
                <w:b w:val="0"/>
                <w:bCs w:val="0"/>
                <w:color w:val="auto"/>
                <w:sz w:val="24"/>
                <w:szCs w:val="24"/>
                <w:highlight w:val="none"/>
                <w:lang w:val="en-US" w:eastAsia="zh-CN"/>
              </w:rPr>
              <w:t>过程台账未及时更新及记录；</w:t>
            </w:r>
          </w:p>
          <w:p>
            <w:pPr>
              <w:pStyle w:val="25"/>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②原项目污水处理设施未配套设置事故应急池；</w:t>
            </w:r>
          </w:p>
          <w:p>
            <w:pPr>
              <w:keepNext w:val="0"/>
              <w:keepLines w:val="0"/>
              <w:pageBreakBefore w:val="0"/>
              <w:widowControl w:val="0"/>
              <w:kinsoku/>
              <w:wordWrap/>
              <w:overflowPunct/>
              <w:topLinePunct w:val="0"/>
              <w:autoSpaceDE/>
              <w:autoSpaceDN/>
              <w:bidi w:val="0"/>
              <w:spacing w:line="360" w:lineRule="auto"/>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2、整改措施</w:t>
            </w:r>
          </w:p>
          <w:p>
            <w:pPr>
              <w:pStyle w:val="25"/>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b w:val="0"/>
                <w:bCs w:val="0"/>
                <w:color w:val="auto"/>
                <w:sz w:val="24"/>
                <w:highlight w:val="none"/>
                <w:lang w:val="en-US" w:eastAsia="zh-CN"/>
              </w:rPr>
              <w:t>①</w:t>
            </w:r>
            <w:r>
              <w:rPr>
                <w:rFonts w:hint="default" w:ascii="Times New Roman" w:hAnsi="Times New Roman" w:eastAsia="宋体" w:cs="Times New Roman"/>
                <w:b w:val="0"/>
                <w:bCs w:val="0"/>
                <w:color w:val="auto"/>
                <w:sz w:val="24"/>
                <w:highlight w:val="none"/>
                <w:lang w:val="zh-CN"/>
              </w:rPr>
              <w:t>本次</w:t>
            </w:r>
            <w:r>
              <w:rPr>
                <w:rFonts w:hint="default" w:ascii="Times New Roman" w:hAnsi="Times New Roman" w:eastAsia="宋体" w:cs="Times New Roman"/>
                <w:color w:val="auto"/>
                <w:sz w:val="24"/>
                <w:highlight w:val="none"/>
                <w:lang w:val="zh-CN"/>
              </w:rPr>
              <w:t>环评</w:t>
            </w:r>
            <w:r>
              <w:rPr>
                <w:rFonts w:hint="default" w:ascii="Times New Roman" w:hAnsi="Times New Roman" w:eastAsia="宋体" w:cs="Times New Roman"/>
                <w:color w:val="auto"/>
                <w:sz w:val="24"/>
                <w:highlight w:val="none"/>
              </w:rPr>
              <w:t>提出</w:t>
            </w:r>
            <w:r>
              <w:rPr>
                <w:rFonts w:hint="default" w:ascii="Times New Roman" w:hAnsi="Times New Roman" w:eastAsia="宋体" w:cs="Times New Roman"/>
                <w:color w:val="auto"/>
                <w:sz w:val="24"/>
                <w:highlight w:val="none"/>
                <w:lang w:val="en-US" w:eastAsia="zh-CN"/>
              </w:rPr>
              <w:t>危废暂存间</w:t>
            </w:r>
            <w:r>
              <w:rPr>
                <w:rFonts w:hint="default" w:ascii="Times New Roman" w:hAnsi="Times New Roman" w:eastAsia="宋体" w:cs="Times New Roman"/>
                <w:color w:val="auto"/>
                <w:sz w:val="24"/>
                <w:highlight w:val="none"/>
              </w:rPr>
              <w:t>进行规范化管理，</w:t>
            </w:r>
            <w:r>
              <w:rPr>
                <w:rFonts w:hint="default" w:ascii="Times New Roman" w:hAnsi="Times New Roman" w:eastAsia="宋体" w:cs="Times New Roman"/>
                <w:color w:val="auto"/>
                <w:sz w:val="24"/>
                <w:highlight w:val="none"/>
                <w:lang w:val="en-US" w:eastAsia="zh-CN"/>
              </w:rPr>
              <w:t>危废暂存及处置过程及时更新及记录，危废</w:t>
            </w:r>
            <w:r>
              <w:rPr>
                <w:rFonts w:hint="default" w:ascii="Times New Roman" w:hAnsi="Times New Roman" w:eastAsia="宋体" w:cs="Times New Roman"/>
                <w:color w:val="auto"/>
                <w:sz w:val="24"/>
                <w:highlight w:val="none"/>
                <w:lang w:val="zh-CN"/>
              </w:rPr>
              <w:t>定期委托有危废处理资质的单位清运处置，</w:t>
            </w:r>
            <w:r>
              <w:rPr>
                <w:rFonts w:hint="default" w:ascii="Times New Roman" w:hAnsi="Times New Roman" w:eastAsia="宋体" w:cs="Times New Roman"/>
                <w:color w:val="auto"/>
                <w:sz w:val="24"/>
                <w:highlight w:val="none"/>
                <w:lang w:val="en-US" w:eastAsia="zh-CN"/>
              </w:rPr>
              <w:t>并</w:t>
            </w:r>
            <w:r>
              <w:rPr>
                <w:rFonts w:hint="default" w:ascii="Times New Roman" w:hAnsi="Times New Roman" w:eastAsia="宋体" w:cs="Times New Roman"/>
                <w:color w:val="auto"/>
                <w:sz w:val="24"/>
                <w:highlight w:val="none"/>
              </w:rPr>
              <w:t>建立完善的转移联单制度</w:t>
            </w:r>
            <w:r>
              <w:rPr>
                <w:rFonts w:hint="default" w:ascii="Times New Roman" w:hAnsi="Times New Roman" w:eastAsia="宋体" w:cs="Times New Roman"/>
                <w:color w:val="auto"/>
                <w:sz w:val="24"/>
                <w:highlight w:val="none"/>
                <w:lang w:eastAsia="zh-CN"/>
              </w:rPr>
              <w:t>；</w:t>
            </w:r>
          </w:p>
          <w:p>
            <w:pPr>
              <w:pStyle w:val="25"/>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en-US" w:eastAsia="zh-CN"/>
              </w:rPr>
              <w:t>②本次环评提出在</w:t>
            </w:r>
            <w:r>
              <w:rPr>
                <w:rFonts w:hint="default" w:ascii="Times New Roman" w:hAnsi="Times New Roman" w:eastAsia="宋体" w:cs="Times New Roman"/>
                <w:color w:val="auto"/>
                <w:sz w:val="24"/>
                <w:szCs w:val="24"/>
                <w:highlight w:val="none"/>
              </w:rPr>
              <w:t>一体化生活污水处理</w:t>
            </w:r>
            <w:r>
              <w:rPr>
                <w:rFonts w:hint="default" w:ascii="Times New Roman" w:hAnsi="Times New Roman" w:eastAsia="宋体" w:cs="Times New Roman"/>
                <w:color w:val="auto"/>
                <w:sz w:val="24"/>
                <w:szCs w:val="24"/>
                <w:highlight w:val="none"/>
                <w:lang w:val="en-US" w:eastAsia="zh-CN"/>
              </w:rPr>
              <w:t>站旁设置1个容积约为1m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的事故应急池，用于暂存</w:t>
            </w:r>
            <w:r>
              <w:rPr>
                <w:rFonts w:hint="default" w:ascii="Times New Roman" w:hAnsi="Times New Roman" w:eastAsia="宋体" w:cs="Times New Roman"/>
                <w:color w:val="auto"/>
                <w:sz w:val="24"/>
                <w:szCs w:val="24"/>
                <w:highlight w:val="none"/>
              </w:rPr>
              <w:t>一体化生活污水处理</w:t>
            </w:r>
            <w:r>
              <w:rPr>
                <w:rFonts w:hint="default" w:ascii="Times New Roman" w:hAnsi="Times New Roman" w:eastAsia="宋体" w:cs="Times New Roman"/>
                <w:color w:val="auto"/>
                <w:sz w:val="24"/>
                <w:szCs w:val="24"/>
                <w:highlight w:val="none"/>
                <w:lang w:val="en-US" w:eastAsia="zh-CN"/>
              </w:rPr>
              <w:t>站故障时的废水。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3、手续办理</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en-US" w:eastAsia="zh-CN"/>
              </w:rPr>
              <w:t>①扩建项目建成后尽快</w:t>
            </w:r>
            <w:r>
              <w:rPr>
                <w:rFonts w:hint="default" w:ascii="Times New Roman" w:hAnsi="Times New Roman" w:eastAsia="宋体" w:cs="Times New Roman"/>
                <w:color w:val="auto"/>
                <w:sz w:val="24"/>
                <w:highlight w:val="none"/>
                <w:lang w:val="zh-CN" w:eastAsia="zh-CN"/>
              </w:rPr>
              <w:t>编制突发环境事件应急预案</w:t>
            </w:r>
            <w:r>
              <w:rPr>
                <w:rFonts w:hint="default" w:ascii="Times New Roman" w:hAnsi="Times New Roman" w:eastAsia="宋体" w:cs="Times New Roman"/>
                <w:color w:val="auto"/>
                <w:sz w:val="24"/>
                <w:highlight w:val="none"/>
                <w:lang w:val="en-US" w:eastAsia="zh-CN"/>
              </w:rPr>
              <w:t>及变更排污登记；</w:t>
            </w:r>
          </w:p>
          <w:p>
            <w:pPr>
              <w:pStyle w:val="25"/>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②扩建项目建成须进行“三同时”竣工环境保护验收方可投入运营</w:t>
            </w:r>
            <w:r>
              <w:rPr>
                <w:rFonts w:hint="default" w:ascii="Times New Roman" w:hAnsi="Times New Roman" w:eastAsia="宋体" w:cs="Times New Roman"/>
                <w:color w:val="auto"/>
                <w:sz w:val="24"/>
                <w:highlight w:val="none"/>
                <w:lang w:val="zh-CN" w:eastAsia="zh-CN"/>
              </w:rPr>
              <w:t>。</w:t>
            </w:r>
          </w:p>
          <w:p>
            <w:pPr>
              <w:pStyle w:val="24"/>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szCs w:val="21"/>
                <w:highlight w:val="none"/>
                <w:lang w:val="en-US" w:eastAsia="zh-CN"/>
              </w:rPr>
            </w:pPr>
          </w:p>
        </w:tc>
      </w:tr>
    </w:tbl>
    <w:p>
      <w:pPr>
        <w:pStyle w:val="23"/>
        <w:jc w:val="center"/>
        <w:rPr>
          <w:rFonts w:hint="default" w:ascii="Times New Roman" w:hAnsi="Times New Roman" w:eastAsia="宋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3"/>
        <w:adjustRightInd w:val="0"/>
        <w:snapToGrid w:val="0"/>
        <w:spacing w:before="0" w:beforeAutospacing="0" w:after="0" w:afterAutospacing="0" w:line="14" w:lineRule="auto"/>
        <w:jc w:val="center"/>
        <w:outlineLvl w:val="9"/>
        <w:rPr>
          <w:rFonts w:hint="default" w:ascii="Times New Roman" w:hAnsi="Times New Roman" w:eastAsia="宋体" w:cs="Times New Roman"/>
          <w:snapToGrid w:val="0"/>
          <w:color w:val="auto"/>
          <w:sz w:val="30"/>
          <w:szCs w:val="30"/>
          <w:highlight w:val="none"/>
        </w:r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pPr>
      <w:bookmarkStart w:id="50" w:name="_Toc30051"/>
      <w:bookmarkStart w:id="51" w:name="_Toc7404"/>
      <w:r>
        <w:rPr>
          <w:rFonts w:hint="default" w:ascii="Times New Roman" w:hAnsi="Times New Roman" w:eastAsia="宋体" w:cs="Times New Roman"/>
          <w:b/>
          <w:bCs/>
          <w:snapToGrid w:val="0"/>
          <w:color w:val="auto"/>
          <w:sz w:val="30"/>
          <w:szCs w:val="30"/>
          <w:highlight w:val="none"/>
        </w:rPr>
        <w:t>三、区域环境质量现状、环境保护目标及评价标准</w:t>
      </w:r>
      <w:bookmarkEnd w:id="50"/>
      <w:bookmarkEnd w:id="51"/>
    </w:p>
    <w:tbl>
      <w:tblPr>
        <w:tblStyle w:val="26"/>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5"/>
        <w:gridCol w:w="86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vAlign w:val="center"/>
          </w:tcPr>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区域</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质量</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4"/>
                <w:szCs w:val="24"/>
                <w:highlight w:val="none"/>
              </w:rPr>
              <w:t>现状</w:t>
            </w:r>
          </w:p>
        </w:tc>
        <w:tc>
          <w:tcPr>
            <w:tcW w:w="8686" w:type="dxa"/>
            <w:vAlign w:val="center"/>
          </w:tcPr>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环境空气质量现状</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zh-CN" w:bidi="ar"/>
              </w:rPr>
            </w:pPr>
            <w:r>
              <w:rPr>
                <w:rFonts w:hint="default" w:ascii="Times New Roman" w:hAnsi="Times New Roman" w:eastAsia="宋体" w:cs="Times New Roman"/>
                <w:color w:val="auto"/>
                <w:kern w:val="0"/>
                <w:sz w:val="24"/>
                <w:highlight w:val="none"/>
                <w:lang w:bidi="ar"/>
              </w:rPr>
              <w:t>本项目位于</w:t>
            </w:r>
            <w:r>
              <w:rPr>
                <w:rFonts w:hint="default" w:ascii="Times New Roman" w:hAnsi="Times New Roman" w:eastAsia="宋体" w:cs="Times New Roman"/>
                <w:color w:val="auto"/>
                <w:sz w:val="24"/>
                <w:szCs w:val="24"/>
                <w:highlight w:val="none"/>
                <w:u w:val="none"/>
                <w:lang w:val="en-US" w:eastAsia="zh-CN"/>
              </w:rPr>
              <w:t>寻甸特色产业园区金所片区内</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kern w:val="0"/>
                <w:sz w:val="24"/>
                <w:szCs w:val="24"/>
                <w:highlight w:val="none"/>
                <w:lang w:val="zh-CN" w:bidi="ar"/>
              </w:rPr>
              <w:t>该区域环境空气质量功能区划为二类区，执行《环境空气质量标准》</w:t>
            </w:r>
            <w:r>
              <w:rPr>
                <w:rFonts w:hint="default" w:ascii="Times New Roman" w:hAnsi="Times New Roman" w:eastAsia="宋体" w:cs="Times New Roman"/>
                <w:color w:val="auto"/>
                <w:kern w:val="0"/>
                <w:sz w:val="24"/>
                <w:szCs w:val="24"/>
                <w:highlight w:val="none"/>
                <w:lang w:bidi="ar"/>
              </w:rPr>
              <w:t>（GB3095-2012）</w:t>
            </w:r>
            <w:r>
              <w:rPr>
                <w:rFonts w:hint="default" w:ascii="Times New Roman" w:hAnsi="Times New Roman" w:eastAsia="宋体" w:cs="Times New Roman"/>
                <w:color w:val="auto"/>
                <w:sz w:val="24"/>
                <w:szCs w:val="24"/>
                <w:highlight w:val="none"/>
                <w:lang w:val="zh-CN"/>
              </w:rPr>
              <w:t>二级标准</w:t>
            </w:r>
            <w:r>
              <w:rPr>
                <w:rFonts w:hint="default" w:ascii="Times New Roman" w:hAnsi="Times New Roman" w:eastAsia="宋体" w:cs="Times New Roman"/>
                <w:color w:val="auto"/>
                <w:kern w:val="0"/>
                <w:sz w:val="24"/>
                <w:szCs w:val="24"/>
                <w:highlight w:val="none"/>
                <w:lang w:val="zh-CN" w:bidi="ar"/>
              </w:rPr>
              <w:t>。</w:t>
            </w:r>
          </w:p>
          <w:p>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0"/>
                <w:sz w:val="24"/>
                <w:highlight w:val="none"/>
                <w:lang w:val="en-US" w:eastAsia="zh-CN" w:bidi="ar"/>
              </w:rPr>
            </w:pPr>
            <w:r>
              <w:rPr>
                <w:rFonts w:hint="default" w:ascii="Times New Roman" w:hAnsi="Times New Roman" w:eastAsia="宋体" w:cs="Times New Roman"/>
                <w:b/>
                <w:bCs/>
                <w:color w:val="auto"/>
                <w:kern w:val="0"/>
                <w:sz w:val="24"/>
                <w:highlight w:val="none"/>
                <w:lang w:val="zh-CN" w:bidi="ar"/>
              </w:rPr>
              <w:t>（</w:t>
            </w:r>
            <w:r>
              <w:rPr>
                <w:rFonts w:hint="default" w:ascii="Times New Roman" w:hAnsi="Times New Roman" w:eastAsia="宋体" w:cs="Times New Roman"/>
                <w:b/>
                <w:bCs/>
                <w:color w:val="auto"/>
                <w:kern w:val="0"/>
                <w:sz w:val="24"/>
                <w:highlight w:val="none"/>
                <w:lang w:val="en-US" w:eastAsia="zh-CN" w:bidi="ar"/>
              </w:rPr>
              <w:t>1</w:t>
            </w:r>
            <w:r>
              <w:rPr>
                <w:rFonts w:hint="default" w:ascii="Times New Roman" w:hAnsi="Times New Roman" w:eastAsia="宋体" w:cs="Times New Roman"/>
                <w:b/>
                <w:bCs/>
                <w:color w:val="auto"/>
                <w:kern w:val="0"/>
                <w:sz w:val="24"/>
                <w:highlight w:val="none"/>
                <w:lang w:val="zh-CN" w:bidi="ar"/>
              </w:rPr>
              <w:t>）</w:t>
            </w:r>
            <w:r>
              <w:rPr>
                <w:rFonts w:hint="default" w:ascii="Times New Roman" w:hAnsi="Times New Roman" w:eastAsia="宋体" w:cs="Times New Roman"/>
                <w:b/>
                <w:bCs/>
                <w:color w:val="auto"/>
                <w:kern w:val="2"/>
                <w:sz w:val="24"/>
                <w:szCs w:val="24"/>
                <w:highlight w:val="none"/>
                <w:lang w:val="en-US" w:eastAsia="zh-CN" w:bidi="ar-SA"/>
              </w:rPr>
              <w:t>区域基本污染物环境质量现状</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u w:val="none"/>
                <w:lang w:val="zh-CN" w:eastAsia="zh-CN"/>
              </w:rPr>
            </w:pPr>
            <w:r>
              <w:rPr>
                <w:rFonts w:hint="default" w:ascii="Times New Roman" w:hAnsi="Times New Roman" w:eastAsia="宋体" w:cs="Times New Roman"/>
                <w:color w:val="auto"/>
                <w:sz w:val="24"/>
                <w:szCs w:val="24"/>
                <w:highlight w:val="none"/>
                <w:u w:val="none"/>
                <w:lang w:val="zh-CN" w:eastAsia="zh-CN"/>
              </w:rPr>
              <w:t>根据《</w:t>
            </w:r>
            <w:r>
              <w:rPr>
                <w:rFonts w:hint="default" w:ascii="Times New Roman" w:hAnsi="Times New Roman" w:eastAsia="宋体" w:cs="Times New Roman"/>
                <w:color w:val="auto"/>
                <w:sz w:val="24"/>
                <w:szCs w:val="24"/>
                <w:highlight w:val="none"/>
                <w:u w:val="none"/>
                <w:lang w:val="en-US" w:eastAsia="zh-CN"/>
              </w:rPr>
              <w:t>2022年度昆明市生态环境状况公报</w:t>
            </w:r>
            <w:r>
              <w:rPr>
                <w:rFonts w:hint="default" w:ascii="Times New Roman" w:hAnsi="Times New Roman" w:eastAsia="宋体" w:cs="Times New Roman"/>
                <w:color w:val="auto"/>
                <w:sz w:val="24"/>
                <w:szCs w:val="24"/>
                <w:highlight w:val="none"/>
                <w:u w:val="none"/>
                <w:lang w:val="zh-CN" w:eastAsia="zh-CN"/>
              </w:rPr>
              <w:t>》</w:t>
            </w:r>
            <w:r>
              <w:rPr>
                <w:rFonts w:hint="default" w:ascii="Times New Roman" w:hAnsi="Times New Roman" w:eastAsia="宋体" w:cs="Times New Roman"/>
                <w:color w:val="auto"/>
                <w:sz w:val="24"/>
                <w:szCs w:val="24"/>
                <w:highlight w:val="none"/>
                <w:u w:val="none"/>
                <w:lang w:val="en-US" w:eastAsia="zh-CN"/>
              </w:rPr>
              <w:t>可知</w:t>
            </w:r>
            <w:r>
              <w:rPr>
                <w:rFonts w:hint="default" w:ascii="Times New Roman" w:hAnsi="Times New Roman" w:eastAsia="宋体" w:cs="Times New Roman"/>
                <w:color w:val="auto"/>
                <w:sz w:val="24"/>
                <w:szCs w:val="24"/>
                <w:highlight w:val="none"/>
                <w:u w:val="none"/>
                <w:lang w:val="zh-CN" w:eastAsia="zh-CN"/>
              </w:rPr>
              <w:t>，</w:t>
            </w:r>
            <w:r>
              <w:rPr>
                <w:rFonts w:hint="default" w:ascii="Times New Roman" w:hAnsi="Times New Roman" w:eastAsia="宋体" w:cs="Times New Roman"/>
                <w:color w:val="auto"/>
                <w:sz w:val="24"/>
                <w:szCs w:val="24"/>
                <w:highlight w:val="none"/>
                <w:u w:val="none"/>
                <w:lang w:val="en-US" w:eastAsia="zh-CN"/>
              </w:rPr>
              <w:t>昆明市</w:t>
            </w:r>
            <w:r>
              <w:rPr>
                <w:rFonts w:hint="default" w:ascii="Times New Roman" w:hAnsi="Times New Roman" w:eastAsia="宋体" w:cs="Times New Roman"/>
                <w:color w:val="auto"/>
                <w:sz w:val="24"/>
                <w:szCs w:val="24"/>
                <w:highlight w:val="none"/>
                <w:u w:val="none"/>
                <w:lang w:val="zh-CN" w:eastAsia="zh-CN"/>
              </w:rPr>
              <w:t>各县（市）区环境空气质量总体保持良好。与202</w:t>
            </w:r>
            <w:r>
              <w:rPr>
                <w:rFonts w:hint="default" w:ascii="Times New Roman" w:hAnsi="Times New Roman" w:eastAsia="宋体" w:cs="Times New Roman"/>
                <w:color w:val="auto"/>
                <w:sz w:val="24"/>
                <w:szCs w:val="24"/>
                <w:highlight w:val="none"/>
                <w:u w:val="none"/>
                <w:lang w:val="en-US" w:eastAsia="zh-CN"/>
              </w:rPr>
              <w:t>1</w:t>
            </w:r>
            <w:r>
              <w:rPr>
                <w:rFonts w:hint="default" w:ascii="Times New Roman" w:hAnsi="Times New Roman" w:eastAsia="宋体" w:cs="Times New Roman"/>
                <w:color w:val="auto"/>
                <w:sz w:val="24"/>
                <w:szCs w:val="24"/>
                <w:highlight w:val="none"/>
                <w:u w:val="none"/>
                <w:lang w:val="zh-CN" w:eastAsia="zh-CN"/>
              </w:rPr>
              <w:t>年相比，安宁市、禄劝县、石林县、嵩明县、富民县、宜良县、寻甸县环境空气综合污染指数有所下降，东川区环境空气综合污染指数有所上升。</w:t>
            </w:r>
            <w:r>
              <w:rPr>
                <w:rFonts w:hint="default" w:ascii="Times New Roman" w:hAnsi="Times New Roman" w:eastAsia="宋体" w:cs="Times New Roman"/>
                <w:color w:val="auto"/>
                <w:sz w:val="24"/>
                <w:szCs w:val="24"/>
                <w:highlight w:val="none"/>
                <w:shd w:val="clear" w:color="auto" w:fill="FFFFFF"/>
              </w:rPr>
              <w:t>项目所在区域为环境空气质量达标区。</w:t>
            </w:r>
          </w:p>
          <w:p>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（2）特征因子环境质量现状</w:t>
            </w:r>
          </w:p>
          <w:p>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bidi="ar"/>
              </w:rPr>
            </w:pPr>
            <w:r>
              <w:rPr>
                <w:rFonts w:hint="default" w:ascii="Times New Roman" w:hAnsi="Times New Roman" w:eastAsia="宋体" w:cs="Times New Roman"/>
                <w:color w:val="auto"/>
                <w:sz w:val="24"/>
                <w:szCs w:val="24"/>
                <w:highlight w:val="none"/>
                <w:lang w:val="en-US" w:eastAsia="zh-CN"/>
              </w:rPr>
              <w:t>本项目涉及的特征因子为非甲烷总烃及臭气浓度，非甲烷总烃</w:t>
            </w:r>
            <w:r>
              <w:rPr>
                <w:rFonts w:hint="default" w:ascii="Times New Roman" w:hAnsi="Times New Roman" w:eastAsia="宋体" w:cs="Times New Roman"/>
                <w:color w:val="auto"/>
                <w:sz w:val="24"/>
                <w:szCs w:val="20"/>
                <w:highlight w:val="none"/>
                <w:lang w:bidi="ar"/>
              </w:rPr>
              <w:t>环境空气质量标准参照</w:t>
            </w:r>
            <w:r>
              <w:rPr>
                <w:rFonts w:hint="default" w:ascii="Times New Roman" w:hAnsi="Times New Roman" w:eastAsia="宋体" w:cs="Times New Roman"/>
                <w:color w:val="auto"/>
                <w:sz w:val="24"/>
                <w:highlight w:val="none"/>
                <w:lang w:bidi="ar"/>
              </w:rPr>
              <w:t>《大气污染物综合排</w:t>
            </w:r>
            <w:r>
              <w:rPr>
                <w:rFonts w:hint="default" w:ascii="Times New Roman" w:hAnsi="Times New Roman" w:eastAsia="宋体" w:cs="Times New Roman"/>
                <w:color w:val="auto"/>
                <w:sz w:val="24"/>
                <w:szCs w:val="20"/>
                <w:highlight w:val="none"/>
                <w:lang w:bidi="ar"/>
              </w:rPr>
              <w:t>放标准详解》（原国家环保总局科技标准司）</w:t>
            </w:r>
            <w:r>
              <w:rPr>
                <w:rFonts w:hint="default" w:ascii="Times New Roman" w:hAnsi="Times New Roman" w:eastAsia="宋体" w:cs="Times New Roman"/>
                <w:color w:val="auto"/>
                <w:sz w:val="24"/>
                <w:highlight w:val="none"/>
                <w:lang w:bidi="ar"/>
              </w:rPr>
              <w:t>中</w:t>
            </w:r>
            <w:r>
              <w:rPr>
                <w:rFonts w:hint="default" w:ascii="Times New Roman" w:hAnsi="Times New Roman" w:eastAsia="宋体" w:cs="Times New Roman"/>
                <w:color w:val="auto"/>
                <w:sz w:val="24"/>
                <w:highlight w:val="none"/>
                <w:lang w:val="en-US" w:eastAsia="zh-CN" w:bidi="ar"/>
              </w:rPr>
              <w:t>第</w:t>
            </w:r>
            <w:r>
              <w:rPr>
                <w:rFonts w:hint="default" w:ascii="Times New Roman" w:hAnsi="Times New Roman" w:eastAsia="宋体" w:cs="Times New Roman"/>
                <w:color w:val="auto"/>
                <w:sz w:val="24"/>
                <w:highlight w:val="none"/>
                <w:lang w:bidi="ar"/>
              </w:rPr>
              <w:t>244页标准</w:t>
            </w:r>
            <w:r>
              <w:rPr>
                <w:rFonts w:hint="default" w:ascii="Times New Roman" w:hAnsi="Times New Roman" w:eastAsia="宋体" w:cs="Times New Roman"/>
                <w:color w:val="auto"/>
                <w:sz w:val="24"/>
                <w:highlight w:val="none"/>
                <w:lang w:val="en-US" w:eastAsia="zh-CN" w:bidi="ar"/>
              </w:rPr>
              <w:t>限值，</w:t>
            </w:r>
            <w:r>
              <w:rPr>
                <w:rFonts w:hint="default" w:ascii="Times New Roman" w:hAnsi="Times New Roman" w:eastAsia="宋体" w:cs="Times New Roman"/>
                <w:color w:val="auto"/>
                <w:sz w:val="24"/>
                <w:szCs w:val="20"/>
                <w:highlight w:val="none"/>
                <w:lang w:val="en-US" w:eastAsia="zh-CN" w:bidi="ar"/>
              </w:rPr>
              <w:t>臭气浓度无相关质量标准</w:t>
            </w:r>
            <w:r>
              <w:rPr>
                <w:rFonts w:hint="default" w:ascii="Times New Roman" w:hAnsi="Times New Roman" w:eastAsia="宋体" w:cs="Times New Roman"/>
                <w:color w:val="auto"/>
                <w:sz w:val="24"/>
                <w:highlight w:val="none"/>
                <w:lang w:val="en-US" w:eastAsia="zh-CN" w:bidi="ar"/>
              </w:rPr>
              <w:t>。</w:t>
            </w:r>
          </w:p>
          <w:p>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非甲烷总烃</w:t>
            </w:r>
            <w:r>
              <w:rPr>
                <w:rFonts w:hint="default" w:ascii="Times New Roman" w:hAnsi="Times New Roman" w:eastAsia="宋体" w:cs="Times New Roman"/>
                <w:color w:val="auto"/>
                <w:kern w:val="0"/>
                <w:sz w:val="24"/>
                <w:szCs w:val="24"/>
                <w:highlight w:val="none"/>
                <w:lang w:val="zh-CN" w:eastAsia="zh-CN"/>
              </w:rPr>
              <w:t>环境空气质量现状评价</w:t>
            </w:r>
            <w:r>
              <w:rPr>
                <w:rFonts w:hint="default" w:ascii="Times New Roman" w:hAnsi="Times New Roman" w:eastAsia="宋体" w:cs="Times New Roman"/>
                <w:color w:val="auto"/>
                <w:kern w:val="0"/>
                <w:sz w:val="24"/>
                <w:szCs w:val="24"/>
                <w:highlight w:val="none"/>
                <w:lang w:val="zh-CN"/>
              </w:rPr>
              <w:t>引用</w:t>
            </w:r>
            <w:r>
              <w:rPr>
                <w:rFonts w:hint="default" w:ascii="Times New Roman" w:hAnsi="Times New Roman" w:eastAsia="宋体" w:cs="Times New Roman"/>
                <w:color w:val="auto"/>
                <w:sz w:val="24"/>
                <w:highlight w:val="none"/>
                <w:lang w:eastAsia="zh-CN"/>
              </w:rPr>
              <w:t>云南佳测环境检测科技有限公司</w:t>
            </w:r>
            <w:r>
              <w:rPr>
                <w:rFonts w:hint="default" w:ascii="Times New Roman" w:hAnsi="Times New Roman" w:eastAsia="宋体" w:cs="Times New Roman"/>
                <w:color w:val="auto"/>
                <w:sz w:val="24"/>
                <w:highlight w:val="none"/>
              </w:rPr>
              <w:t>于</w:t>
            </w:r>
            <w:r>
              <w:rPr>
                <w:rFonts w:hint="default" w:ascii="Times New Roman" w:hAnsi="Times New Roman" w:eastAsia="宋体" w:cs="Times New Roman"/>
                <w:color w:val="auto"/>
                <w:sz w:val="24"/>
                <w:highlight w:val="none"/>
                <w:lang w:val="en-US" w:eastAsia="zh-CN"/>
              </w:rPr>
              <w:t>2021</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lang w:val="en-US" w:eastAsia="zh-CN"/>
              </w:rPr>
              <w:t>26</w:t>
            </w:r>
            <w:r>
              <w:rPr>
                <w:rFonts w:hint="default" w:ascii="Times New Roman" w:hAnsi="Times New Roman" w:eastAsia="宋体" w:cs="Times New Roman"/>
                <w:color w:val="auto"/>
                <w:sz w:val="24"/>
                <w:highlight w:val="none"/>
              </w:rPr>
              <w:t>日-202</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日对</w:t>
            </w:r>
            <w:r>
              <w:rPr>
                <w:rFonts w:hint="default" w:ascii="Times New Roman" w:hAnsi="Times New Roman" w:eastAsia="宋体" w:cs="Times New Roman"/>
                <w:color w:val="auto"/>
                <w:kern w:val="2"/>
                <w:sz w:val="24"/>
                <w:szCs w:val="24"/>
                <w:highlight w:val="none"/>
                <w:lang w:val="zh-CN"/>
              </w:rPr>
              <w:t>《</w:t>
            </w:r>
            <w:r>
              <w:rPr>
                <w:rFonts w:hint="default" w:ascii="Times New Roman" w:hAnsi="Times New Roman" w:eastAsia="宋体" w:cs="Times New Roman"/>
                <w:color w:val="auto"/>
                <w:sz w:val="24"/>
                <w:szCs w:val="24"/>
                <w:highlight w:val="none"/>
                <w:lang w:eastAsia="zh-CN"/>
              </w:rPr>
              <w:t>云南伟路管道有限公司塑料管道生产线建设项目</w:t>
            </w:r>
            <w:r>
              <w:rPr>
                <w:rFonts w:hint="default" w:ascii="Times New Roman" w:hAnsi="Times New Roman" w:eastAsia="宋体" w:cs="Times New Roman"/>
                <w:color w:val="auto"/>
                <w:kern w:val="2"/>
                <w:sz w:val="24"/>
                <w:szCs w:val="24"/>
                <w:highlight w:val="none"/>
                <w:lang w:val="zh-CN" w:eastAsia="zh-CN"/>
              </w:rPr>
              <w:t>》</w:t>
            </w:r>
            <w:r>
              <w:rPr>
                <w:rFonts w:hint="default" w:ascii="Times New Roman" w:hAnsi="Times New Roman" w:eastAsia="宋体" w:cs="Times New Roman"/>
                <w:color w:val="auto"/>
                <w:kern w:val="2"/>
                <w:sz w:val="24"/>
                <w:szCs w:val="24"/>
                <w:highlight w:val="none"/>
                <w:lang w:val="en-US" w:eastAsia="zh-CN"/>
              </w:rPr>
              <w:t>的</w:t>
            </w:r>
            <w:r>
              <w:rPr>
                <w:rFonts w:hint="default" w:ascii="Times New Roman" w:hAnsi="Times New Roman" w:eastAsia="宋体" w:cs="Times New Roman"/>
                <w:color w:val="auto"/>
                <w:kern w:val="0"/>
                <w:sz w:val="24"/>
                <w:szCs w:val="24"/>
                <w:highlight w:val="none"/>
                <w:lang w:val="zh-CN" w:eastAsia="zh-CN"/>
              </w:rPr>
              <w:t>空气质量现状监测数据，</w:t>
            </w:r>
            <w:r>
              <w:rPr>
                <w:rFonts w:hint="default" w:ascii="Times New Roman" w:hAnsi="Times New Roman" w:eastAsia="宋体" w:cs="Times New Roman"/>
                <w:color w:val="auto"/>
                <w:sz w:val="24"/>
                <w:szCs w:val="24"/>
                <w:highlight w:val="none"/>
              </w:rPr>
              <w:t>云南伟路管道有限公司塑料管道生产线建设项目</w:t>
            </w:r>
            <w:r>
              <w:rPr>
                <w:rFonts w:hint="default" w:ascii="Times New Roman" w:hAnsi="Times New Roman" w:eastAsia="宋体" w:cs="Times New Roman"/>
                <w:color w:val="auto"/>
                <w:sz w:val="24"/>
                <w:szCs w:val="24"/>
                <w:highlight w:val="none"/>
                <w:lang w:val="en-US" w:eastAsia="zh-CN"/>
              </w:rPr>
              <w:t>位于本项目西南侧，引用监测点G1为引用项目厂址内，与本项目相距约450m。</w:t>
            </w:r>
            <w:r>
              <w:rPr>
                <w:rFonts w:hint="default" w:ascii="Times New Roman" w:hAnsi="Times New Roman" w:eastAsia="宋体" w:cs="Times New Roman"/>
                <w:b w:val="0"/>
                <w:bCs w:val="0"/>
                <w:color w:val="auto"/>
                <w:sz w:val="24"/>
                <w:szCs w:val="24"/>
                <w:highlight w:val="none"/>
                <w:lang w:val="en-US" w:eastAsia="zh-CN"/>
              </w:rPr>
              <w:t>本项目引用的现状监测点</w:t>
            </w:r>
            <w:r>
              <w:rPr>
                <w:rFonts w:hint="default" w:ascii="Times New Roman" w:hAnsi="Times New Roman" w:eastAsia="宋体" w:cs="Times New Roman"/>
                <w:b w:val="0"/>
                <w:color w:val="auto"/>
                <w:sz w:val="24"/>
                <w:szCs w:val="24"/>
                <w:highlight w:val="none"/>
                <w:lang w:val="zh-CN"/>
              </w:rPr>
              <w:t>具备类比条件，数据在技术导则要求的“近三年”时限内，属于有效数据，</w:t>
            </w:r>
            <w:r>
              <w:rPr>
                <w:rFonts w:hint="default" w:ascii="Times New Roman" w:hAnsi="Times New Roman" w:eastAsia="宋体" w:cs="Times New Roman"/>
                <w:b w:val="0"/>
                <w:bCs w:val="0"/>
                <w:color w:val="auto"/>
                <w:sz w:val="24"/>
                <w:szCs w:val="24"/>
                <w:highlight w:val="none"/>
                <w:lang w:val="zh-CN"/>
              </w:rPr>
              <w:t>故本项目空气质量现状评价引用</w:t>
            </w:r>
            <w:r>
              <w:rPr>
                <w:rFonts w:hint="default" w:ascii="Times New Roman" w:hAnsi="Times New Roman" w:eastAsia="宋体" w:cs="Times New Roman"/>
                <w:b w:val="0"/>
                <w:bCs w:val="0"/>
                <w:color w:val="auto"/>
                <w:sz w:val="24"/>
                <w:szCs w:val="24"/>
                <w:highlight w:val="none"/>
                <w:lang w:val="en-US" w:eastAsia="zh-CN"/>
              </w:rPr>
              <w:t>的数据具有时效性和代表性。</w:t>
            </w:r>
            <w:r>
              <w:rPr>
                <w:rFonts w:hint="default" w:ascii="Times New Roman" w:hAnsi="Times New Roman" w:eastAsia="宋体" w:cs="Times New Roman"/>
                <w:color w:val="auto"/>
                <w:sz w:val="24"/>
                <w:szCs w:val="24"/>
                <w:highlight w:val="none"/>
                <w:lang w:val="en-US" w:eastAsia="zh-CN"/>
              </w:rPr>
              <w:t>引用项目</w:t>
            </w:r>
            <w:r>
              <w:rPr>
                <w:rFonts w:hint="default" w:ascii="Times New Roman" w:hAnsi="Times New Roman" w:eastAsia="宋体" w:cs="Times New Roman"/>
                <w:color w:val="auto"/>
                <w:sz w:val="24"/>
                <w:szCs w:val="24"/>
                <w:highlight w:val="none"/>
              </w:rPr>
              <w:t>监测点位布设见表</w:t>
            </w:r>
            <w:r>
              <w:rPr>
                <w:rFonts w:hint="default" w:ascii="Times New Roman" w:hAnsi="Times New Roman" w:eastAsia="宋体" w:cs="Times New Roman"/>
                <w:color w:val="auto"/>
                <w:sz w:val="24"/>
                <w:szCs w:val="24"/>
                <w:highlight w:val="none"/>
                <w:lang w:val="en-US" w:eastAsia="zh-CN"/>
              </w:rPr>
              <w:t>3-1</w:t>
            </w:r>
            <w:r>
              <w:rPr>
                <w:rFonts w:hint="default" w:ascii="Times New Roman" w:hAnsi="Times New Roman" w:eastAsia="宋体" w:cs="Times New Roman"/>
                <w:color w:val="auto"/>
                <w:sz w:val="24"/>
                <w:szCs w:val="24"/>
                <w:highlight w:val="none"/>
                <w:lang w:eastAsia="zh-CN"/>
              </w:rPr>
              <w:t>。</w:t>
            </w:r>
          </w:p>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3-1</w:t>
            </w:r>
            <w:r>
              <w:rPr>
                <w:rFonts w:hint="default" w:ascii="Times New Roman" w:hAnsi="Times New Roman" w:eastAsia="宋体" w:cs="Times New Roman"/>
                <w:b/>
                <w:color w:val="auto"/>
                <w:sz w:val="21"/>
                <w:szCs w:val="21"/>
                <w:highlight w:val="none"/>
              </w:rPr>
              <w:t xml:space="preserve">   监测点位基本信息</w:t>
            </w:r>
          </w:p>
          <w:tbl>
            <w:tblPr>
              <w:tblStyle w:val="26"/>
              <w:tblW w:w="8522" w:type="dxa"/>
              <w:tblInd w:w="-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56"/>
              <w:gridCol w:w="1387"/>
              <w:gridCol w:w="1306"/>
              <w:gridCol w:w="1081"/>
              <w:gridCol w:w="1498"/>
              <w:gridCol w:w="872"/>
              <w:gridCol w:w="92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6"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监测点名称</w:t>
                  </w:r>
                </w:p>
              </w:tc>
              <w:tc>
                <w:tcPr>
                  <w:tcW w:w="2693" w:type="dxa"/>
                  <w:gridSpan w:val="2"/>
                  <w:tcBorders>
                    <w:tl2br w:val="nil"/>
                    <w:tr2bl w:val="nil"/>
                  </w:tcBorders>
                  <w:noWrap w:val="0"/>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监测点位坐标/m</w:t>
                  </w:r>
                </w:p>
              </w:tc>
              <w:tc>
                <w:tcPr>
                  <w:tcW w:w="1081"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监测因子</w:t>
                  </w:r>
                </w:p>
              </w:tc>
              <w:tc>
                <w:tcPr>
                  <w:tcW w:w="1498"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监测时段</w:t>
                  </w:r>
                </w:p>
              </w:tc>
              <w:tc>
                <w:tcPr>
                  <w:tcW w:w="872"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相对厂址方位</w:t>
                  </w:r>
                </w:p>
              </w:tc>
              <w:tc>
                <w:tcPr>
                  <w:tcW w:w="922"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相对厂界距离/m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6" w:type="dxa"/>
                  <w:vMerge w:val="continue"/>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highlight w:val="none"/>
                    </w:rPr>
                  </w:pPr>
                </w:p>
              </w:tc>
              <w:tc>
                <w:tcPr>
                  <w:tcW w:w="1387" w:type="dxa"/>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E</w:t>
                  </w:r>
                </w:p>
              </w:tc>
              <w:tc>
                <w:tcPr>
                  <w:tcW w:w="1306" w:type="dxa"/>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N</w:t>
                  </w:r>
                </w:p>
              </w:tc>
              <w:tc>
                <w:tcPr>
                  <w:tcW w:w="1081" w:type="dxa"/>
                  <w:vMerge w:val="continue"/>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highlight w:val="none"/>
                    </w:rPr>
                  </w:pPr>
                </w:p>
              </w:tc>
              <w:tc>
                <w:tcPr>
                  <w:tcW w:w="1498" w:type="dxa"/>
                  <w:vMerge w:val="continue"/>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highlight w:val="none"/>
                    </w:rPr>
                  </w:pPr>
                </w:p>
              </w:tc>
              <w:tc>
                <w:tcPr>
                  <w:tcW w:w="872" w:type="dxa"/>
                  <w:vMerge w:val="continue"/>
                  <w:tcBorders>
                    <w:tl2br w:val="nil"/>
                    <w:tr2bl w:val="nil"/>
                  </w:tcBorders>
                  <w:shd w:val="clear" w:color="000000" w:fill="FFFFFF"/>
                  <w:noWrap w:val="0"/>
                  <w:vAlign w:val="center"/>
                </w:tcPr>
                <w:p>
                  <w:pPr>
                    <w:jc w:val="center"/>
                    <w:rPr>
                      <w:rFonts w:hint="default" w:ascii="Times New Roman" w:hAnsi="Times New Roman" w:eastAsia="宋体" w:cs="Times New Roman"/>
                      <w:b/>
                      <w:color w:val="auto"/>
                      <w:sz w:val="21"/>
                      <w:szCs w:val="21"/>
                      <w:highlight w:val="none"/>
                    </w:rPr>
                  </w:pPr>
                </w:p>
              </w:tc>
              <w:tc>
                <w:tcPr>
                  <w:tcW w:w="922" w:type="dxa"/>
                  <w:vMerge w:val="continue"/>
                  <w:tcBorders>
                    <w:tl2br w:val="nil"/>
                    <w:tr2bl w:val="nil"/>
                  </w:tcBorders>
                  <w:noWrap w:val="0"/>
                  <w:vAlign w:val="center"/>
                </w:tcPr>
                <w:p>
                  <w:pPr>
                    <w:jc w:val="center"/>
                    <w:rPr>
                      <w:rFonts w:hint="default" w:ascii="Times New Roman" w:hAnsi="Times New Roman" w:eastAsia="宋体" w:cs="Times New Roman"/>
                      <w:b/>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引用</w:t>
                  </w:r>
                  <w:r>
                    <w:rPr>
                      <w:rFonts w:hint="default" w:ascii="Times New Roman" w:hAnsi="Times New Roman" w:eastAsia="宋体" w:cs="Times New Roman"/>
                      <w:bCs/>
                      <w:color w:val="auto"/>
                      <w:sz w:val="21"/>
                      <w:szCs w:val="21"/>
                      <w:highlight w:val="none"/>
                    </w:rPr>
                    <w:t>项目厂址内（G1）</w:t>
                  </w:r>
                </w:p>
              </w:tc>
              <w:tc>
                <w:tcPr>
                  <w:tcW w:w="138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103°12′36.20″</w:t>
                  </w:r>
                </w:p>
              </w:tc>
              <w:tc>
                <w:tcPr>
                  <w:tcW w:w="130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25°35′5.53″</w:t>
                  </w:r>
                </w:p>
              </w:tc>
              <w:tc>
                <w:tcPr>
                  <w:tcW w:w="108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149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2021.7.26~2021.8.1</w:t>
                  </w:r>
                </w:p>
              </w:tc>
              <w:tc>
                <w:tcPr>
                  <w:tcW w:w="872"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西南侧</w:t>
                  </w:r>
                </w:p>
              </w:tc>
              <w:tc>
                <w:tcPr>
                  <w:tcW w:w="922"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450</w:t>
                  </w:r>
                </w:p>
              </w:tc>
            </w:tr>
          </w:tbl>
          <w:p>
            <w:pPr>
              <w:pStyle w:val="79"/>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18"/>
                <w:highlight w:val="none"/>
              </w:rPr>
              <w:t>大气环境质量现状</w:t>
            </w:r>
            <w:r>
              <w:rPr>
                <w:rFonts w:hint="default" w:ascii="Times New Roman" w:hAnsi="Times New Roman" w:eastAsia="宋体" w:cs="Times New Roman"/>
                <w:color w:val="auto"/>
                <w:szCs w:val="18"/>
                <w:highlight w:val="none"/>
                <w:lang w:val="en-US" w:eastAsia="zh-CN"/>
              </w:rPr>
              <w:t>引用</w:t>
            </w:r>
            <w:r>
              <w:rPr>
                <w:rFonts w:hint="default" w:ascii="Times New Roman" w:hAnsi="Times New Roman" w:eastAsia="宋体" w:cs="Times New Roman"/>
                <w:color w:val="auto"/>
                <w:szCs w:val="18"/>
                <w:highlight w:val="none"/>
              </w:rPr>
              <w:t>监测结果见表</w:t>
            </w:r>
            <w:r>
              <w:rPr>
                <w:rFonts w:hint="default" w:ascii="Times New Roman" w:hAnsi="Times New Roman" w:eastAsia="宋体" w:cs="Times New Roman"/>
                <w:color w:val="auto"/>
                <w:szCs w:val="18"/>
                <w:highlight w:val="none"/>
                <w:lang w:val="en-US" w:eastAsia="zh-CN"/>
              </w:rPr>
              <w:t>3-2</w:t>
            </w:r>
            <w:r>
              <w:rPr>
                <w:rFonts w:hint="default" w:ascii="Times New Roman" w:hAnsi="Times New Roman" w:eastAsia="宋体" w:cs="Times New Roman"/>
                <w:color w:val="auto"/>
                <w:szCs w:val="18"/>
                <w:highlight w:val="none"/>
              </w:rPr>
              <w:t>。</w:t>
            </w:r>
          </w:p>
          <w:p>
            <w:pPr>
              <w:pStyle w:val="13"/>
              <w:snapToGrid w:val="0"/>
              <w:jc w:val="center"/>
              <w:rPr>
                <w:rFonts w:hint="default" w:ascii="Times New Roman" w:hAnsi="Times New Roman" w:eastAsia="宋体" w:cs="Times New Roman"/>
                <w:b/>
                <w:bCs/>
                <w:color w:val="auto"/>
                <w:sz w:val="21"/>
                <w:szCs w:val="21"/>
                <w:highlight w:val="none"/>
                <w:vertAlign w:val="superscript"/>
              </w:rPr>
            </w:pPr>
            <w:r>
              <w:rPr>
                <w:rFonts w:hint="default" w:ascii="Times New Roman" w:hAnsi="Times New Roman" w:eastAsia="宋体" w:cs="Times New Roman"/>
                <w:b/>
                <w:bCs/>
                <w:color w:val="auto"/>
                <w:sz w:val="21"/>
                <w:szCs w:val="21"/>
                <w:highlight w:val="none"/>
                <w:lang w:val="zh-CN"/>
              </w:rPr>
              <w:t>表</w:t>
            </w:r>
            <w:r>
              <w:rPr>
                <w:rFonts w:hint="default" w:ascii="Times New Roman" w:hAnsi="Times New Roman" w:eastAsia="宋体" w:cs="Times New Roman"/>
                <w:b/>
                <w:bCs/>
                <w:color w:val="auto"/>
                <w:sz w:val="21"/>
                <w:szCs w:val="21"/>
                <w:highlight w:val="none"/>
                <w:lang w:val="en-US" w:eastAsia="zh-CN"/>
              </w:rPr>
              <w:t>3-2</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引用项目</w:t>
            </w:r>
            <w:r>
              <w:rPr>
                <w:rFonts w:hint="default" w:ascii="Times New Roman" w:hAnsi="Times New Roman" w:eastAsia="宋体" w:cs="Times New Roman"/>
                <w:b/>
                <w:bCs/>
                <w:color w:val="auto"/>
                <w:szCs w:val="21"/>
                <w:highlight w:val="none"/>
              </w:rPr>
              <w:t>环境空气检测结果</w:t>
            </w:r>
            <w:r>
              <w:rPr>
                <w:rFonts w:hint="default" w:ascii="Times New Roman" w:hAnsi="Times New Roman" w:eastAsia="宋体" w:cs="Times New Roman"/>
                <w:b/>
                <w:bCs/>
                <w:color w:val="auto"/>
                <w:sz w:val="21"/>
                <w:szCs w:val="21"/>
                <w:highlight w:val="none"/>
              </w:rPr>
              <w:t xml:space="preserve">   单位：</w:t>
            </w: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rPr>
              <w:t>g/m</w:t>
            </w:r>
            <w:r>
              <w:rPr>
                <w:rFonts w:hint="default" w:ascii="Times New Roman" w:hAnsi="Times New Roman" w:eastAsia="宋体" w:cs="Times New Roman"/>
                <w:b/>
                <w:bCs/>
                <w:color w:val="auto"/>
                <w:sz w:val="21"/>
                <w:szCs w:val="21"/>
                <w:highlight w:val="none"/>
                <w:vertAlign w:val="superscript"/>
              </w:rPr>
              <w:t>3</w:t>
            </w:r>
          </w:p>
          <w:tbl>
            <w:tblPr>
              <w:tblStyle w:val="26"/>
              <w:tblW w:w="4999"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454"/>
              <w:gridCol w:w="3214"/>
              <w:gridCol w:w="3795"/>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pct"/>
                  <w:vMerge w:val="restart"/>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采样日期</w:t>
                  </w:r>
                </w:p>
              </w:tc>
              <w:tc>
                <w:tcPr>
                  <w:tcW w:w="4140" w:type="pct"/>
                  <w:gridSpan w:val="2"/>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检测点位：</w:t>
                  </w:r>
                  <w:r>
                    <w:rPr>
                      <w:rFonts w:hint="default" w:ascii="Times New Roman" w:hAnsi="Times New Roman" w:eastAsia="宋体" w:cs="Times New Roman"/>
                      <w:b/>
                      <w:bCs/>
                      <w:color w:val="auto"/>
                      <w:szCs w:val="21"/>
                      <w:highlight w:val="none"/>
                    </w:rPr>
                    <w:t>HQ1项目区内</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highlight w:val="none"/>
                    </w:rPr>
                  </w:pPr>
                </w:p>
              </w:tc>
              <w:tc>
                <w:tcPr>
                  <w:tcW w:w="1898" w:type="pct"/>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样品编号</w:t>
                  </w:r>
                </w:p>
              </w:tc>
              <w:tc>
                <w:tcPr>
                  <w:tcW w:w="2241" w:type="pct"/>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非甲烷总烃</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pct"/>
                  <w:vMerge w:val="restar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2021-07-26</w:t>
                  </w:r>
                </w:p>
              </w:tc>
              <w:tc>
                <w:tcPr>
                  <w:tcW w:w="189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HQ1-1-1</w:t>
                  </w:r>
                </w:p>
              </w:tc>
              <w:tc>
                <w:tcPr>
                  <w:tcW w:w="2241"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89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HQ1-1-2</w:t>
                  </w:r>
                </w:p>
              </w:tc>
              <w:tc>
                <w:tcPr>
                  <w:tcW w:w="2241"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89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HQ1-1-3</w:t>
                  </w:r>
                </w:p>
              </w:tc>
              <w:tc>
                <w:tcPr>
                  <w:tcW w:w="2241"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&lt;0.07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89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HQ1-1-4</w:t>
                  </w:r>
                </w:p>
              </w:tc>
              <w:tc>
                <w:tcPr>
                  <w:tcW w:w="2241"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&lt;0.07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pct"/>
                  <w:vMerge w:val="restar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2021-07-27</w:t>
                  </w:r>
                </w:p>
              </w:tc>
              <w:tc>
                <w:tcPr>
                  <w:tcW w:w="189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HQ1-2-1</w:t>
                  </w:r>
                </w:p>
              </w:tc>
              <w:tc>
                <w:tcPr>
                  <w:tcW w:w="2241"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&lt;0.07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89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HQ1-2-2</w:t>
                  </w:r>
                </w:p>
              </w:tc>
              <w:tc>
                <w:tcPr>
                  <w:tcW w:w="2241"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&lt;0.07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89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HQ1-2-3</w:t>
                  </w:r>
                </w:p>
              </w:tc>
              <w:tc>
                <w:tcPr>
                  <w:tcW w:w="2241"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&lt;0.07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89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HQ1-2-4</w:t>
                  </w:r>
                </w:p>
              </w:tc>
              <w:tc>
                <w:tcPr>
                  <w:tcW w:w="2241"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pct"/>
                  <w:vMerge w:val="restar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2021-07-28</w:t>
                  </w:r>
                </w:p>
              </w:tc>
              <w:tc>
                <w:tcPr>
                  <w:tcW w:w="189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HQ1-3-1</w:t>
                  </w:r>
                </w:p>
              </w:tc>
              <w:tc>
                <w:tcPr>
                  <w:tcW w:w="2241"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89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HQ1-3-2</w:t>
                  </w:r>
                </w:p>
              </w:tc>
              <w:tc>
                <w:tcPr>
                  <w:tcW w:w="2241"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&lt;0.07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89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HQ1-3-3</w:t>
                  </w:r>
                </w:p>
              </w:tc>
              <w:tc>
                <w:tcPr>
                  <w:tcW w:w="2241"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&lt;0.07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89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HQ1-3-4</w:t>
                  </w:r>
                </w:p>
              </w:tc>
              <w:tc>
                <w:tcPr>
                  <w:tcW w:w="2241"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0.09</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pct"/>
                  <w:vMerge w:val="restar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2021-07-29</w:t>
                  </w:r>
                </w:p>
              </w:tc>
              <w:tc>
                <w:tcPr>
                  <w:tcW w:w="189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HQ1-4-1</w:t>
                  </w:r>
                </w:p>
              </w:tc>
              <w:tc>
                <w:tcPr>
                  <w:tcW w:w="2241"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89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HQ1-4-2</w:t>
                  </w:r>
                </w:p>
              </w:tc>
              <w:tc>
                <w:tcPr>
                  <w:tcW w:w="2241"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&lt;0.07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89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HQ1-4-3</w:t>
                  </w:r>
                </w:p>
              </w:tc>
              <w:tc>
                <w:tcPr>
                  <w:tcW w:w="2241"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&lt;0.07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89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HQ1-4-4</w:t>
                  </w:r>
                </w:p>
              </w:tc>
              <w:tc>
                <w:tcPr>
                  <w:tcW w:w="2241"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&lt;0.07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pct"/>
                  <w:vMerge w:val="restar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2021-07-30</w:t>
                  </w:r>
                </w:p>
              </w:tc>
              <w:tc>
                <w:tcPr>
                  <w:tcW w:w="189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HQ1-5-1</w:t>
                  </w:r>
                </w:p>
              </w:tc>
              <w:tc>
                <w:tcPr>
                  <w:tcW w:w="2241"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89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HQ1-5-2</w:t>
                  </w:r>
                </w:p>
              </w:tc>
              <w:tc>
                <w:tcPr>
                  <w:tcW w:w="2241"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&lt;0.07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89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HQ1-5-3</w:t>
                  </w:r>
                </w:p>
              </w:tc>
              <w:tc>
                <w:tcPr>
                  <w:tcW w:w="2241"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89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HQ1-5-4</w:t>
                  </w:r>
                </w:p>
              </w:tc>
              <w:tc>
                <w:tcPr>
                  <w:tcW w:w="2241"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&lt;0.07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pct"/>
                  <w:vMerge w:val="restar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2021-07-31</w:t>
                  </w:r>
                </w:p>
              </w:tc>
              <w:tc>
                <w:tcPr>
                  <w:tcW w:w="189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HQ1-6-1</w:t>
                  </w:r>
                </w:p>
              </w:tc>
              <w:tc>
                <w:tcPr>
                  <w:tcW w:w="2241"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89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HQ1-6-2</w:t>
                  </w:r>
                </w:p>
              </w:tc>
              <w:tc>
                <w:tcPr>
                  <w:tcW w:w="2241"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&lt;0.07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89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HQ1-6-3</w:t>
                  </w:r>
                </w:p>
              </w:tc>
              <w:tc>
                <w:tcPr>
                  <w:tcW w:w="2241"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&lt;0.07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89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HQ1-6-4</w:t>
                  </w:r>
                </w:p>
              </w:tc>
              <w:tc>
                <w:tcPr>
                  <w:tcW w:w="2241"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&lt;0.07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pct"/>
                  <w:vMerge w:val="restar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2021-08-01</w:t>
                  </w:r>
                </w:p>
              </w:tc>
              <w:tc>
                <w:tcPr>
                  <w:tcW w:w="189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HQ1-7-1</w:t>
                  </w:r>
                </w:p>
              </w:tc>
              <w:tc>
                <w:tcPr>
                  <w:tcW w:w="2241"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&lt;0.07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89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HQ1-7-2</w:t>
                  </w:r>
                </w:p>
              </w:tc>
              <w:tc>
                <w:tcPr>
                  <w:tcW w:w="2241"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&lt;0.07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89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HQ1-7-3</w:t>
                  </w:r>
                </w:p>
              </w:tc>
              <w:tc>
                <w:tcPr>
                  <w:tcW w:w="2241"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&lt;0.07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89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HQ1-7-4</w:t>
                  </w:r>
                </w:p>
              </w:tc>
              <w:tc>
                <w:tcPr>
                  <w:tcW w:w="2241"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58" w:type="pct"/>
                  <w:gridSpan w:val="2"/>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标准值</w:t>
                  </w:r>
                </w:p>
              </w:tc>
              <w:tc>
                <w:tcPr>
                  <w:tcW w:w="2241"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58" w:type="pct"/>
                  <w:gridSpan w:val="2"/>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达标情况</w:t>
                  </w:r>
                </w:p>
              </w:tc>
              <w:tc>
                <w:tcPr>
                  <w:tcW w:w="2241"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3"/>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备注：“&lt;数据”表示该项目检测结果低于标准检出限。</w:t>
                  </w:r>
                </w:p>
              </w:tc>
            </w:tr>
          </w:tbl>
          <w:p>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highlight w:val="none"/>
                <w:lang w:val="en-US" w:eastAsia="zh-CN"/>
              </w:rPr>
              <w:t>根据引用</w:t>
            </w:r>
            <w:r>
              <w:rPr>
                <w:rFonts w:hint="default" w:ascii="Times New Roman" w:hAnsi="Times New Roman" w:eastAsia="宋体" w:cs="Times New Roman"/>
                <w:color w:val="auto"/>
                <w:kern w:val="0"/>
                <w:sz w:val="24"/>
                <w:highlight w:val="none"/>
              </w:rPr>
              <w:t>监测</w:t>
            </w:r>
            <w:r>
              <w:rPr>
                <w:rFonts w:hint="default" w:ascii="Times New Roman" w:hAnsi="Times New Roman" w:eastAsia="宋体" w:cs="Times New Roman"/>
                <w:color w:val="auto"/>
                <w:kern w:val="0"/>
                <w:sz w:val="24"/>
                <w:highlight w:val="none"/>
                <w:lang w:val="en-US" w:eastAsia="zh-CN"/>
              </w:rPr>
              <w:t>结果可知</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val="en-US" w:eastAsia="zh-CN"/>
              </w:rPr>
              <w:t>引用项目区内</w:t>
            </w:r>
            <w:r>
              <w:rPr>
                <w:rFonts w:hint="default" w:ascii="Times New Roman" w:hAnsi="Times New Roman" w:eastAsia="宋体" w:cs="Times New Roman"/>
                <w:color w:val="auto"/>
                <w:kern w:val="0"/>
                <w:sz w:val="24"/>
                <w:highlight w:val="none"/>
              </w:rPr>
              <w:t>监测点</w:t>
            </w:r>
            <w:r>
              <w:rPr>
                <w:rFonts w:hint="default" w:ascii="Times New Roman" w:hAnsi="Times New Roman" w:eastAsia="宋体" w:cs="Times New Roman"/>
                <w:color w:val="auto"/>
                <w:sz w:val="24"/>
                <w:highlight w:val="none"/>
              </w:rPr>
              <w:t>非甲烷总烃</w:t>
            </w:r>
            <w:r>
              <w:rPr>
                <w:rFonts w:hint="default" w:ascii="Times New Roman" w:hAnsi="Times New Roman" w:eastAsia="宋体" w:cs="Times New Roman"/>
                <w:color w:val="auto"/>
                <w:sz w:val="24"/>
                <w:szCs w:val="20"/>
                <w:highlight w:val="none"/>
                <w:lang w:bidi="ar"/>
              </w:rPr>
              <w:t>小时值能满足</w:t>
            </w:r>
            <w:r>
              <w:rPr>
                <w:rFonts w:hint="default" w:ascii="Times New Roman" w:hAnsi="Times New Roman" w:eastAsia="宋体" w:cs="Times New Roman"/>
                <w:color w:val="auto"/>
                <w:sz w:val="24"/>
                <w:highlight w:val="none"/>
              </w:rPr>
              <w:t>中国环境科学出版社出版的国家环境保护局科技标准司的《大气污染物综合排放标准详解》中浓度限值</w:t>
            </w:r>
            <w:r>
              <w:rPr>
                <w:rFonts w:hint="default" w:ascii="Times New Roman" w:hAnsi="Times New Roman" w:eastAsia="宋体" w:cs="Times New Roman"/>
                <w:color w:val="auto"/>
                <w:kern w:val="0"/>
                <w:sz w:val="24"/>
                <w:highlight w:val="none"/>
              </w:rPr>
              <w:t>。项目区环境空气质量满足功能区要求。</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2、地表水环境质量现状</w:t>
            </w:r>
          </w:p>
          <w:p>
            <w:pPr>
              <w:adjustRightInd w:val="0"/>
              <w:snapToGrid w:val="0"/>
              <w:spacing w:line="348" w:lineRule="auto"/>
              <w:ind w:firstLine="480" w:firstLineChars="200"/>
              <w:rPr>
                <w:rFonts w:hint="default" w:ascii="Times New Roman" w:hAnsi="Times New Roman" w:eastAsia="宋体" w:cs="Times New Roman"/>
                <w:color w:val="auto"/>
                <w:kern w:val="0"/>
                <w:sz w:val="24"/>
                <w:highlight w:val="none"/>
                <w:lang w:val="zh-CN"/>
              </w:rPr>
            </w:pPr>
            <w:r>
              <w:rPr>
                <w:rFonts w:hint="default" w:ascii="Times New Roman" w:hAnsi="Times New Roman" w:eastAsia="宋体" w:cs="Times New Roman"/>
                <w:color w:val="auto"/>
                <w:kern w:val="0"/>
                <w:sz w:val="24"/>
                <w:highlight w:val="none"/>
              </w:rPr>
              <w:t>根据项目区域水系图可知，</w:t>
            </w:r>
            <w:r>
              <w:rPr>
                <w:rFonts w:hint="default" w:ascii="Times New Roman" w:hAnsi="Times New Roman" w:eastAsia="宋体" w:cs="Times New Roman"/>
                <w:color w:val="auto"/>
                <w:kern w:val="0"/>
                <w:sz w:val="24"/>
                <w:highlight w:val="none"/>
                <w:lang w:val="zh-CN"/>
              </w:rPr>
              <w:t>本项目距离最近的地表水体为</w:t>
            </w:r>
            <w:r>
              <w:rPr>
                <w:rFonts w:hint="default" w:ascii="Times New Roman" w:hAnsi="Times New Roman" w:eastAsia="宋体" w:cs="Times New Roman"/>
                <w:color w:val="auto"/>
                <w:kern w:val="0"/>
                <w:sz w:val="24"/>
                <w:highlight w:val="none"/>
              </w:rPr>
              <w:t>西南侧</w:t>
            </w:r>
            <w:r>
              <w:rPr>
                <w:rFonts w:hint="default" w:ascii="Times New Roman" w:hAnsi="Times New Roman" w:eastAsia="宋体" w:cs="Times New Roman"/>
                <w:color w:val="auto"/>
                <w:kern w:val="0"/>
                <w:sz w:val="24"/>
                <w:highlight w:val="none"/>
                <w:lang w:val="en-US" w:eastAsia="zh-CN"/>
              </w:rPr>
              <w:t>210</w:t>
            </w:r>
            <w:r>
              <w:rPr>
                <w:rFonts w:hint="default" w:ascii="Times New Roman" w:hAnsi="Times New Roman" w:eastAsia="宋体" w:cs="Times New Roman"/>
                <w:color w:val="auto"/>
                <w:kern w:val="0"/>
                <w:sz w:val="24"/>
                <w:highlight w:val="none"/>
              </w:rPr>
              <w:t>0m处的</w:t>
            </w:r>
            <w:r>
              <w:rPr>
                <w:rFonts w:hint="default" w:ascii="Times New Roman" w:hAnsi="Times New Roman" w:eastAsia="宋体" w:cs="Times New Roman"/>
                <w:color w:val="auto"/>
                <w:kern w:val="0"/>
                <w:sz w:val="24"/>
                <w:highlight w:val="none"/>
                <w:lang w:val="zh-CN"/>
              </w:rPr>
              <w:t>谓所河，</w:t>
            </w:r>
            <w:r>
              <w:rPr>
                <w:rFonts w:hint="default" w:ascii="Times New Roman" w:hAnsi="Times New Roman" w:eastAsia="宋体" w:cs="Times New Roman"/>
                <w:color w:val="auto"/>
                <w:sz w:val="24"/>
                <w:highlight w:val="none"/>
                <w:shd w:val="clear" w:color="auto" w:fill="auto"/>
                <w:lang w:val="en-US" w:eastAsia="zh-CN"/>
              </w:rPr>
              <w:t>经落水洞转为地下伏流，于三月三水库出露；项目</w:t>
            </w:r>
            <w:r>
              <w:rPr>
                <w:rFonts w:hint="default" w:ascii="Times New Roman" w:hAnsi="Times New Roman" w:eastAsia="宋体" w:cs="Times New Roman"/>
                <w:color w:val="auto"/>
                <w:sz w:val="24"/>
                <w:highlight w:val="none"/>
                <w:shd w:val="clear" w:color="auto" w:fill="auto"/>
              </w:rPr>
              <w:t>西南侧</w:t>
            </w:r>
            <w:r>
              <w:rPr>
                <w:rFonts w:hint="default" w:ascii="Times New Roman" w:hAnsi="Times New Roman" w:eastAsia="宋体" w:cs="Times New Roman"/>
                <w:color w:val="auto"/>
                <w:sz w:val="24"/>
                <w:highlight w:val="none"/>
                <w:shd w:val="clear" w:color="auto" w:fill="auto"/>
                <w:lang w:val="en-US" w:eastAsia="zh-CN"/>
              </w:rPr>
              <w:t>4650</w:t>
            </w:r>
            <w:r>
              <w:rPr>
                <w:rFonts w:hint="default" w:ascii="Times New Roman" w:hAnsi="Times New Roman" w:eastAsia="宋体" w:cs="Times New Roman"/>
                <w:color w:val="auto"/>
                <w:sz w:val="24"/>
                <w:highlight w:val="none"/>
                <w:shd w:val="clear" w:color="auto" w:fill="auto"/>
              </w:rPr>
              <w:t>m处</w:t>
            </w:r>
            <w:r>
              <w:rPr>
                <w:rFonts w:hint="default" w:ascii="Times New Roman" w:hAnsi="Times New Roman" w:eastAsia="宋体" w:cs="Times New Roman"/>
                <w:color w:val="auto"/>
                <w:sz w:val="24"/>
                <w:highlight w:val="none"/>
                <w:shd w:val="clear" w:color="auto" w:fill="auto"/>
                <w:lang w:eastAsia="zh-CN"/>
              </w:rPr>
              <w:t>为</w:t>
            </w:r>
            <w:r>
              <w:rPr>
                <w:rFonts w:hint="default" w:ascii="Times New Roman" w:hAnsi="Times New Roman" w:eastAsia="宋体" w:cs="Times New Roman"/>
                <w:color w:val="auto"/>
                <w:sz w:val="24"/>
                <w:highlight w:val="none"/>
                <w:shd w:val="clear" w:color="auto" w:fill="auto"/>
              </w:rPr>
              <w:t>潘所海，潘所海地表水通过溶洞流入三月三水库</w:t>
            </w:r>
            <w:r>
              <w:rPr>
                <w:rFonts w:hint="default" w:ascii="Times New Roman" w:hAnsi="Times New Roman" w:eastAsia="宋体" w:cs="Times New Roman"/>
                <w:color w:val="auto"/>
                <w:sz w:val="24"/>
                <w:highlight w:val="none"/>
                <w:shd w:val="clear" w:color="auto" w:fill="auto"/>
                <w:lang w:eastAsia="zh-CN"/>
              </w:rPr>
              <w:t>；三月三水库由前进河出水</w:t>
            </w:r>
            <w:r>
              <w:rPr>
                <w:rFonts w:hint="default" w:ascii="Times New Roman" w:hAnsi="Times New Roman" w:eastAsia="宋体" w:cs="Times New Roman"/>
                <w:color w:val="auto"/>
                <w:sz w:val="24"/>
                <w:highlight w:val="none"/>
              </w:rPr>
              <w:t>，最终汇入牛栏江，属牛栏江支流。根据《云南省水功能区划（2014年修订）》，牛栏江（源头—德泽水库坝址段），水功能区划牛栏江-滇池补水水源保护区，2030年水质目标为Ⅲ类，执行</w:t>
            </w:r>
            <w:r>
              <w:rPr>
                <w:rFonts w:hint="default" w:ascii="Times New Roman" w:hAnsi="Times New Roman" w:eastAsia="宋体" w:cs="Times New Roman"/>
                <w:bCs/>
                <w:color w:val="auto"/>
                <w:sz w:val="24"/>
                <w:highlight w:val="none"/>
              </w:rPr>
              <w:t>《地表水环境质量标准》（GB3838-2002）Ⅲ类标准</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zh-CN"/>
              </w:rPr>
              <w:t>由于《云南省水功能区划（2014年修订）》中未列出谓所河、</w:t>
            </w:r>
            <w:r>
              <w:rPr>
                <w:rFonts w:hint="default" w:ascii="Times New Roman" w:hAnsi="Times New Roman" w:eastAsia="宋体" w:cs="Times New Roman"/>
                <w:color w:val="auto"/>
                <w:sz w:val="24"/>
                <w:highlight w:val="none"/>
                <w:shd w:val="clear" w:color="auto" w:fill="auto"/>
              </w:rPr>
              <w:t>潘所海</w:t>
            </w:r>
            <w:r>
              <w:rPr>
                <w:rFonts w:hint="default" w:ascii="Times New Roman" w:hAnsi="Times New Roman" w:eastAsia="宋体" w:cs="Times New Roman"/>
                <w:color w:val="auto"/>
                <w:sz w:val="24"/>
                <w:highlight w:val="none"/>
                <w:shd w:val="clear" w:color="auto" w:fill="auto"/>
                <w:lang w:eastAsia="zh-CN"/>
              </w:rPr>
              <w:t>、三月三水库</w:t>
            </w:r>
            <w:r>
              <w:rPr>
                <w:rFonts w:hint="default" w:ascii="Times New Roman" w:hAnsi="Times New Roman" w:eastAsia="宋体" w:cs="Times New Roman"/>
                <w:color w:val="auto"/>
                <w:sz w:val="24"/>
                <w:highlight w:val="none"/>
                <w:lang w:val="zh-CN"/>
              </w:rPr>
              <w:t>的水环境功能区划，按照支流服从干流的原则，谓所河、</w:t>
            </w:r>
            <w:r>
              <w:rPr>
                <w:rFonts w:hint="default" w:ascii="Times New Roman" w:hAnsi="Times New Roman" w:eastAsia="宋体" w:cs="Times New Roman"/>
                <w:color w:val="auto"/>
                <w:sz w:val="24"/>
                <w:highlight w:val="none"/>
                <w:shd w:val="clear" w:color="auto" w:fill="auto"/>
              </w:rPr>
              <w:t>潘所海</w:t>
            </w:r>
            <w:r>
              <w:rPr>
                <w:rFonts w:hint="default" w:ascii="Times New Roman" w:hAnsi="Times New Roman" w:eastAsia="宋体" w:cs="Times New Roman"/>
                <w:color w:val="auto"/>
                <w:sz w:val="24"/>
                <w:highlight w:val="none"/>
                <w:shd w:val="clear" w:color="auto" w:fill="auto"/>
                <w:lang w:eastAsia="zh-CN"/>
              </w:rPr>
              <w:t>、三月三水库</w:t>
            </w:r>
            <w:r>
              <w:rPr>
                <w:rFonts w:hint="default" w:ascii="Times New Roman" w:hAnsi="Times New Roman" w:eastAsia="宋体" w:cs="Times New Roman"/>
                <w:color w:val="auto"/>
                <w:sz w:val="24"/>
                <w:highlight w:val="none"/>
                <w:lang w:val="zh-CN"/>
              </w:rPr>
              <w:t>参照</w:t>
            </w:r>
            <w:r>
              <w:rPr>
                <w:rFonts w:hint="default" w:ascii="Times New Roman" w:hAnsi="Times New Roman" w:eastAsia="宋体" w:cs="Times New Roman"/>
                <w:color w:val="auto"/>
                <w:sz w:val="24"/>
                <w:highlight w:val="none"/>
                <w:lang w:val="en-US" w:eastAsia="zh-CN"/>
              </w:rPr>
              <w:t>牛栏江</w:t>
            </w:r>
            <w:r>
              <w:rPr>
                <w:rFonts w:hint="default" w:ascii="Times New Roman" w:hAnsi="Times New Roman" w:eastAsia="宋体" w:cs="Times New Roman"/>
                <w:color w:val="auto"/>
                <w:sz w:val="24"/>
                <w:highlight w:val="none"/>
                <w:lang w:val="zh-CN"/>
              </w:rPr>
              <w:t>执行《地表水环境质量标准》</w:t>
            </w:r>
            <w:r>
              <w:rPr>
                <w:rFonts w:hint="default" w:ascii="Times New Roman" w:hAnsi="Times New Roman" w:eastAsia="宋体" w:cs="Times New Roman"/>
                <w:color w:val="auto"/>
                <w:kern w:val="0"/>
                <w:sz w:val="24"/>
                <w:highlight w:val="none"/>
                <w:lang w:val="zh-CN"/>
              </w:rPr>
              <w:t>（GB3838-2002）中Ⅲ类水质标准。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firstLineChars="200"/>
              <w:jc w:val="left"/>
              <w:rPr>
                <w:rFonts w:hint="default" w:ascii="Times New Roman" w:hAnsi="Times New Roman" w:eastAsia="宋体" w:cs="Times New Roman"/>
                <w:b w:val="0"/>
                <w:bCs/>
                <w:i w:val="0"/>
                <w:iCs w:val="0"/>
                <w:caps w:val="0"/>
                <w:color w:val="auto"/>
                <w:spacing w:val="0"/>
                <w:kern w:val="2"/>
                <w:sz w:val="24"/>
                <w:szCs w:val="24"/>
                <w:highlight w:val="none"/>
              </w:rPr>
            </w:pPr>
            <w:r>
              <w:rPr>
                <w:rFonts w:hint="default" w:ascii="Times New Roman" w:hAnsi="Times New Roman" w:eastAsia="宋体" w:cs="Times New Roman"/>
                <w:b w:val="0"/>
                <w:bCs/>
                <w:color w:val="auto"/>
                <w:kern w:val="2"/>
                <w:sz w:val="24"/>
                <w:szCs w:val="24"/>
                <w:highlight w:val="none"/>
                <w:lang w:val="en-US" w:eastAsia="zh-CN"/>
              </w:rPr>
              <w:t>根据</w:t>
            </w:r>
            <w:r>
              <w:rPr>
                <w:rFonts w:hint="default" w:ascii="Times New Roman" w:hAnsi="Times New Roman" w:eastAsia="宋体" w:cs="Times New Roman"/>
                <w:b w:val="0"/>
                <w:bCs/>
                <w:color w:val="auto"/>
                <w:sz w:val="24"/>
                <w:highlight w:val="none"/>
                <w:lang w:val="zh-CN"/>
              </w:rPr>
              <w:t>《</w:t>
            </w:r>
            <w:r>
              <w:rPr>
                <w:rFonts w:hint="default" w:ascii="Times New Roman" w:hAnsi="Times New Roman" w:eastAsia="宋体" w:cs="Times New Roman"/>
                <w:b w:val="0"/>
                <w:bCs/>
                <w:i w:val="0"/>
                <w:iCs w:val="0"/>
                <w:caps w:val="0"/>
                <w:color w:val="auto"/>
                <w:spacing w:val="0"/>
                <w:kern w:val="2"/>
                <w:sz w:val="24"/>
                <w:szCs w:val="24"/>
                <w:highlight w:val="none"/>
                <w:shd w:val="clear"/>
              </w:rPr>
              <w:t>2023年05月寻甸县水环境质量监测月报（二零二三年第五期）</w:t>
            </w:r>
            <w:r>
              <w:rPr>
                <w:rFonts w:hint="default" w:ascii="Times New Roman" w:hAnsi="Times New Roman" w:eastAsia="宋体" w:cs="Times New Roman"/>
                <w:b w:val="0"/>
                <w:bCs/>
                <w:color w:val="auto"/>
                <w:sz w:val="24"/>
                <w:highlight w:val="none"/>
                <w:lang w:val="zh-CN"/>
              </w:rPr>
              <w:t>》</w:t>
            </w:r>
            <w:r>
              <w:rPr>
                <w:rFonts w:hint="default" w:ascii="Times New Roman" w:hAnsi="Times New Roman" w:eastAsia="宋体" w:cs="Times New Roman"/>
                <w:b w:val="0"/>
                <w:bCs/>
                <w:color w:val="auto"/>
                <w:sz w:val="24"/>
                <w:highlight w:val="none"/>
                <w:lang w:val="en-US" w:eastAsia="zh-CN"/>
              </w:rPr>
              <w:t>可知，</w:t>
            </w:r>
            <w:r>
              <w:rPr>
                <w:rFonts w:hint="default" w:ascii="Times New Roman" w:hAnsi="Times New Roman" w:eastAsia="宋体" w:cs="Times New Roman"/>
                <w:b w:val="0"/>
                <w:bCs w:val="0"/>
                <w:i w:val="0"/>
                <w:iCs w:val="0"/>
                <w:caps w:val="0"/>
                <w:color w:val="auto"/>
                <w:spacing w:val="0"/>
                <w:kern w:val="2"/>
                <w:sz w:val="24"/>
                <w:szCs w:val="24"/>
                <w:highlight w:val="none"/>
                <w:shd w:val="clear"/>
                <w:lang w:val="zh-CN"/>
              </w:rPr>
              <w:t>2023年0</w:t>
            </w:r>
            <w:r>
              <w:rPr>
                <w:rFonts w:hint="default" w:ascii="Times New Roman" w:hAnsi="Times New Roman" w:eastAsia="宋体" w:cs="Times New Roman"/>
                <w:b w:val="0"/>
                <w:bCs w:val="0"/>
                <w:i w:val="0"/>
                <w:iCs w:val="0"/>
                <w:caps w:val="0"/>
                <w:color w:val="auto"/>
                <w:spacing w:val="0"/>
                <w:kern w:val="2"/>
                <w:sz w:val="24"/>
                <w:szCs w:val="24"/>
                <w:highlight w:val="none"/>
                <w:shd w:val="clear"/>
                <w:lang w:val="en-US" w:eastAsia="zh-CN"/>
              </w:rPr>
              <w:t>5</w:t>
            </w:r>
            <w:r>
              <w:rPr>
                <w:rFonts w:hint="default" w:ascii="Times New Roman" w:hAnsi="Times New Roman" w:eastAsia="宋体" w:cs="Times New Roman"/>
                <w:b w:val="0"/>
                <w:bCs w:val="0"/>
                <w:i w:val="0"/>
                <w:iCs w:val="0"/>
                <w:caps w:val="0"/>
                <w:color w:val="auto"/>
                <w:spacing w:val="0"/>
                <w:kern w:val="2"/>
                <w:sz w:val="24"/>
                <w:szCs w:val="24"/>
                <w:highlight w:val="none"/>
                <w:shd w:val="clear"/>
                <w:lang w:val="zh-CN"/>
              </w:rPr>
              <w:t>月昆明市生态环境局寻甸分局生态环境监测站共对其境内14条河流及7个湖库的共24个监测点（含</w:t>
            </w:r>
            <w:r>
              <w:rPr>
                <w:rFonts w:hint="default" w:ascii="Times New Roman" w:hAnsi="Times New Roman" w:eastAsia="宋体" w:cs="Times New Roman"/>
                <w:b w:val="0"/>
                <w:bCs w:val="0"/>
                <w:i w:val="0"/>
                <w:iCs w:val="0"/>
                <w:caps w:val="0"/>
                <w:color w:val="auto"/>
                <w:spacing w:val="0"/>
                <w:kern w:val="2"/>
                <w:sz w:val="24"/>
                <w:szCs w:val="24"/>
                <w:highlight w:val="none"/>
                <w:shd w:val="clear"/>
                <w:lang w:val="en-US"/>
              </w:rPr>
              <w:t>省厅驻昆明市生态环境监测站监测的寻甸县境内监测点）进行水质监测1期，其中：</w:t>
            </w:r>
            <w:r>
              <w:rPr>
                <w:rFonts w:hint="default" w:ascii="Times New Roman" w:hAnsi="Times New Roman" w:eastAsia="宋体" w:cs="Times New Roman"/>
                <w:b w:val="0"/>
                <w:bCs w:val="0"/>
                <w:i w:val="0"/>
                <w:iCs w:val="0"/>
                <w:caps w:val="0"/>
                <w:color w:val="auto"/>
                <w:spacing w:val="0"/>
                <w:kern w:val="2"/>
                <w:sz w:val="24"/>
                <w:szCs w:val="24"/>
                <w:highlight w:val="none"/>
                <w:shd w:val="clear"/>
              </w:rPr>
              <w:t>湖库7个，共设7个监测点位，依据监测数据，7个监测断面中新田河干涸无水，达到Ⅲ类以上水质标准的有4个，水质达标率为66.67%</w:t>
            </w:r>
            <w:r>
              <w:rPr>
                <w:rFonts w:hint="default" w:ascii="Times New Roman" w:hAnsi="Times New Roman" w:eastAsia="宋体" w:cs="Times New Roman"/>
                <w:b w:val="0"/>
                <w:bCs w:val="0"/>
                <w:i w:val="0"/>
                <w:iCs w:val="0"/>
                <w:caps w:val="0"/>
                <w:color w:val="auto"/>
                <w:spacing w:val="0"/>
                <w:kern w:val="2"/>
                <w:sz w:val="24"/>
                <w:szCs w:val="24"/>
                <w:highlight w:val="none"/>
                <w:shd w:val="clear"/>
                <w:lang w:eastAsia="zh-CN"/>
              </w:rPr>
              <w:t>，</w:t>
            </w:r>
            <w:r>
              <w:rPr>
                <w:rFonts w:hint="default" w:ascii="Times New Roman" w:hAnsi="Times New Roman" w:eastAsia="宋体" w:cs="Times New Roman"/>
                <w:b w:val="0"/>
                <w:bCs w:val="0"/>
                <w:i w:val="0"/>
                <w:iCs w:val="0"/>
                <w:caps w:val="0"/>
                <w:color w:val="auto"/>
                <w:spacing w:val="0"/>
                <w:kern w:val="2"/>
                <w:sz w:val="24"/>
                <w:szCs w:val="24"/>
                <w:highlight w:val="none"/>
                <w:shd w:val="clear"/>
                <w:lang w:val="en-US" w:eastAsia="zh-CN"/>
              </w:rPr>
              <w:t>监测结果如下表所示。</w:t>
            </w:r>
          </w:p>
          <w:p>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 xml:space="preserve">表3-3   </w:t>
            </w:r>
            <w:r>
              <w:rPr>
                <w:rStyle w:val="29"/>
                <w:rFonts w:hint="default" w:ascii="Times New Roman" w:hAnsi="Times New Roman" w:eastAsia="宋体" w:cs="Times New Roman"/>
                <w:b/>
                <w:bCs/>
                <w:i w:val="0"/>
                <w:iCs w:val="0"/>
                <w:caps w:val="0"/>
                <w:color w:val="auto"/>
                <w:spacing w:val="0"/>
                <w:sz w:val="21"/>
                <w:szCs w:val="21"/>
                <w:shd w:val="clear" w:fill="FFFFFF"/>
              </w:rPr>
              <w:t>2023年0</w:t>
            </w:r>
            <w:r>
              <w:rPr>
                <w:rStyle w:val="29"/>
                <w:rFonts w:hint="default" w:ascii="Times New Roman" w:hAnsi="Times New Roman" w:eastAsia="宋体" w:cs="Times New Roman"/>
                <w:b/>
                <w:bCs/>
                <w:i w:val="0"/>
                <w:iCs w:val="0"/>
                <w:caps w:val="0"/>
                <w:color w:val="auto"/>
                <w:spacing w:val="0"/>
                <w:sz w:val="21"/>
                <w:szCs w:val="21"/>
                <w:shd w:val="clear" w:fill="FFFFFF"/>
                <w:lang w:val="en-US" w:eastAsia="zh-CN"/>
              </w:rPr>
              <w:t>5</w:t>
            </w:r>
            <w:r>
              <w:rPr>
                <w:rStyle w:val="29"/>
                <w:rFonts w:hint="default" w:ascii="Times New Roman" w:hAnsi="Times New Roman" w:eastAsia="宋体" w:cs="Times New Roman"/>
                <w:b/>
                <w:bCs/>
                <w:i w:val="0"/>
                <w:iCs w:val="0"/>
                <w:caps w:val="0"/>
                <w:color w:val="auto"/>
                <w:spacing w:val="0"/>
                <w:sz w:val="21"/>
                <w:szCs w:val="21"/>
                <w:shd w:val="clear" w:fill="FFFFFF"/>
              </w:rPr>
              <w:t>月寻甸境内湖库质状况统计表</w:t>
            </w:r>
          </w:p>
          <w:tbl>
            <w:tblPr>
              <w:tblStyle w:val="27"/>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677"/>
              <w:gridCol w:w="651"/>
              <w:gridCol w:w="606"/>
              <w:gridCol w:w="1132"/>
              <w:gridCol w:w="4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监测名称</w:t>
                  </w:r>
                </w:p>
              </w:tc>
              <w:tc>
                <w:tcPr>
                  <w:tcW w:w="677"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年</w:t>
                  </w:r>
                </w:p>
              </w:tc>
              <w:tc>
                <w:tcPr>
                  <w:tcW w:w="651"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月</w:t>
                  </w:r>
                </w:p>
              </w:tc>
              <w:tc>
                <w:tcPr>
                  <w:tcW w:w="606"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日</w:t>
                  </w:r>
                </w:p>
              </w:tc>
              <w:tc>
                <w:tcPr>
                  <w:tcW w:w="1132"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zh-CN" w:eastAsia="zh-CN"/>
                    </w:rPr>
                    <w:t>（</w:t>
                  </w:r>
                  <w:r>
                    <w:rPr>
                      <w:rFonts w:hint="default" w:ascii="Times New Roman" w:hAnsi="Times New Roman" w:eastAsia="宋体" w:cs="Times New Roman"/>
                      <w:b/>
                      <w:bCs/>
                      <w:color w:val="auto"/>
                      <w:sz w:val="21"/>
                      <w:szCs w:val="21"/>
                      <w:highlight w:val="none"/>
                      <w:vertAlign w:val="baseline"/>
                      <w:lang w:val="en-US" w:eastAsia="zh-CN"/>
                    </w:rPr>
                    <w:t>wpi</w:t>
                  </w:r>
                  <w:r>
                    <w:rPr>
                      <w:rFonts w:hint="default" w:ascii="Times New Roman" w:hAnsi="Times New Roman" w:eastAsia="宋体" w:cs="Times New Roman"/>
                      <w:b/>
                      <w:bCs/>
                      <w:color w:val="auto"/>
                      <w:sz w:val="21"/>
                      <w:szCs w:val="21"/>
                      <w:highlight w:val="none"/>
                      <w:vertAlign w:val="baseline"/>
                      <w:lang w:val="zh-CN" w:eastAsia="zh-CN"/>
                    </w:rPr>
                    <w:t>）</w:t>
                  </w:r>
                  <w:r>
                    <w:rPr>
                      <w:rFonts w:hint="default" w:ascii="Times New Roman" w:hAnsi="Times New Roman" w:eastAsia="宋体" w:cs="Times New Roman"/>
                      <w:b/>
                      <w:bCs/>
                      <w:color w:val="auto"/>
                      <w:sz w:val="21"/>
                      <w:szCs w:val="21"/>
                      <w:highlight w:val="none"/>
                      <w:vertAlign w:val="baseline"/>
                      <w:lang w:val="en-US" w:eastAsia="zh-CN"/>
                    </w:rPr>
                    <w:t>水质类别</w:t>
                  </w:r>
                </w:p>
              </w:tc>
              <w:tc>
                <w:tcPr>
                  <w:tcW w:w="4053"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zh-CN" w:eastAsia="zh-CN"/>
                    </w:rPr>
                  </w:pPr>
                  <w:r>
                    <w:rPr>
                      <w:rStyle w:val="29"/>
                      <w:rFonts w:hint="default" w:ascii="Times New Roman" w:hAnsi="Times New Roman" w:eastAsia="宋体" w:cs="Times New Roman"/>
                      <w:b/>
                      <w:bCs/>
                      <w:i w:val="0"/>
                      <w:iCs w:val="0"/>
                      <w:caps w:val="0"/>
                      <w:color w:val="auto"/>
                      <w:spacing w:val="0"/>
                      <w:sz w:val="21"/>
                      <w:szCs w:val="21"/>
                      <w:shd w:val="clear" w:fill="FFFFFF"/>
                    </w:rPr>
                    <w:t>(wpi)水质类别超标项目与超标倍数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潘所海</w:t>
                  </w:r>
                </w:p>
              </w:tc>
              <w:tc>
                <w:tcPr>
                  <w:tcW w:w="677"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2023</w:t>
                  </w:r>
                </w:p>
              </w:tc>
              <w:tc>
                <w:tcPr>
                  <w:tcW w:w="651"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05</w:t>
                  </w:r>
                </w:p>
              </w:tc>
              <w:tc>
                <w:tcPr>
                  <w:tcW w:w="606"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05</w:t>
                  </w:r>
                </w:p>
              </w:tc>
              <w:tc>
                <w:tcPr>
                  <w:tcW w:w="1132"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zh-CN" w:eastAsia="zh-CN"/>
                    </w:rPr>
                  </w:pPr>
                  <w:r>
                    <w:rPr>
                      <w:rFonts w:hint="default" w:ascii="Times New Roman" w:hAnsi="Times New Roman" w:eastAsia="宋体" w:cs="Times New Roman"/>
                      <w:i w:val="0"/>
                      <w:iCs w:val="0"/>
                      <w:caps w:val="0"/>
                      <w:color w:val="auto"/>
                      <w:spacing w:val="0"/>
                      <w:sz w:val="21"/>
                      <w:szCs w:val="21"/>
                      <w:shd w:val="clear" w:fill="FFFFFF"/>
                    </w:rPr>
                    <w:t>Ⅴ类</w:t>
                  </w:r>
                </w:p>
              </w:tc>
              <w:tc>
                <w:tcPr>
                  <w:tcW w:w="4053"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zh-CN" w:eastAsia="zh-CN"/>
                    </w:rPr>
                  </w:pPr>
                  <w:r>
                    <w:rPr>
                      <w:rFonts w:hint="default" w:ascii="Times New Roman" w:hAnsi="Times New Roman" w:eastAsia="宋体" w:cs="Times New Roman"/>
                      <w:i w:val="0"/>
                      <w:iCs w:val="0"/>
                      <w:caps w:val="0"/>
                      <w:color w:val="auto"/>
                      <w:spacing w:val="0"/>
                      <w:sz w:val="21"/>
                      <w:szCs w:val="21"/>
                      <w:shd w:val="clear" w:fill="FFFFFF"/>
                    </w:rPr>
                    <w:t>总磷(2.20)(Ⅴ类)</w:t>
                  </w:r>
                  <w:r>
                    <w:rPr>
                      <w:rFonts w:hint="default" w:ascii="Times New Roman" w:hAnsi="Times New Roman" w:eastAsia="宋体" w:cs="Times New Roman"/>
                      <w:i w:val="0"/>
                      <w:iCs w:val="0"/>
                      <w:caps w:val="0"/>
                      <w:color w:val="auto"/>
                      <w:spacing w:val="0"/>
                      <w:sz w:val="21"/>
                      <w:szCs w:val="21"/>
                      <w:shd w:val="clear" w:fill="FFFFFF"/>
                      <w:lang w:eastAsia="zh-CN"/>
                    </w:rPr>
                    <w:t>，</w:t>
                  </w:r>
                  <w:r>
                    <w:rPr>
                      <w:rFonts w:hint="default" w:ascii="Times New Roman" w:hAnsi="Times New Roman" w:eastAsia="宋体" w:cs="Times New Roman"/>
                      <w:i w:val="0"/>
                      <w:iCs w:val="0"/>
                      <w:caps w:val="0"/>
                      <w:color w:val="auto"/>
                      <w:spacing w:val="0"/>
                      <w:sz w:val="21"/>
                      <w:szCs w:val="21"/>
                      <w:shd w:val="clear" w:fill="FFFFFF"/>
                    </w:rPr>
                    <w:t>化学需氧量(0.75)(Ⅴ类)</w:t>
                  </w:r>
                  <w:r>
                    <w:rPr>
                      <w:rFonts w:hint="default" w:ascii="Times New Roman" w:hAnsi="Times New Roman" w:eastAsia="宋体" w:cs="Times New Roman"/>
                      <w:i w:val="0"/>
                      <w:iCs w:val="0"/>
                      <w:caps w:val="0"/>
                      <w:color w:val="auto"/>
                      <w:spacing w:val="0"/>
                      <w:sz w:val="21"/>
                      <w:szCs w:val="21"/>
                      <w:shd w:val="clear" w:fill="FFFFFF"/>
                      <w:lang w:eastAsia="zh-CN"/>
                    </w:rPr>
                    <w:t>，</w:t>
                  </w:r>
                  <w:r>
                    <w:rPr>
                      <w:rFonts w:hint="default" w:ascii="Times New Roman" w:hAnsi="Times New Roman" w:eastAsia="宋体" w:cs="Times New Roman"/>
                      <w:i w:val="0"/>
                      <w:iCs w:val="0"/>
                      <w:caps w:val="0"/>
                      <w:color w:val="auto"/>
                      <w:spacing w:val="0"/>
                      <w:sz w:val="21"/>
                      <w:szCs w:val="21"/>
                      <w:shd w:val="clear" w:fill="FFFFFF"/>
                    </w:rPr>
                    <w:t>高锰酸盐指数(0.38)(Ⅳ类)</w:t>
                  </w:r>
                  <w:r>
                    <w:rPr>
                      <w:rFonts w:hint="default" w:ascii="Times New Roman" w:hAnsi="Times New Roman" w:eastAsia="宋体" w:cs="Times New Roman"/>
                      <w:i w:val="0"/>
                      <w:iCs w:val="0"/>
                      <w:caps w:val="0"/>
                      <w:color w:val="auto"/>
                      <w:spacing w:val="0"/>
                      <w:sz w:val="21"/>
                      <w:szCs w:val="21"/>
                      <w:shd w:val="clear" w:fill="FFFFFF"/>
                      <w:lang w:eastAsia="zh-CN"/>
                    </w:rPr>
                    <w:t>，</w:t>
                  </w:r>
                  <w:r>
                    <w:rPr>
                      <w:rFonts w:hint="default" w:ascii="Times New Roman" w:hAnsi="Times New Roman" w:eastAsia="宋体" w:cs="Times New Roman"/>
                      <w:i w:val="0"/>
                      <w:iCs w:val="0"/>
                      <w:caps w:val="0"/>
                      <w:color w:val="auto"/>
                      <w:spacing w:val="0"/>
                      <w:sz w:val="21"/>
                      <w:szCs w:val="21"/>
                      <w:shd w:val="clear" w:fill="FFFFFF"/>
                    </w:rPr>
                    <w:t>五日生化需氧量(0.08)(Ⅳ类)。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zh-CN" w:eastAsia="zh-CN"/>
                    </w:rPr>
                  </w:pPr>
                  <w:r>
                    <w:rPr>
                      <w:rFonts w:hint="default" w:ascii="Times New Roman" w:hAnsi="Times New Roman" w:eastAsia="宋体" w:cs="Times New Roman"/>
                      <w:i w:val="0"/>
                      <w:iCs w:val="0"/>
                      <w:caps w:val="0"/>
                      <w:color w:val="auto"/>
                      <w:spacing w:val="0"/>
                      <w:sz w:val="21"/>
                      <w:szCs w:val="21"/>
                      <w:shd w:val="clear" w:fill="FFFFFF"/>
                    </w:rPr>
                    <w:t>三月三水库</w:t>
                  </w:r>
                </w:p>
              </w:tc>
              <w:tc>
                <w:tcPr>
                  <w:tcW w:w="677"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2023</w:t>
                  </w:r>
                </w:p>
              </w:tc>
              <w:tc>
                <w:tcPr>
                  <w:tcW w:w="651"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05</w:t>
                  </w:r>
                </w:p>
              </w:tc>
              <w:tc>
                <w:tcPr>
                  <w:tcW w:w="606"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05</w:t>
                  </w:r>
                </w:p>
              </w:tc>
              <w:tc>
                <w:tcPr>
                  <w:tcW w:w="1132"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zh-CN" w:eastAsia="zh-CN"/>
                    </w:rPr>
                  </w:pPr>
                  <w:r>
                    <w:rPr>
                      <w:rFonts w:hint="default" w:ascii="Times New Roman" w:hAnsi="Times New Roman" w:eastAsia="宋体" w:cs="Times New Roman"/>
                      <w:i w:val="0"/>
                      <w:iCs w:val="0"/>
                      <w:caps w:val="0"/>
                      <w:color w:val="auto"/>
                      <w:spacing w:val="0"/>
                      <w:sz w:val="21"/>
                      <w:szCs w:val="21"/>
                      <w:shd w:val="clear" w:fill="FFFFFF"/>
                      <w:lang w:val="en-US" w:eastAsia="zh-CN"/>
                    </w:rPr>
                    <w:t>劣</w:t>
                  </w:r>
                  <w:r>
                    <w:rPr>
                      <w:rFonts w:hint="default" w:ascii="Times New Roman" w:hAnsi="Times New Roman" w:eastAsia="宋体" w:cs="Times New Roman"/>
                      <w:i w:val="0"/>
                      <w:iCs w:val="0"/>
                      <w:caps w:val="0"/>
                      <w:color w:val="auto"/>
                      <w:spacing w:val="0"/>
                      <w:sz w:val="21"/>
                      <w:szCs w:val="21"/>
                      <w:shd w:val="clear" w:fill="FFFFFF"/>
                    </w:rPr>
                    <w:t>Ⅴ类</w:t>
                  </w:r>
                </w:p>
              </w:tc>
              <w:tc>
                <w:tcPr>
                  <w:tcW w:w="4053"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zh-CN" w:eastAsia="zh-CN"/>
                    </w:rPr>
                  </w:pPr>
                  <w:r>
                    <w:rPr>
                      <w:rFonts w:hint="default" w:ascii="Times New Roman" w:hAnsi="Times New Roman" w:eastAsia="宋体" w:cs="Times New Roman"/>
                      <w:i w:val="0"/>
                      <w:iCs w:val="0"/>
                      <w:caps w:val="0"/>
                      <w:color w:val="auto"/>
                      <w:spacing w:val="0"/>
                      <w:sz w:val="21"/>
                      <w:szCs w:val="21"/>
                      <w:shd w:val="clear" w:fill="FFFFFF"/>
                    </w:rPr>
                    <w:t>化学需氧量(1.95)(劣Ⅴ类)</w:t>
                  </w:r>
                  <w:r>
                    <w:rPr>
                      <w:rFonts w:hint="default" w:ascii="Times New Roman" w:hAnsi="Times New Roman" w:eastAsia="宋体" w:cs="Times New Roman"/>
                      <w:i w:val="0"/>
                      <w:iCs w:val="0"/>
                      <w:caps w:val="0"/>
                      <w:color w:val="auto"/>
                      <w:spacing w:val="0"/>
                      <w:sz w:val="21"/>
                      <w:szCs w:val="21"/>
                      <w:shd w:val="clear" w:fill="FFFFFF"/>
                      <w:lang w:eastAsia="zh-CN"/>
                    </w:rPr>
                    <w:t>，</w:t>
                  </w:r>
                  <w:r>
                    <w:rPr>
                      <w:rFonts w:hint="default" w:ascii="Times New Roman" w:hAnsi="Times New Roman" w:eastAsia="宋体" w:cs="Times New Roman"/>
                      <w:i w:val="0"/>
                      <w:iCs w:val="0"/>
                      <w:caps w:val="0"/>
                      <w:color w:val="auto"/>
                      <w:spacing w:val="0"/>
                      <w:sz w:val="21"/>
                      <w:szCs w:val="21"/>
                      <w:shd w:val="clear" w:fill="FFFFFF"/>
                    </w:rPr>
                    <w:t>总磷(1.00)(Ⅳ类)</w:t>
                  </w:r>
                  <w:r>
                    <w:rPr>
                      <w:rFonts w:hint="default" w:ascii="Times New Roman" w:hAnsi="Times New Roman" w:eastAsia="宋体" w:cs="Times New Roman"/>
                      <w:i w:val="0"/>
                      <w:iCs w:val="0"/>
                      <w:caps w:val="0"/>
                      <w:color w:val="auto"/>
                      <w:spacing w:val="0"/>
                      <w:sz w:val="21"/>
                      <w:szCs w:val="21"/>
                      <w:shd w:val="clear" w:fill="FFFFFF"/>
                      <w:lang w:eastAsia="zh-CN"/>
                    </w:rPr>
                    <w:t>，</w:t>
                  </w:r>
                  <w:r>
                    <w:rPr>
                      <w:rFonts w:hint="default" w:ascii="Times New Roman" w:hAnsi="Times New Roman" w:eastAsia="宋体" w:cs="Times New Roman"/>
                      <w:i w:val="0"/>
                      <w:iCs w:val="0"/>
                      <w:caps w:val="0"/>
                      <w:color w:val="auto"/>
                      <w:spacing w:val="0"/>
                      <w:sz w:val="21"/>
                      <w:szCs w:val="21"/>
                      <w:shd w:val="clear" w:fill="FFFFFF"/>
                    </w:rPr>
                    <w:t>氟化物(0.45)(Ⅳ类)</w:t>
                  </w:r>
                  <w:r>
                    <w:rPr>
                      <w:rFonts w:hint="default" w:ascii="Times New Roman" w:hAnsi="Times New Roman" w:eastAsia="宋体" w:cs="Times New Roman"/>
                      <w:i w:val="0"/>
                      <w:iCs w:val="0"/>
                      <w:caps w:val="0"/>
                      <w:color w:val="auto"/>
                      <w:spacing w:val="0"/>
                      <w:sz w:val="21"/>
                      <w:szCs w:val="21"/>
                      <w:shd w:val="clear" w:fill="FFFFFF"/>
                      <w:lang w:eastAsia="zh-CN"/>
                    </w:rPr>
                    <w:t>，</w:t>
                  </w:r>
                  <w:r>
                    <w:rPr>
                      <w:rFonts w:hint="default" w:ascii="Times New Roman" w:hAnsi="Times New Roman" w:eastAsia="宋体" w:cs="Times New Roman"/>
                      <w:i w:val="0"/>
                      <w:iCs w:val="0"/>
                      <w:caps w:val="0"/>
                      <w:color w:val="auto"/>
                      <w:spacing w:val="0"/>
                      <w:sz w:val="21"/>
                      <w:szCs w:val="21"/>
                      <w:shd w:val="clear" w:fill="FFFFFF"/>
                    </w:rPr>
                    <w:t>高锰酸盐指数(0.03)(Ⅳ类)。</w:t>
                  </w:r>
                </w:p>
              </w:tc>
            </w:tr>
          </w:tbl>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Cs/>
                <w:i w:val="0"/>
                <w:iCs w:val="0"/>
                <w:caps w:val="0"/>
                <w:color w:val="auto"/>
                <w:spacing w:val="0"/>
                <w:sz w:val="24"/>
                <w:szCs w:val="24"/>
                <w:shd w:val="clear"/>
                <w:lang w:val="en-US" w:eastAsia="zh-CN"/>
              </w:rPr>
              <w:t>根据统计表中可知，潘所海为</w:t>
            </w:r>
            <w:r>
              <w:rPr>
                <w:rFonts w:hint="default" w:ascii="Times New Roman" w:hAnsi="Times New Roman" w:eastAsia="宋体" w:cs="Times New Roman"/>
                <w:i w:val="0"/>
                <w:iCs w:val="0"/>
                <w:caps w:val="0"/>
                <w:color w:val="auto"/>
                <w:spacing w:val="0"/>
                <w:sz w:val="24"/>
                <w:szCs w:val="24"/>
                <w:shd w:val="clear" w:fill="FFFFFF"/>
              </w:rPr>
              <w:t>Ⅴ类</w:t>
            </w:r>
            <w:r>
              <w:rPr>
                <w:rFonts w:hint="default" w:ascii="Times New Roman" w:hAnsi="Times New Roman" w:eastAsia="宋体" w:cs="Times New Roman"/>
                <w:i w:val="0"/>
                <w:iCs w:val="0"/>
                <w:caps w:val="0"/>
                <w:color w:val="auto"/>
                <w:spacing w:val="0"/>
                <w:sz w:val="24"/>
                <w:szCs w:val="24"/>
                <w:shd w:val="clear" w:fill="FFFFFF"/>
                <w:lang w:eastAsia="zh-CN"/>
              </w:rPr>
              <w:t>，</w:t>
            </w:r>
            <w:r>
              <w:rPr>
                <w:rFonts w:hint="default" w:ascii="Times New Roman" w:hAnsi="Times New Roman" w:eastAsia="宋体" w:cs="Times New Roman"/>
                <w:color w:val="auto"/>
                <w:sz w:val="24"/>
                <w:szCs w:val="24"/>
                <w:highlight w:val="none"/>
              </w:rPr>
              <w:t>监测指标中</w:t>
            </w:r>
            <w:r>
              <w:rPr>
                <w:rFonts w:hint="default" w:ascii="Times New Roman" w:hAnsi="Times New Roman" w:eastAsia="宋体" w:cs="Times New Roman"/>
                <w:i w:val="0"/>
                <w:iCs w:val="0"/>
                <w:caps w:val="0"/>
                <w:color w:val="auto"/>
                <w:spacing w:val="0"/>
                <w:sz w:val="24"/>
                <w:szCs w:val="24"/>
                <w:shd w:val="clear" w:fill="FFFFFF"/>
              </w:rPr>
              <w:t>总磷</w:t>
            </w:r>
            <w:r>
              <w:rPr>
                <w:rFonts w:hint="default" w:ascii="Times New Roman" w:hAnsi="Times New Roman" w:eastAsia="宋体" w:cs="Times New Roman"/>
                <w:i w:val="0"/>
                <w:iCs w:val="0"/>
                <w:caps w:val="0"/>
                <w:color w:val="auto"/>
                <w:spacing w:val="0"/>
                <w:sz w:val="24"/>
                <w:szCs w:val="24"/>
                <w:shd w:val="clear" w:fill="FFFFFF"/>
                <w:lang w:eastAsia="zh-CN"/>
              </w:rPr>
              <w:t>、</w:t>
            </w:r>
            <w:r>
              <w:rPr>
                <w:rFonts w:hint="default" w:ascii="Times New Roman" w:hAnsi="Times New Roman" w:eastAsia="宋体" w:cs="Times New Roman"/>
                <w:i w:val="0"/>
                <w:iCs w:val="0"/>
                <w:caps w:val="0"/>
                <w:color w:val="auto"/>
                <w:spacing w:val="0"/>
                <w:sz w:val="24"/>
                <w:szCs w:val="24"/>
                <w:shd w:val="clear" w:fill="FFFFFF"/>
              </w:rPr>
              <w:t>化学</w:t>
            </w:r>
            <w:r>
              <w:rPr>
                <w:rFonts w:hint="default" w:ascii="Times New Roman" w:hAnsi="Times New Roman" w:eastAsia="宋体" w:cs="Times New Roman"/>
                <w:i w:val="0"/>
                <w:iCs w:val="0"/>
                <w:caps w:val="0"/>
                <w:color w:val="auto"/>
                <w:spacing w:val="0"/>
                <w:sz w:val="24"/>
                <w:szCs w:val="24"/>
                <w:highlight w:val="none"/>
                <w:shd w:val="clear"/>
              </w:rPr>
              <w:t>需氧量</w:t>
            </w:r>
            <w:r>
              <w:rPr>
                <w:rFonts w:hint="default" w:ascii="Times New Roman" w:hAnsi="Times New Roman" w:eastAsia="宋体" w:cs="Times New Roman"/>
                <w:i w:val="0"/>
                <w:iCs w:val="0"/>
                <w:caps w:val="0"/>
                <w:color w:val="auto"/>
                <w:spacing w:val="0"/>
                <w:sz w:val="24"/>
                <w:szCs w:val="24"/>
                <w:highlight w:val="none"/>
                <w:shd w:val="clear"/>
                <w:lang w:eastAsia="zh-CN"/>
              </w:rPr>
              <w:t>、</w:t>
            </w:r>
            <w:r>
              <w:rPr>
                <w:rFonts w:hint="default" w:ascii="Times New Roman" w:hAnsi="Times New Roman" w:eastAsia="宋体" w:cs="Times New Roman"/>
                <w:i w:val="0"/>
                <w:iCs w:val="0"/>
                <w:caps w:val="0"/>
                <w:color w:val="auto"/>
                <w:spacing w:val="0"/>
                <w:sz w:val="24"/>
                <w:szCs w:val="24"/>
                <w:highlight w:val="none"/>
                <w:shd w:val="clear"/>
              </w:rPr>
              <w:t>高锰酸盐指数</w:t>
            </w:r>
            <w:r>
              <w:rPr>
                <w:rFonts w:hint="default" w:ascii="Times New Roman" w:hAnsi="Times New Roman" w:eastAsia="宋体" w:cs="Times New Roman"/>
                <w:i w:val="0"/>
                <w:iCs w:val="0"/>
                <w:caps w:val="0"/>
                <w:color w:val="auto"/>
                <w:spacing w:val="0"/>
                <w:sz w:val="24"/>
                <w:szCs w:val="24"/>
                <w:highlight w:val="none"/>
                <w:shd w:val="clear"/>
                <w:lang w:eastAsia="zh-CN"/>
              </w:rPr>
              <w:t>、</w:t>
            </w:r>
            <w:r>
              <w:rPr>
                <w:rFonts w:hint="default" w:ascii="Times New Roman" w:hAnsi="Times New Roman" w:eastAsia="宋体" w:cs="Times New Roman"/>
                <w:i w:val="0"/>
                <w:iCs w:val="0"/>
                <w:caps w:val="0"/>
                <w:color w:val="auto"/>
                <w:spacing w:val="0"/>
                <w:sz w:val="24"/>
                <w:szCs w:val="24"/>
                <w:highlight w:val="none"/>
                <w:shd w:val="clear"/>
              </w:rPr>
              <w:t>五日生化</w:t>
            </w:r>
            <w:r>
              <w:rPr>
                <w:rFonts w:hint="default" w:ascii="Times New Roman" w:hAnsi="Times New Roman" w:eastAsia="宋体" w:cs="Times New Roman"/>
                <w:i w:val="0"/>
                <w:iCs w:val="0"/>
                <w:caps w:val="0"/>
                <w:color w:val="auto"/>
                <w:spacing w:val="0"/>
                <w:sz w:val="24"/>
                <w:szCs w:val="24"/>
                <w:shd w:val="clear" w:fill="FFFFFF"/>
              </w:rPr>
              <w:t>需氧量</w:t>
            </w:r>
            <w:r>
              <w:rPr>
                <w:rFonts w:hint="default" w:ascii="Times New Roman" w:hAnsi="Times New Roman" w:eastAsia="宋体" w:cs="Times New Roman"/>
                <w:color w:val="auto"/>
                <w:sz w:val="24"/>
                <w:szCs w:val="24"/>
                <w:highlight w:val="none"/>
              </w:rPr>
              <w:t>超标，分别超标</w:t>
            </w:r>
            <w:r>
              <w:rPr>
                <w:rFonts w:hint="default" w:ascii="Times New Roman" w:hAnsi="Times New Roman" w:eastAsia="宋体" w:cs="Times New Roman"/>
                <w:color w:val="auto"/>
                <w:sz w:val="24"/>
                <w:szCs w:val="24"/>
                <w:highlight w:val="none"/>
                <w:lang w:val="en-US" w:eastAsia="zh-CN"/>
              </w:rPr>
              <w:t>2.20</w:t>
            </w:r>
            <w:r>
              <w:rPr>
                <w:rFonts w:hint="default" w:ascii="Times New Roman" w:hAnsi="Times New Roman" w:eastAsia="宋体" w:cs="Times New Roman"/>
                <w:color w:val="auto"/>
                <w:sz w:val="24"/>
                <w:szCs w:val="24"/>
                <w:highlight w:val="none"/>
              </w:rPr>
              <w:t>倍、</w:t>
            </w:r>
            <w:r>
              <w:rPr>
                <w:rFonts w:hint="default" w:ascii="Times New Roman" w:hAnsi="Times New Roman" w:eastAsia="宋体" w:cs="Times New Roman"/>
                <w:color w:val="auto"/>
                <w:sz w:val="24"/>
                <w:szCs w:val="24"/>
                <w:highlight w:val="none"/>
                <w:lang w:val="en-US" w:eastAsia="zh-CN"/>
              </w:rPr>
              <w:t>0.75</w:t>
            </w:r>
            <w:r>
              <w:rPr>
                <w:rFonts w:hint="default" w:ascii="Times New Roman" w:hAnsi="Times New Roman" w:eastAsia="宋体" w:cs="Times New Roman"/>
                <w:color w:val="auto"/>
                <w:sz w:val="24"/>
                <w:szCs w:val="24"/>
                <w:highlight w:val="none"/>
              </w:rPr>
              <w:t>倍、</w:t>
            </w:r>
            <w:r>
              <w:rPr>
                <w:rFonts w:hint="default" w:ascii="Times New Roman" w:hAnsi="Times New Roman" w:eastAsia="宋体" w:cs="Times New Roman"/>
                <w:color w:val="auto"/>
                <w:sz w:val="24"/>
                <w:szCs w:val="24"/>
                <w:highlight w:val="none"/>
                <w:lang w:val="en-US" w:eastAsia="zh-CN"/>
              </w:rPr>
              <w:t>0.38</w:t>
            </w:r>
            <w:r>
              <w:rPr>
                <w:rFonts w:hint="default" w:ascii="Times New Roman" w:hAnsi="Times New Roman" w:eastAsia="宋体" w:cs="Times New Roman"/>
                <w:color w:val="auto"/>
                <w:sz w:val="24"/>
                <w:szCs w:val="24"/>
                <w:highlight w:val="none"/>
              </w:rPr>
              <w:t>倍、</w:t>
            </w:r>
            <w:r>
              <w:rPr>
                <w:rFonts w:hint="default" w:ascii="Times New Roman" w:hAnsi="Times New Roman" w:eastAsia="宋体" w:cs="Times New Roman"/>
                <w:color w:val="auto"/>
                <w:sz w:val="24"/>
                <w:szCs w:val="24"/>
                <w:highlight w:val="none"/>
                <w:lang w:val="en-US" w:eastAsia="zh-CN"/>
              </w:rPr>
              <w:t>0.08</w:t>
            </w:r>
            <w:r>
              <w:rPr>
                <w:rFonts w:hint="default" w:ascii="Times New Roman" w:hAnsi="Times New Roman" w:eastAsia="宋体" w:cs="Times New Roman"/>
                <w:color w:val="auto"/>
                <w:sz w:val="24"/>
                <w:szCs w:val="24"/>
                <w:highlight w:val="none"/>
              </w:rPr>
              <w:t>倍</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i w:val="0"/>
                <w:iCs w:val="0"/>
                <w:caps w:val="0"/>
                <w:color w:val="auto"/>
                <w:spacing w:val="0"/>
                <w:sz w:val="24"/>
                <w:szCs w:val="24"/>
                <w:highlight w:val="none"/>
                <w:shd w:val="clear"/>
              </w:rPr>
              <w:t>三月三水库</w:t>
            </w:r>
            <w:r>
              <w:rPr>
                <w:rFonts w:hint="default" w:ascii="Times New Roman" w:hAnsi="Times New Roman" w:eastAsia="宋体" w:cs="Times New Roman"/>
                <w:bCs w:val="0"/>
                <w:i w:val="0"/>
                <w:iCs w:val="0"/>
                <w:caps w:val="0"/>
                <w:color w:val="auto"/>
                <w:spacing w:val="0"/>
                <w:sz w:val="24"/>
                <w:szCs w:val="24"/>
                <w:highlight w:val="none"/>
                <w:shd w:val="clear"/>
                <w:lang w:val="en-US" w:eastAsia="zh-CN"/>
              </w:rPr>
              <w:t>为</w:t>
            </w:r>
            <w:r>
              <w:rPr>
                <w:rFonts w:hint="default" w:ascii="Times New Roman" w:hAnsi="Times New Roman" w:eastAsia="宋体" w:cs="Times New Roman"/>
                <w:i w:val="0"/>
                <w:iCs w:val="0"/>
                <w:caps w:val="0"/>
                <w:color w:val="auto"/>
                <w:spacing w:val="0"/>
                <w:sz w:val="24"/>
                <w:szCs w:val="24"/>
                <w:highlight w:val="none"/>
                <w:shd w:val="clear"/>
              </w:rPr>
              <w:t>劣Ⅴ类</w:t>
            </w:r>
            <w:r>
              <w:rPr>
                <w:rFonts w:hint="default" w:ascii="Times New Roman" w:hAnsi="Times New Roman" w:eastAsia="宋体" w:cs="Times New Roman"/>
                <w:i w:val="0"/>
                <w:iCs w:val="0"/>
                <w:caps w:val="0"/>
                <w:color w:val="auto"/>
                <w:spacing w:val="0"/>
                <w:sz w:val="24"/>
                <w:szCs w:val="24"/>
                <w:highlight w:val="none"/>
                <w:shd w:val="clear"/>
                <w:lang w:eastAsia="zh-CN"/>
              </w:rPr>
              <w:t>，</w:t>
            </w:r>
            <w:r>
              <w:rPr>
                <w:rFonts w:hint="default" w:ascii="Times New Roman" w:hAnsi="Times New Roman" w:eastAsia="宋体" w:cs="Times New Roman"/>
                <w:color w:val="auto"/>
                <w:sz w:val="24"/>
                <w:szCs w:val="24"/>
                <w:highlight w:val="none"/>
              </w:rPr>
              <w:t>监测指标中</w:t>
            </w:r>
            <w:r>
              <w:rPr>
                <w:rFonts w:hint="default" w:ascii="Times New Roman" w:hAnsi="Times New Roman" w:eastAsia="宋体" w:cs="Times New Roman"/>
                <w:i w:val="0"/>
                <w:iCs w:val="0"/>
                <w:caps w:val="0"/>
                <w:color w:val="auto"/>
                <w:spacing w:val="0"/>
                <w:sz w:val="24"/>
                <w:szCs w:val="24"/>
                <w:highlight w:val="none"/>
                <w:shd w:val="clear"/>
              </w:rPr>
              <w:t>化学需氧量</w:t>
            </w:r>
            <w:r>
              <w:rPr>
                <w:rFonts w:hint="default" w:ascii="Times New Roman" w:hAnsi="Times New Roman" w:eastAsia="宋体" w:cs="Times New Roman"/>
                <w:i w:val="0"/>
                <w:iCs w:val="0"/>
                <w:caps w:val="0"/>
                <w:color w:val="auto"/>
                <w:spacing w:val="0"/>
                <w:sz w:val="24"/>
                <w:szCs w:val="24"/>
                <w:highlight w:val="none"/>
                <w:shd w:val="clear"/>
                <w:lang w:eastAsia="zh-CN"/>
              </w:rPr>
              <w:t>、</w:t>
            </w:r>
            <w:r>
              <w:rPr>
                <w:rFonts w:hint="default" w:ascii="Times New Roman" w:hAnsi="Times New Roman" w:eastAsia="宋体" w:cs="Times New Roman"/>
                <w:i w:val="0"/>
                <w:iCs w:val="0"/>
                <w:caps w:val="0"/>
                <w:color w:val="auto"/>
                <w:spacing w:val="0"/>
                <w:sz w:val="24"/>
                <w:szCs w:val="24"/>
                <w:highlight w:val="none"/>
                <w:shd w:val="clear"/>
              </w:rPr>
              <w:t>总磷</w:t>
            </w:r>
            <w:r>
              <w:rPr>
                <w:rFonts w:hint="default" w:ascii="Times New Roman" w:hAnsi="Times New Roman" w:eastAsia="宋体" w:cs="Times New Roman"/>
                <w:i w:val="0"/>
                <w:iCs w:val="0"/>
                <w:caps w:val="0"/>
                <w:color w:val="auto"/>
                <w:spacing w:val="0"/>
                <w:sz w:val="24"/>
                <w:szCs w:val="24"/>
                <w:highlight w:val="none"/>
                <w:shd w:val="clear"/>
                <w:lang w:eastAsia="zh-CN"/>
              </w:rPr>
              <w:t>、</w:t>
            </w:r>
            <w:r>
              <w:rPr>
                <w:rFonts w:hint="default" w:ascii="Times New Roman" w:hAnsi="Times New Roman" w:eastAsia="宋体" w:cs="Times New Roman"/>
                <w:i w:val="0"/>
                <w:iCs w:val="0"/>
                <w:caps w:val="0"/>
                <w:color w:val="auto"/>
                <w:spacing w:val="0"/>
                <w:sz w:val="24"/>
                <w:szCs w:val="24"/>
                <w:highlight w:val="none"/>
                <w:shd w:val="clear"/>
              </w:rPr>
              <w:t>氟化物</w:t>
            </w:r>
            <w:r>
              <w:rPr>
                <w:rFonts w:hint="default" w:ascii="Times New Roman" w:hAnsi="Times New Roman" w:eastAsia="宋体" w:cs="Times New Roman"/>
                <w:i w:val="0"/>
                <w:iCs w:val="0"/>
                <w:caps w:val="0"/>
                <w:color w:val="auto"/>
                <w:spacing w:val="0"/>
                <w:sz w:val="24"/>
                <w:szCs w:val="24"/>
                <w:highlight w:val="none"/>
                <w:shd w:val="clear"/>
                <w:lang w:eastAsia="zh-CN"/>
              </w:rPr>
              <w:t>、</w:t>
            </w:r>
            <w:r>
              <w:rPr>
                <w:rFonts w:hint="default" w:ascii="Times New Roman" w:hAnsi="Times New Roman" w:eastAsia="宋体" w:cs="Times New Roman"/>
                <w:i w:val="0"/>
                <w:iCs w:val="0"/>
                <w:caps w:val="0"/>
                <w:color w:val="auto"/>
                <w:spacing w:val="0"/>
                <w:sz w:val="24"/>
                <w:szCs w:val="24"/>
                <w:highlight w:val="none"/>
                <w:shd w:val="clear"/>
              </w:rPr>
              <w:t>高锰酸盐指数</w:t>
            </w:r>
            <w:r>
              <w:rPr>
                <w:rFonts w:hint="default" w:ascii="Times New Roman" w:hAnsi="Times New Roman" w:eastAsia="宋体" w:cs="Times New Roman"/>
                <w:color w:val="auto"/>
                <w:sz w:val="24"/>
                <w:szCs w:val="24"/>
                <w:highlight w:val="none"/>
              </w:rPr>
              <w:t>超标，分别超标</w:t>
            </w:r>
            <w:r>
              <w:rPr>
                <w:rFonts w:hint="default" w:ascii="Times New Roman" w:hAnsi="Times New Roman" w:eastAsia="宋体" w:cs="Times New Roman"/>
                <w:color w:val="auto"/>
                <w:sz w:val="24"/>
                <w:szCs w:val="24"/>
                <w:highlight w:val="none"/>
                <w:lang w:val="en-US" w:eastAsia="zh-CN"/>
              </w:rPr>
              <w:t>1.95</w:t>
            </w:r>
            <w:r>
              <w:rPr>
                <w:rFonts w:hint="default" w:ascii="Times New Roman" w:hAnsi="Times New Roman" w:eastAsia="宋体" w:cs="Times New Roman"/>
                <w:color w:val="auto"/>
                <w:sz w:val="24"/>
                <w:szCs w:val="24"/>
                <w:highlight w:val="none"/>
              </w:rPr>
              <w:t>倍、</w:t>
            </w:r>
            <w:r>
              <w:rPr>
                <w:rFonts w:hint="default" w:ascii="Times New Roman" w:hAnsi="Times New Roman" w:eastAsia="宋体" w:cs="Times New Roman"/>
                <w:color w:val="auto"/>
                <w:sz w:val="24"/>
                <w:szCs w:val="24"/>
                <w:highlight w:val="none"/>
                <w:lang w:val="en-US" w:eastAsia="zh-CN"/>
              </w:rPr>
              <w:t>1.00</w:t>
            </w:r>
            <w:r>
              <w:rPr>
                <w:rFonts w:hint="default" w:ascii="Times New Roman" w:hAnsi="Times New Roman" w:eastAsia="宋体" w:cs="Times New Roman"/>
                <w:color w:val="auto"/>
                <w:sz w:val="24"/>
                <w:szCs w:val="24"/>
                <w:highlight w:val="none"/>
              </w:rPr>
              <w:t>倍、</w:t>
            </w:r>
            <w:r>
              <w:rPr>
                <w:rFonts w:hint="default" w:ascii="Times New Roman" w:hAnsi="Times New Roman" w:eastAsia="宋体" w:cs="Times New Roman"/>
                <w:color w:val="auto"/>
                <w:sz w:val="24"/>
                <w:szCs w:val="24"/>
                <w:highlight w:val="none"/>
                <w:lang w:val="en-US" w:eastAsia="zh-CN"/>
              </w:rPr>
              <w:t>0.45</w:t>
            </w:r>
            <w:r>
              <w:rPr>
                <w:rFonts w:hint="default" w:ascii="Times New Roman" w:hAnsi="Times New Roman" w:eastAsia="宋体" w:cs="Times New Roman"/>
                <w:color w:val="auto"/>
                <w:sz w:val="24"/>
                <w:szCs w:val="24"/>
                <w:highlight w:val="none"/>
              </w:rPr>
              <w:t>倍、</w:t>
            </w:r>
            <w:r>
              <w:rPr>
                <w:rFonts w:hint="default" w:ascii="Times New Roman" w:hAnsi="Times New Roman" w:eastAsia="宋体" w:cs="Times New Roman"/>
                <w:color w:val="auto"/>
                <w:sz w:val="24"/>
                <w:szCs w:val="24"/>
                <w:highlight w:val="none"/>
                <w:lang w:val="en-US" w:eastAsia="zh-CN"/>
              </w:rPr>
              <w:t>0.03</w:t>
            </w:r>
            <w:r>
              <w:rPr>
                <w:rFonts w:hint="default" w:ascii="Times New Roman" w:hAnsi="Times New Roman" w:eastAsia="宋体" w:cs="Times New Roman"/>
                <w:color w:val="auto"/>
                <w:sz w:val="24"/>
                <w:szCs w:val="24"/>
                <w:highlight w:val="none"/>
              </w:rPr>
              <w:t>倍</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潘所海</w:t>
            </w:r>
            <w:r>
              <w:rPr>
                <w:rFonts w:hint="default"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i w:val="0"/>
                <w:iCs w:val="0"/>
                <w:caps w:val="0"/>
                <w:color w:val="auto"/>
                <w:spacing w:val="0"/>
                <w:sz w:val="24"/>
                <w:szCs w:val="24"/>
                <w:shd w:val="clear" w:fill="FFFFFF"/>
              </w:rPr>
              <w:t>三月三水库</w:t>
            </w:r>
            <w:r>
              <w:rPr>
                <w:rFonts w:hint="default" w:ascii="Times New Roman" w:hAnsi="Times New Roman" w:eastAsia="宋体" w:cs="Times New Roman"/>
                <w:color w:val="auto"/>
                <w:sz w:val="24"/>
                <w:szCs w:val="24"/>
                <w:highlight w:val="none"/>
              </w:rPr>
              <w:t>水质</w:t>
            </w:r>
            <w:r>
              <w:rPr>
                <w:rFonts w:hint="default" w:ascii="Times New Roman" w:hAnsi="Times New Roman" w:eastAsia="宋体" w:cs="Times New Roman"/>
                <w:color w:val="auto"/>
                <w:sz w:val="24"/>
                <w:szCs w:val="24"/>
                <w:highlight w:val="none"/>
                <w:lang w:val="en-US" w:eastAsia="zh-CN"/>
              </w:rPr>
              <w:t>均</w:t>
            </w:r>
            <w:r>
              <w:rPr>
                <w:rFonts w:hint="default" w:ascii="Times New Roman" w:hAnsi="Times New Roman" w:eastAsia="宋体" w:cs="Times New Roman"/>
                <w:color w:val="auto"/>
                <w:sz w:val="24"/>
                <w:szCs w:val="24"/>
                <w:highlight w:val="none"/>
              </w:rPr>
              <w:t>不能达到《地表水环境质量标准》（GB3838-2002）Ⅲ类标准限值</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highlight w:val="none"/>
              </w:rPr>
              <w:t>不能满足相关功能区划要求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根据本次环评调查分析及《寻甸特色产业园区总体规划修编（2018-2035年）环境影响报告书（报批稿）》分析</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highlight w:val="none"/>
              </w:rPr>
              <w:t>超标原因主要是由于</w:t>
            </w:r>
            <w:r>
              <w:rPr>
                <w:rFonts w:hint="default" w:ascii="Times New Roman" w:hAnsi="Times New Roman" w:eastAsia="宋体" w:cs="Times New Roman"/>
                <w:color w:val="auto"/>
                <w:sz w:val="24"/>
                <w:highlight w:val="none"/>
                <w:lang w:val="en-US" w:eastAsia="zh-CN"/>
              </w:rPr>
              <w:t>入湖</w:t>
            </w:r>
            <w:r>
              <w:rPr>
                <w:rFonts w:hint="default" w:ascii="Times New Roman" w:hAnsi="Times New Roman" w:eastAsia="宋体" w:cs="Times New Roman"/>
                <w:color w:val="auto"/>
                <w:sz w:val="24"/>
                <w:highlight w:val="none"/>
              </w:rPr>
              <w:t>河道沿岸仍有生活污水汇入河道，生活面源污染导致水质变差，不能满足功能区划的要求。</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3、声环境质量现状</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项目位于</w:t>
            </w:r>
            <w:r>
              <w:rPr>
                <w:rFonts w:hint="default" w:ascii="Times New Roman" w:hAnsi="Times New Roman" w:eastAsia="宋体" w:cs="Times New Roman"/>
                <w:color w:val="auto"/>
                <w:sz w:val="24"/>
                <w:szCs w:val="24"/>
                <w:highlight w:val="none"/>
                <w:u w:val="none"/>
                <w:lang w:val="en-US" w:eastAsia="zh-CN"/>
              </w:rPr>
              <w:t>寻甸特色产业园区金所片区内</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rPr>
              <w:t>根据园区环境保护规划，项目所在区域属于3类声环境功能区，评价区域</w:t>
            </w:r>
            <w:r>
              <w:rPr>
                <w:rFonts w:hint="default" w:ascii="Times New Roman" w:hAnsi="Times New Roman" w:eastAsia="宋体" w:cs="Times New Roman"/>
                <w:color w:val="auto"/>
                <w:sz w:val="24"/>
                <w:highlight w:val="none"/>
                <w:lang w:val="zh-CN"/>
              </w:rPr>
              <w:t>属于</w:t>
            </w:r>
            <w:r>
              <w:rPr>
                <w:rFonts w:hint="default" w:ascii="Times New Roman" w:hAnsi="Times New Roman" w:eastAsia="宋体" w:cs="Times New Roman"/>
                <w:color w:val="auto"/>
                <w:sz w:val="24"/>
                <w:highlight w:val="none"/>
              </w:rPr>
              <w:t>《声环境质量标准》（GB3096-2008）3类声环境功能区。</w:t>
            </w:r>
            <w:r>
              <w:rPr>
                <w:rFonts w:hint="default" w:ascii="Times New Roman" w:hAnsi="Times New Roman" w:eastAsia="宋体" w:cs="Times New Roman"/>
                <w:color w:val="auto"/>
                <w:sz w:val="24"/>
                <w:lang w:val="en-US" w:eastAsia="zh-CN"/>
              </w:rPr>
              <w:t>同时，</w:t>
            </w:r>
            <w:r>
              <w:rPr>
                <w:rFonts w:hint="default" w:ascii="Times New Roman" w:hAnsi="Times New Roman" w:eastAsia="宋体" w:cs="Times New Roman"/>
                <w:color w:val="auto"/>
                <w:sz w:val="24"/>
              </w:rPr>
              <w:t>项目区东侧临1号路，1号路为市政主干道，根据《声环境功能区划分技术规范》（GB/T15190-2014）</w:t>
            </w:r>
            <w:r>
              <w:rPr>
                <w:rFonts w:hint="default" w:ascii="Times New Roman" w:hAnsi="Times New Roman" w:eastAsia="宋体" w:cs="Times New Roman"/>
                <w:color w:val="auto"/>
                <w:sz w:val="24"/>
                <w:highlight w:val="none"/>
                <w:lang w:val="en-US" w:eastAsia="zh-CN" w:bidi="ar"/>
              </w:rPr>
              <w:t>中8.3可知</w:t>
            </w:r>
            <w:r>
              <w:rPr>
                <w:rFonts w:hint="default" w:ascii="Times New Roman" w:hAnsi="Times New Roman" w:eastAsia="宋体" w:cs="Times New Roman"/>
                <w:color w:val="auto"/>
                <w:sz w:val="24"/>
              </w:rPr>
              <w:t>，相邻区域为3类声环境功能区，交通干线边界外距离为20m±5m的区域内为4a类声环境功能区，执行4a类标准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因此项目</w:t>
            </w:r>
            <w:r>
              <w:rPr>
                <w:rFonts w:hint="default" w:ascii="Times New Roman" w:hAnsi="Times New Roman" w:eastAsia="宋体" w:cs="Times New Roman"/>
                <w:color w:val="auto"/>
                <w:sz w:val="24"/>
              </w:rPr>
              <w:t>临1号路一侧</w:t>
            </w:r>
            <w:r>
              <w:rPr>
                <w:rFonts w:hint="default" w:ascii="Times New Roman" w:hAnsi="Times New Roman" w:eastAsia="宋体" w:cs="Times New Roman"/>
                <w:color w:val="auto"/>
                <w:sz w:val="24"/>
                <w:lang w:val="en-US" w:eastAsia="zh-CN"/>
              </w:rPr>
              <w:t>25</w:t>
            </w:r>
            <w:r>
              <w:rPr>
                <w:rFonts w:hint="default" w:ascii="Times New Roman" w:hAnsi="Times New Roman" w:eastAsia="宋体" w:cs="Times New Roman"/>
                <w:color w:val="auto"/>
                <w:sz w:val="24"/>
              </w:rPr>
              <w:t>m范围内执行</w:t>
            </w:r>
            <w:r>
              <w:rPr>
                <w:rFonts w:hint="default" w:ascii="Times New Roman" w:hAnsi="Times New Roman" w:eastAsia="宋体" w:cs="Times New Roman"/>
                <w:color w:val="auto"/>
                <w:sz w:val="24"/>
                <w:highlight w:val="none"/>
              </w:rPr>
              <w:t>《声环境质量标准》（GB3096-2008）</w:t>
            </w:r>
            <w:r>
              <w:rPr>
                <w:rFonts w:hint="default" w:ascii="Times New Roman" w:hAnsi="Times New Roman" w:eastAsia="宋体" w:cs="Times New Roman"/>
                <w:color w:val="auto"/>
                <w:sz w:val="24"/>
              </w:rPr>
              <w:t>4a类标准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其余3侧执行</w:t>
            </w:r>
            <w:r>
              <w:rPr>
                <w:rFonts w:hint="default" w:ascii="Times New Roman" w:hAnsi="Times New Roman" w:eastAsia="宋体" w:cs="Times New Roman"/>
                <w:color w:val="auto"/>
                <w:sz w:val="24"/>
                <w:highlight w:val="none"/>
              </w:rPr>
              <w:t>《声环境质量标准》（GB3096-2008）3类</w:t>
            </w:r>
            <w:r>
              <w:rPr>
                <w:rFonts w:hint="default" w:ascii="Times New Roman" w:hAnsi="Times New Roman" w:eastAsia="宋体" w:cs="Times New Roman"/>
                <w:color w:val="auto"/>
                <w:sz w:val="24"/>
                <w:highlight w:val="none"/>
                <w:lang w:val="en-US" w:eastAsia="zh-CN"/>
              </w:rPr>
              <w:t>标准要求</w:t>
            </w:r>
            <w:r>
              <w:rPr>
                <w:rFonts w:hint="default" w:ascii="Times New Roman" w:hAnsi="Times New Roman" w:eastAsia="宋体" w:cs="Times New Roman"/>
                <w:color w:val="auto"/>
                <w:sz w:val="24"/>
              </w:rPr>
              <w:t>。</w:t>
            </w:r>
          </w:p>
          <w:p>
            <w:pPr>
              <w:pStyle w:val="71"/>
              <w:snapToGrid w:val="0"/>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sz w:val="24"/>
                <w:highlight w:val="none"/>
                <w:lang w:bidi="ar"/>
              </w:rPr>
              <w:t>根据《建设项目环境影响报告表编制技术指南（污染影响类）》（试行），</w:t>
            </w:r>
            <w:r>
              <w:rPr>
                <w:rFonts w:hint="default" w:ascii="Times New Roman" w:hAnsi="Times New Roman" w:eastAsia="宋体" w:cs="Times New Roman"/>
                <w:color w:val="auto"/>
                <w:kern w:val="0"/>
                <w:highlight w:val="none"/>
                <w:lang w:val="en-US" w:eastAsia="zh-CN"/>
              </w:rPr>
              <w:t>项目区50m范围内无声环境保护目标，因此未进行</w:t>
            </w:r>
            <w:r>
              <w:rPr>
                <w:rFonts w:hint="default" w:ascii="Times New Roman" w:hAnsi="Times New Roman" w:eastAsia="宋体" w:cs="Times New Roman"/>
                <w:color w:val="auto"/>
                <w:kern w:val="0"/>
                <w:highlight w:val="none"/>
              </w:rPr>
              <w:t>声环境质量现状</w:t>
            </w:r>
            <w:r>
              <w:rPr>
                <w:rFonts w:hint="default" w:ascii="Times New Roman" w:hAnsi="Times New Roman" w:eastAsia="宋体" w:cs="Times New Roman"/>
                <w:color w:val="auto"/>
                <w:kern w:val="0"/>
                <w:highlight w:val="none"/>
                <w:lang w:val="en-US" w:eastAsia="zh-CN"/>
              </w:rPr>
              <w:t>监测。</w:t>
            </w:r>
            <w:r>
              <w:rPr>
                <w:rFonts w:hint="default" w:ascii="Times New Roman" w:hAnsi="Times New Roman" w:eastAsia="宋体" w:cs="Times New Roman"/>
                <w:bCs/>
                <w:color w:val="auto"/>
                <w:sz w:val="24"/>
                <w:highlight w:val="none"/>
              </w:rPr>
              <w:t>根据《202</w:t>
            </w:r>
            <w:r>
              <w:rPr>
                <w:rFonts w:hint="default"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rPr>
              <w:t>年度昆明市生态环境状况公报》</w:t>
            </w:r>
            <w:r>
              <w:rPr>
                <w:rFonts w:hint="default" w:ascii="Times New Roman" w:hAnsi="Times New Roman" w:eastAsia="宋体" w:cs="Times New Roman"/>
                <w:bCs/>
                <w:color w:val="auto"/>
                <w:sz w:val="24"/>
                <w:highlight w:val="none"/>
                <w:lang w:val="en-US" w:eastAsia="zh-CN"/>
              </w:rPr>
              <w:t>可知，2022年</w:t>
            </w:r>
            <w:r>
              <w:rPr>
                <w:rFonts w:hint="default" w:ascii="Times New Roman" w:hAnsi="Times New Roman" w:eastAsia="宋体" w:cs="Times New Roman"/>
                <w:bCs/>
                <w:color w:val="auto"/>
                <w:sz w:val="24"/>
                <w:highlight w:val="none"/>
                <w:lang w:eastAsia="zh-CN"/>
              </w:rPr>
              <w:t>昆明</w:t>
            </w:r>
            <w:r>
              <w:rPr>
                <w:rFonts w:hint="default" w:ascii="Times New Roman" w:hAnsi="Times New Roman" w:eastAsia="宋体" w:cs="Times New Roman"/>
                <w:bCs/>
                <w:color w:val="auto"/>
                <w:sz w:val="24"/>
                <w:highlight w:val="none"/>
                <w:lang w:val="en-US" w:eastAsia="zh-CN"/>
              </w:rPr>
              <w:t>市</w:t>
            </w:r>
            <w:r>
              <w:rPr>
                <w:rFonts w:hint="default" w:ascii="Times New Roman" w:hAnsi="Times New Roman" w:eastAsia="宋体" w:cs="Times New Roman"/>
                <w:bCs/>
                <w:color w:val="auto"/>
                <w:sz w:val="24"/>
                <w:highlight w:val="none"/>
                <w:lang w:eastAsia="zh-CN"/>
              </w:rPr>
              <w:t>主城区</w:t>
            </w:r>
            <w:r>
              <w:rPr>
                <w:rFonts w:hint="default" w:ascii="Times New Roman" w:hAnsi="Times New Roman" w:eastAsia="宋体" w:cs="Times New Roman"/>
                <w:bCs/>
                <w:color w:val="auto"/>
                <w:sz w:val="24"/>
                <w:highlight w:val="none"/>
                <w:lang w:val="en-US" w:eastAsia="zh-CN"/>
              </w:rPr>
              <w:t>昼间</w:t>
            </w:r>
            <w:r>
              <w:rPr>
                <w:rFonts w:hint="default" w:ascii="Times New Roman" w:hAnsi="Times New Roman" w:eastAsia="宋体" w:cs="Times New Roman"/>
                <w:bCs/>
                <w:color w:val="auto"/>
                <w:sz w:val="24"/>
                <w:highlight w:val="none"/>
                <w:lang w:eastAsia="zh-CN"/>
              </w:rPr>
              <w:t>区域环境噪声平均</w:t>
            </w:r>
            <w:r>
              <w:rPr>
                <w:rFonts w:hint="default" w:ascii="Times New Roman" w:hAnsi="Times New Roman" w:eastAsia="宋体" w:cs="Times New Roman"/>
                <w:bCs/>
                <w:color w:val="auto"/>
                <w:sz w:val="24"/>
                <w:highlight w:val="none"/>
                <w:lang w:val="en-US" w:eastAsia="zh-CN"/>
              </w:rPr>
              <w:t>值</w:t>
            </w:r>
            <w:r>
              <w:rPr>
                <w:rFonts w:hint="default" w:ascii="Times New Roman" w:hAnsi="Times New Roman" w:eastAsia="宋体" w:cs="Times New Roman"/>
                <w:bCs/>
                <w:color w:val="auto"/>
                <w:sz w:val="24"/>
                <w:highlight w:val="none"/>
                <w:lang w:eastAsia="zh-CN"/>
              </w:rPr>
              <w:t>为</w:t>
            </w:r>
            <w:r>
              <w:rPr>
                <w:rFonts w:hint="default" w:ascii="Times New Roman" w:hAnsi="Times New Roman" w:eastAsia="宋体" w:cs="Times New Roman"/>
                <w:bCs/>
                <w:color w:val="auto"/>
                <w:sz w:val="24"/>
                <w:highlight w:val="none"/>
                <w:lang w:val="en-US" w:eastAsia="zh-CN"/>
              </w:rPr>
              <w:t>52.4分贝，</w:t>
            </w:r>
            <w:r>
              <w:rPr>
                <w:rFonts w:hint="default" w:ascii="Times New Roman" w:hAnsi="Times New Roman" w:eastAsia="宋体" w:cs="Times New Roman"/>
                <w:bCs/>
                <w:color w:val="auto"/>
                <w:sz w:val="24"/>
                <w:highlight w:val="none"/>
                <w:lang w:eastAsia="zh-CN"/>
              </w:rPr>
              <w:t>较</w:t>
            </w:r>
            <w:r>
              <w:rPr>
                <w:rFonts w:hint="default" w:ascii="Times New Roman" w:hAnsi="Times New Roman" w:eastAsia="宋体" w:cs="Times New Roman"/>
                <w:bCs/>
                <w:color w:val="auto"/>
                <w:sz w:val="24"/>
                <w:highlight w:val="none"/>
                <w:lang w:val="en-US" w:eastAsia="zh-CN"/>
              </w:rPr>
              <w:t>2021</w:t>
            </w:r>
            <w:r>
              <w:rPr>
                <w:rFonts w:hint="default" w:ascii="Times New Roman" w:hAnsi="Times New Roman" w:eastAsia="宋体" w:cs="Times New Roman"/>
                <w:bCs/>
                <w:color w:val="auto"/>
                <w:sz w:val="24"/>
                <w:highlight w:val="none"/>
                <w:lang w:eastAsia="zh-CN"/>
              </w:rPr>
              <w:t>年下降</w:t>
            </w:r>
            <w:r>
              <w:rPr>
                <w:rFonts w:hint="default" w:ascii="Times New Roman" w:hAnsi="Times New Roman" w:eastAsia="宋体" w:cs="Times New Roman"/>
                <w:bCs/>
                <w:color w:val="auto"/>
                <w:sz w:val="24"/>
                <w:highlight w:val="none"/>
                <w:lang w:val="en-US" w:eastAsia="zh-CN"/>
              </w:rPr>
              <w:t>0.1分贝，根据区域环境噪声质量划分等级</w:t>
            </w:r>
            <w:r>
              <w:rPr>
                <w:rFonts w:hint="default" w:ascii="Times New Roman" w:hAnsi="Times New Roman" w:eastAsia="宋体" w:cs="Times New Roman"/>
                <w:bCs/>
                <w:color w:val="auto"/>
                <w:sz w:val="24"/>
                <w:highlight w:val="none"/>
              </w:rPr>
              <w:t>，主城区区域环境噪声总体水平为二级</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较好</w:t>
            </w:r>
            <w:r>
              <w:rPr>
                <w:rFonts w:hint="default" w:ascii="Times New Roman" w:hAnsi="Times New Roman" w:eastAsia="宋体" w:cs="Times New Roman"/>
                <w:bCs/>
                <w:color w:val="auto"/>
                <w:sz w:val="24"/>
                <w:highlight w:val="none"/>
                <w:lang w:eastAsia="zh-CN"/>
              </w:rPr>
              <w:t>）。</w:t>
            </w:r>
          </w:p>
          <w:p>
            <w:pPr>
              <w:adjustRightInd w:val="0"/>
              <w:snapToGrid w:val="0"/>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4、</w:t>
            </w:r>
            <w:r>
              <w:rPr>
                <w:rFonts w:hint="default" w:ascii="Times New Roman" w:hAnsi="Times New Roman" w:eastAsia="宋体" w:cs="Times New Roman"/>
                <w:b/>
                <w:bCs/>
                <w:color w:val="auto"/>
                <w:sz w:val="24"/>
                <w:highlight w:val="none"/>
                <w:lang w:val="en-US" w:eastAsia="zh-CN"/>
              </w:rPr>
              <w:t>土壤、</w:t>
            </w:r>
            <w:r>
              <w:rPr>
                <w:rFonts w:hint="default" w:ascii="Times New Roman" w:hAnsi="Times New Roman" w:eastAsia="宋体" w:cs="Times New Roman"/>
                <w:b/>
                <w:bCs/>
                <w:color w:val="auto"/>
                <w:sz w:val="24"/>
                <w:highlight w:val="none"/>
              </w:rPr>
              <w:t>地下水环境质量现状</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Cs/>
                <w:color w:val="auto"/>
                <w:sz w:val="24"/>
                <w:highlight w:val="none"/>
              </w:rPr>
              <w:t>本项目为</w:t>
            </w:r>
            <w:r>
              <w:rPr>
                <w:rFonts w:hint="default" w:ascii="Times New Roman" w:hAnsi="Times New Roman" w:eastAsia="宋体" w:cs="Times New Roman"/>
                <w:bCs/>
                <w:color w:val="auto"/>
                <w:sz w:val="24"/>
                <w:highlight w:val="none"/>
                <w:lang w:val="en-US" w:eastAsia="zh-CN"/>
              </w:rPr>
              <w:t>塑料薄膜制造项目</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color w:val="auto"/>
                <w:sz w:val="24"/>
                <w:highlight w:val="none"/>
              </w:rPr>
              <w:t>根据《建设项目环境影响报告表编制技术指南（污染影响类）》，原则上不开展</w:t>
            </w:r>
            <w:r>
              <w:rPr>
                <w:rFonts w:hint="default" w:ascii="Times New Roman" w:hAnsi="Times New Roman" w:eastAsia="宋体" w:cs="Times New Roman"/>
                <w:color w:val="auto"/>
                <w:sz w:val="24"/>
                <w:highlight w:val="none"/>
                <w:lang w:val="en-US" w:eastAsia="zh-CN"/>
              </w:rPr>
              <w:t>土壤及地下水</w:t>
            </w:r>
            <w:r>
              <w:rPr>
                <w:rFonts w:hint="default" w:ascii="Times New Roman" w:hAnsi="Times New Roman" w:eastAsia="宋体" w:cs="Times New Roman"/>
                <w:color w:val="auto"/>
                <w:sz w:val="24"/>
                <w:highlight w:val="none"/>
              </w:rPr>
              <w:t>环境质量现状调查。</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5、生态环境质量现状</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lang w:val="zh-CN"/>
              </w:rPr>
              <w:t>项目所在区域</w:t>
            </w:r>
            <w:r>
              <w:rPr>
                <w:rFonts w:hint="default" w:ascii="Times New Roman" w:hAnsi="Times New Roman" w:eastAsia="宋体" w:cs="Times New Roman"/>
                <w:color w:val="auto"/>
                <w:sz w:val="24"/>
                <w:szCs w:val="24"/>
                <w:highlight w:val="none"/>
                <w:lang w:val="en-US" w:eastAsia="zh-CN"/>
              </w:rPr>
              <w:t>为工业园区，周边已建成生产厂房，同时本项目为扩建项目，在原项目已建成厂房内安装设备后进行生产，区域</w:t>
            </w:r>
            <w:r>
              <w:rPr>
                <w:rFonts w:hint="default" w:ascii="Times New Roman" w:hAnsi="Times New Roman" w:eastAsia="宋体" w:cs="Times New Roman"/>
                <w:color w:val="auto"/>
                <w:sz w:val="24"/>
                <w:szCs w:val="24"/>
                <w:highlight w:val="none"/>
                <w:lang w:val="zh-CN"/>
              </w:rPr>
              <w:t>现状主要为水泥路面和人工绿化植被，</w:t>
            </w:r>
            <w:r>
              <w:rPr>
                <w:rFonts w:hint="default" w:ascii="Times New Roman" w:hAnsi="Times New Roman" w:eastAsia="宋体" w:cs="Times New Roman"/>
                <w:color w:val="auto"/>
                <w:sz w:val="24"/>
                <w:szCs w:val="24"/>
                <w:highlight w:val="none"/>
                <w:lang w:val="en-US" w:eastAsia="zh-CN"/>
              </w:rPr>
              <w:t>主要为厂内绿化及行道树，</w:t>
            </w:r>
            <w:r>
              <w:rPr>
                <w:rFonts w:hint="default" w:ascii="Times New Roman" w:hAnsi="Times New Roman" w:eastAsia="宋体" w:cs="Times New Roman"/>
                <w:color w:val="auto"/>
                <w:sz w:val="24"/>
                <w:szCs w:val="24"/>
                <w:highlight w:val="none"/>
                <w:lang w:val="zh-CN"/>
              </w:rPr>
              <w:t>无天然植被，生态环境自我调节能力低。调查范围内未涉及国家保护的珍贵野生动、植物。</w:t>
            </w:r>
            <w:r>
              <w:rPr>
                <w:rFonts w:hint="default" w:ascii="Times New Roman" w:hAnsi="Times New Roman" w:eastAsia="宋体" w:cs="Times New Roman"/>
                <w:color w:val="auto"/>
                <w:sz w:val="24"/>
                <w:szCs w:val="24"/>
                <w:highlight w:val="none"/>
                <w:lang w:val="en-US" w:eastAsia="zh-CN"/>
              </w:rPr>
              <w:t>评价范围</w:t>
            </w:r>
            <w:r>
              <w:rPr>
                <w:rFonts w:hint="default" w:ascii="Times New Roman" w:hAnsi="Times New Roman" w:eastAsia="宋体" w:cs="Times New Roman"/>
                <w:color w:val="auto"/>
                <w:sz w:val="24"/>
                <w:szCs w:val="24"/>
                <w:highlight w:val="none"/>
                <w:lang w:val="zh-CN"/>
              </w:rPr>
              <w:t>内无自然保护区、风景名胜区、森林公园、历史文化遗迹等需要特殊保护的生态敏感目标，无国家珍稀濒危保护物种、国家重点保护野生</w:t>
            </w:r>
            <w:r>
              <w:rPr>
                <w:rFonts w:hint="default" w:ascii="Times New Roman" w:hAnsi="Times New Roman" w:eastAsia="宋体" w:cs="Times New Roman"/>
                <w:color w:val="auto"/>
                <w:sz w:val="24"/>
                <w:szCs w:val="24"/>
                <w:highlight w:val="none"/>
                <w:lang w:val="en-US" w:eastAsia="zh-CN"/>
              </w:rPr>
              <w:t>动</w:t>
            </w:r>
            <w:r>
              <w:rPr>
                <w:rFonts w:hint="default" w:ascii="Times New Roman" w:hAnsi="Times New Roman" w:eastAsia="宋体" w:cs="Times New Roman"/>
                <w:color w:val="auto"/>
                <w:sz w:val="24"/>
                <w:szCs w:val="24"/>
                <w:highlight w:val="none"/>
                <w:lang w:val="zh-CN"/>
              </w:rPr>
              <w:t>植物和云南省级重点</w:t>
            </w:r>
            <w:r>
              <w:rPr>
                <w:rFonts w:hint="default" w:ascii="Times New Roman" w:hAnsi="Times New Roman" w:eastAsia="宋体" w:cs="Times New Roman"/>
                <w:color w:val="auto"/>
                <w:sz w:val="24"/>
                <w:szCs w:val="24"/>
                <w:highlight w:val="none"/>
                <w:lang w:val="en-US" w:eastAsia="zh-CN"/>
              </w:rPr>
              <w:t>保护野生动植物</w:t>
            </w:r>
            <w:r>
              <w:rPr>
                <w:rFonts w:hint="default" w:ascii="Times New Roman" w:hAnsi="Times New Roman" w:eastAsia="宋体" w:cs="Times New Roman"/>
                <w:color w:val="auto"/>
                <w:sz w:val="24"/>
                <w:szCs w:val="24"/>
                <w:highlight w:val="none"/>
                <w:lang w:val="zh-CN"/>
              </w:rPr>
              <w:t>，也没有特有种类存在</w:t>
            </w:r>
            <w:r>
              <w:rPr>
                <w:rFonts w:hint="default" w:ascii="Times New Roman" w:hAnsi="Times New Roman" w:eastAsia="宋体" w:cs="Times New Roman"/>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vAlign w:val="center"/>
          </w:tcPr>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保护</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目标</w:t>
            </w:r>
          </w:p>
        </w:tc>
        <w:tc>
          <w:tcPr>
            <w:tcW w:w="8686" w:type="dxa"/>
            <w:vAlign w:val="center"/>
          </w:tcPr>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1、大气环境</w:t>
            </w:r>
          </w:p>
          <w:p>
            <w:pPr>
              <w:pStyle w:val="63"/>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60" w:lineRule="auto"/>
              <w:ind w:firstLine="480" w:firstLineChars="200"/>
              <w:textAlignment w:val="auto"/>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w:t>
            </w:r>
            <w:r>
              <w:rPr>
                <w:rFonts w:hint="default" w:ascii="Times New Roman" w:hAnsi="Times New Roman" w:eastAsia="宋体" w:cs="Times New Roman"/>
                <w:color w:val="auto"/>
                <w:szCs w:val="24"/>
                <w:highlight w:val="none"/>
                <w:lang w:eastAsia="zh-CN"/>
              </w:rPr>
              <w:t>本项目</w:t>
            </w:r>
            <w:r>
              <w:rPr>
                <w:rFonts w:hint="default" w:ascii="Times New Roman" w:hAnsi="Times New Roman" w:eastAsia="宋体" w:cs="Times New Roman"/>
                <w:color w:val="auto"/>
                <w:szCs w:val="24"/>
                <w:highlight w:val="none"/>
                <w:lang w:val="en-US" w:eastAsia="zh-CN"/>
              </w:rPr>
              <w:t>大气环境保护目标为厂界外</w:t>
            </w:r>
            <w:r>
              <w:rPr>
                <w:rFonts w:hint="default" w:ascii="Times New Roman" w:hAnsi="Times New Roman" w:eastAsia="宋体" w:cs="Times New Roman"/>
                <w:color w:val="auto"/>
                <w:sz w:val="24"/>
                <w:szCs w:val="24"/>
                <w:highlight w:val="none"/>
                <w:lang w:val="zh-CN"/>
              </w:rPr>
              <w:t>500米范围内的自然保护区、风景名胜区、居住区、文化区和农村地区中人群较集中的区域等保护目标。</w:t>
            </w:r>
            <w:r>
              <w:rPr>
                <w:rFonts w:hint="default" w:ascii="Times New Roman" w:hAnsi="Times New Roman" w:eastAsia="宋体" w:cs="Times New Roman"/>
                <w:color w:val="auto"/>
                <w:sz w:val="24"/>
                <w:szCs w:val="24"/>
                <w:highlight w:val="none"/>
                <w:lang w:val="en-US" w:eastAsia="zh-CN"/>
              </w:rPr>
              <w:t>根据现场踏勘，本项目周边500m范围内无大气环境保护目标。</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2、声环境</w:t>
            </w:r>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根据现场踏勘，项目厂界外周边50m范围内无声环境保护目标</w:t>
            </w:r>
            <w:r>
              <w:rPr>
                <w:rFonts w:hint="default" w:ascii="Times New Roman" w:hAnsi="Times New Roman" w:eastAsia="宋体" w:cs="Times New Roman"/>
                <w:color w:val="auto"/>
                <w:sz w:val="24"/>
                <w:szCs w:val="24"/>
                <w:highlight w:val="none"/>
              </w:rPr>
              <w:t>。</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3、地表水</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kern w:val="0"/>
                <w:sz w:val="24"/>
                <w:highlight w:val="none"/>
                <w:lang w:val="zh-CN"/>
              </w:rPr>
              <w:t>项目距离最近的地表水体为</w:t>
            </w:r>
            <w:r>
              <w:rPr>
                <w:rFonts w:hint="default" w:ascii="Times New Roman" w:hAnsi="Times New Roman" w:eastAsia="宋体" w:cs="Times New Roman"/>
                <w:color w:val="auto"/>
                <w:kern w:val="0"/>
                <w:sz w:val="24"/>
                <w:highlight w:val="none"/>
              </w:rPr>
              <w:t>西南侧</w:t>
            </w:r>
            <w:r>
              <w:rPr>
                <w:rFonts w:hint="default" w:ascii="Times New Roman" w:hAnsi="Times New Roman" w:eastAsia="宋体" w:cs="Times New Roman"/>
                <w:color w:val="auto"/>
                <w:kern w:val="0"/>
                <w:sz w:val="24"/>
                <w:highlight w:val="none"/>
                <w:lang w:val="en-US" w:eastAsia="zh-CN"/>
              </w:rPr>
              <w:t>210</w:t>
            </w:r>
            <w:r>
              <w:rPr>
                <w:rFonts w:hint="default" w:ascii="Times New Roman" w:hAnsi="Times New Roman" w:eastAsia="宋体" w:cs="Times New Roman"/>
                <w:color w:val="auto"/>
                <w:kern w:val="0"/>
                <w:sz w:val="24"/>
                <w:highlight w:val="none"/>
              </w:rPr>
              <w:t>0m处的</w:t>
            </w:r>
            <w:r>
              <w:rPr>
                <w:rFonts w:hint="default" w:ascii="Times New Roman" w:hAnsi="Times New Roman" w:eastAsia="宋体" w:cs="Times New Roman"/>
                <w:color w:val="auto"/>
                <w:kern w:val="0"/>
                <w:sz w:val="24"/>
                <w:highlight w:val="none"/>
                <w:lang w:val="zh-CN"/>
              </w:rPr>
              <w:t>谓所河，</w:t>
            </w:r>
            <w:r>
              <w:rPr>
                <w:rFonts w:hint="default" w:ascii="Times New Roman" w:hAnsi="Times New Roman" w:eastAsia="宋体" w:cs="Times New Roman"/>
                <w:color w:val="auto"/>
                <w:sz w:val="24"/>
                <w:highlight w:val="none"/>
                <w:shd w:val="clear" w:color="auto" w:fill="auto"/>
                <w:lang w:val="en-US" w:eastAsia="zh-CN"/>
              </w:rPr>
              <w:t>经落水洞转为地下伏流，于三月三水库出露；项目</w:t>
            </w:r>
            <w:r>
              <w:rPr>
                <w:rFonts w:hint="default" w:ascii="Times New Roman" w:hAnsi="Times New Roman" w:eastAsia="宋体" w:cs="Times New Roman"/>
                <w:color w:val="auto"/>
                <w:sz w:val="24"/>
                <w:highlight w:val="none"/>
                <w:shd w:val="clear" w:color="auto" w:fill="auto"/>
              </w:rPr>
              <w:t>西南侧</w:t>
            </w:r>
            <w:r>
              <w:rPr>
                <w:rFonts w:hint="default" w:ascii="Times New Roman" w:hAnsi="Times New Roman" w:eastAsia="宋体" w:cs="Times New Roman"/>
                <w:color w:val="auto"/>
                <w:sz w:val="24"/>
                <w:highlight w:val="none"/>
                <w:shd w:val="clear" w:color="auto" w:fill="auto"/>
                <w:lang w:val="en-US" w:eastAsia="zh-CN"/>
              </w:rPr>
              <w:t>4650</w:t>
            </w:r>
            <w:r>
              <w:rPr>
                <w:rFonts w:hint="default" w:ascii="Times New Roman" w:hAnsi="Times New Roman" w:eastAsia="宋体" w:cs="Times New Roman"/>
                <w:color w:val="auto"/>
                <w:sz w:val="24"/>
                <w:highlight w:val="none"/>
                <w:shd w:val="clear" w:color="auto" w:fill="auto"/>
              </w:rPr>
              <w:t>m处</w:t>
            </w:r>
            <w:r>
              <w:rPr>
                <w:rFonts w:hint="default" w:ascii="Times New Roman" w:hAnsi="Times New Roman" w:eastAsia="宋体" w:cs="Times New Roman"/>
                <w:color w:val="auto"/>
                <w:sz w:val="24"/>
                <w:highlight w:val="none"/>
                <w:shd w:val="clear" w:color="auto" w:fill="auto"/>
                <w:lang w:eastAsia="zh-CN"/>
              </w:rPr>
              <w:t>为</w:t>
            </w:r>
            <w:r>
              <w:rPr>
                <w:rFonts w:hint="default" w:ascii="Times New Roman" w:hAnsi="Times New Roman" w:eastAsia="宋体" w:cs="Times New Roman"/>
                <w:color w:val="auto"/>
                <w:sz w:val="24"/>
                <w:highlight w:val="none"/>
                <w:shd w:val="clear" w:color="auto" w:fill="auto"/>
              </w:rPr>
              <w:t>潘所海，潘所海地表水通过溶洞流入三月三水库</w:t>
            </w:r>
            <w:r>
              <w:rPr>
                <w:rFonts w:hint="default" w:ascii="Times New Roman" w:hAnsi="Times New Roman" w:eastAsia="宋体" w:cs="Times New Roman"/>
                <w:color w:val="auto"/>
                <w:sz w:val="24"/>
                <w:highlight w:val="none"/>
                <w:shd w:val="clear" w:color="auto" w:fill="auto"/>
                <w:lang w:eastAsia="zh-CN"/>
              </w:rPr>
              <w:t>；三月三水库由前进河出水</w:t>
            </w:r>
            <w:r>
              <w:rPr>
                <w:rFonts w:hint="default" w:ascii="Times New Roman" w:hAnsi="Times New Roman" w:eastAsia="宋体" w:cs="Times New Roman"/>
                <w:color w:val="auto"/>
                <w:sz w:val="24"/>
                <w:highlight w:val="none"/>
              </w:rPr>
              <w:t>，最终汇入牛栏江，属牛栏江支流。</w:t>
            </w:r>
            <w:r>
              <w:rPr>
                <w:rFonts w:hint="default" w:ascii="Times New Roman" w:hAnsi="Times New Roman" w:eastAsia="宋体" w:cs="Times New Roman"/>
                <w:color w:val="auto"/>
                <w:sz w:val="24"/>
                <w:highlight w:val="none"/>
                <w:lang w:val="zh-CN"/>
              </w:rPr>
              <w:t>谓所河</w:t>
            </w:r>
            <w:r>
              <w:rPr>
                <w:rFonts w:hint="default" w:ascii="Times New Roman" w:hAnsi="Times New Roman" w:eastAsia="宋体" w:cs="Times New Roman"/>
                <w:color w:val="auto"/>
                <w:sz w:val="24"/>
                <w:highlight w:val="none"/>
                <w:lang w:val="en-US" w:eastAsia="zh-CN"/>
              </w:rPr>
              <w:t>及潘所海</w:t>
            </w:r>
            <w:r>
              <w:rPr>
                <w:rFonts w:hint="default" w:ascii="Times New Roman" w:hAnsi="Times New Roman" w:eastAsia="宋体" w:cs="Times New Roman"/>
                <w:color w:val="auto"/>
                <w:sz w:val="24"/>
                <w:highlight w:val="none"/>
                <w:lang w:val="zh-CN"/>
              </w:rPr>
              <w:t>参照</w:t>
            </w:r>
            <w:r>
              <w:rPr>
                <w:rFonts w:hint="default" w:ascii="Times New Roman" w:hAnsi="Times New Roman" w:eastAsia="宋体" w:cs="Times New Roman"/>
                <w:color w:val="auto"/>
                <w:sz w:val="24"/>
                <w:highlight w:val="none"/>
                <w:lang w:val="en-US" w:eastAsia="zh-CN"/>
              </w:rPr>
              <w:t>牛栏江按照</w:t>
            </w:r>
            <w:r>
              <w:rPr>
                <w:rFonts w:hint="default" w:ascii="Times New Roman" w:hAnsi="Times New Roman" w:eastAsia="宋体" w:cs="Times New Roman"/>
                <w:color w:val="auto"/>
                <w:sz w:val="24"/>
                <w:highlight w:val="none"/>
                <w:lang w:val="zh-CN"/>
              </w:rPr>
              <w:t>《地表水环境质量标准》</w:t>
            </w:r>
            <w:r>
              <w:rPr>
                <w:rFonts w:hint="default" w:ascii="Times New Roman" w:hAnsi="Times New Roman" w:eastAsia="宋体" w:cs="Times New Roman"/>
                <w:color w:val="auto"/>
                <w:kern w:val="0"/>
                <w:sz w:val="24"/>
                <w:highlight w:val="none"/>
                <w:lang w:val="zh-CN"/>
              </w:rPr>
              <w:t>（GB3838-2002）中Ⅲ类水质标准</w:t>
            </w:r>
            <w:r>
              <w:rPr>
                <w:rFonts w:hint="default" w:ascii="Times New Roman" w:hAnsi="Times New Roman" w:eastAsia="宋体" w:cs="Times New Roman"/>
                <w:color w:val="auto"/>
                <w:kern w:val="0"/>
                <w:sz w:val="24"/>
                <w:highlight w:val="none"/>
                <w:lang w:val="en-US" w:eastAsia="zh-CN"/>
              </w:rPr>
              <w:t>进行保护，地表水保护目标详见下表所示。</w:t>
            </w:r>
          </w:p>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3</w:t>
            </w:r>
            <w:r>
              <w:rPr>
                <w:rFonts w:hint="default" w:ascii="Times New Roman" w:hAnsi="Times New Roman" w:eastAsia="宋体" w:cs="Times New Roman"/>
                <w:b/>
                <w:color w:val="auto"/>
                <w:szCs w:val="21"/>
                <w:highlight w:val="none"/>
              </w:rPr>
              <w:t>-</w:t>
            </w:r>
            <w:r>
              <w:rPr>
                <w:rFonts w:hint="default" w:ascii="Times New Roman" w:hAnsi="Times New Roman" w:eastAsia="宋体" w:cs="Times New Roman"/>
                <w:b/>
                <w:color w:val="auto"/>
                <w:szCs w:val="21"/>
                <w:highlight w:val="none"/>
                <w:lang w:val="en-US" w:eastAsia="zh-CN"/>
              </w:rPr>
              <w:t>4</w:t>
            </w:r>
            <w:r>
              <w:rPr>
                <w:rFonts w:hint="default" w:ascii="Times New Roman" w:hAnsi="Times New Roman" w:eastAsia="宋体" w:cs="Times New Roman"/>
                <w:b/>
                <w:color w:val="auto"/>
                <w:szCs w:val="21"/>
                <w:highlight w:val="none"/>
              </w:rPr>
              <w:t xml:space="preserve"> </w:t>
            </w:r>
            <w:r>
              <w:rPr>
                <w:rFonts w:hint="default" w:ascii="Times New Roman" w:hAnsi="Times New Roman" w:eastAsia="宋体" w:cs="Times New Roman"/>
                <w:b/>
                <w:color w:val="auto"/>
                <w:szCs w:val="21"/>
                <w:highlight w:val="none"/>
                <w:lang w:val="en-US" w:eastAsia="zh-CN"/>
              </w:rPr>
              <w:t xml:space="preserve"> </w:t>
            </w:r>
            <w:r>
              <w:rPr>
                <w:rFonts w:hint="default" w:ascii="Times New Roman" w:hAnsi="Times New Roman" w:eastAsia="宋体" w:cs="Times New Roman"/>
                <w:b/>
                <w:color w:val="auto"/>
                <w:szCs w:val="21"/>
                <w:highlight w:val="none"/>
              </w:rPr>
              <w:t xml:space="preserve"> </w:t>
            </w:r>
            <w:r>
              <w:rPr>
                <w:rFonts w:hint="default" w:ascii="Times New Roman" w:hAnsi="Times New Roman" w:eastAsia="宋体" w:cs="Times New Roman"/>
                <w:b/>
                <w:color w:val="auto"/>
                <w:szCs w:val="21"/>
                <w:highlight w:val="none"/>
                <w:lang w:val="en-US" w:eastAsia="zh-CN"/>
              </w:rPr>
              <w:t>地表水</w:t>
            </w:r>
            <w:r>
              <w:rPr>
                <w:rFonts w:hint="default" w:ascii="Times New Roman" w:hAnsi="Times New Roman" w:eastAsia="宋体" w:cs="Times New Roman"/>
                <w:b/>
                <w:color w:val="auto"/>
                <w:szCs w:val="21"/>
                <w:highlight w:val="none"/>
              </w:rPr>
              <w:t>主要保护目标一览表</w:t>
            </w:r>
          </w:p>
          <w:tbl>
            <w:tblPr>
              <w:tblStyle w:val="26"/>
              <w:tblW w:w="8466"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396"/>
              <w:gridCol w:w="1354"/>
              <w:gridCol w:w="1724"/>
              <w:gridCol w:w="3296"/>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6" w:type="dxa"/>
                  <w:vMerge w:val="restart"/>
                  <w:tcBorders>
                    <w:tl2br w:val="nil"/>
                    <w:tr2bl w:val="nil"/>
                  </w:tcBorders>
                  <w:noWrap w:val="0"/>
                  <w:vAlign w:val="center"/>
                </w:tcPr>
                <w:p>
                  <w:pPr>
                    <w:pStyle w:val="25"/>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w:t>
                  </w:r>
                </w:p>
                <w:p>
                  <w:pPr>
                    <w:pStyle w:val="25"/>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1396" w:type="dxa"/>
                  <w:vMerge w:val="restart"/>
                  <w:tcBorders>
                    <w:tl2br w:val="nil"/>
                    <w:tr2bl w:val="nil"/>
                  </w:tcBorders>
                  <w:noWrap w:val="0"/>
                  <w:vAlign w:val="center"/>
                </w:tcPr>
                <w:p>
                  <w:pPr>
                    <w:pStyle w:val="25"/>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保护目标名称</w:t>
                  </w:r>
                </w:p>
              </w:tc>
              <w:tc>
                <w:tcPr>
                  <w:tcW w:w="1354" w:type="dxa"/>
                  <w:vMerge w:val="restart"/>
                  <w:tcBorders>
                    <w:tl2br w:val="nil"/>
                    <w:tr2bl w:val="nil"/>
                  </w:tcBorders>
                  <w:noWrap w:val="0"/>
                  <w:vAlign w:val="center"/>
                </w:tcPr>
                <w:p>
                  <w:pPr>
                    <w:pStyle w:val="25"/>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相对厂址方位</w:t>
                  </w:r>
                </w:p>
              </w:tc>
              <w:tc>
                <w:tcPr>
                  <w:tcW w:w="1724" w:type="dxa"/>
                  <w:vMerge w:val="restart"/>
                  <w:tcBorders>
                    <w:tl2br w:val="nil"/>
                    <w:tr2bl w:val="nil"/>
                  </w:tcBorders>
                  <w:noWrap w:val="0"/>
                  <w:vAlign w:val="center"/>
                </w:tcPr>
                <w:p>
                  <w:pPr>
                    <w:pStyle w:val="25"/>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相对厂界距离</w:t>
                  </w:r>
                </w:p>
              </w:tc>
              <w:tc>
                <w:tcPr>
                  <w:tcW w:w="3296" w:type="dxa"/>
                  <w:vMerge w:val="restart"/>
                  <w:tcBorders>
                    <w:tl2br w:val="nil"/>
                    <w:tr2bl w:val="nil"/>
                  </w:tcBorders>
                  <w:noWrap w:val="0"/>
                  <w:vAlign w:val="center"/>
                </w:tcPr>
                <w:p>
                  <w:pPr>
                    <w:pStyle w:val="25"/>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环境功能区及执行标准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6" w:type="dxa"/>
                  <w:vMerge w:val="continue"/>
                  <w:tcBorders>
                    <w:tl2br w:val="nil"/>
                    <w:tr2bl w:val="nil"/>
                  </w:tcBorders>
                  <w:noWrap w:val="0"/>
                  <w:vAlign w:val="center"/>
                </w:tcPr>
                <w:p>
                  <w:pPr>
                    <w:pStyle w:val="25"/>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396" w:type="dxa"/>
                  <w:vMerge w:val="continue"/>
                  <w:tcBorders>
                    <w:tl2br w:val="nil"/>
                    <w:tr2bl w:val="nil"/>
                  </w:tcBorders>
                  <w:noWrap w:val="0"/>
                  <w:vAlign w:val="center"/>
                </w:tcPr>
                <w:p>
                  <w:pPr>
                    <w:pStyle w:val="25"/>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354" w:type="dxa"/>
                  <w:vMerge w:val="continue"/>
                  <w:tcBorders>
                    <w:tl2br w:val="nil"/>
                    <w:tr2bl w:val="nil"/>
                  </w:tcBorders>
                  <w:noWrap w:val="0"/>
                  <w:vAlign w:val="center"/>
                </w:tcPr>
                <w:p>
                  <w:pPr>
                    <w:pStyle w:val="25"/>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724" w:type="dxa"/>
                  <w:vMerge w:val="continue"/>
                  <w:tcBorders>
                    <w:tl2br w:val="nil"/>
                    <w:tr2bl w:val="nil"/>
                  </w:tcBorders>
                  <w:noWrap w:val="0"/>
                  <w:vAlign w:val="center"/>
                </w:tcPr>
                <w:p>
                  <w:pPr>
                    <w:pStyle w:val="25"/>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296" w:type="dxa"/>
                  <w:vMerge w:val="continue"/>
                  <w:tcBorders>
                    <w:tl2br w:val="nil"/>
                    <w:tr2bl w:val="nil"/>
                  </w:tcBorders>
                  <w:noWrap w:val="0"/>
                  <w:vAlign w:val="center"/>
                </w:tcPr>
                <w:p>
                  <w:pPr>
                    <w:pStyle w:val="25"/>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dxa"/>
                  <w:vMerge w:val="restart"/>
                  <w:tcBorders>
                    <w:tl2br w:val="nil"/>
                    <w:tr2bl w:val="nil"/>
                  </w:tcBorders>
                  <w:noWrap w:val="0"/>
                  <w:vAlign w:val="center"/>
                </w:tcPr>
                <w:p>
                  <w:pPr>
                    <w:pStyle w:val="25"/>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地表水</w:t>
                  </w:r>
                </w:p>
              </w:tc>
              <w:tc>
                <w:tcPr>
                  <w:tcW w:w="1396" w:type="dxa"/>
                  <w:tcBorders>
                    <w:tl2br w:val="nil"/>
                    <w:tr2bl w:val="nil"/>
                  </w:tcBorders>
                  <w:noWrap w:val="0"/>
                  <w:vAlign w:val="center"/>
                </w:tcPr>
                <w:p>
                  <w:pPr>
                    <w:pStyle w:val="25"/>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zh-CN"/>
                    </w:rPr>
                    <w:t>谓所河</w:t>
                  </w:r>
                </w:p>
              </w:tc>
              <w:tc>
                <w:tcPr>
                  <w:tcW w:w="1354" w:type="dxa"/>
                  <w:tcBorders>
                    <w:tl2br w:val="nil"/>
                    <w:tr2bl w:val="nil"/>
                  </w:tcBorders>
                  <w:noWrap w:val="0"/>
                  <w:vAlign w:val="center"/>
                </w:tcPr>
                <w:p>
                  <w:pPr>
                    <w:pStyle w:val="25"/>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西南侧</w:t>
                  </w:r>
                </w:p>
              </w:tc>
              <w:tc>
                <w:tcPr>
                  <w:tcW w:w="1724" w:type="dxa"/>
                  <w:tcBorders>
                    <w:tl2br w:val="nil"/>
                    <w:tr2bl w:val="nil"/>
                  </w:tcBorders>
                  <w:noWrap w:val="0"/>
                  <w:vAlign w:val="center"/>
                </w:tcPr>
                <w:p>
                  <w:pPr>
                    <w:pStyle w:val="25"/>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2100m</w:t>
                  </w:r>
                </w:p>
              </w:tc>
              <w:tc>
                <w:tcPr>
                  <w:tcW w:w="3296" w:type="dxa"/>
                  <w:vMerge w:val="restart"/>
                  <w:tcBorders>
                    <w:tl2br w:val="nil"/>
                    <w:tr2bl w:val="nil"/>
                  </w:tcBorders>
                  <w:noWrap w:val="0"/>
                  <w:vAlign w:val="center"/>
                </w:tcPr>
                <w:p>
                  <w:pPr>
                    <w:pStyle w:val="25"/>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《地表水环境质量标准》</w:t>
                  </w:r>
                  <w:r>
                    <w:rPr>
                      <w:rFonts w:hint="default" w:ascii="Times New Roman" w:hAnsi="Times New Roman" w:eastAsia="宋体" w:cs="Times New Roman"/>
                      <w:color w:val="auto"/>
                      <w:kern w:val="0"/>
                      <w:sz w:val="21"/>
                      <w:szCs w:val="21"/>
                      <w:highlight w:val="none"/>
                      <w:lang w:val="zh-CN"/>
                    </w:rPr>
                    <w:t>（GB3838-2002）中Ⅲ类标准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dxa"/>
                  <w:vMerge w:val="continue"/>
                  <w:tcBorders>
                    <w:tl2br w:val="nil"/>
                    <w:tr2bl w:val="nil"/>
                  </w:tcBorders>
                  <w:noWrap w:val="0"/>
                  <w:vAlign w:val="center"/>
                </w:tcPr>
                <w:p>
                  <w:pPr>
                    <w:pStyle w:val="25"/>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96" w:type="dxa"/>
                  <w:tcBorders>
                    <w:tl2br w:val="nil"/>
                    <w:tr2bl w:val="nil"/>
                  </w:tcBorders>
                  <w:noWrap w:val="0"/>
                  <w:vAlign w:val="center"/>
                </w:tcPr>
                <w:p>
                  <w:pPr>
                    <w:pStyle w:val="25"/>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zh-CN"/>
                    </w:rPr>
                  </w:pPr>
                  <w:r>
                    <w:rPr>
                      <w:rFonts w:hint="default" w:ascii="Times New Roman" w:hAnsi="Times New Roman" w:eastAsia="宋体" w:cs="Times New Roman"/>
                      <w:color w:val="auto"/>
                      <w:sz w:val="21"/>
                      <w:szCs w:val="21"/>
                      <w:highlight w:val="none"/>
                      <w:shd w:val="clear" w:color="auto" w:fill="auto"/>
                    </w:rPr>
                    <w:t>潘所海</w:t>
                  </w:r>
                </w:p>
              </w:tc>
              <w:tc>
                <w:tcPr>
                  <w:tcW w:w="1354" w:type="dxa"/>
                  <w:tcBorders>
                    <w:tl2br w:val="nil"/>
                    <w:tr2bl w:val="nil"/>
                  </w:tcBorders>
                  <w:noWrap w:val="0"/>
                  <w:vAlign w:val="center"/>
                </w:tcPr>
                <w:p>
                  <w:pPr>
                    <w:pStyle w:val="25"/>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西南侧</w:t>
                  </w:r>
                </w:p>
              </w:tc>
              <w:tc>
                <w:tcPr>
                  <w:tcW w:w="1724" w:type="dxa"/>
                  <w:tcBorders>
                    <w:tl2br w:val="nil"/>
                    <w:tr2bl w:val="nil"/>
                  </w:tcBorders>
                  <w:noWrap w:val="0"/>
                  <w:vAlign w:val="center"/>
                </w:tcPr>
                <w:p>
                  <w:pPr>
                    <w:pStyle w:val="25"/>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4650m</w:t>
                  </w:r>
                </w:p>
              </w:tc>
              <w:tc>
                <w:tcPr>
                  <w:tcW w:w="3296" w:type="dxa"/>
                  <w:vMerge w:val="continue"/>
                  <w:tcBorders>
                    <w:tl2br w:val="nil"/>
                    <w:tr2bl w:val="nil"/>
                  </w:tcBorders>
                  <w:noWrap w:val="0"/>
                  <w:vAlign w:val="center"/>
                </w:tcPr>
                <w:p>
                  <w:pPr>
                    <w:pStyle w:val="25"/>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dxa"/>
                  <w:vMerge w:val="continue"/>
                  <w:tcBorders>
                    <w:tl2br w:val="nil"/>
                    <w:tr2bl w:val="nil"/>
                  </w:tcBorders>
                  <w:noWrap w:val="0"/>
                  <w:vAlign w:val="center"/>
                </w:tcPr>
                <w:p>
                  <w:pPr>
                    <w:pStyle w:val="25"/>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96" w:type="dxa"/>
                  <w:tcBorders>
                    <w:tl2br w:val="nil"/>
                    <w:tr2bl w:val="nil"/>
                  </w:tcBorders>
                  <w:noWrap w:val="0"/>
                  <w:vAlign w:val="center"/>
                </w:tcPr>
                <w:p>
                  <w:pPr>
                    <w:pStyle w:val="25"/>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eastAsia="zh-CN"/>
                    </w:rPr>
                    <w:t>三月三水库</w:t>
                  </w:r>
                </w:p>
              </w:tc>
              <w:tc>
                <w:tcPr>
                  <w:tcW w:w="1354" w:type="dxa"/>
                  <w:tcBorders>
                    <w:tl2br w:val="nil"/>
                    <w:tr2bl w:val="nil"/>
                  </w:tcBorders>
                  <w:noWrap w:val="0"/>
                  <w:vAlign w:val="center"/>
                </w:tcPr>
                <w:p>
                  <w:pPr>
                    <w:pStyle w:val="25"/>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东南侧</w:t>
                  </w:r>
                </w:p>
              </w:tc>
              <w:tc>
                <w:tcPr>
                  <w:tcW w:w="1724" w:type="dxa"/>
                  <w:tcBorders>
                    <w:tl2br w:val="nil"/>
                    <w:tr2bl w:val="nil"/>
                  </w:tcBorders>
                  <w:noWrap w:val="0"/>
                  <w:vAlign w:val="center"/>
                </w:tcPr>
                <w:p>
                  <w:pPr>
                    <w:pStyle w:val="25"/>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5560m</w:t>
                  </w:r>
                </w:p>
              </w:tc>
              <w:tc>
                <w:tcPr>
                  <w:tcW w:w="3296" w:type="dxa"/>
                  <w:vMerge w:val="continue"/>
                  <w:tcBorders>
                    <w:tl2br w:val="nil"/>
                    <w:tr2bl w:val="nil"/>
                  </w:tcBorders>
                  <w:noWrap w:val="0"/>
                  <w:vAlign w:val="center"/>
                </w:tcPr>
                <w:p>
                  <w:pPr>
                    <w:pStyle w:val="25"/>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zh-CN"/>
                    </w:rPr>
                  </w:pPr>
                </w:p>
              </w:tc>
            </w:tr>
          </w:tbl>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4、地下水</w:t>
            </w:r>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根据现场踏勘，项目厂界外500m范围内无地下水集中式饮用水水源和热水、矿泉水、温泉等特殊地下水资源。</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5、生态环境</w:t>
            </w:r>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lang w:val="zh-CN"/>
              </w:rPr>
              <w:t>本项目位于</w:t>
            </w:r>
            <w:r>
              <w:rPr>
                <w:rFonts w:hint="default" w:ascii="Times New Roman" w:hAnsi="Times New Roman" w:eastAsia="宋体" w:cs="Times New Roman"/>
                <w:color w:val="auto"/>
                <w:sz w:val="24"/>
                <w:szCs w:val="24"/>
                <w:highlight w:val="none"/>
                <w:u w:val="none"/>
                <w:lang w:val="en-US" w:eastAsia="zh-CN"/>
              </w:rPr>
              <w:t>寻甸特色产业园区金所片区内</w:t>
            </w:r>
            <w:r>
              <w:rPr>
                <w:rFonts w:hint="default" w:ascii="Times New Roman" w:hAnsi="Times New Roman" w:eastAsia="宋体" w:cs="Times New Roman"/>
                <w:color w:val="auto"/>
                <w:sz w:val="24"/>
                <w:szCs w:val="24"/>
                <w:highlight w:val="none"/>
                <w:lang w:val="en-US" w:eastAsia="zh-CN"/>
              </w:rPr>
              <w:t>，属于规划的工业园区，不涉及园区外用地，</w:t>
            </w:r>
            <w:r>
              <w:rPr>
                <w:rFonts w:hint="default" w:ascii="Times New Roman" w:hAnsi="Times New Roman" w:eastAsia="宋体" w:cs="Times New Roman"/>
                <w:color w:val="auto"/>
                <w:sz w:val="24"/>
                <w:szCs w:val="24"/>
                <w:highlight w:val="none"/>
              </w:rPr>
              <w:t>不涉及生态保护目标</w:t>
            </w:r>
            <w:r>
              <w:rPr>
                <w:rFonts w:hint="default" w:ascii="Times New Roman" w:hAnsi="Times New Roman" w:eastAsia="宋体" w:cs="Times New Roman"/>
                <w:color w:val="auto"/>
                <w:sz w:val="24"/>
                <w:szCs w:val="24"/>
                <w:highlight w:val="none"/>
                <w:lang w:eastAsia="zh-CN"/>
              </w:rPr>
              <w:t>。</w:t>
            </w:r>
          </w:p>
          <w:p>
            <w:pPr>
              <w:pStyle w:val="12"/>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bCs/>
                <w:color w:val="auto"/>
                <w:sz w:val="24"/>
                <w:highlight w:val="none"/>
                <w:lang w:eastAsia="zh-CN"/>
              </w:rPr>
              <w:t>项目周边关系</w:t>
            </w:r>
            <w:r>
              <w:rPr>
                <w:rFonts w:hint="default" w:ascii="Times New Roman" w:hAnsi="Times New Roman" w:eastAsia="宋体" w:cs="Times New Roman"/>
                <w:bCs/>
                <w:color w:val="auto"/>
                <w:sz w:val="24"/>
                <w:highlight w:val="none"/>
              </w:rPr>
              <w:t>示意详见附图</w:t>
            </w:r>
            <w:r>
              <w:rPr>
                <w:rFonts w:hint="default" w:ascii="Times New Roman" w:hAnsi="Times New Roman" w:eastAsia="宋体" w:cs="Times New Roman"/>
                <w:bCs/>
                <w:color w:val="auto"/>
                <w:sz w:val="24"/>
                <w:highlight w:val="none"/>
                <w:lang w:val="en-US" w:eastAsia="zh-CN"/>
              </w:rPr>
              <w:t>3</w:t>
            </w:r>
            <w:r>
              <w:rPr>
                <w:rFonts w:hint="default" w:ascii="Times New Roman" w:hAnsi="Times New Roman" w:eastAsia="宋体" w:cs="Times New Roman"/>
                <w:bCs/>
                <w:color w:val="auto"/>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tcMar>
              <w:left w:w="28" w:type="dxa"/>
              <w:right w:w="28" w:type="dxa"/>
            </w:tcMar>
            <w:vAlign w:val="center"/>
          </w:tcPr>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污染</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物排</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放控</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制标</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准</w:t>
            </w:r>
          </w:p>
        </w:tc>
        <w:tc>
          <w:tcPr>
            <w:tcW w:w="8686" w:type="dxa"/>
            <w:vAlign w:val="center"/>
          </w:tcPr>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施工期</w:t>
            </w:r>
          </w:p>
          <w:p>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施工期无组织粉尘执行《大气污染物综合排放标准》（GB16297-1996）表2中颗粒物无组织排放监控浓度限值要求。</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3</w:t>
            </w:r>
            <w:r>
              <w:rPr>
                <w:rFonts w:hint="default" w:ascii="Times New Roman" w:hAnsi="Times New Roman" w:eastAsia="宋体" w:cs="Times New Roman"/>
                <w:b/>
                <w:bCs/>
                <w:color w:val="auto"/>
                <w:szCs w:val="21"/>
                <w:highlight w:val="none"/>
              </w:rPr>
              <w:t>-</w:t>
            </w:r>
            <w:r>
              <w:rPr>
                <w:rFonts w:hint="default" w:ascii="Times New Roman" w:hAnsi="Times New Roman" w:eastAsia="宋体" w:cs="Times New Roman"/>
                <w:b/>
                <w:bCs/>
                <w:color w:val="auto"/>
                <w:szCs w:val="21"/>
                <w:highlight w:val="none"/>
                <w:lang w:val="en-US" w:eastAsia="zh-CN"/>
              </w:rPr>
              <w:t>5</w:t>
            </w:r>
            <w:r>
              <w:rPr>
                <w:rFonts w:hint="default" w:ascii="Times New Roman" w:hAnsi="Times New Roman" w:eastAsia="宋体" w:cs="Times New Roman"/>
                <w:b/>
                <w:bCs/>
                <w:color w:val="auto"/>
                <w:szCs w:val="21"/>
                <w:highlight w:val="none"/>
              </w:rPr>
              <w:t xml:space="preserve">   无组织颗粒物排放标准</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5"/>
              <w:gridCol w:w="2682"/>
              <w:gridCol w:w="3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污染物</w:t>
                  </w:r>
                </w:p>
              </w:tc>
              <w:tc>
                <w:tcPr>
                  <w:tcW w:w="365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p>
              </w:tc>
              <w:tc>
                <w:tcPr>
                  <w:tcW w:w="15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监控点</w:t>
                  </w:r>
                </w:p>
              </w:tc>
              <w:tc>
                <w:tcPr>
                  <w:tcW w:w="2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浓度（mg/m</w:t>
                  </w:r>
                  <w:r>
                    <w:rPr>
                      <w:rFonts w:hint="default" w:ascii="Times New Roman" w:hAnsi="Times New Roman" w:eastAsia="宋体" w:cs="Times New Roman"/>
                      <w:b/>
                      <w:bCs/>
                      <w:color w:val="auto"/>
                      <w:highlight w:val="none"/>
                      <w:vertAlign w:val="superscript"/>
                    </w:rPr>
                    <w:t>3</w:t>
                  </w:r>
                  <w:r>
                    <w:rPr>
                      <w:rFonts w:hint="default" w:ascii="Times New Roman" w:hAnsi="Times New Roman" w:eastAsia="宋体" w:cs="Times New Roman"/>
                      <w:b/>
                      <w:bCs/>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颗粒物</w:t>
                  </w:r>
                </w:p>
              </w:tc>
              <w:tc>
                <w:tcPr>
                  <w:tcW w:w="15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周界外浓度最高点</w:t>
                  </w:r>
                </w:p>
              </w:tc>
              <w:tc>
                <w:tcPr>
                  <w:tcW w:w="2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（2）运营期</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w:t>
            </w:r>
            <w:r>
              <w:rPr>
                <w:rFonts w:hint="default" w:ascii="Times New Roman" w:hAnsi="Times New Roman" w:eastAsia="宋体" w:cs="Times New Roman"/>
                <w:color w:val="auto"/>
                <w:sz w:val="24"/>
                <w:highlight w:val="none"/>
                <w:lang w:val="zh-CN"/>
              </w:rPr>
              <w:t>本项目</w:t>
            </w:r>
            <w:r>
              <w:rPr>
                <w:rFonts w:hint="default" w:ascii="Times New Roman" w:hAnsi="Times New Roman" w:eastAsia="宋体" w:cs="Times New Roman"/>
                <w:color w:val="auto"/>
                <w:sz w:val="24"/>
                <w:highlight w:val="none"/>
                <w:lang w:val="en-US" w:eastAsia="zh-CN"/>
              </w:rPr>
              <w:t>生产过程产生的挥发性有机化合物（以非甲烷总烃计）执行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合成树脂工业污染物排放标准</w:t>
            </w:r>
            <w:r>
              <w:rPr>
                <w:rFonts w:hint="default" w:ascii="Times New Roman" w:hAnsi="Times New Roman" w:eastAsia="宋体" w:cs="Times New Roman"/>
                <w:color w:val="auto"/>
                <w:sz w:val="24"/>
                <w:szCs w:val="24"/>
                <w:highlight w:val="none"/>
              </w:rPr>
              <w:t>》（GB</w:t>
            </w:r>
            <w:r>
              <w:rPr>
                <w:rFonts w:hint="default" w:ascii="Times New Roman" w:hAnsi="Times New Roman" w:eastAsia="宋体" w:cs="Times New Roman"/>
                <w:color w:val="auto"/>
                <w:sz w:val="24"/>
                <w:szCs w:val="24"/>
                <w:highlight w:val="none"/>
                <w:lang w:val="en-US" w:eastAsia="zh-CN"/>
              </w:rPr>
              <w:t>31572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2015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中相关</w:t>
            </w:r>
            <w:r>
              <w:rPr>
                <w:rFonts w:hint="default" w:ascii="Times New Roman" w:hAnsi="Times New Roman" w:eastAsia="宋体" w:cs="Times New Roman"/>
                <w:color w:val="auto"/>
                <w:sz w:val="24"/>
                <w:szCs w:val="24"/>
                <w:highlight w:val="none"/>
                <w:lang w:val="en-US" w:eastAsia="zh-CN"/>
              </w:rPr>
              <w:t>大气污染物排放限值，</w:t>
            </w:r>
            <w:r>
              <w:rPr>
                <w:rFonts w:hint="default" w:ascii="Times New Roman" w:hAnsi="Times New Roman" w:eastAsia="宋体" w:cs="Times New Roman"/>
                <w:color w:val="auto"/>
                <w:sz w:val="24"/>
                <w:szCs w:val="24"/>
                <w:highlight w:val="none"/>
              </w:rPr>
              <w:t>标准值</w:t>
            </w:r>
            <w:r>
              <w:rPr>
                <w:rFonts w:hint="default" w:ascii="Times New Roman" w:hAnsi="Times New Roman" w:eastAsia="宋体" w:cs="Times New Roman"/>
                <w:color w:val="auto"/>
                <w:sz w:val="24"/>
                <w:szCs w:val="24"/>
                <w:highlight w:val="none"/>
                <w:lang w:eastAsia="zh-CN"/>
              </w:rPr>
              <w:t>详</w:t>
            </w:r>
            <w:r>
              <w:rPr>
                <w:rFonts w:hint="default" w:ascii="Times New Roman" w:hAnsi="Times New Roman" w:eastAsia="宋体" w:cs="Times New Roman"/>
                <w:color w:val="auto"/>
                <w:sz w:val="24"/>
                <w:szCs w:val="24"/>
                <w:highlight w:val="none"/>
              </w:rPr>
              <w:t>见表</w:t>
            </w:r>
            <w:r>
              <w:rPr>
                <w:rFonts w:hint="default" w:ascii="Times New Roman" w:hAnsi="Times New Roman" w:eastAsia="宋体" w:cs="Times New Roman"/>
                <w:color w:val="auto"/>
                <w:sz w:val="24"/>
                <w:szCs w:val="24"/>
                <w:highlight w:val="none"/>
                <w:lang w:val="en-US" w:eastAsia="zh-CN"/>
              </w:rPr>
              <w:t>3-6</w:t>
            </w:r>
            <w:r>
              <w:rPr>
                <w:rFonts w:hint="default" w:ascii="Times New Roman" w:hAnsi="Times New Roman" w:eastAsia="宋体" w:cs="Times New Roman"/>
                <w:color w:val="auto"/>
                <w:sz w:val="24"/>
                <w:szCs w:val="24"/>
                <w:highlight w:val="none"/>
              </w:rPr>
              <w:t>。</w:t>
            </w:r>
          </w:p>
          <w:p>
            <w:pPr>
              <w:widowControl w:val="0"/>
              <w:jc w:val="center"/>
              <w:rPr>
                <w:rFonts w:hint="default" w:ascii="Times New Roman" w:hAnsi="Times New Roman" w:eastAsia="宋体" w:cs="Times New Roman"/>
                <w:b/>
                <w:bCs/>
                <w:color w:val="auto"/>
                <w:sz w:val="21"/>
                <w:szCs w:val="21"/>
                <w:highlight w:val="none"/>
                <w:lang w:val="en-US"/>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3-6</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eastAsia="zh-CN"/>
              </w:rPr>
              <w:t>合成树脂工业污染物排放标准</w:t>
            </w:r>
            <w:r>
              <w:rPr>
                <w:rFonts w:hint="default" w:ascii="Times New Roman" w:hAnsi="Times New Roman" w:eastAsia="宋体" w:cs="Times New Roman"/>
                <w:b/>
                <w:bCs/>
                <w:color w:val="auto"/>
                <w:sz w:val="21"/>
                <w:szCs w:val="21"/>
                <w:highlight w:val="none"/>
                <w:lang w:val="en-US" w:eastAsia="zh-CN"/>
              </w:rPr>
              <w:t xml:space="preserve">   单位：</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p>
          <w:tbl>
            <w:tblPr>
              <w:tblStyle w:val="26"/>
              <w:tblW w:w="8525"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545"/>
              <w:gridCol w:w="1185"/>
              <w:gridCol w:w="2079"/>
              <w:gridCol w:w="1586"/>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3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54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最高允许排放浓度（mg/m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118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排气筒高度（m）</w:t>
                  </w:r>
                </w:p>
              </w:tc>
              <w:tc>
                <w:tcPr>
                  <w:tcW w:w="3665"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无组织排放监控浓度限值</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3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outlineLvl w:val="9"/>
                    <w:rPr>
                      <w:rFonts w:hint="default" w:ascii="Times New Roman" w:hAnsi="Times New Roman" w:eastAsia="宋体" w:cs="Times New Roman"/>
                      <w:b/>
                      <w:bCs/>
                      <w:color w:val="auto"/>
                      <w:sz w:val="21"/>
                      <w:szCs w:val="21"/>
                      <w:highlight w:val="none"/>
                    </w:rPr>
                  </w:pPr>
                </w:p>
              </w:tc>
              <w:tc>
                <w:tcPr>
                  <w:tcW w:w="15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outlineLvl w:val="9"/>
                    <w:rPr>
                      <w:rFonts w:hint="default" w:ascii="Times New Roman" w:hAnsi="Times New Roman" w:eastAsia="宋体" w:cs="Times New Roman"/>
                      <w:b/>
                      <w:bCs/>
                      <w:color w:val="auto"/>
                      <w:sz w:val="21"/>
                      <w:szCs w:val="21"/>
                      <w:highlight w:val="none"/>
                    </w:rPr>
                  </w:pPr>
                </w:p>
              </w:tc>
              <w:tc>
                <w:tcPr>
                  <w:tcW w:w="118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b/>
                      <w:bCs/>
                      <w:color w:val="auto"/>
                      <w:sz w:val="21"/>
                      <w:szCs w:val="21"/>
                      <w:highlight w:val="none"/>
                    </w:rPr>
                  </w:pPr>
                </w:p>
              </w:tc>
              <w:tc>
                <w:tcPr>
                  <w:tcW w:w="207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监控点</w:t>
                  </w:r>
                </w:p>
              </w:tc>
              <w:tc>
                <w:tcPr>
                  <w:tcW w:w="15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15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c>
                <w:tcPr>
                  <w:tcW w:w="118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207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周界外浓度最高点</w:t>
                  </w:r>
                </w:p>
              </w:tc>
              <w:tc>
                <w:tcPr>
                  <w:tcW w:w="15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单位产品非甲烷总烃排放量（kg/t产品）</w:t>
                  </w:r>
                </w:p>
              </w:tc>
              <w:tc>
                <w:tcPr>
                  <w:tcW w:w="15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118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207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5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bl>
          <w:p>
            <w:pPr>
              <w:keepNext w:val="0"/>
              <w:keepLines w:val="0"/>
              <w:pageBreakBefore w:val="0"/>
              <w:widowControl w:val="0"/>
              <w:kinsoku/>
              <w:wordWrap/>
              <w:overflowPunct/>
              <w:topLinePunct w:val="0"/>
              <w:autoSpaceDE/>
              <w:autoSpaceDN/>
              <w:bidi w:val="0"/>
              <w:adjustRightInd/>
              <w:snapToGrid/>
              <w:spacing w:line="348" w:lineRule="auto"/>
              <w:ind w:firstLine="480" w:firstLineChars="200"/>
              <w:jc w:val="left"/>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4"/>
                <w:highlight w:val="none"/>
                <w:lang w:val="en-US" w:eastAsia="zh-CN"/>
              </w:rPr>
              <w:t>②厂内无组织挥发性有机物执行《挥发性有机物无组织排放控制标准》（GB37822-2019）中的要求，具体见表3-7。</w:t>
            </w:r>
          </w:p>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3-7</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val="en-US" w:eastAsia="zh-CN"/>
              </w:rPr>
              <w:t>挥发性有机物无组织排放控制标准</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 xml:space="preserve"> 单位：mg/m</w:t>
            </w:r>
            <w:r>
              <w:rPr>
                <w:rFonts w:hint="default" w:ascii="Times New Roman" w:hAnsi="Times New Roman" w:eastAsia="宋体" w:cs="Times New Roman"/>
                <w:b/>
                <w:color w:val="auto"/>
                <w:sz w:val="21"/>
                <w:szCs w:val="21"/>
                <w:highlight w:val="none"/>
                <w:vertAlign w:val="superscript"/>
              </w:rPr>
              <w:t>3</w:t>
            </w:r>
          </w:p>
          <w:tbl>
            <w:tblPr>
              <w:tblStyle w:val="26"/>
              <w:tblW w:w="8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1427"/>
              <w:gridCol w:w="3080"/>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04" w:type="dxa"/>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1427" w:type="dxa"/>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排放限值</w:t>
                  </w:r>
                </w:p>
              </w:tc>
              <w:tc>
                <w:tcPr>
                  <w:tcW w:w="3080" w:type="dxa"/>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限值含义</w:t>
                  </w:r>
                </w:p>
              </w:tc>
              <w:tc>
                <w:tcPr>
                  <w:tcW w:w="2447" w:type="dxa"/>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04" w:type="dxa"/>
                  <w:vMerge w:val="restar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NMHC</w:t>
                  </w:r>
                </w:p>
              </w:tc>
              <w:tc>
                <w:tcPr>
                  <w:tcW w:w="142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308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监控点处1h平均浓度值</w:t>
                  </w:r>
                </w:p>
              </w:tc>
              <w:tc>
                <w:tcPr>
                  <w:tcW w:w="2447" w:type="dxa"/>
                  <w:vMerge w:val="restar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04" w:type="dxa"/>
                  <w:vMerge w:val="continue"/>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42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c>
                <w:tcPr>
                  <w:tcW w:w="308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监控点处任意一次浓度值</w:t>
                  </w:r>
                </w:p>
              </w:tc>
              <w:tc>
                <w:tcPr>
                  <w:tcW w:w="2447" w:type="dxa"/>
                  <w:vMerge w:val="continue"/>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bl>
          <w:p>
            <w:pPr>
              <w:pStyle w:val="14"/>
              <w:keepNext w:val="0"/>
              <w:keepLines w:val="0"/>
              <w:pageBreakBefore w:val="0"/>
              <w:widowControl w:val="0"/>
              <w:kinsoku/>
              <w:wordWrap/>
              <w:overflowPunct/>
              <w:topLinePunct w:val="0"/>
              <w:autoSpaceDE/>
              <w:autoSpaceDN/>
              <w:bidi w:val="0"/>
              <w:adjustRightInd w:val="0"/>
              <w:snapToGrid/>
              <w:spacing w:before="0" w:after="0" w:line="348" w:lineRule="auto"/>
              <w:ind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③</w:t>
            </w:r>
            <w:r>
              <w:rPr>
                <w:rFonts w:hint="default" w:ascii="Times New Roman" w:hAnsi="Times New Roman" w:eastAsia="宋体" w:cs="Times New Roman"/>
                <w:color w:val="auto"/>
                <w:sz w:val="24"/>
                <w:highlight w:val="none"/>
              </w:rPr>
              <w:t>项目运营期</w:t>
            </w:r>
            <w:r>
              <w:rPr>
                <w:rFonts w:hint="default" w:ascii="Times New Roman" w:hAnsi="Times New Roman" w:eastAsia="宋体" w:cs="Times New Roman"/>
                <w:color w:val="auto"/>
                <w:sz w:val="24"/>
                <w:highlight w:val="none"/>
                <w:lang w:val="en-US" w:eastAsia="zh-CN"/>
              </w:rPr>
              <w:t>生产车间、化粪池及污水处理站会有臭气浓度产生</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化粪池及污水处理站</w:t>
            </w:r>
            <w:r>
              <w:rPr>
                <w:rFonts w:hint="default" w:ascii="Times New Roman" w:hAnsi="Times New Roman" w:eastAsia="宋体" w:cs="Times New Roman"/>
                <w:color w:val="auto"/>
                <w:sz w:val="24"/>
                <w:highlight w:val="none"/>
              </w:rPr>
              <w:t>为无组织排放源，</w:t>
            </w:r>
            <w:r>
              <w:rPr>
                <w:rFonts w:hint="default" w:ascii="Times New Roman" w:hAnsi="Times New Roman" w:eastAsia="宋体" w:cs="Times New Roman"/>
                <w:color w:val="auto"/>
                <w:sz w:val="24"/>
                <w:highlight w:val="none"/>
                <w:lang w:val="en-US" w:eastAsia="zh-CN"/>
              </w:rPr>
              <w:t>生产车间臭气浓度大部分随有机废气一同收集为有组织排放，未收集少部分为无组织排放，</w:t>
            </w:r>
            <w:r>
              <w:rPr>
                <w:rFonts w:hint="default" w:ascii="Times New Roman" w:hAnsi="Times New Roman" w:eastAsia="宋体" w:cs="Times New Roman"/>
                <w:color w:val="auto"/>
                <w:sz w:val="24"/>
                <w:szCs w:val="24"/>
                <w:highlight w:val="none"/>
                <w:lang w:val="en-US" w:eastAsia="zh-CN"/>
              </w:rPr>
              <w:t>因此臭气浓度</w:t>
            </w:r>
            <w:r>
              <w:rPr>
                <w:rFonts w:hint="default" w:ascii="Times New Roman" w:hAnsi="Times New Roman" w:eastAsia="宋体" w:cs="Times New Roman"/>
                <w:color w:val="auto"/>
                <w:sz w:val="24"/>
                <w:szCs w:val="24"/>
                <w:highlight w:val="none"/>
                <w:lang w:val="zh-CN" w:eastAsia="zh-CN"/>
              </w:rPr>
              <w:t>排放执行《恶臭污染物排放标准》（GB14554-93）</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lang w:val="zh-CN" w:eastAsia="zh-CN"/>
              </w:rPr>
              <w:t>标准</w:t>
            </w:r>
            <w:r>
              <w:rPr>
                <w:rFonts w:hint="default" w:ascii="Times New Roman" w:hAnsi="Times New Roman" w:eastAsia="宋体" w:cs="Times New Roman"/>
                <w:color w:val="auto"/>
                <w:sz w:val="24"/>
                <w:szCs w:val="24"/>
                <w:highlight w:val="none"/>
                <w:lang w:val="en-US" w:eastAsia="zh-CN"/>
              </w:rPr>
              <w:t>限值</w:t>
            </w:r>
            <w:r>
              <w:rPr>
                <w:rFonts w:hint="default" w:ascii="Times New Roman" w:hAnsi="Times New Roman" w:eastAsia="宋体" w:cs="Times New Roman"/>
                <w:color w:val="auto"/>
                <w:sz w:val="24"/>
                <w:szCs w:val="24"/>
                <w:highlight w:val="none"/>
                <w:lang w:val="zh-CN" w:eastAsia="zh-CN"/>
              </w:rPr>
              <w:t>要求</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排放执行标准值详见表</w:t>
            </w:r>
            <w:r>
              <w:rPr>
                <w:rFonts w:hint="default" w:ascii="Times New Roman" w:hAnsi="Times New Roman" w:eastAsia="宋体" w:cs="Times New Roman"/>
                <w:color w:val="auto"/>
                <w:sz w:val="24"/>
                <w:highlight w:val="none"/>
                <w:lang w:val="en-US" w:eastAsia="zh-CN"/>
              </w:rPr>
              <w:t>3-8</w:t>
            </w:r>
            <w:r>
              <w:rPr>
                <w:rFonts w:hint="default" w:ascii="Times New Roman" w:hAnsi="Times New Roman" w:eastAsia="宋体" w:cs="Times New Roman"/>
                <w:color w:val="auto"/>
                <w:sz w:val="24"/>
                <w:highlight w:val="none"/>
              </w:rPr>
              <w:t>。</w:t>
            </w:r>
          </w:p>
          <w:p>
            <w:pPr>
              <w:pStyle w:val="47"/>
              <w:shd w:val="clear"/>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3-8</w:t>
            </w:r>
            <w:r>
              <w:rPr>
                <w:rFonts w:hint="default" w:ascii="Times New Roman" w:hAnsi="Times New Roman" w:eastAsia="宋体" w:cs="Times New Roman"/>
                <w:b/>
                <w:color w:val="auto"/>
                <w:sz w:val="21"/>
                <w:szCs w:val="21"/>
                <w:highlight w:val="none"/>
              </w:rPr>
              <w:t xml:space="preserve">   恶臭污染物厂界标准值</w:t>
            </w:r>
          </w:p>
          <w:tbl>
            <w:tblPr>
              <w:tblStyle w:val="26"/>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1062"/>
              <w:gridCol w:w="1465"/>
              <w:gridCol w:w="1379"/>
              <w:gridCol w:w="3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468" w:type="dxa"/>
                  <w:gridSpan w:val="2"/>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控制项目</w:t>
                  </w:r>
                </w:p>
              </w:tc>
              <w:tc>
                <w:tcPr>
                  <w:tcW w:w="1465"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单位</w:t>
                  </w:r>
                </w:p>
              </w:tc>
              <w:tc>
                <w:tcPr>
                  <w:tcW w:w="1379"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标准限值</w:t>
                  </w:r>
                </w:p>
              </w:tc>
              <w:tc>
                <w:tcPr>
                  <w:tcW w:w="3207"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1406" w:type="dxa"/>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有组织</w:t>
                  </w:r>
                </w:p>
              </w:tc>
              <w:tc>
                <w:tcPr>
                  <w:tcW w:w="1062" w:type="dxa"/>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臭气浓度</w:t>
                  </w:r>
                </w:p>
              </w:tc>
              <w:tc>
                <w:tcPr>
                  <w:tcW w:w="1465" w:type="dxa"/>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无量纲</w:t>
                  </w:r>
                </w:p>
              </w:tc>
              <w:tc>
                <w:tcPr>
                  <w:tcW w:w="1379"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2000</w:t>
                  </w:r>
                </w:p>
              </w:tc>
              <w:tc>
                <w:tcPr>
                  <w:tcW w:w="3207" w:type="dxa"/>
                  <w:vMerge w:val="restart"/>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（GB14554-93）中二级标准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1406" w:type="dxa"/>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val="en-US" w:eastAsia="zh-CN"/>
                    </w:rPr>
                    <w:t>无组织</w:t>
                  </w:r>
                </w:p>
              </w:tc>
              <w:tc>
                <w:tcPr>
                  <w:tcW w:w="1062" w:type="dxa"/>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臭气浓度</w:t>
                  </w:r>
                </w:p>
              </w:tc>
              <w:tc>
                <w:tcPr>
                  <w:tcW w:w="1465" w:type="dxa"/>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无量纲</w:t>
                  </w:r>
                </w:p>
              </w:tc>
              <w:tc>
                <w:tcPr>
                  <w:tcW w:w="1379"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20</w:t>
                  </w:r>
                </w:p>
              </w:tc>
              <w:tc>
                <w:tcPr>
                  <w:tcW w:w="3207" w:type="dxa"/>
                  <w:vMerge w:val="continue"/>
                  <w:tcBorders>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p>
              </w:tc>
            </w:tr>
          </w:tbl>
          <w:p>
            <w:pPr>
              <w:pStyle w:val="14"/>
              <w:keepNext w:val="0"/>
              <w:keepLines w:val="0"/>
              <w:pageBreakBefore w:val="0"/>
              <w:widowControl w:val="0"/>
              <w:kinsoku/>
              <w:wordWrap/>
              <w:overflowPunct/>
              <w:topLinePunct w:val="0"/>
              <w:autoSpaceDE/>
              <w:autoSpaceDN/>
              <w:bidi w:val="0"/>
              <w:adjustRightInd w:val="0"/>
              <w:spacing w:before="0" w:after="0" w:line="341" w:lineRule="auto"/>
              <w:ind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④食堂油烟</w:t>
            </w:r>
          </w:p>
          <w:p>
            <w:pPr>
              <w:pStyle w:val="14"/>
              <w:keepNext w:val="0"/>
              <w:keepLines w:val="0"/>
              <w:pageBreakBefore w:val="0"/>
              <w:widowControl w:val="0"/>
              <w:kinsoku/>
              <w:wordWrap/>
              <w:overflowPunct/>
              <w:topLinePunct w:val="0"/>
              <w:autoSpaceDE/>
              <w:autoSpaceDN/>
              <w:bidi w:val="0"/>
              <w:adjustRightInd w:val="0"/>
              <w:spacing w:before="0" w:after="0" w:line="341"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项目运营期食堂油烟排放执行《饮食业油烟排放标准（试行）》（GB18483-2001）中的</w:t>
            </w:r>
            <w:r>
              <w:rPr>
                <w:rFonts w:hint="default" w:ascii="Times New Roman" w:hAnsi="Times New Roman" w:eastAsia="宋体" w:cs="Times New Roman"/>
                <w:color w:val="auto"/>
                <w:sz w:val="24"/>
                <w:szCs w:val="24"/>
                <w:highlight w:val="none"/>
                <w:lang w:val="en-US" w:eastAsia="zh-CN"/>
              </w:rPr>
              <w:t>小型规模</w:t>
            </w:r>
            <w:r>
              <w:rPr>
                <w:rFonts w:hint="default" w:ascii="Times New Roman" w:hAnsi="Times New Roman" w:eastAsia="宋体" w:cs="Times New Roman"/>
                <w:color w:val="auto"/>
                <w:sz w:val="24"/>
                <w:szCs w:val="24"/>
                <w:highlight w:val="none"/>
              </w:rPr>
              <w:t>最高允许排放浓度，即油烟</w:t>
            </w:r>
            <w:r>
              <w:rPr>
                <w:rFonts w:hint="default" w:ascii="Times New Roman" w:hAnsi="Times New Roman" w:eastAsia="宋体" w:cs="Times New Roman"/>
                <w:color w:val="auto"/>
                <w:sz w:val="24"/>
                <w:szCs w:val="24"/>
                <w:highlight w:val="none"/>
                <w:lang w:val="en-US" w:eastAsia="zh-CN"/>
              </w:rPr>
              <w:t>排放浓度</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Cs w:val="0"/>
                <w:color w:val="auto"/>
                <w:sz w:val="24"/>
                <w:szCs w:val="24"/>
                <w:highlight w:val="none"/>
              </w:rPr>
              <w:t>净化设施最低去除效率</w:t>
            </w:r>
            <w:r>
              <w:rPr>
                <w:rFonts w:hint="default" w:ascii="Times New Roman" w:hAnsi="Times New Roman" w:eastAsia="宋体" w:cs="Times New Roman"/>
                <w:bCs w:val="0"/>
                <w:color w:val="auto"/>
                <w:sz w:val="24"/>
                <w:szCs w:val="24"/>
                <w:highlight w:val="none"/>
                <w:lang w:val="en-US" w:eastAsia="zh-CN"/>
              </w:rPr>
              <w:t>60%</w:t>
            </w:r>
            <w:r>
              <w:rPr>
                <w:rFonts w:hint="default" w:ascii="Times New Roman" w:hAnsi="Times New Roman" w:eastAsia="宋体" w:cs="Times New Roman"/>
                <w:bCs w:val="0"/>
                <w:color w:val="auto"/>
                <w:sz w:val="24"/>
                <w:szCs w:val="24"/>
                <w:highlight w:val="none"/>
                <w:lang w:eastAsia="zh-CN"/>
              </w:rPr>
              <w:t>。</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41"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2、废水</w:t>
            </w:r>
          </w:p>
          <w:p>
            <w:pPr>
              <w:keepNext w:val="0"/>
              <w:keepLines w:val="0"/>
              <w:pageBreakBefore w:val="0"/>
              <w:widowControl w:val="0"/>
              <w:kinsoku/>
              <w:wordWrap/>
              <w:overflowPunct/>
              <w:topLinePunct w:val="0"/>
              <w:autoSpaceDE/>
              <w:autoSpaceDN/>
              <w:bidi w:val="0"/>
              <w:adjustRightInd w:val="0"/>
              <w:snapToGrid w:val="0"/>
              <w:spacing w:line="341"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本项目食堂废水经隔油池处理后，与其他生活污水一并进入化粪池、</w:t>
            </w:r>
            <w:r>
              <w:rPr>
                <w:rFonts w:hint="default" w:ascii="Times New Roman" w:hAnsi="Times New Roman" w:eastAsia="宋体" w:cs="Times New Roman"/>
                <w:color w:val="auto"/>
                <w:sz w:val="24"/>
                <w:szCs w:val="24"/>
                <w:highlight w:val="none"/>
                <w:lang w:eastAsia="zh-CN" w:bidi="ar"/>
              </w:rPr>
              <w:t>一体化</w:t>
            </w:r>
            <w:r>
              <w:rPr>
                <w:rFonts w:hint="default" w:ascii="Times New Roman" w:hAnsi="Times New Roman" w:eastAsia="宋体" w:cs="Times New Roman"/>
                <w:color w:val="auto"/>
                <w:sz w:val="24"/>
                <w:szCs w:val="24"/>
                <w:highlight w:val="none"/>
                <w:lang w:val="en-US" w:eastAsia="zh-CN"/>
              </w:rPr>
              <w:t>污水处理站处理达</w:t>
            </w:r>
            <w:r>
              <w:rPr>
                <w:rFonts w:hint="default" w:ascii="Times New Roman" w:hAnsi="Times New Roman" w:eastAsia="宋体" w:cs="Times New Roman"/>
                <w:color w:val="auto"/>
                <w:sz w:val="24"/>
                <w:highlight w:val="none"/>
                <w:lang w:val="en-US" w:eastAsia="zh-CN"/>
              </w:rPr>
              <w:t>《城市污水再生利用 城市杂用水水质》（GB/T18920-2020）</w:t>
            </w:r>
            <w:r>
              <w:rPr>
                <w:rFonts w:hint="default" w:ascii="Times New Roman" w:hAnsi="Times New Roman" w:eastAsia="宋体" w:cs="Times New Roman"/>
                <w:color w:val="auto"/>
                <w:sz w:val="24"/>
                <w:szCs w:val="24"/>
                <w:highlight w:val="none"/>
                <w:lang w:val="en-US" w:eastAsia="zh-CN"/>
              </w:rPr>
              <w:t>中的城市绿化、道路清扫、消防、建筑施工标准后，</w:t>
            </w:r>
            <w:r>
              <w:rPr>
                <w:rFonts w:hint="default" w:ascii="Times New Roman" w:hAnsi="Times New Roman" w:eastAsia="宋体" w:cs="Times New Roman"/>
                <w:b w:val="0"/>
                <w:bCs w:val="0"/>
                <w:color w:val="auto"/>
                <w:sz w:val="24"/>
                <w:szCs w:val="24"/>
                <w:highlight w:val="none"/>
                <w:lang w:val="en-US" w:eastAsia="zh-CN"/>
              </w:rPr>
              <w:t>用于项目区内绿化及道路场地洒水降尘，不外排</w:t>
            </w:r>
            <w:r>
              <w:rPr>
                <w:rFonts w:hint="default" w:ascii="Times New Roman" w:hAnsi="Times New Roman" w:eastAsia="宋体" w:cs="Times New Roman"/>
                <w:color w:val="auto"/>
                <w:sz w:val="24"/>
                <w:szCs w:val="24"/>
                <w:highlight w:val="none"/>
                <w:lang w:val="en-US" w:eastAsia="zh-CN"/>
              </w:rPr>
              <w:t>。生活污水执行标准值见表3-9。</w:t>
            </w:r>
          </w:p>
          <w:p>
            <w:pPr>
              <w:shd w:val="clear" w:color="auto" w:fill="auto"/>
              <w:spacing w:line="240" w:lineRule="auto"/>
              <w:ind w:firstLine="0" w:firstLineChars="0"/>
              <w:jc w:val="center"/>
              <w:rPr>
                <w:rFonts w:hint="default" w:ascii="Times New Roman" w:hAnsi="Times New Roman" w:eastAsia="宋体" w:cs="Times New Roman"/>
                <w:b/>
                <w:bCs/>
                <w:color w:val="auto"/>
                <w:sz w:val="21"/>
                <w:szCs w:val="21"/>
                <w:highlight w:val="none"/>
                <w:lang w:val="en-US" w:bidi="ar"/>
              </w:rPr>
            </w:pPr>
            <w:r>
              <w:rPr>
                <w:rFonts w:hint="default" w:ascii="Times New Roman" w:hAnsi="Times New Roman" w:eastAsia="宋体" w:cs="Times New Roman"/>
                <w:b/>
                <w:bCs/>
                <w:color w:val="auto"/>
                <w:sz w:val="21"/>
                <w:szCs w:val="21"/>
                <w:highlight w:val="none"/>
                <w:lang w:bidi="ar"/>
              </w:rPr>
              <w:t>表</w:t>
            </w:r>
            <w:r>
              <w:rPr>
                <w:rFonts w:hint="default" w:ascii="Times New Roman" w:hAnsi="Times New Roman" w:eastAsia="宋体" w:cs="Times New Roman"/>
                <w:b/>
                <w:bCs/>
                <w:color w:val="auto"/>
                <w:sz w:val="21"/>
                <w:szCs w:val="21"/>
                <w:highlight w:val="none"/>
                <w:lang w:val="en-US" w:eastAsia="zh-CN" w:bidi="ar"/>
              </w:rPr>
              <w:t>3-9</w:t>
            </w:r>
            <w:r>
              <w:rPr>
                <w:rFonts w:hint="default" w:ascii="Times New Roman" w:hAnsi="Times New Roman" w:eastAsia="宋体" w:cs="Times New Roman"/>
                <w:b/>
                <w:bCs/>
                <w:color w:val="auto"/>
                <w:sz w:val="21"/>
                <w:szCs w:val="21"/>
                <w:highlight w:val="none"/>
                <w:lang w:bidi="ar"/>
              </w:rPr>
              <w:t xml:space="preserve"> </w:t>
            </w:r>
            <w:r>
              <w:rPr>
                <w:rFonts w:hint="default" w:ascii="Times New Roman" w:hAnsi="Times New Roman" w:eastAsia="宋体" w:cs="Times New Roman"/>
                <w:b/>
                <w:bCs/>
                <w:color w:val="auto"/>
                <w:sz w:val="21"/>
                <w:szCs w:val="21"/>
                <w:highlight w:val="none"/>
                <w:lang w:val="en-US" w:eastAsia="zh-CN" w:bidi="ar"/>
              </w:rPr>
              <w:t xml:space="preserve">  城市污水再生利用 城市杂用水水质</w:t>
            </w:r>
          </w:p>
          <w:tbl>
            <w:tblPr>
              <w:tblStyle w:val="26"/>
              <w:tblW w:w="8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3"/>
              <w:gridCol w:w="4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03" w:type="dxa"/>
                  <w:vAlign w:val="center"/>
                </w:tcPr>
                <w:p>
                  <w:pPr>
                    <w:pStyle w:val="43"/>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项目</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城市绿化、道路清扫、消防、建筑施工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pH</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色度≤</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嗅</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无不快感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浊度/NTU≤</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五日生化需氧量（BOD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val="en-US" w:eastAsia="zh-CN"/>
                    </w:rPr>
                    <w:t>）/（mg/L）≤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阴离子表面活性剂/（mg/L）≤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溶解性总固体/（mg/L）≤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1000（2000）</w:t>
                  </w:r>
                  <w:r>
                    <w:rPr>
                      <w:rFonts w:hint="default" w:ascii="Times New Roman" w:hAnsi="Times New Roman" w:eastAsia="宋体" w:cs="Times New Roman"/>
                      <w:color w:val="auto"/>
                      <w:sz w:val="21"/>
                      <w:szCs w:val="21"/>
                      <w:highlight w:val="none"/>
                      <w:vertAlign w:val="superscript"/>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溶解氧/（mg/L）≤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总氯/（mg/L）≤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1.0（出厂），0.2</w:t>
                  </w:r>
                  <w:r>
                    <w:rPr>
                      <w:rFonts w:hint="default" w:ascii="Times New Roman" w:hAnsi="Times New Roman" w:eastAsia="宋体" w:cs="Times New Roman"/>
                      <w:color w:val="auto"/>
                      <w:sz w:val="21"/>
                      <w:szCs w:val="21"/>
                      <w:highlight w:val="none"/>
                      <w:vertAlign w:val="superscript"/>
                      <w:lang w:val="en-US" w:eastAsia="zh-CN"/>
                    </w:rPr>
                    <w:t>b</w:t>
                  </w:r>
                  <w:r>
                    <w:rPr>
                      <w:rFonts w:hint="default" w:ascii="Times New Roman" w:hAnsi="Times New Roman" w:eastAsia="宋体" w:cs="Times New Roman"/>
                      <w:color w:val="auto"/>
                      <w:sz w:val="21"/>
                      <w:szCs w:val="21"/>
                      <w:highlight w:val="none"/>
                      <w:lang w:val="en-US" w:eastAsia="zh-CN"/>
                    </w:rPr>
                    <w:t>（管网末端）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8413" w:type="dxa"/>
                  <w:gridSpan w:val="2"/>
                  <w:vAlign w:val="center"/>
                </w:tcPr>
                <w:p>
                  <w:pPr>
                    <w:pStyle w:val="43"/>
                    <w:shd w:val="clear" w:color="auto" w:fill="auto"/>
                    <w:ind w:firstLine="0" w:firstLineChars="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a 括号内指标值为沿海及本地水源中溶解性固体含量较高的区域的指标。</w:t>
                  </w:r>
                </w:p>
                <w:p>
                  <w:p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b 用于城市绿化时，不应超过2.5mg/L。</w:t>
                  </w:r>
                </w:p>
              </w:tc>
            </w:tr>
          </w:tbl>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3、噪声</w:t>
            </w:r>
          </w:p>
          <w:p>
            <w:pPr>
              <w:adjustRightInd w:val="0"/>
              <w:snapToGrid w:val="0"/>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施工期</w:t>
            </w:r>
          </w:p>
          <w:p>
            <w:pPr>
              <w:keepNext w:val="0"/>
              <w:keepLines w:val="0"/>
              <w:pageBreakBefore w:val="0"/>
              <w:kinsoku/>
              <w:wordWrap/>
              <w:overflowPunct/>
              <w:topLinePunct w:val="0"/>
              <w:autoSpaceDE/>
              <w:autoSpaceDN/>
              <w:bidi w:val="0"/>
              <w:adjustRightInd w:val="0"/>
              <w:snapToGrid w:val="0"/>
              <w:spacing w:line="348"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项目施工期噪声执行</w:t>
            </w:r>
            <w:r>
              <w:rPr>
                <w:rFonts w:hint="default" w:ascii="Times New Roman" w:hAnsi="Times New Roman" w:eastAsia="宋体" w:cs="Times New Roman"/>
                <w:color w:val="auto"/>
                <w:kern w:val="0"/>
                <w:sz w:val="24"/>
                <w:highlight w:val="none"/>
              </w:rPr>
              <w:t>《建筑施工场界环境噪声排放标准》</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GB12523-2011</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标准限值见表</w:t>
            </w:r>
            <w:r>
              <w:rPr>
                <w:rFonts w:hint="default" w:ascii="Times New Roman" w:hAnsi="Times New Roman" w:eastAsia="宋体" w:cs="Times New Roman"/>
                <w:color w:val="auto"/>
                <w:kern w:val="0"/>
                <w:sz w:val="24"/>
                <w:highlight w:val="none"/>
                <w:lang w:val="en-US" w:eastAsia="zh-CN"/>
              </w:rPr>
              <w:t>3-10</w:t>
            </w:r>
            <w:r>
              <w:rPr>
                <w:rFonts w:hint="default" w:ascii="Times New Roman" w:hAnsi="Times New Roman" w:eastAsia="宋体" w:cs="Times New Roman"/>
                <w:color w:val="auto"/>
                <w:kern w:val="0"/>
                <w:sz w:val="24"/>
                <w:highlight w:val="none"/>
              </w:rPr>
              <w:t>。</w:t>
            </w:r>
          </w:p>
          <w:p>
            <w:pPr>
              <w:adjustRightInd w:val="0"/>
              <w:snapToGrid w:val="0"/>
              <w:jc w:val="center"/>
              <w:textAlignment w:val="baseline"/>
              <w:rPr>
                <w:rFonts w:hint="default" w:ascii="Times New Roman" w:hAnsi="Times New Roman" w:eastAsia="宋体" w:cs="Times New Roman"/>
                <w:b/>
                <w:color w:val="auto"/>
                <w:highlight w:val="none"/>
                <w:lang w:eastAsia="zh-CN"/>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3-10</w:t>
            </w:r>
            <w:r>
              <w:rPr>
                <w:rFonts w:hint="default" w:ascii="Times New Roman" w:hAnsi="Times New Roman" w:eastAsia="宋体" w:cs="Times New Roman"/>
                <w:b/>
                <w:bCs/>
                <w:color w:val="auto"/>
                <w:highlight w:val="none"/>
              </w:rPr>
              <w:t xml:space="preserve">   </w:t>
            </w:r>
            <w:r>
              <w:rPr>
                <w:rFonts w:hint="default" w:ascii="Times New Roman" w:hAnsi="Times New Roman" w:eastAsia="宋体" w:cs="Times New Roman"/>
                <w:b/>
                <w:color w:val="auto"/>
                <w:highlight w:val="none"/>
              </w:rPr>
              <w:t>建筑施工场界环境噪声排放标准   单位：dB</w:t>
            </w:r>
            <w:r>
              <w:rPr>
                <w:rFonts w:hint="default" w:ascii="Times New Roman" w:hAnsi="Times New Roman" w:eastAsia="宋体" w:cs="Times New Roman"/>
                <w:b/>
                <w:color w:val="auto"/>
                <w:highlight w:val="none"/>
                <w:lang w:eastAsia="zh-CN"/>
              </w:rPr>
              <w:t>（</w:t>
            </w:r>
            <w:r>
              <w:rPr>
                <w:rFonts w:hint="default" w:ascii="Times New Roman" w:hAnsi="Times New Roman" w:eastAsia="宋体" w:cs="Times New Roman"/>
                <w:b/>
                <w:color w:val="auto"/>
                <w:highlight w:val="none"/>
              </w:rPr>
              <w:t>A</w:t>
            </w:r>
            <w:r>
              <w:rPr>
                <w:rFonts w:hint="default" w:ascii="Times New Roman" w:hAnsi="Times New Roman" w:eastAsia="宋体" w:cs="Times New Roman"/>
                <w:b/>
                <w:color w:val="auto"/>
                <w:highlight w:val="none"/>
                <w:lang w:eastAsia="zh-CN"/>
              </w:rPr>
              <w:t>）</w:t>
            </w:r>
          </w:p>
          <w:tbl>
            <w:tblPr>
              <w:tblStyle w:val="26"/>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1634"/>
              <w:gridCol w:w="1453"/>
              <w:gridCol w:w="3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935" w:type="pct"/>
                  <w:noWrap w:val="0"/>
                  <w:vAlign w:val="center"/>
                </w:tcPr>
                <w:p>
                  <w:pPr>
                    <w:pStyle w:val="25"/>
                    <w:spacing w:after="0"/>
                    <w:ind w:left="0" w:leftChars="0"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环境要素</w:t>
                  </w:r>
                </w:p>
              </w:tc>
              <w:tc>
                <w:tcPr>
                  <w:tcW w:w="1825" w:type="pct"/>
                  <w:gridSpan w:val="2"/>
                  <w:noWrap w:val="0"/>
                  <w:vAlign w:val="center"/>
                </w:tcPr>
                <w:p>
                  <w:pPr>
                    <w:pStyle w:val="25"/>
                    <w:spacing w:after="0"/>
                    <w:ind w:left="0" w:leftChars="0"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标准值</w:t>
                  </w:r>
                </w:p>
              </w:tc>
              <w:tc>
                <w:tcPr>
                  <w:tcW w:w="2238" w:type="pct"/>
                  <w:noWrap w:val="0"/>
                  <w:vAlign w:val="center"/>
                </w:tcPr>
                <w:p>
                  <w:pPr>
                    <w:pStyle w:val="25"/>
                    <w:spacing w:after="0"/>
                    <w:ind w:left="0" w:leftChars="0"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935" w:type="pct"/>
                  <w:vMerge w:val="restart"/>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噪声</w:t>
                  </w:r>
                </w:p>
              </w:tc>
              <w:tc>
                <w:tcPr>
                  <w:tcW w:w="966" w:type="pct"/>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昼间</w:t>
                  </w:r>
                </w:p>
              </w:tc>
              <w:tc>
                <w:tcPr>
                  <w:tcW w:w="858" w:type="pct"/>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夜间</w:t>
                  </w:r>
                </w:p>
              </w:tc>
              <w:tc>
                <w:tcPr>
                  <w:tcW w:w="2238" w:type="pct"/>
                  <w:vMerge w:val="restart"/>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《建筑施工场界环境噪声排放标准》（</w:t>
                  </w:r>
                  <w:r>
                    <w:rPr>
                      <w:rFonts w:hint="default" w:ascii="Times New Roman" w:hAnsi="Times New Roman" w:eastAsia="宋体" w:cs="Times New Roman"/>
                      <w:bCs/>
                      <w:color w:val="auto"/>
                      <w:kern w:val="0"/>
                      <w:highlight w:val="none"/>
                    </w:rPr>
                    <w:t>GB12523－2011</w:t>
                  </w:r>
                  <w:r>
                    <w:rPr>
                      <w:rFonts w:hint="default" w:ascii="Times New Roman" w:hAnsi="Times New Roman" w:eastAsia="宋体" w:cs="Times New Roman"/>
                      <w:bCs/>
                      <w:color w:val="auto"/>
                      <w:highlight w:val="none"/>
                    </w:rPr>
                    <w:t>）表1中排放限值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935" w:type="pct"/>
                  <w:vMerge w:val="continue"/>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p>
              </w:tc>
              <w:tc>
                <w:tcPr>
                  <w:tcW w:w="966" w:type="pct"/>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70</w:t>
                  </w:r>
                </w:p>
              </w:tc>
              <w:tc>
                <w:tcPr>
                  <w:tcW w:w="858" w:type="pct"/>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55</w:t>
                  </w:r>
                </w:p>
              </w:tc>
              <w:tc>
                <w:tcPr>
                  <w:tcW w:w="2238" w:type="pct"/>
                  <w:vMerge w:val="continue"/>
                  <w:noWrap w:val="0"/>
                  <w:vAlign w:val="center"/>
                </w:tcPr>
                <w:p>
                  <w:pPr>
                    <w:pStyle w:val="25"/>
                    <w:spacing w:after="0"/>
                    <w:ind w:left="0" w:leftChars="0" w:firstLine="0" w:firstLineChars="0"/>
                    <w:jc w:val="center"/>
                    <w:rPr>
                      <w:rFonts w:hint="default" w:ascii="Times New Roman" w:hAnsi="Times New Roman" w:eastAsia="宋体" w:cs="Times New Roman"/>
                      <w:bCs/>
                      <w:color w:val="auto"/>
                      <w:sz w:val="24"/>
                      <w:highlight w:val="none"/>
                    </w:rPr>
                  </w:pPr>
                </w:p>
              </w:tc>
            </w:tr>
          </w:tbl>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（2）运营期</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项目</w:t>
            </w:r>
            <w:r>
              <w:rPr>
                <w:rFonts w:hint="default" w:ascii="Times New Roman" w:hAnsi="Times New Roman" w:eastAsia="宋体" w:cs="Times New Roman"/>
                <w:color w:val="auto"/>
                <w:sz w:val="24"/>
                <w:highlight w:val="none"/>
              </w:rPr>
              <w:t>营运期</w:t>
            </w:r>
            <w:r>
              <w:rPr>
                <w:rFonts w:hint="default" w:ascii="Times New Roman" w:hAnsi="Times New Roman" w:eastAsia="宋体" w:cs="Times New Roman"/>
                <w:color w:val="auto"/>
                <w:sz w:val="24"/>
                <w:highlight w:val="none"/>
                <w:lang w:val="en-US" w:eastAsia="zh-CN"/>
              </w:rPr>
              <w:t>北、西、南厂界</w:t>
            </w:r>
            <w:r>
              <w:rPr>
                <w:rFonts w:hint="default" w:ascii="Times New Roman" w:hAnsi="Times New Roman" w:eastAsia="宋体" w:cs="Times New Roman"/>
                <w:color w:val="auto"/>
                <w:sz w:val="24"/>
                <w:highlight w:val="none"/>
              </w:rPr>
              <w:t>噪声排放执行《工业企业厂界环境噪声排放标准》（GB12348-2008）3类标准，临1号路一侧</w:t>
            </w:r>
            <w:r>
              <w:rPr>
                <w:rFonts w:hint="default" w:ascii="Times New Roman" w:hAnsi="Times New Roman" w:eastAsia="宋体" w:cs="Times New Roman"/>
                <w:color w:val="auto"/>
                <w:sz w:val="24"/>
                <w:highlight w:val="none"/>
                <w:lang w:val="en-US" w:eastAsia="zh-CN"/>
              </w:rPr>
              <w:t>25</w:t>
            </w:r>
            <w:r>
              <w:rPr>
                <w:rFonts w:hint="default" w:ascii="Times New Roman" w:hAnsi="Times New Roman" w:eastAsia="宋体" w:cs="Times New Roman"/>
                <w:color w:val="auto"/>
                <w:sz w:val="24"/>
                <w:highlight w:val="none"/>
              </w:rPr>
              <w:t>m范围内</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东厂界</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执行《工业企业厂界环境噪声排放标准》（GB12348—2008）4类标准。</w:t>
            </w:r>
            <w:r>
              <w:rPr>
                <w:rFonts w:hint="default" w:ascii="Times New Roman" w:hAnsi="Times New Roman" w:eastAsia="宋体" w:cs="Times New Roman"/>
                <w:color w:val="auto"/>
                <w:kern w:val="2"/>
                <w:sz w:val="24"/>
                <w:highlight w:val="none"/>
              </w:rPr>
              <w:t>标准限</w:t>
            </w:r>
            <w:r>
              <w:rPr>
                <w:rFonts w:hint="default" w:ascii="Times New Roman" w:hAnsi="Times New Roman" w:eastAsia="宋体" w:cs="Times New Roman"/>
                <w:color w:val="auto"/>
                <w:kern w:val="0"/>
                <w:sz w:val="24"/>
                <w:highlight w:val="none"/>
              </w:rPr>
              <w:t>值</w:t>
            </w:r>
            <w:r>
              <w:rPr>
                <w:rFonts w:hint="default" w:ascii="Times New Roman" w:hAnsi="Times New Roman" w:eastAsia="宋体" w:cs="Times New Roman"/>
                <w:color w:val="auto"/>
                <w:sz w:val="24"/>
                <w:highlight w:val="none"/>
              </w:rPr>
              <w:t>详见表</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w:t>
            </w:r>
          </w:p>
          <w:p>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表</w:t>
            </w:r>
            <w:r>
              <w:rPr>
                <w:rFonts w:hint="default" w:ascii="Times New Roman" w:hAnsi="Times New Roman" w:eastAsia="宋体" w:cs="Times New Roman"/>
                <w:b/>
                <w:color w:val="auto"/>
                <w:kern w:val="21"/>
                <w:szCs w:val="21"/>
                <w:highlight w:val="none"/>
                <w:lang w:val="en-US" w:eastAsia="zh-CN"/>
              </w:rPr>
              <w:t>3</w:t>
            </w:r>
            <w:r>
              <w:rPr>
                <w:rFonts w:hint="default" w:ascii="Times New Roman" w:hAnsi="Times New Roman" w:eastAsia="宋体" w:cs="Times New Roman"/>
                <w:b/>
                <w:color w:val="auto"/>
                <w:kern w:val="21"/>
                <w:szCs w:val="21"/>
                <w:highlight w:val="none"/>
              </w:rPr>
              <w:t>-</w:t>
            </w:r>
            <w:r>
              <w:rPr>
                <w:rFonts w:hint="default" w:ascii="Times New Roman" w:hAnsi="Times New Roman" w:eastAsia="宋体" w:cs="Times New Roman"/>
                <w:b/>
                <w:color w:val="auto"/>
                <w:kern w:val="21"/>
                <w:szCs w:val="21"/>
                <w:highlight w:val="none"/>
                <w:lang w:val="en-US" w:eastAsia="zh-CN"/>
              </w:rPr>
              <w:t xml:space="preserve">11  </w:t>
            </w:r>
            <w:r>
              <w:rPr>
                <w:rFonts w:hint="default" w:ascii="Times New Roman" w:hAnsi="Times New Roman" w:eastAsia="宋体" w:cs="Times New Roman"/>
                <w:b/>
                <w:color w:val="auto"/>
                <w:kern w:val="21"/>
                <w:szCs w:val="21"/>
                <w:highlight w:val="none"/>
              </w:rPr>
              <w:t>工业企业厂界环境噪声排放标准   单位：dB（A）</w:t>
            </w:r>
          </w:p>
          <w:tbl>
            <w:tblPr>
              <w:tblStyle w:val="26"/>
              <w:tblW w:w="84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3"/>
              <w:gridCol w:w="2329"/>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73" w:type="dxa"/>
                  <w:vMerge w:val="restart"/>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lang w:val="en-US" w:eastAsia="zh-CN"/>
                    </w:rPr>
                  </w:pPr>
                  <w:r>
                    <w:rPr>
                      <w:rFonts w:hint="default" w:ascii="Times New Roman" w:hAnsi="Times New Roman" w:eastAsia="宋体" w:cs="Times New Roman"/>
                      <w:b/>
                      <w:color w:val="auto"/>
                      <w:kern w:val="21"/>
                      <w:szCs w:val="21"/>
                      <w:highlight w:val="none"/>
                      <w:lang w:val="en-US" w:eastAsia="zh-CN"/>
                    </w:rPr>
                    <w:t>类别</w:t>
                  </w:r>
                </w:p>
              </w:tc>
              <w:tc>
                <w:tcPr>
                  <w:tcW w:w="3741" w:type="dxa"/>
                  <w:gridSpan w:val="2"/>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3" w:type="dxa"/>
                  <w:vMerge w:val="continue"/>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rPr>
                  </w:pPr>
                </w:p>
              </w:tc>
              <w:tc>
                <w:tcPr>
                  <w:tcW w:w="2329" w:type="dxa"/>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昼间</w:t>
                  </w:r>
                </w:p>
              </w:tc>
              <w:tc>
                <w:tcPr>
                  <w:tcW w:w="1412" w:type="dxa"/>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3"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lang w:eastAsia="zh-CN"/>
                    </w:rPr>
                  </w:pPr>
                  <w:r>
                    <w:rPr>
                      <w:rFonts w:hint="default" w:ascii="Times New Roman" w:hAnsi="Times New Roman" w:eastAsia="宋体" w:cs="Times New Roman"/>
                      <w:bCs/>
                      <w:color w:val="auto"/>
                      <w:kern w:val="21"/>
                      <w:szCs w:val="21"/>
                      <w:highlight w:val="none"/>
                    </w:rPr>
                    <w:t>3类</w:t>
                  </w:r>
                  <w:r>
                    <w:rPr>
                      <w:rFonts w:hint="default" w:ascii="Times New Roman" w:hAnsi="Times New Roman" w:eastAsia="宋体" w:cs="Times New Roman"/>
                      <w:bCs/>
                      <w:color w:val="auto"/>
                      <w:kern w:val="21"/>
                      <w:szCs w:val="21"/>
                      <w:highlight w:val="none"/>
                      <w:lang w:eastAsia="zh-CN"/>
                    </w:rPr>
                    <w:t>（</w:t>
                  </w:r>
                  <w:r>
                    <w:rPr>
                      <w:rFonts w:hint="default" w:ascii="Times New Roman" w:hAnsi="Times New Roman" w:eastAsia="宋体" w:cs="Times New Roman"/>
                      <w:color w:val="auto"/>
                      <w:sz w:val="21"/>
                      <w:szCs w:val="21"/>
                      <w:highlight w:val="none"/>
                      <w:lang w:val="en-US" w:eastAsia="zh-CN"/>
                    </w:rPr>
                    <w:t>北、西、南厂界</w:t>
                  </w:r>
                  <w:r>
                    <w:rPr>
                      <w:rFonts w:hint="default" w:ascii="Times New Roman" w:hAnsi="Times New Roman" w:eastAsia="宋体" w:cs="Times New Roman"/>
                      <w:bCs/>
                      <w:color w:val="auto"/>
                      <w:kern w:val="21"/>
                      <w:szCs w:val="21"/>
                      <w:highlight w:val="none"/>
                      <w:lang w:eastAsia="zh-CN"/>
                    </w:rPr>
                    <w:t>）</w:t>
                  </w:r>
                </w:p>
              </w:tc>
              <w:tc>
                <w:tcPr>
                  <w:tcW w:w="2329"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rPr>
                  </w:pPr>
                  <w:r>
                    <w:rPr>
                      <w:rFonts w:hint="default" w:ascii="Times New Roman" w:hAnsi="Times New Roman" w:eastAsia="宋体" w:cs="Times New Roman"/>
                      <w:bCs/>
                      <w:color w:val="auto"/>
                      <w:kern w:val="21"/>
                      <w:szCs w:val="21"/>
                      <w:highlight w:val="none"/>
                    </w:rPr>
                    <w:t>65</w:t>
                  </w:r>
                </w:p>
              </w:tc>
              <w:tc>
                <w:tcPr>
                  <w:tcW w:w="1412"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rPr>
                  </w:pPr>
                  <w:r>
                    <w:rPr>
                      <w:rFonts w:hint="default" w:ascii="Times New Roman" w:hAnsi="Times New Roman" w:eastAsia="宋体" w:cs="Times New Roman"/>
                      <w:bCs/>
                      <w:color w:val="auto"/>
                      <w:kern w:val="21"/>
                      <w:szCs w:val="21"/>
                      <w:highlight w:val="non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3"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lang w:val="en-US" w:eastAsia="zh-CN"/>
                    </w:rPr>
                  </w:pPr>
                  <w:r>
                    <w:rPr>
                      <w:rFonts w:hint="default" w:ascii="Times New Roman" w:hAnsi="Times New Roman" w:eastAsia="宋体" w:cs="Times New Roman"/>
                      <w:bCs/>
                      <w:color w:val="auto"/>
                      <w:kern w:val="21"/>
                      <w:szCs w:val="21"/>
                      <w:highlight w:val="none"/>
                      <w:lang w:val="en-US" w:eastAsia="zh-CN"/>
                    </w:rPr>
                    <w:t>4类（</w:t>
                  </w:r>
                  <w:r>
                    <w:rPr>
                      <w:rFonts w:hint="default" w:ascii="Times New Roman" w:hAnsi="Times New Roman" w:eastAsia="宋体" w:cs="Times New Roman"/>
                      <w:color w:val="auto"/>
                      <w:sz w:val="21"/>
                      <w:szCs w:val="21"/>
                      <w:highlight w:val="none"/>
                    </w:rPr>
                    <w:t>临1号路一侧</w:t>
                  </w:r>
                  <w:r>
                    <w:rPr>
                      <w:rFonts w:hint="default" w:ascii="Times New Roman" w:hAnsi="Times New Roman" w:eastAsia="宋体"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rPr>
                    <w:t>m范围内</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东厂界</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Cs/>
                      <w:color w:val="auto"/>
                      <w:kern w:val="21"/>
                      <w:szCs w:val="21"/>
                      <w:highlight w:val="none"/>
                      <w:lang w:val="en-US" w:eastAsia="zh-CN"/>
                    </w:rPr>
                    <w:t>）</w:t>
                  </w:r>
                </w:p>
              </w:tc>
              <w:tc>
                <w:tcPr>
                  <w:tcW w:w="2329"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lang w:val="en-US" w:eastAsia="zh-CN"/>
                    </w:rPr>
                  </w:pPr>
                  <w:r>
                    <w:rPr>
                      <w:rFonts w:hint="default" w:ascii="Times New Roman" w:hAnsi="Times New Roman" w:eastAsia="宋体" w:cs="Times New Roman"/>
                      <w:bCs/>
                      <w:color w:val="auto"/>
                      <w:kern w:val="21"/>
                      <w:szCs w:val="21"/>
                      <w:highlight w:val="none"/>
                      <w:lang w:val="en-US" w:eastAsia="zh-CN"/>
                    </w:rPr>
                    <w:t>70</w:t>
                  </w:r>
                </w:p>
              </w:tc>
              <w:tc>
                <w:tcPr>
                  <w:tcW w:w="1412"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lang w:val="en-US" w:eastAsia="zh-CN"/>
                    </w:rPr>
                  </w:pPr>
                  <w:r>
                    <w:rPr>
                      <w:rFonts w:hint="default" w:ascii="Times New Roman" w:hAnsi="Times New Roman" w:eastAsia="宋体" w:cs="Times New Roman"/>
                      <w:bCs/>
                      <w:color w:val="auto"/>
                      <w:kern w:val="21"/>
                      <w:szCs w:val="21"/>
                      <w:highlight w:val="none"/>
                      <w:lang w:val="en-US" w:eastAsia="zh-CN"/>
                    </w:rPr>
                    <w:t>55</w:t>
                  </w:r>
                </w:p>
              </w:tc>
            </w:tr>
          </w:tbl>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4、固废</w:t>
            </w:r>
          </w:p>
          <w:p>
            <w:pPr>
              <w:pStyle w:val="17"/>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sz w:val="24"/>
                <w:highlight w:val="none"/>
                <w:lang w:val="zh-CN"/>
              </w:rPr>
              <w:t>项目运营</w:t>
            </w:r>
            <w:r>
              <w:rPr>
                <w:rFonts w:hint="default" w:ascii="Times New Roman" w:hAnsi="Times New Roman" w:eastAsia="宋体" w:cs="Times New Roman"/>
                <w:color w:val="auto"/>
                <w:sz w:val="24"/>
                <w:highlight w:val="none"/>
                <w:lang w:val="en-US" w:eastAsia="zh-CN"/>
              </w:rPr>
              <w:t>期</w:t>
            </w:r>
            <w:r>
              <w:rPr>
                <w:rFonts w:hint="default" w:ascii="Times New Roman" w:hAnsi="Times New Roman" w:eastAsia="宋体" w:cs="Times New Roman"/>
                <w:color w:val="auto"/>
                <w:sz w:val="24"/>
                <w:highlight w:val="none"/>
                <w:lang w:val="zh-CN"/>
              </w:rPr>
              <w:t>产生的一般固体废物</w:t>
            </w:r>
            <w:r>
              <w:rPr>
                <w:rFonts w:hint="default" w:ascii="Times New Roman" w:hAnsi="Times New Roman" w:eastAsia="宋体" w:cs="Times New Roman"/>
                <w:color w:val="auto"/>
                <w:sz w:val="24"/>
                <w:highlight w:val="none"/>
                <w:lang w:val="en-US" w:eastAsia="zh-CN"/>
              </w:rPr>
              <w:t>贮存和处置</w:t>
            </w:r>
            <w:r>
              <w:rPr>
                <w:rFonts w:hint="default" w:ascii="Times New Roman" w:hAnsi="Times New Roman" w:eastAsia="宋体" w:cs="Times New Roman"/>
                <w:color w:val="auto"/>
                <w:sz w:val="24"/>
                <w:highlight w:val="none"/>
                <w:lang w:val="zh-CN"/>
              </w:rPr>
              <w:t>执行《一般工业固体废物贮存和填埋污染控制标准》（GB18599-20</w:t>
            </w:r>
            <w:r>
              <w:rPr>
                <w:rFonts w:hint="default"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lang w:val="zh-CN"/>
              </w:rPr>
              <w:t>）；危险废物贮存执行《危险废物贮存污染控制标准》（GB18597-20</w:t>
            </w:r>
            <w:r>
              <w:rPr>
                <w:rFonts w:hint="default" w:ascii="Times New Roman" w:hAnsi="Times New Roman" w:eastAsia="宋体" w:cs="Times New Roman"/>
                <w:color w:val="auto"/>
                <w:sz w:val="24"/>
                <w:highlight w:val="none"/>
                <w:lang w:val="en-US" w:eastAsia="zh-CN"/>
              </w:rPr>
              <w:t>23</w:t>
            </w:r>
            <w:r>
              <w:rPr>
                <w:rFonts w:hint="default" w:ascii="Times New Roman" w:hAnsi="Times New Roman" w:eastAsia="宋体" w:cs="Times New Roman"/>
                <w:color w:val="auto"/>
                <w:sz w:val="24"/>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vAlign w:val="center"/>
          </w:tcPr>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总量</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控制</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指标</w:t>
            </w:r>
          </w:p>
        </w:tc>
        <w:tc>
          <w:tcPr>
            <w:tcW w:w="868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zh-CN"/>
              </w:rPr>
            </w:pPr>
            <w:r>
              <w:rPr>
                <w:rFonts w:hint="default" w:ascii="Times New Roman" w:hAnsi="Times New Roman" w:eastAsia="宋体" w:cs="Times New Roman"/>
                <w:b w:val="0"/>
                <w:bCs w:val="0"/>
                <w:color w:val="auto"/>
                <w:sz w:val="24"/>
                <w:szCs w:val="24"/>
                <w:highlight w:val="none"/>
                <w:lang w:val="zh-CN"/>
              </w:rPr>
              <w:t>结合工程分析，本项目总量控制指标建议如下：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废气</w:t>
            </w:r>
          </w:p>
          <w:p>
            <w:pPr>
              <w:keepNext w:val="0"/>
              <w:keepLines w:val="0"/>
              <w:pageBreakBefore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eastAsia="zh-CN"/>
              </w:rPr>
              <w:t>（</w:t>
            </w:r>
            <w:r>
              <w:rPr>
                <w:rFonts w:hint="default" w:ascii="Times New Roman" w:hAnsi="Times New Roman" w:eastAsia="宋体" w:cs="Times New Roman"/>
                <w:b/>
                <w:bCs w:val="0"/>
                <w:color w:val="auto"/>
                <w:sz w:val="24"/>
                <w:szCs w:val="24"/>
                <w:highlight w:val="none"/>
                <w:lang w:val="en-US" w:eastAsia="zh-CN"/>
              </w:rPr>
              <w:t>1</w:t>
            </w:r>
            <w:r>
              <w:rPr>
                <w:rFonts w:hint="default" w:ascii="Times New Roman" w:hAnsi="Times New Roman" w:eastAsia="宋体" w:cs="Times New Roman"/>
                <w:b/>
                <w:bCs w:val="0"/>
                <w:color w:val="auto"/>
                <w:sz w:val="24"/>
                <w:szCs w:val="24"/>
                <w:highlight w:val="none"/>
                <w:lang w:eastAsia="zh-CN"/>
              </w:rPr>
              <w:t>）</w:t>
            </w:r>
            <w:r>
              <w:rPr>
                <w:rFonts w:hint="default" w:ascii="Times New Roman" w:hAnsi="Times New Roman" w:eastAsia="宋体" w:cs="Times New Roman"/>
                <w:b/>
                <w:bCs w:val="0"/>
                <w:color w:val="auto"/>
                <w:sz w:val="24"/>
                <w:szCs w:val="24"/>
                <w:highlight w:val="none"/>
                <w:lang w:val="en-US" w:eastAsia="zh-CN"/>
              </w:rPr>
              <w:t>原项目实际排放总量</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原项目实际运营过程中废气全为无组织排放，无组织颗粒物排放量为0.162t/a。</w:t>
            </w:r>
          </w:p>
          <w:p>
            <w:pPr>
              <w:spacing w:line="360" w:lineRule="auto"/>
              <w:ind w:firstLine="482" w:firstLineChars="200"/>
              <w:rPr>
                <w:rFonts w:hint="default" w:ascii="Times New Roman" w:hAnsi="Times New Roman" w:eastAsia="宋体" w:cs="Times New Roman"/>
                <w:b/>
                <w:bCs w:val="0"/>
                <w:color w:val="auto"/>
                <w:sz w:val="24"/>
                <w:highlight w:val="none"/>
                <w:lang w:eastAsia="zh-CN"/>
              </w:rPr>
            </w:pPr>
            <w:r>
              <w:rPr>
                <w:rFonts w:hint="default" w:ascii="Times New Roman" w:hAnsi="Times New Roman" w:eastAsia="宋体" w:cs="Times New Roman"/>
                <w:b/>
                <w:bCs w:val="0"/>
                <w:color w:val="auto"/>
                <w:sz w:val="24"/>
                <w:highlight w:val="none"/>
                <w:lang w:eastAsia="zh-CN"/>
              </w:rPr>
              <w:t>（</w:t>
            </w:r>
            <w:r>
              <w:rPr>
                <w:rFonts w:hint="default" w:ascii="Times New Roman" w:hAnsi="Times New Roman" w:eastAsia="宋体" w:cs="Times New Roman"/>
                <w:b/>
                <w:bCs w:val="0"/>
                <w:color w:val="auto"/>
                <w:sz w:val="24"/>
                <w:highlight w:val="none"/>
                <w:lang w:val="en-US" w:eastAsia="zh-CN"/>
              </w:rPr>
              <w:t>2</w:t>
            </w:r>
            <w:r>
              <w:rPr>
                <w:rFonts w:hint="default" w:ascii="Times New Roman" w:hAnsi="Times New Roman" w:eastAsia="宋体" w:cs="Times New Roman"/>
                <w:b/>
                <w:bCs w:val="0"/>
                <w:color w:val="auto"/>
                <w:sz w:val="24"/>
                <w:highlight w:val="none"/>
                <w:lang w:eastAsia="zh-CN"/>
              </w:rPr>
              <w:t>）</w:t>
            </w:r>
            <w:r>
              <w:rPr>
                <w:rFonts w:hint="default" w:ascii="Times New Roman" w:hAnsi="Times New Roman" w:eastAsia="宋体" w:cs="Times New Roman"/>
                <w:b/>
                <w:bCs w:val="0"/>
                <w:color w:val="auto"/>
                <w:sz w:val="24"/>
                <w:highlight w:val="none"/>
                <w:lang w:val="en-US" w:eastAsia="zh-CN"/>
              </w:rPr>
              <w:t>本次扩建项目排放总量</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①有组织排放情况</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废气量：</w:t>
            </w:r>
            <w:r>
              <w:rPr>
                <w:rFonts w:hint="default" w:ascii="Times New Roman" w:hAnsi="Times New Roman" w:eastAsia="宋体" w:cs="Times New Roman"/>
                <w:b w:val="0"/>
                <w:bCs w:val="0"/>
                <w:color w:val="auto"/>
                <w:kern w:val="0"/>
                <w:sz w:val="24"/>
                <w:szCs w:val="24"/>
                <w:highlight w:val="none"/>
                <w:lang w:val="en-US" w:eastAsia="zh-CN"/>
              </w:rPr>
              <w:t>36288万m</w:t>
            </w:r>
            <w:r>
              <w:rPr>
                <w:rFonts w:hint="default" w:ascii="Times New Roman" w:hAnsi="Times New Roman" w:eastAsia="宋体" w:cs="Times New Roman"/>
                <w:b w:val="0"/>
                <w:bCs w:val="0"/>
                <w:color w:val="auto"/>
                <w:kern w:val="0"/>
                <w:sz w:val="24"/>
                <w:szCs w:val="24"/>
                <w:highlight w:val="none"/>
                <w:vertAlign w:val="superscript"/>
                <w:lang w:val="en-US" w:eastAsia="zh-CN"/>
              </w:rPr>
              <w:t>3</w:t>
            </w:r>
            <w:r>
              <w:rPr>
                <w:rFonts w:hint="default" w:ascii="Times New Roman" w:hAnsi="Times New Roman" w:eastAsia="宋体" w:cs="Times New Roman"/>
                <w:b w:val="0"/>
                <w:bCs w:val="0"/>
                <w:color w:val="auto"/>
                <w:kern w:val="0"/>
                <w:sz w:val="24"/>
                <w:szCs w:val="24"/>
                <w:highlight w:val="none"/>
                <w:lang w:val="en-US" w:eastAsia="zh-CN"/>
              </w:rPr>
              <w:t>/a</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有组织</w:t>
            </w:r>
            <w:r>
              <w:rPr>
                <w:rFonts w:hint="default" w:ascii="Times New Roman" w:hAnsi="Times New Roman" w:eastAsia="宋体" w:cs="Times New Roman"/>
                <w:b w:val="0"/>
                <w:bCs w:val="0"/>
                <w:color w:val="auto"/>
                <w:kern w:val="0"/>
                <w:sz w:val="24"/>
                <w:szCs w:val="24"/>
                <w:highlight w:val="none"/>
                <w:lang w:val="en-US" w:eastAsia="zh-CN"/>
              </w:rPr>
              <w:t>非甲烷总烃排放量为</w:t>
            </w:r>
            <w:r>
              <w:rPr>
                <w:rFonts w:hint="default"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b w:val="0"/>
                <w:bCs w:val="0"/>
                <w:color w:val="auto"/>
                <w:kern w:val="0"/>
                <w:sz w:val="24"/>
                <w:szCs w:val="24"/>
                <w:highlight w:val="none"/>
                <w:lang w:val="en-US" w:eastAsia="zh-CN"/>
              </w:rPr>
              <w:t>t/a</w:t>
            </w:r>
            <w:r>
              <w:rPr>
                <w:rFonts w:hint="default" w:ascii="Times New Roman" w:hAnsi="Times New Roman" w:eastAsia="宋体" w:cs="Times New Roman"/>
                <w:bCs/>
                <w:color w:val="auto"/>
                <w:sz w:val="24"/>
                <w:szCs w:val="24"/>
                <w:highlight w:val="none"/>
              </w:rPr>
              <w:t>。</w:t>
            </w:r>
          </w:p>
          <w:p>
            <w:pPr>
              <w:pStyle w:val="9"/>
              <w:keepNext w:val="0"/>
              <w:keepLines w:val="0"/>
              <w:pageBreakBefore w:val="0"/>
              <w:kinsoku/>
              <w:wordWrap/>
              <w:overflowPunct/>
              <w:topLinePunct w:val="0"/>
              <w:autoSpaceDE/>
              <w:autoSpaceDN/>
              <w:bidi w:val="0"/>
              <w:spacing w:before="0" w:line="360" w:lineRule="auto"/>
              <w:ind w:firstLine="482"/>
              <w:jc w:val="left"/>
              <w:textAlignment w:val="auto"/>
              <w:rPr>
                <w:rFonts w:hint="default" w:ascii="Times New Roman" w:hAnsi="Times New Roman" w:eastAsia="宋体" w:cs="Times New Roman"/>
                <w:b w:val="0"/>
                <w:bCs/>
                <w:color w:val="auto"/>
                <w:kern w:val="0"/>
                <w:sz w:val="24"/>
                <w:szCs w:val="24"/>
                <w:highlight w:val="none"/>
                <w:lang w:eastAsia="zh-CN"/>
              </w:rPr>
            </w:pPr>
            <w:r>
              <w:rPr>
                <w:rFonts w:hint="default" w:ascii="Times New Roman" w:hAnsi="Times New Roman" w:eastAsia="宋体" w:cs="Times New Roman"/>
                <w:b w:val="0"/>
                <w:bCs/>
                <w:color w:val="auto"/>
                <w:kern w:val="0"/>
                <w:sz w:val="24"/>
                <w:szCs w:val="24"/>
                <w:highlight w:val="none"/>
                <w:lang w:eastAsia="zh-CN"/>
              </w:rPr>
              <w:t>②无组织排放情况</w:t>
            </w:r>
          </w:p>
          <w:p>
            <w:pPr>
              <w:pStyle w:val="9"/>
              <w:keepNext w:val="0"/>
              <w:keepLines w:val="0"/>
              <w:pageBreakBefore w:val="0"/>
              <w:kinsoku/>
              <w:wordWrap/>
              <w:overflowPunct/>
              <w:topLinePunct w:val="0"/>
              <w:autoSpaceDE/>
              <w:autoSpaceDN/>
              <w:bidi w:val="0"/>
              <w:spacing w:before="0" w:line="360" w:lineRule="auto"/>
              <w:ind w:firstLine="482"/>
              <w:jc w:val="left"/>
              <w:textAlignment w:val="auto"/>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无组织非甲烷总烃排放量为</w:t>
            </w:r>
            <w:r>
              <w:rPr>
                <w:rFonts w:hint="default" w:ascii="Times New Roman" w:hAnsi="Times New Roman" w:eastAsia="宋体" w:cs="Times New Roman"/>
                <w:b w:val="0"/>
                <w:bCs/>
                <w:color w:val="auto"/>
                <w:spacing w:val="-10"/>
                <w:sz w:val="24"/>
                <w:szCs w:val="24"/>
                <w:highlight w:val="none"/>
                <w:vertAlign w:val="baseline"/>
                <w:lang w:val="en-US" w:eastAsia="zh-CN"/>
              </w:rPr>
              <w:t>2.5</w:t>
            </w:r>
            <w:r>
              <w:rPr>
                <w:rFonts w:hint="default" w:ascii="Times New Roman" w:hAnsi="Times New Roman" w:eastAsia="宋体" w:cs="Times New Roman"/>
                <w:b w:val="0"/>
                <w:bCs w:val="0"/>
                <w:color w:val="auto"/>
                <w:kern w:val="0"/>
                <w:sz w:val="24"/>
                <w:szCs w:val="24"/>
                <w:highlight w:val="none"/>
                <w:lang w:val="en-US" w:eastAsia="zh-CN"/>
              </w:rPr>
              <w:t>t/a</w:t>
            </w:r>
            <w:r>
              <w:rPr>
                <w:rFonts w:hint="default" w:ascii="Times New Roman" w:hAnsi="Times New Roman" w:eastAsia="宋体" w:cs="Times New Roman"/>
                <w:bCs/>
                <w:color w:val="auto"/>
                <w:sz w:val="24"/>
                <w:szCs w:val="24"/>
                <w:highlight w:val="none"/>
              </w:rPr>
              <w:t>。</w:t>
            </w:r>
          </w:p>
          <w:p>
            <w:pPr>
              <w:pStyle w:val="9"/>
              <w:keepNext w:val="0"/>
              <w:keepLines w:val="0"/>
              <w:pageBreakBefore w:val="0"/>
              <w:kinsoku/>
              <w:wordWrap/>
              <w:overflowPunct/>
              <w:topLinePunct w:val="0"/>
              <w:autoSpaceDE/>
              <w:autoSpaceDN/>
              <w:bidi w:val="0"/>
              <w:spacing w:before="0" w:line="360" w:lineRule="auto"/>
              <w:ind w:firstLine="482"/>
              <w:jc w:val="left"/>
              <w:textAlignment w:val="auto"/>
              <w:rPr>
                <w:rFonts w:hint="default" w:ascii="Times New Roman" w:hAnsi="Times New Roman" w:eastAsia="宋体" w:cs="Times New Roman"/>
                <w:b w:val="0"/>
                <w:bCs/>
                <w:color w:val="auto"/>
                <w:kern w:val="0"/>
                <w:sz w:val="24"/>
                <w:szCs w:val="24"/>
                <w:highlight w:val="none"/>
                <w:lang w:eastAsia="zh-CN"/>
              </w:rPr>
            </w:pPr>
            <w:r>
              <w:rPr>
                <w:rFonts w:hint="default" w:ascii="Times New Roman" w:hAnsi="Times New Roman" w:eastAsia="宋体" w:cs="Times New Roman"/>
                <w:b w:val="0"/>
                <w:bCs/>
                <w:color w:val="auto"/>
                <w:kern w:val="0"/>
                <w:sz w:val="24"/>
                <w:szCs w:val="24"/>
                <w:highlight w:val="none"/>
                <w:lang w:eastAsia="zh-CN"/>
              </w:rPr>
              <w:t>③</w:t>
            </w:r>
            <w:r>
              <w:rPr>
                <w:rFonts w:hint="default" w:ascii="Times New Roman" w:hAnsi="Times New Roman" w:eastAsia="宋体" w:cs="Times New Roman"/>
                <w:b w:val="0"/>
                <w:bCs/>
                <w:color w:val="auto"/>
                <w:kern w:val="0"/>
                <w:sz w:val="24"/>
                <w:szCs w:val="24"/>
                <w:highlight w:val="none"/>
                <w:lang w:val="en-US" w:eastAsia="zh-CN"/>
              </w:rPr>
              <w:t>本次扩建项目</w:t>
            </w:r>
            <w:r>
              <w:rPr>
                <w:rFonts w:hint="default" w:ascii="Times New Roman" w:hAnsi="Times New Roman" w:eastAsia="宋体" w:cs="Times New Roman"/>
                <w:b w:val="0"/>
                <w:bCs/>
                <w:color w:val="auto"/>
                <w:kern w:val="0"/>
                <w:sz w:val="24"/>
                <w:szCs w:val="24"/>
                <w:highlight w:val="none"/>
                <w:lang w:eastAsia="zh-CN"/>
              </w:rPr>
              <w:t>排放总量情况（有组织排放</w:t>
            </w:r>
            <w:r>
              <w:rPr>
                <w:rFonts w:hint="default" w:ascii="Times New Roman" w:hAnsi="Times New Roman" w:eastAsia="宋体" w:cs="Times New Roman"/>
                <w:b w:val="0"/>
                <w:bCs/>
                <w:color w:val="auto"/>
                <w:kern w:val="0"/>
                <w:sz w:val="24"/>
                <w:szCs w:val="24"/>
                <w:highlight w:val="none"/>
                <w:lang w:val="en-US" w:eastAsia="zh-CN"/>
              </w:rPr>
              <w:t>+无组织排放废气</w:t>
            </w:r>
            <w:r>
              <w:rPr>
                <w:rFonts w:hint="default" w:ascii="Times New Roman" w:hAnsi="Times New Roman" w:eastAsia="宋体" w:cs="Times New Roman"/>
                <w:b w:val="0"/>
                <w:bCs/>
                <w:color w:val="auto"/>
                <w:kern w:val="0"/>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Cs/>
                <w:color w:val="auto"/>
                <w:sz w:val="24"/>
                <w:szCs w:val="24"/>
                <w:highlight w:val="none"/>
              </w:rPr>
              <w:t>废气量：</w:t>
            </w:r>
            <w:r>
              <w:rPr>
                <w:rFonts w:hint="default" w:ascii="Times New Roman" w:hAnsi="Times New Roman" w:eastAsia="宋体" w:cs="Times New Roman"/>
                <w:b w:val="0"/>
                <w:bCs w:val="0"/>
                <w:color w:val="auto"/>
                <w:kern w:val="0"/>
                <w:sz w:val="24"/>
                <w:szCs w:val="24"/>
                <w:highlight w:val="none"/>
                <w:lang w:val="en-US" w:eastAsia="zh-CN"/>
              </w:rPr>
              <w:t>36288万m</w:t>
            </w:r>
            <w:r>
              <w:rPr>
                <w:rFonts w:hint="default" w:ascii="Times New Roman" w:hAnsi="Times New Roman" w:eastAsia="宋体" w:cs="Times New Roman"/>
                <w:b w:val="0"/>
                <w:bCs w:val="0"/>
                <w:color w:val="auto"/>
                <w:kern w:val="0"/>
                <w:sz w:val="24"/>
                <w:szCs w:val="24"/>
                <w:highlight w:val="none"/>
                <w:vertAlign w:val="superscript"/>
                <w:lang w:val="en-US" w:eastAsia="zh-CN"/>
              </w:rPr>
              <w:t>3</w:t>
            </w:r>
            <w:r>
              <w:rPr>
                <w:rFonts w:hint="default" w:ascii="Times New Roman" w:hAnsi="Times New Roman" w:eastAsia="宋体" w:cs="Times New Roman"/>
                <w:b w:val="0"/>
                <w:bCs w:val="0"/>
                <w:color w:val="auto"/>
                <w:kern w:val="0"/>
                <w:sz w:val="24"/>
                <w:szCs w:val="24"/>
                <w:highlight w:val="none"/>
                <w:lang w:val="en-US" w:eastAsia="zh-CN"/>
              </w:rPr>
              <w:t>/a</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 w:val="0"/>
                <w:bCs w:val="0"/>
                <w:color w:val="auto"/>
                <w:kern w:val="0"/>
                <w:sz w:val="24"/>
                <w:szCs w:val="24"/>
                <w:highlight w:val="none"/>
                <w:lang w:val="en-US" w:eastAsia="zh-CN"/>
              </w:rPr>
              <w:t>非甲烷总烃排放量</w:t>
            </w:r>
            <w:r>
              <w:rPr>
                <w:rFonts w:hint="default" w:ascii="Times New Roman" w:hAnsi="Times New Roman" w:eastAsia="宋体" w:cs="Times New Roman"/>
                <w:color w:val="auto"/>
                <w:sz w:val="24"/>
                <w:szCs w:val="24"/>
                <w:highlight w:val="none"/>
                <w:lang w:val="en-US" w:eastAsia="zh-CN"/>
              </w:rPr>
              <w:t>4.7</w:t>
            </w:r>
            <w:r>
              <w:rPr>
                <w:rFonts w:hint="default" w:ascii="Times New Roman" w:hAnsi="Times New Roman" w:eastAsia="宋体" w:cs="Times New Roman"/>
                <w:b w:val="0"/>
                <w:bCs w:val="0"/>
                <w:color w:val="auto"/>
                <w:kern w:val="0"/>
                <w:sz w:val="24"/>
                <w:szCs w:val="24"/>
                <w:highlight w:val="none"/>
                <w:lang w:val="en-US" w:eastAsia="zh-CN"/>
              </w:rPr>
              <w:t>t/a</w:t>
            </w:r>
            <w:r>
              <w:rPr>
                <w:rFonts w:hint="default" w:ascii="Times New Roman" w:hAnsi="Times New Roman" w:eastAsia="宋体" w:cs="Times New Roman"/>
                <w:bCs/>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（3）扩建完成后全厂排放总量</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①有组织排放情况</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废气量：</w:t>
            </w:r>
            <w:r>
              <w:rPr>
                <w:rFonts w:hint="default" w:ascii="Times New Roman" w:hAnsi="Times New Roman" w:eastAsia="宋体" w:cs="Times New Roman"/>
                <w:b w:val="0"/>
                <w:bCs w:val="0"/>
                <w:color w:val="auto"/>
                <w:kern w:val="0"/>
                <w:sz w:val="24"/>
                <w:szCs w:val="24"/>
                <w:highlight w:val="none"/>
                <w:lang w:val="en-US" w:eastAsia="zh-CN"/>
              </w:rPr>
              <w:t>36288万m</w:t>
            </w:r>
            <w:r>
              <w:rPr>
                <w:rFonts w:hint="default" w:ascii="Times New Roman" w:hAnsi="Times New Roman" w:eastAsia="宋体" w:cs="Times New Roman"/>
                <w:b w:val="0"/>
                <w:bCs w:val="0"/>
                <w:color w:val="auto"/>
                <w:kern w:val="0"/>
                <w:sz w:val="24"/>
                <w:szCs w:val="24"/>
                <w:highlight w:val="none"/>
                <w:vertAlign w:val="superscript"/>
                <w:lang w:val="en-US" w:eastAsia="zh-CN"/>
              </w:rPr>
              <w:t>3</w:t>
            </w:r>
            <w:r>
              <w:rPr>
                <w:rFonts w:hint="default" w:ascii="Times New Roman" w:hAnsi="Times New Roman" w:eastAsia="宋体" w:cs="Times New Roman"/>
                <w:b w:val="0"/>
                <w:bCs w:val="0"/>
                <w:color w:val="auto"/>
                <w:kern w:val="0"/>
                <w:sz w:val="24"/>
                <w:szCs w:val="24"/>
                <w:highlight w:val="none"/>
                <w:lang w:val="en-US" w:eastAsia="zh-CN"/>
              </w:rPr>
              <w:t>/a</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有组织</w:t>
            </w:r>
            <w:r>
              <w:rPr>
                <w:rFonts w:hint="default" w:ascii="Times New Roman" w:hAnsi="Times New Roman" w:eastAsia="宋体" w:cs="Times New Roman"/>
                <w:b w:val="0"/>
                <w:bCs w:val="0"/>
                <w:color w:val="auto"/>
                <w:kern w:val="0"/>
                <w:sz w:val="24"/>
                <w:szCs w:val="24"/>
                <w:highlight w:val="none"/>
                <w:lang w:val="en-US" w:eastAsia="zh-CN"/>
              </w:rPr>
              <w:t>非甲烷总烃排放量为</w:t>
            </w:r>
            <w:r>
              <w:rPr>
                <w:rFonts w:hint="default"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b w:val="0"/>
                <w:bCs w:val="0"/>
                <w:color w:val="auto"/>
                <w:kern w:val="0"/>
                <w:sz w:val="24"/>
                <w:szCs w:val="24"/>
                <w:highlight w:val="none"/>
                <w:lang w:val="en-US" w:eastAsia="zh-CN"/>
              </w:rPr>
              <w:t>t/a</w:t>
            </w:r>
            <w:r>
              <w:rPr>
                <w:rFonts w:hint="default" w:ascii="Times New Roman" w:hAnsi="Times New Roman" w:eastAsia="宋体" w:cs="Times New Roman"/>
                <w:bCs/>
                <w:color w:val="auto"/>
                <w:sz w:val="24"/>
                <w:szCs w:val="24"/>
                <w:highlight w:val="none"/>
              </w:rPr>
              <w:t>。</w:t>
            </w:r>
          </w:p>
          <w:p>
            <w:pPr>
              <w:pStyle w:val="9"/>
              <w:keepNext w:val="0"/>
              <w:keepLines w:val="0"/>
              <w:pageBreakBefore w:val="0"/>
              <w:kinsoku/>
              <w:wordWrap/>
              <w:overflowPunct/>
              <w:topLinePunct w:val="0"/>
              <w:autoSpaceDE/>
              <w:autoSpaceDN/>
              <w:bidi w:val="0"/>
              <w:spacing w:before="0" w:line="360" w:lineRule="auto"/>
              <w:ind w:firstLine="482"/>
              <w:jc w:val="left"/>
              <w:textAlignment w:val="auto"/>
              <w:rPr>
                <w:rFonts w:hint="default" w:ascii="Times New Roman" w:hAnsi="Times New Roman" w:eastAsia="宋体" w:cs="Times New Roman"/>
                <w:b w:val="0"/>
                <w:bCs/>
                <w:color w:val="auto"/>
                <w:kern w:val="0"/>
                <w:sz w:val="24"/>
                <w:szCs w:val="24"/>
                <w:highlight w:val="none"/>
                <w:lang w:eastAsia="zh-CN"/>
              </w:rPr>
            </w:pPr>
            <w:r>
              <w:rPr>
                <w:rFonts w:hint="default" w:ascii="Times New Roman" w:hAnsi="Times New Roman" w:eastAsia="宋体" w:cs="Times New Roman"/>
                <w:b w:val="0"/>
                <w:bCs/>
                <w:color w:val="auto"/>
                <w:kern w:val="0"/>
                <w:sz w:val="24"/>
                <w:szCs w:val="24"/>
                <w:highlight w:val="none"/>
                <w:lang w:eastAsia="zh-CN"/>
              </w:rPr>
              <w:t>②无组织排放情况</w:t>
            </w:r>
          </w:p>
          <w:p>
            <w:pPr>
              <w:pStyle w:val="9"/>
              <w:keepNext w:val="0"/>
              <w:keepLines w:val="0"/>
              <w:pageBreakBefore w:val="0"/>
              <w:kinsoku/>
              <w:wordWrap/>
              <w:overflowPunct/>
              <w:topLinePunct w:val="0"/>
              <w:autoSpaceDE/>
              <w:autoSpaceDN/>
              <w:bidi w:val="0"/>
              <w:spacing w:before="0" w:line="360" w:lineRule="auto"/>
              <w:ind w:firstLine="482"/>
              <w:jc w:val="left"/>
              <w:textAlignment w:val="auto"/>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无组织非甲烷总烃排放量为</w:t>
            </w:r>
            <w:r>
              <w:rPr>
                <w:rFonts w:hint="default" w:ascii="Times New Roman" w:hAnsi="Times New Roman" w:eastAsia="宋体" w:cs="Times New Roman"/>
                <w:b w:val="0"/>
                <w:bCs/>
                <w:color w:val="auto"/>
                <w:spacing w:val="-10"/>
                <w:sz w:val="24"/>
                <w:szCs w:val="24"/>
                <w:highlight w:val="none"/>
                <w:vertAlign w:val="baseline"/>
                <w:lang w:val="en-US" w:eastAsia="zh-CN"/>
              </w:rPr>
              <w:t>2.5</w:t>
            </w:r>
            <w:r>
              <w:rPr>
                <w:rFonts w:hint="default" w:ascii="Times New Roman" w:hAnsi="Times New Roman" w:eastAsia="宋体" w:cs="Times New Roman"/>
                <w:b w:val="0"/>
                <w:bCs w:val="0"/>
                <w:color w:val="auto"/>
                <w:kern w:val="0"/>
                <w:sz w:val="24"/>
                <w:szCs w:val="24"/>
                <w:highlight w:val="none"/>
                <w:lang w:val="en-US" w:eastAsia="zh-CN"/>
              </w:rPr>
              <w:t>t/a，无组织颗粒物排放量为</w:t>
            </w:r>
            <w:r>
              <w:rPr>
                <w:rFonts w:hint="default" w:ascii="Times New Roman" w:hAnsi="Times New Roman" w:eastAsia="宋体" w:cs="Times New Roman"/>
                <w:bCs/>
                <w:color w:val="auto"/>
                <w:sz w:val="24"/>
                <w:szCs w:val="24"/>
                <w:highlight w:val="none"/>
                <w:lang w:val="en-US" w:eastAsia="zh-CN"/>
              </w:rPr>
              <w:t>0.162t/a</w:t>
            </w:r>
            <w:r>
              <w:rPr>
                <w:rFonts w:hint="default" w:ascii="Times New Roman" w:hAnsi="Times New Roman" w:eastAsia="宋体" w:cs="Times New Roman"/>
                <w:bCs/>
                <w:color w:val="auto"/>
                <w:sz w:val="24"/>
                <w:szCs w:val="24"/>
                <w:highlight w:val="none"/>
              </w:rPr>
              <w:t>。</w:t>
            </w:r>
          </w:p>
          <w:p>
            <w:pPr>
              <w:pStyle w:val="9"/>
              <w:keepNext w:val="0"/>
              <w:keepLines w:val="0"/>
              <w:pageBreakBefore w:val="0"/>
              <w:kinsoku/>
              <w:wordWrap/>
              <w:overflowPunct/>
              <w:topLinePunct w:val="0"/>
              <w:autoSpaceDE/>
              <w:autoSpaceDN/>
              <w:bidi w:val="0"/>
              <w:spacing w:before="0" w:line="360" w:lineRule="auto"/>
              <w:ind w:firstLine="482"/>
              <w:jc w:val="left"/>
              <w:textAlignment w:val="auto"/>
              <w:rPr>
                <w:rFonts w:hint="default" w:ascii="Times New Roman" w:hAnsi="Times New Roman" w:eastAsia="宋体" w:cs="Times New Roman"/>
                <w:b w:val="0"/>
                <w:bCs/>
                <w:color w:val="auto"/>
                <w:kern w:val="0"/>
                <w:sz w:val="24"/>
                <w:szCs w:val="24"/>
                <w:highlight w:val="none"/>
                <w:lang w:eastAsia="zh-CN"/>
              </w:rPr>
            </w:pPr>
            <w:r>
              <w:rPr>
                <w:rFonts w:hint="default" w:ascii="Times New Roman" w:hAnsi="Times New Roman" w:eastAsia="宋体" w:cs="Times New Roman"/>
                <w:b w:val="0"/>
                <w:bCs/>
                <w:color w:val="auto"/>
                <w:kern w:val="0"/>
                <w:sz w:val="24"/>
                <w:szCs w:val="24"/>
                <w:highlight w:val="none"/>
                <w:lang w:eastAsia="zh-CN"/>
              </w:rPr>
              <w:t>③</w:t>
            </w:r>
            <w:r>
              <w:rPr>
                <w:rFonts w:hint="default" w:ascii="Times New Roman" w:hAnsi="Times New Roman" w:eastAsia="宋体" w:cs="Times New Roman"/>
                <w:b w:val="0"/>
                <w:bCs/>
                <w:color w:val="auto"/>
                <w:kern w:val="0"/>
                <w:sz w:val="24"/>
                <w:szCs w:val="24"/>
                <w:highlight w:val="none"/>
                <w:lang w:val="en-US" w:eastAsia="zh-CN"/>
              </w:rPr>
              <w:t>扩建完成后全厂</w:t>
            </w:r>
            <w:r>
              <w:rPr>
                <w:rFonts w:hint="default" w:ascii="Times New Roman" w:hAnsi="Times New Roman" w:eastAsia="宋体" w:cs="Times New Roman"/>
                <w:b w:val="0"/>
                <w:bCs/>
                <w:color w:val="auto"/>
                <w:kern w:val="0"/>
                <w:sz w:val="24"/>
                <w:szCs w:val="24"/>
                <w:highlight w:val="none"/>
                <w:lang w:eastAsia="zh-CN"/>
              </w:rPr>
              <w:t>排放总量（有组织排放</w:t>
            </w:r>
            <w:r>
              <w:rPr>
                <w:rFonts w:hint="default" w:ascii="Times New Roman" w:hAnsi="Times New Roman" w:eastAsia="宋体" w:cs="Times New Roman"/>
                <w:b w:val="0"/>
                <w:bCs/>
                <w:color w:val="auto"/>
                <w:kern w:val="0"/>
                <w:sz w:val="24"/>
                <w:szCs w:val="24"/>
                <w:highlight w:val="none"/>
                <w:lang w:val="en-US" w:eastAsia="zh-CN"/>
              </w:rPr>
              <w:t>+无组织排放废气</w:t>
            </w:r>
            <w:r>
              <w:rPr>
                <w:rFonts w:hint="default" w:ascii="Times New Roman" w:hAnsi="Times New Roman" w:eastAsia="宋体" w:cs="Times New Roman"/>
                <w:b w:val="0"/>
                <w:bCs/>
                <w:color w:val="auto"/>
                <w:kern w:val="0"/>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Cs/>
                <w:color w:val="auto"/>
                <w:sz w:val="24"/>
                <w:szCs w:val="24"/>
                <w:highlight w:val="none"/>
              </w:rPr>
              <w:t>废气量：</w:t>
            </w:r>
            <w:r>
              <w:rPr>
                <w:rFonts w:hint="default" w:ascii="Times New Roman" w:hAnsi="Times New Roman" w:eastAsia="宋体" w:cs="Times New Roman"/>
                <w:b w:val="0"/>
                <w:bCs w:val="0"/>
                <w:color w:val="auto"/>
                <w:kern w:val="0"/>
                <w:sz w:val="24"/>
                <w:szCs w:val="24"/>
                <w:highlight w:val="none"/>
                <w:lang w:val="en-US" w:eastAsia="zh-CN"/>
              </w:rPr>
              <w:t>36288万m</w:t>
            </w:r>
            <w:r>
              <w:rPr>
                <w:rFonts w:hint="default" w:ascii="Times New Roman" w:hAnsi="Times New Roman" w:eastAsia="宋体" w:cs="Times New Roman"/>
                <w:b w:val="0"/>
                <w:bCs w:val="0"/>
                <w:color w:val="auto"/>
                <w:kern w:val="0"/>
                <w:sz w:val="24"/>
                <w:szCs w:val="24"/>
                <w:highlight w:val="none"/>
                <w:vertAlign w:val="superscript"/>
                <w:lang w:val="en-US" w:eastAsia="zh-CN"/>
              </w:rPr>
              <w:t>3</w:t>
            </w:r>
            <w:r>
              <w:rPr>
                <w:rFonts w:hint="default" w:ascii="Times New Roman" w:hAnsi="Times New Roman" w:eastAsia="宋体" w:cs="Times New Roman"/>
                <w:b w:val="0"/>
                <w:bCs w:val="0"/>
                <w:color w:val="auto"/>
                <w:kern w:val="0"/>
                <w:sz w:val="24"/>
                <w:szCs w:val="24"/>
                <w:highlight w:val="none"/>
                <w:lang w:val="en-US" w:eastAsia="zh-CN"/>
              </w:rPr>
              <w:t>/a</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 w:val="0"/>
                <w:bCs w:val="0"/>
                <w:color w:val="auto"/>
                <w:kern w:val="0"/>
                <w:sz w:val="24"/>
                <w:szCs w:val="24"/>
                <w:highlight w:val="none"/>
                <w:lang w:val="en-US" w:eastAsia="zh-CN"/>
              </w:rPr>
              <w:t>非甲烷总烃排放总量</w:t>
            </w:r>
            <w:r>
              <w:rPr>
                <w:rFonts w:hint="default" w:ascii="Times New Roman" w:hAnsi="Times New Roman" w:eastAsia="宋体" w:cs="Times New Roman"/>
                <w:color w:val="auto"/>
                <w:sz w:val="24"/>
                <w:szCs w:val="24"/>
                <w:highlight w:val="none"/>
                <w:lang w:val="en-US" w:eastAsia="zh-CN"/>
              </w:rPr>
              <w:t>4.7</w:t>
            </w:r>
            <w:r>
              <w:rPr>
                <w:rFonts w:hint="default" w:ascii="Times New Roman" w:hAnsi="Times New Roman" w:eastAsia="宋体" w:cs="Times New Roman"/>
                <w:b w:val="0"/>
                <w:bCs w:val="0"/>
                <w:color w:val="auto"/>
                <w:kern w:val="0"/>
                <w:sz w:val="24"/>
                <w:szCs w:val="24"/>
                <w:highlight w:val="none"/>
                <w:lang w:val="en-US" w:eastAsia="zh-CN"/>
              </w:rPr>
              <w:t>t/a，颗粒物排放总量</w:t>
            </w:r>
            <w:r>
              <w:rPr>
                <w:rFonts w:hint="default" w:ascii="Times New Roman" w:hAnsi="Times New Roman" w:eastAsia="宋体" w:cs="Times New Roman"/>
                <w:bCs/>
                <w:color w:val="auto"/>
                <w:sz w:val="24"/>
                <w:szCs w:val="24"/>
                <w:highlight w:val="none"/>
                <w:lang w:val="en-US" w:eastAsia="zh-CN"/>
              </w:rPr>
              <w:t>0.162t/a</w:t>
            </w:r>
            <w:r>
              <w:rPr>
                <w:rFonts w:hint="default" w:ascii="Times New Roman" w:hAnsi="Times New Roman" w:eastAsia="宋体" w:cs="Times New Roman"/>
                <w:bCs/>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废水</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lang w:val="en-US" w:eastAsia="zh-CN" w:bidi="ar"/>
              </w:rPr>
              <w:t>生活污水均依托原项目已建废水处置措施处理，其中食堂含油废水先经隔油池预处理后，与其他生活废水一起经化粪池及</w:t>
            </w:r>
            <w:r>
              <w:rPr>
                <w:rFonts w:hint="default" w:ascii="Times New Roman" w:hAnsi="Times New Roman" w:eastAsia="宋体" w:cs="Times New Roman"/>
                <w:color w:val="auto"/>
                <w:sz w:val="24"/>
                <w:szCs w:val="24"/>
                <w:highlight w:val="none"/>
                <w:lang w:val="zh-CN"/>
              </w:rPr>
              <w:t>一体化生活污水处理站处理后，</w:t>
            </w:r>
            <w:r>
              <w:rPr>
                <w:rFonts w:hint="default" w:ascii="Times New Roman" w:hAnsi="Times New Roman" w:eastAsia="宋体" w:cs="Times New Roman"/>
                <w:b w:val="0"/>
                <w:bCs w:val="0"/>
                <w:color w:val="auto"/>
                <w:sz w:val="24"/>
                <w:szCs w:val="24"/>
                <w:highlight w:val="none"/>
                <w:lang w:val="en-US" w:eastAsia="zh-CN"/>
              </w:rPr>
              <w:t>用于项目区内绿化及道路场地洒水降尘，不外排</w:t>
            </w:r>
            <w:r>
              <w:rPr>
                <w:rFonts w:hint="default" w:ascii="Times New Roman" w:hAnsi="Times New Roman" w:eastAsia="宋体" w:cs="Times New Roman"/>
                <w:color w:val="auto"/>
                <w:sz w:val="24"/>
                <w:szCs w:val="24"/>
                <w:highlight w:val="none"/>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因此，不设总量控制指标</w:t>
            </w:r>
            <w:r>
              <w:rPr>
                <w:rFonts w:hint="default" w:ascii="Times New Roman" w:hAnsi="Times New Roman" w:eastAsia="宋体" w:cs="Times New Roman"/>
                <w:b w:val="0"/>
                <w:bCs w:val="0"/>
                <w:color w:val="auto"/>
                <w:kern w:val="0"/>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固体废物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本项目固体废物</w:t>
            </w:r>
            <w:r>
              <w:rPr>
                <w:rFonts w:hint="default" w:ascii="Times New Roman" w:hAnsi="Times New Roman" w:eastAsia="宋体" w:cs="Times New Roman"/>
                <w:b w:val="0"/>
                <w:bCs w:val="0"/>
                <w:color w:val="auto"/>
                <w:sz w:val="24"/>
                <w:szCs w:val="24"/>
                <w:highlight w:val="none"/>
              </w:rPr>
              <w:t>处置率100%</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不</w:t>
            </w:r>
            <w:r>
              <w:rPr>
                <w:rFonts w:hint="default" w:ascii="Times New Roman" w:hAnsi="Times New Roman" w:eastAsia="宋体" w:cs="Times New Roman"/>
                <w:color w:val="auto"/>
                <w:sz w:val="24"/>
                <w:szCs w:val="24"/>
                <w:highlight w:val="none"/>
                <w:lang w:val="en-US" w:eastAsia="zh-CN"/>
              </w:rPr>
              <w:t>设总量控制指标</w:t>
            </w:r>
            <w:r>
              <w:rPr>
                <w:rFonts w:hint="default" w:ascii="Times New Roman" w:hAnsi="Times New Roman" w:eastAsia="宋体" w:cs="Times New Roman"/>
                <w:color w:val="auto"/>
                <w:sz w:val="24"/>
                <w:szCs w:val="24"/>
                <w:highlight w:val="none"/>
              </w:rPr>
              <w:t>。</w:t>
            </w:r>
          </w:p>
          <w:p>
            <w:pPr>
              <w:pStyle w:val="2"/>
              <w:rPr>
                <w:rFonts w:hint="default" w:ascii="Times New Roman" w:hAnsi="Times New Roman" w:eastAsia="宋体" w:cs="Times New Roman"/>
                <w:color w:val="auto"/>
                <w:sz w:val="24"/>
                <w:szCs w:val="24"/>
                <w:highlight w:val="none"/>
              </w:rPr>
            </w:pPr>
          </w:p>
          <w:p>
            <w:pPr>
              <w:pStyle w:val="3"/>
              <w:rPr>
                <w:rFonts w:hint="default" w:ascii="Times New Roman" w:hAnsi="Times New Roman" w:eastAsia="宋体" w:cs="Times New Roman"/>
                <w:color w:val="auto"/>
                <w:sz w:val="24"/>
                <w:szCs w:val="24"/>
                <w:highlight w:val="none"/>
              </w:rPr>
            </w:pPr>
          </w:p>
          <w:p>
            <w:pPr>
              <w:pStyle w:val="4"/>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pStyle w:val="2"/>
              <w:rPr>
                <w:rFonts w:hint="default" w:ascii="Times New Roman" w:hAnsi="Times New Roman" w:eastAsia="宋体" w:cs="Times New Roman"/>
                <w:color w:val="auto"/>
                <w:sz w:val="24"/>
                <w:szCs w:val="24"/>
                <w:highlight w:val="none"/>
              </w:rPr>
            </w:pPr>
          </w:p>
          <w:p>
            <w:pPr>
              <w:pStyle w:val="3"/>
              <w:rPr>
                <w:rFonts w:hint="default" w:ascii="Times New Roman" w:hAnsi="Times New Roman" w:eastAsia="宋体" w:cs="Times New Roman"/>
                <w:color w:val="auto"/>
                <w:sz w:val="24"/>
                <w:szCs w:val="24"/>
                <w:highlight w:val="none"/>
              </w:rPr>
            </w:pPr>
          </w:p>
          <w:p>
            <w:pPr>
              <w:pStyle w:val="4"/>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pStyle w:val="2"/>
              <w:rPr>
                <w:rFonts w:hint="default" w:ascii="Times New Roman" w:hAnsi="Times New Roman" w:eastAsia="宋体" w:cs="Times New Roman"/>
                <w:color w:val="auto"/>
                <w:sz w:val="24"/>
                <w:szCs w:val="24"/>
                <w:highlight w:val="none"/>
              </w:rPr>
            </w:pPr>
          </w:p>
          <w:p>
            <w:pPr>
              <w:pStyle w:val="3"/>
              <w:rPr>
                <w:rFonts w:hint="default" w:ascii="Times New Roman" w:hAnsi="Times New Roman" w:eastAsia="宋体" w:cs="Times New Roman"/>
                <w:color w:val="auto"/>
                <w:sz w:val="24"/>
                <w:szCs w:val="24"/>
                <w:highlight w:val="none"/>
              </w:rPr>
            </w:pPr>
          </w:p>
          <w:p>
            <w:pPr>
              <w:pStyle w:val="4"/>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pStyle w:val="2"/>
              <w:rPr>
                <w:rFonts w:hint="default" w:ascii="Times New Roman" w:hAnsi="Times New Roman" w:eastAsia="宋体" w:cs="Times New Roman"/>
                <w:color w:val="auto"/>
                <w:sz w:val="24"/>
                <w:szCs w:val="24"/>
                <w:highlight w:val="none"/>
              </w:rPr>
            </w:pPr>
          </w:p>
          <w:p>
            <w:pPr>
              <w:pStyle w:val="3"/>
              <w:rPr>
                <w:rFonts w:hint="default" w:ascii="Times New Roman" w:hAnsi="Times New Roman" w:eastAsia="宋体" w:cs="Times New Roman"/>
                <w:color w:val="auto"/>
                <w:sz w:val="24"/>
                <w:szCs w:val="24"/>
                <w:highlight w:val="none"/>
              </w:rPr>
            </w:pPr>
          </w:p>
          <w:p>
            <w:pPr>
              <w:pStyle w:val="3"/>
              <w:rPr>
                <w:rFonts w:hint="default" w:ascii="Times New Roman" w:hAnsi="Times New Roman" w:eastAsia="宋体" w:cs="Times New Roman"/>
                <w:color w:val="auto"/>
                <w:sz w:val="24"/>
                <w:szCs w:val="24"/>
                <w:highlight w:val="none"/>
              </w:rPr>
            </w:pPr>
          </w:p>
          <w:p>
            <w:pPr>
              <w:pStyle w:val="4"/>
              <w:rPr>
                <w:rFonts w:hint="default" w:ascii="Times New Roman" w:hAnsi="Times New Roman" w:eastAsia="宋体" w:cs="Times New Roman"/>
                <w:color w:val="auto"/>
                <w:sz w:val="24"/>
                <w:szCs w:val="24"/>
                <w:highlight w:val="none"/>
              </w:rPr>
            </w:pPr>
          </w:p>
          <w:p>
            <w:pPr>
              <w:pStyle w:val="4"/>
              <w:rPr>
                <w:rFonts w:hint="default" w:ascii="Times New Roman" w:hAnsi="Times New Roman" w:eastAsia="宋体" w:cs="Times New Roman"/>
                <w:color w:val="auto"/>
                <w:lang w:val="en-US" w:eastAsia="zh-CN"/>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both"/>
              <w:textAlignment w:val="auto"/>
              <w:rPr>
                <w:rFonts w:hint="default" w:ascii="Times New Roman" w:hAnsi="Times New Roman" w:eastAsia="宋体" w:cs="Times New Roman"/>
                <w:color w:val="auto"/>
                <w:kern w:val="0"/>
                <w:szCs w:val="21"/>
                <w:highlight w:val="none"/>
              </w:rPr>
            </w:pPr>
          </w:p>
        </w:tc>
      </w:tr>
    </w:tbl>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6"/>
          <w:szCs w:val="36"/>
          <w:highlight w:val="none"/>
        </w:rPr>
        <w:br w:type="page"/>
      </w:r>
      <w:bookmarkStart w:id="52" w:name="_Toc32349"/>
      <w:bookmarkStart w:id="53" w:name="_Toc6112"/>
      <w:r>
        <w:rPr>
          <w:rFonts w:hint="default" w:ascii="Times New Roman" w:hAnsi="Times New Roman" w:eastAsia="宋体" w:cs="Times New Roman"/>
          <w:b/>
          <w:bCs/>
          <w:snapToGrid w:val="0"/>
          <w:color w:val="auto"/>
          <w:sz w:val="30"/>
          <w:szCs w:val="30"/>
          <w:highlight w:val="none"/>
        </w:rPr>
        <w:t>四、主要环境影响和保护措施</w:t>
      </w:r>
      <w:bookmarkEnd w:id="52"/>
      <w:bookmarkEnd w:id="53"/>
    </w:p>
    <w:tbl>
      <w:tblPr>
        <w:tblStyle w:val="26"/>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8"/>
        <w:gridCol w:w="86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8" w:type="dxa"/>
            <w:tcMar>
              <w:left w:w="28" w:type="dxa"/>
              <w:right w:w="28" w:type="dxa"/>
            </w:tcMar>
            <w:vAlign w:val="center"/>
          </w:tcPr>
          <w:p>
            <w:pPr>
              <w:pStyle w:val="23"/>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施工</w:t>
            </w:r>
          </w:p>
          <w:p>
            <w:pPr>
              <w:pStyle w:val="23"/>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期环</w:t>
            </w:r>
          </w:p>
          <w:p>
            <w:pPr>
              <w:pStyle w:val="23"/>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境保</w:t>
            </w:r>
          </w:p>
          <w:p>
            <w:pPr>
              <w:pStyle w:val="23"/>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护措</w:t>
            </w:r>
          </w:p>
          <w:p>
            <w:pPr>
              <w:pStyle w:val="23"/>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highlight w:val="none"/>
              </w:rPr>
            </w:pPr>
            <w:r>
              <w:rPr>
                <w:rFonts w:hint="default" w:ascii="Times New Roman" w:hAnsi="Times New Roman" w:eastAsia="宋体" w:cs="Times New Roman"/>
                <w:color w:val="auto"/>
                <w:kern w:val="2"/>
                <w:sz w:val="24"/>
                <w:szCs w:val="24"/>
                <w:highlight w:val="none"/>
              </w:rPr>
              <w:t>施</w:t>
            </w:r>
          </w:p>
        </w:tc>
        <w:tc>
          <w:tcPr>
            <w:tcW w:w="8623" w:type="dxa"/>
            <w:vAlign w:val="center"/>
          </w:tcPr>
          <w:p>
            <w:pPr>
              <w:pStyle w:val="25"/>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项目施工过程污染物主要为废气、废水、噪声、固废等。</w:t>
            </w:r>
          </w:p>
          <w:p>
            <w:pPr>
              <w:pStyle w:val="25"/>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sz w:val="24"/>
                <w:highlight w:val="none"/>
              </w:rPr>
              <w:t>1、施工期废气影响分析</w:t>
            </w:r>
          </w:p>
          <w:p>
            <w:pPr>
              <w:pStyle w:val="24"/>
              <w:keepNext w:val="0"/>
              <w:keepLines w:val="0"/>
              <w:pageBreakBefore w:val="0"/>
              <w:kinsoku/>
              <w:wordWrap/>
              <w:overflowPunct/>
              <w:topLinePunct w:val="0"/>
              <w:autoSpaceDE/>
              <w:autoSpaceDN/>
              <w:bidi w:val="0"/>
              <w:spacing w:after="0" w:afterLines="0"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施工期废气主要为施工粉尘、焊接烟尘、施工机械及车辆燃油废气等。</w:t>
            </w:r>
          </w:p>
          <w:p>
            <w:pPr>
              <w:keepNext w:val="0"/>
              <w:keepLines w:val="0"/>
              <w:pageBreakBefore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val="0"/>
                <w:color w:val="auto"/>
                <w:kern w:val="2"/>
                <w:sz w:val="24"/>
                <w:szCs w:val="24"/>
                <w:highlight w:val="none"/>
                <w:lang w:val="zh-CN" w:eastAsia="zh-CN" w:bidi="ar-SA"/>
              </w:rPr>
            </w:pPr>
            <w:r>
              <w:rPr>
                <w:rFonts w:hint="default" w:ascii="Times New Roman" w:hAnsi="Times New Roman" w:eastAsia="宋体" w:cs="Times New Roman"/>
                <w:b/>
                <w:bCs w:val="0"/>
                <w:color w:val="auto"/>
                <w:kern w:val="2"/>
                <w:sz w:val="24"/>
                <w:szCs w:val="24"/>
                <w:highlight w:val="none"/>
                <w:lang w:val="zh-CN" w:eastAsia="zh-CN" w:bidi="ar-SA"/>
              </w:rPr>
              <w:t>（1）施工粉尘影响</w:t>
            </w:r>
          </w:p>
          <w:p>
            <w:pPr>
              <w:adjustRightInd w:val="0"/>
              <w:snapToGrid w:val="0"/>
              <w:spacing w:afterLines="0" w:line="360" w:lineRule="auto"/>
              <w:ind w:firstLine="480" w:firstLineChars="200"/>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val="en-US" w:eastAsia="zh-CN" w:bidi="ar"/>
              </w:rPr>
              <w:t>项目施工扬尘主要来自设备安装过程产生的粉尘等。</w:t>
            </w:r>
            <w:r>
              <w:rPr>
                <w:rFonts w:hint="default" w:ascii="Times New Roman" w:hAnsi="Times New Roman" w:eastAsia="宋体" w:cs="Times New Roman"/>
                <w:color w:val="auto"/>
                <w:kern w:val="0"/>
                <w:sz w:val="24"/>
                <w:szCs w:val="24"/>
                <w:highlight w:val="none"/>
                <w:lang w:bidi="ar"/>
              </w:rPr>
              <w:t>为降低施工粉尘对周边大气环境的影响，应采取如下防治措施：</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施工场地定期洒水，以有效防止扬尘；</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施工场地清理阶段做到先洒水，后清扫，施工后期建筑垃圾及时清理；</w:t>
            </w:r>
          </w:p>
          <w:p>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lang w:eastAsia="ja-JP"/>
              </w:rPr>
              <w:t>加强施工现场运输车辆管理，运输车辆必须车身整洁，装载车厢完好、严密，装载货物堆码整齐，严禁在装运过程中沿途抛、洒、滴、漏</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ja-JP"/>
              </w:rPr>
              <w:t>不得污染道路</w:t>
            </w:r>
            <w:r>
              <w:rPr>
                <w:rFonts w:hint="default" w:ascii="Times New Roman" w:hAnsi="Times New Roman" w:eastAsia="宋体" w:cs="Times New Roman"/>
                <w:color w:val="auto"/>
                <w:sz w:val="24"/>
                <w:szCs w:val="24"/>
                <w:highlight w:val="none"/>
                <w:lang w:eastAsia="zh-CN"/>
              </w:rPr>
              <w:t>；</w:t>
            </w:r>
          </w:p>
          <w:p>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④</w:t>
            </w:r>
            <w:r>
              <w:rPr>
                <w:rFonts w:hint="default" w:ascii="Times New Roman" w:hAnsi="Times New Roman" w:eastAsia="宋体" w:cs="Times New Roman"/>
                <w:color w:val="auto"/>
                <w:sz w:val="24"/>
                <w:szCs w:val="24"/>
                <w:highlight w:val="none"/>
              </w:rPr>
              <w:t>优化施工期间运输车辆的出入场路径</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color w:val="auto"/>
                <w:sz w:val="28"/>
                <w:highlight w:val="none"/>
              </w:rPr>
            </w:pPr>
            <w:r>
              <w:rPr>
                <w:rFonts w:hint="default" w:ascii="Times New Roman" w:hAnsi="Times New Roman" w:eastAsia="宋体" w:cs="Times New Roman"/>
                <w:color w:val="auto"/>
                <w:sz w:val="24"/>
                <w:szCs w:val="24"/>
                <w:highlight w:val="none"/>
                <w:lang w:val="en-US" w:eastAsia="zh-CN"/>
              </w:rPr>
              <w:t>⑤</w:t>
            </w:r>
            <w:r>
              <w:rPr>
                <w:rFonts w:hint="default" w:ascii="Times New Roman" w:hAnsi="Times New Roman" w:eastAsia="宋体" w:cs="Times New Roman"/>
                <w:color w:val="auto"/>
                <w:sz w:val="24"/>
                <w:szCs w:val="24"/>
                <w:highlight w:val="none"/>
              </w:rPr>
              <w:t>在施工中合理组织施工，缩短施工时间，尽量减少施工污染。</w:t>
            </w:r>
          </w:p>
          <w:p>
            <w:pPr>
              <w:adjustRightInd w:val="0"/>
              <w:spacing w:afterLines="0"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施工期产生的粉尘污染是短期的，随着施工活动的结束，场地的覆盖、道路、建筑物、绿化的形成，施工扬尘对环境空气的影响也就随之结束，因此施工期粉尘对评价区域的空气环境质量影响较小。</w:t>
            </w:r>
          </w:p>
          <w:p>
            <w:pPr>
              <w:spacing w:afterLines="0" w:line="360" w:lineRule="auto"/>
              <w:ind w:firstLine="482" w:firstLineChars="200"/>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）焊接烟尘影响</w:t>
            </w:r>
          </w:p>
          <w:p>
            <w:pPr>
              <w:spacing w:afterLines="0" w:line="360" w:lineRule="auto"/>
              <w:ind w:firstLine="480" w:firstLineChars="20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highlight w:val="none"/>
              </w:rPr>
              <w:t>根据工程规模，项目焊接工程量较小，焊接过程烟尘</w:t>
            </w:r>
            <w:r>
              <w:rPr>
                <w:rFonts w:hint="default" w:ascii="Times New Roman" w:hAnsi="Times New Roman" w:eastAsia="宋体" w:cs="Times New Roman"/>
                <w:color w:val="auto"/>
                <w:sz w:val="24"/>
                <w:highlight w:val="none"/>
                <w:lang w:eastAsia="zh-CN"/>
              </w:rPr>
              <w:t>量</w:t>
            </w:r>
            <w:r>
              <w:rPr>
                <w:rFonts w:hint="default" w:ascii="Times New Roman" w:hAnsi="Times New Roman" w:eastAsia="宋体" w:cs="Times New Roman"/>
                <w:color w:val="auto"/>
                <w:sz w:val="24"/>
                <w:highlight w:val="none"/>
                <w:lang w:val="en-US" w:eastAsia="zh-CN"/>
              </w:rPr>
              <w:t>不大</w:t>
            </w:r>
            <w:r>
              <w:rPr>
                <w:rFonts w:hint="default" w:ascii="Times New Roman" w:hAnsi="Times New Roman" w:eastAsia="宋体" w:cs="Times New Roman"/>
                <w:color w:val="auto"/>
                <w:sz w:val="24"/>
                <w:highlight w:val="none"/>
              </w:rPr>
              <w:t>，呈无组织排放。</w:t>
            </w:r>
            <w:r>
              <w:rPr>
                <w:rFonts w:hint="default" w:ascii="Times New Roman" w:hAnsi="Times New Roman" w:eastAsia="宋体" w:cs="Times New Roman"/>
                <w:color w:val="auto"/>
                <w:sz w:val="24"/>
                <w:szCs w:val="24"/>
                <w:highlight w:val="none"/>
              </w:rPr>
              <w:t>施工焊接烟尘具有间断性产生、产生量较小、产生点相对分散、易被稀释扩散等特点，加之施工场地周围较空旷，大气扩散条件相对较好，焊接烟尘经自然扩散和稀释，</w:t>
            </w:r>
            <w:r>
              <w:rPr>
                <w:rFonts w:hint="default" w:ascii="Times New Roman" w:hAnsi="Times New Roman" w:eastAsia="宋体" w:cs="Times New Roman"/>
                <w:color w:val="auto"/>
                <w:sz w:val="24"/>
                <w:szCs w:val="24"/>
                <w:highlight w:val="none"/>
                <w:lang w:val="zh-CN" w:eastAsia="zh-CN"/>
              </w:rPr>
              <w:t>后对周围环境影响很小。</w:t>
            </w:r>
          </w:p>
          <w:p>
            <w:pPr>
              <w:spacing w:afterLines="0"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highlight w:val="none"/>
              </w:rPr>
              <w:t>施工机械及车辆燃油废气</w:t>
            </w:r>
            <w:r>
              <w:rPr>
                <w:rFonts w:hint="default" w:ascii="Times New Roman" w:hAnsi="Times New Roman" w:eastAsia="宋体" w:cs="Times New Roman"/>
                <w:b/>
                <w:bCs/>
                <w:color w:val="auto"/>
                <w:sz w:val="24"/>
                <w:szCs w:val="24"/>
                <w:highlight w:val="none"/>
                <w:lang w:val="zh-CN"/>
              </w:rPr>
              <w:t>影响</w:t>
            </w:r>
          </w:p>
          <w:p>
            <w:pPr>
              <w:pStyle w:val="25"/>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lang w:val="zh-CN"/>
              </w:rPr>
              <w:t>项目施工车辆运输过程及施工机械使用过程中产生的尾气将对沿路居民生活及环境空气产生一定的影响。因此，建设单位应在施工期间加强对车辆及施工机械的维修，尽量减少尾气的排放。</w:t>
            </w:r>
            <w:r>
              <w:rPr>
                <w:rFonts w:hint="default" w:ascii="Times New Roman" w:hAnsi="Times New Roman" w:eastAsia="宋体" w:cs="Times New Roman"/>
                <w:color w:val="auto"/>
                <w:sz w:val="24"/>
                <w:szCs w:val="24"/>
                <w:highlight w:val="none"/>
              </w:rPr>
              <w:t>施工机械和运输车辆所产生的废气经自然扩散和稀释</w:t>
            </w:r>
            <w:r>
              <w:rPr>
                <w:rFonts w:hint="default" w:ascii="Times New Roman" w:hAnsi="Times New Roman" w:eastAsia="宋体" w:cs="Times New Roman"/>
                <w:color w:val="auto"/>
                <w:sz w:val="24"/>
                <w:szCs w:val="24"/>
                <w:highlight w:val="none"/>
                <w:lang w:eastAsia="zh-CN"/>
              </w:rPr>
              <w:t>后对周围环境影响较小</w:t>
            </w:r>
            <w:r>
              <w:rPr>
                <w:rFonts w:hint="default" w:ascii="Times New Roman" w:hAnsi="Times New Roman" w:eastAsia="宋体" w:cs="Times New Roman"/>
                <w:color w:val="auto"/>
                <w:sz w:val="24"/>
                <w:szCs w:val="24"/>
                <w:highlight w:val="none"/>
              </w:rPr>
              <w:t>。</w:t>
            </w:r>
          </w:p>
          <w:p>
            <w:pPr>
              <w:pStyle w:val="25"/>
              <w:spacing w:after="0" w:line="360" w:lineRule="auto"/>
              <w:ind w:left="0" w:leftChars="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2、施工期废水影响分析</w:t>
            </w:r>
          </w:p>
          <w:p>
            <w:pPr>
              <w:spacing w:line="360" w:lineRule="auto"/>
              <w:ind w:firstLine="480" w:firstLineChars="200"/>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施工期产生的废水主要是施工废水</w:t>
            </w:r>
            <w:r>
              <w:rPr>
                <w:rFonts w:hint="default" w:ascii="Times New Roman" w:hAnsi="Times New Roman" w:eastAsia="宋体" w:cs="Times New Roman"/>
                <w:color w:val="auto"/>
                <w:sz w:val="24"/>
                <w:szCs w:val="24"/>
                <w:highlight w:val="none"/>
                <w:lang w:val="en-US" w:eastAsia="zh-CN"/>
              </w:rPr>
              <w:t>及施工人员</w:t>
            </w:r>
            <w:r>
              <w:rPr>
                <w:rFonts w:hint="default" w:ascii="Times New Roman" w:hAnsi="Times New Roman" w:eastAsia="宋体" w:cs="Times New Roman"/>
                <w:color w:val="auto"/>
                <w:sz w:val="24"/>
                <w:szCs w:val="24"/>
                <w:highlight w:val="none"/>
                <w:lang w:val="zh-CN" w:eastAsia="zh-CN"/>
              </w:rPr>
              <w:t>生活污水。</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①施工废水</w:t>
            </w:r>
          </w:p>
          <w:p>
            <w:pPr>
              <w:spacing w:line="360" w:lineRule="auto"/>
              <w:ind w:firstLine="480" w:firstLineChars="200"/>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项目施工过程中主要产生施工设备维修、清洗产生的废水，施工期废水量约为</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zh-CN" w:eastAsia="zh-CN"/>
              </w:rPr>
              <w:t>/d，主要污染物为SS，浓度约1000mg/L。</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施工人员生活污水</w:t>
            </w:r>
          </w:p>
          <w:p>
            <w:pPr>
              <w:spacing w:line="360" w:lineRule="auto"/>
              <w:ind w:firstLine="480" w:firstLineChars="200"/>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项目施工期不设施工营地，施工人员均不在项目区食宿，仅产生少量洗手清洁</w:t>
            </w:r>
            <w:r>
              <w:rPr>
                <w:rFonts w:hint="default" w:ascii="Times New Roman" w:hAnsi="Times New Roman" w:eastAsia="宋体" w:cs="Times New Roman"/>
                <w:color w:val="auto"/>
                <w:sz w:val="24"/>
                <w:szCs w:val="24"/>
                <w:highlight w:val="none"/>
                <w:lang w:val="en-US" w:eastAsia="zh-CN"/>
              </w:rPr>
              <w:t>及冲厕</w:t>
            </w:r>
            <w:r>
              <w:rPr>
                <w:rFonts w:hint="default" w:ascii="Times New Roman" w:hAnsi="Times New Roman" w:eastAsia="宋体" w:cs="Times New Roman"/>
                <w:color w:val="auto"/>
                <w:sz w:val="24"/>
                <w:szCs w:val="24"/>
                <w:highlight w:val="none"/>
                <w:lang w:val="zh-CN" w:eastAsia="zh-CN"/>
              </w:rPr>
              <w:t>废水。项目施工总周期为</w:t>
            </w:r>
            <w:r>
              <w:rPr>
                <w:rFonts w:hint="default" w:ascii="Times New Roman" w:hAnsi="Times New Roman" w:eastAsia="宋体" w:cs="Times New Roman"/>
                <w:color w:val="auto"/>
                <w:sz w:val="24"/>
                <w:szCs w:val="24"/>
                <w:highlight w:val="none"/>
                <w:lang w:val="en-US" w:eastAsia="zh-CN"/>
              </w:rPr>
              <w:t>3个月</w:t>
            </w:r>
            <w:r>
              <w:rPr>
                <w:rFonts w:hint="default" w:ascii="Times New Roman" w:hAnsi="Times New Roman" w:eastAsia="宋体" w:cs="Times New Roman"/>
                <w:color w:val="auto"/>
                <w:sz w:val="24"/>
                <w:szCs w:val="24"/>
                <w:highlight w:val="none"/>
                <w:lang w:val="zh-CN" w:eastAsia="zh-CN"/>
              </w:rPr>
              <w:t>，施工高峰期人员</w:t>
            </w:r>
            <w:r>
              <w:rPr>
                <w:rFonts w:hint="default" w:ascii="Times New Roman" w:hAnsi="Times New Roman" w:eastAsia="宋体" w:cs="Times New Roman"/>
                <w:color w:val="auto"/>
                <w:sz w:val="24"/>
                <w:szCs w:val="24"/>
                <w:highlight w:val="none"/>
                <w:lang w:val="en-US" w:eastAsia="zh-CN"/>
              </w:rPr>
              <w:t>约1</w:t>
            </w:r>
            <w:r>
              <w:rPr>
                <w:rFonts w:hint="default" w:ascii="Times New Roman" w:hAnsi="Times New Roman" w:eastAsia="宋体" w:cs="Times New Roman"/>
                <w:color w:val="auto"/>
                <w:sz w:val="24"/>
                <w:szCs w:val="24"/>
                <w:highlight w:val="none"/>
                <w:lang w:val="zh-CN" w:eastAsia="zh-CN"/>
              </w:rPr>
              <w:t>0人计，施工人员洗手清洁</w:t>
            </w:r>
            <w:r>
              <w:rPr>
                <w:rFonts w:hint="default" w:ascii="Times New Roman" w:hAnsi="Times New Roman" w:eastAsia="宋体" w:cs="Times New Roman"/>
                <w:color w:val="auto"/>
                <w:sz w:val="24"/>
                <w:szCs w:val="24"/>
                <w:highlight w:val="none"/>
                <w:lang w:val="en-US" w:eastAsia="zh-CN"/>
              </w:rPr>
              <w:t>及冲厕</w:t>
            </w:r>
            <w:r>
              <w:rPr>
                <w:rFonts w:hint="default" w:ascii="Times New Roman" w:hAnsi="Times New Roman" w:eastAsia="宋体" w:cs="Times New Roman"/>
                <w:color w:val="auto"/>
                <w:sz w:val="24"/>
                <w:szCs w:val="24"/>
                <w:highlight w:val="none"/>
                <w:lang w:val="zh-CN" w:eastAsia="zh-CN"/>
              </w:rPr>
              <w:t>用水按</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zh-CN" w:eastAsia="zh-CN"/>
              </w:rPr>
              <w:t>0L/人·d计，</w:t>
            </w:r>
            <w:r>
              <w:rPr>
                <w:rFonts w:hint="default" w:ascii="Times New Roman" w:hAnsi="Times New Roman" w:eastAsia="宋体" w:cs="Times New Roman"/>
                <w:color w:val="auto"/>
                <w:sz w:val="24"/>
                <w:szCs w:val="24"/>
                <w:highlight w:val="none"/>
                <w:lang w:val="en-US" w:eastAsia="zh-CN"/>
              </w:rPr>
              <w:t>施工人员</w:t>
            </w:r>
            <w:r>
              <w:rPr>
                <w:rFonts w:hint="default" w:ascii="Times New Roman" w:hAnsi="Times New Roman" w:eastAsia="宋体" w:cs="Times New Roman"/>
                <w:color w:val="auto"/>
                <w:sz w:val="24"/>
                <w:szCs w:val="24"/>
                <w:highlight w:val="none"/>
                <w:lang w:val="zh-CN" w:eastAsia="zh-CN"/>
              </w:rPr>
              <w:t>用水量为</w:t>
            </w:r>
            <w:r>
              <w:rPr>
                <w:rFonts w:hint="default" w:ascii="Times New Roman" w:hAnsi="Times New Roman" w:eastAsia="宋体" w:cs="Times New Roman"/>
                <w:color w:val="auto"/>
                <w:sz w:val="24"/>
                <w:szCs w:val="24"/>
                <w:highlight w:val="none"/>
                <w:lang w:val="en-US" w:eastAsia="zh-CN"/>
              </w:rPr>
              <w:t>36</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en-US" w:eastAsia="zh-CN"/>
              </w:rPr>
              <w:t>/施工期</w:t>
            </w:r>
            <w:r>
              <w:rPr>
                <w:rFonts w:hint="default"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en-US" w:eastAsia="zh-CN"/>
              </w:rPr>
              <w:t>平均0.4</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zh-CN" w:eastAsia="zh-CN"/>
              </w:rPr>
              <w:t>/d，排水系数按80%计算，则施工人员洗手清洁</w:t>
            </w:r>
            <w:r>
              <w:rPr>
                <w:rFonts w:hint="default" w:ascii="Times New Roman" w:hAnsi="Times New Roman" w:eastAsia="宋体" w:cs="Times New Roman"/>
                <w:color w:val="auto"/>
                <w:sz w:val="24"/>
                <w:szCs w:val="24"/>
                <w:highlight w:val="none"/>
                <w:lang w:val="en-US" w:eastAsia="zh-CN"/>
              </w:rPr>
              <w:t>及冲厕</w:t>
            </w:r>
            <w:r>
              <w:rPr>
                <w:rFonts w:hint="default" w:ascii="Times New Roman" w:hAnsi="Times New Roman" w:eastAsia="宋体" w:cs="Times New Roman"/>
                <w:color w:val="auto"/>
                <w:sz w:val="24"/>
                <w:szCs w:val="24"/>
                <w:highlight w:val="none"/>
                <w:lang w:val="zh-CN" w:eastAsia="zh-CN"/>
              </w:rPr>
              <w:t>废水产生量为</w:t>
            </w:r>
            <w:r>
              <w:rPr>
                <w:rFonts w:hint="default" w:ascii="Times New Roman" w:hAnsi="Times New Roman" w:eastAsia="宋体" w:cs="Times New Roman"/>
                <w:color w:val="auto"/>
                <w:sz w:val="24"/>
                <w:szCs w:val="24"/>
                <w:highlight w:val="none"/>
                <w:lang w:val="en-US" w:eastAsia="zh-CN"/>
              </w:rPr>
              <w:t>28.8</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en-US" w:eastAsia="zh-CN"/>
              </w:rPr>
              <w:t>/施工期</w:t>
            </w:r>
            <w:r>
              <w:rPr>
                <w:rFonts w:hint="default"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en-US" w:eastAsia="zh-CN"/>
              </w:rPr>
              <w:t>平均0.32</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zh-CN" w:eastAsia="zh-CN"/>
              </w:rPr>
              <w:t>/d。</w:t>
            </w:r>
          </w:p>
          <w:p>
            <w:pPr>
              <w:spacing w:line="360" w:lineRule="auto"/>
              <w:ind w:firstLine="480" w:firstLineChars="200"/>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施工过程中施工废水</w:t>
            </w:r>
            <w:r>
              <w:rPr>
                <w:rFonts w:hint="default" w:ascii="Times New Roman" w:hAnsi="Times New Roman" w:eastAsia="宋体" w:cs="Times New Roman"/>
                <w:color w:val="auto"/>
                <w:sz w:val="24"/>
                <w:szCs w:val="24"/>
                <w:highlight w:val="none"/>
                <w:lang w:val="en-US" w:eastAsia="zh-CN"/>
              </w:rPr>
              <w:t>设置1个容积约为1.2m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的临时沉淀池，施工废水收集处理后全部用于施工场地洒水降尘，不外排；</w:t>
            </w:r>
            <w:r>
              <w:rPr>
                <w:rFonts w:hint="default" w:ascii="Times New Roman" w:hAnsi="Times New Roman" w:eastAsia="宋体" w:cs="Times New Roman"/>
                <w:color w:val="auto"/>
                <w:sz w:val="24"/>
                <w:szCs w:val="24"/>
                <w:highlight w:val="none"/>
                <w:lang w:val="zh-CN" w:eastAsia="zh-CN"/>
              </w:rPr>
              <w:t>施工人员洗手清洁</w:t>
            </w:r>
            <w:r>
              <w:rPr>
                <w:rFonts w:hint="default" w:ascii="Times New Roman" w:hAnsi="Times New Roman" w:eastAsia="宋体" w:cs="Times New Roman"/>
                <w:color w:val="auto"/>
                <w:sz w:val="24"/>
                <w:szCs w:val="24"/>
                <w:highlight w:val="none"/>
                <w:lang w:val="en-US" w:eastAsia="zh-CN"/>
              </w:rPr>
              <w:t>及冲厕废水依托已建化粪池、一体化污水处理站进行处理。</w:t>
            </w:r>
            <w:r>
              <w:rPr>
                <w:rFonts w:hint="default" w:ascii="Times New Roman" w:hAnsi="Times New Roman" w:eastAsia="宋体" w:cs="Times New Roman"/>
                <w:color w:val="auto"/>
                <w:sz w:val="24"/>
                <w:szCs w:val="24"/>
                <w:highlight w:val="none"/>
                <w:lang w:val="zh-CN" w:eastAsia="zh-CN"/>
              </w:rPr>
              <w:t>对周围地表水影响较小。</w:t>
            </w:r>
          </w:p>
          <w:p>
            <w:pPr>
              <w:pStyle w:val="25"/>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3、噪声</w:t>
            </w:r>
          </w:p>
          <w:p>
            <w:pPr>
              <w:pStyle w:val="25"/>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施工期噪声主要</w:t>
            </w:r>
            <w:r>
              <w:rPr>
                <w:rFonts w:hint="default" w:ascii="Times New Roman" w:hAnsi="Times New Roman" w:eastAsia="宋体" w:cs="Times New Roman"/>
                <w:b w:val="0"/>
                <w:bCs w:val="0"/>
                <w:color w:val="auto"/>
                <w:sz w:val="24"/>
                <w:szCs w:val="24"/>
                <w:highlight w:val="none"/>
                <w:lang w:val="en-US" w:eastAsia="zh-CN"/>
              </w:rPr>
              <w:t>为</w:t>
            </w:r>
            <w:r>
              <w:rPr>
                <w:rFonts w:hint="default" w:ascii="Times New Roman" w:hAnsi="Times New Roman" w:eastAsia="宋体" w:cs="Times New Roman"/>
                <w:b w:val="0"/>
                <w:bCs w:val="0"/>
                <w:color w:val="auto"/>
                <w:sz w:val="24"/>
                <w:szCs w:val="24"/>
                <w:highlight w:val="none"/>
                <w:lang w:eastAsia="zh-CN"/>
              </w:rPr>
              <w:t>设备安装时</w:t>
            </w:r>
            <w:r>
              <w:rPr>
                <w:rFonts w:hint="default" w:ascii="Times New Roman" w:hAnsi="Times New Roman" w:eastAsia="宋体" w:cs="Times New Roman"/>
                <w:b w:val="0"/>
                <w:bCs w:val="0"/>
                <w:color w:val="auto"/>
                <w:sz w:val="24"/>
                <w:szCs w:val="24"/>
                <w:highlight w:val="none"/>
              </w:rPr>
              <w:t>的</w:t>
            </w:r>
            <w:r>
              <w:rPr>
                <w:rFonts w:hint="default" w:ascii="Times New Roman" w:hAnsi="Times New Roman" w:eastAsia="宋体" w:cs="Times New Roman"/>
                <w:b w:val="0"/>
                <w:bCs w:val="0"/>
                <w:color w:val="auto"/>
                <w:sz w:val="24"/>
                <w:szCs w:val="24"/>
                <w:highlight w:val="none"/>
                <w:lang w:val="en-US" w:eastAsia="zh-CN"/>
              </w:rPr>
              <w:t>敲击</w:t>
            </w:r>
            <w:r>
              <w:rPr>
                <w:rFonts w:hint="default" w:ascii="Times New Roman" w:hAnsi="Times New Roman" w:eastAsia="宋体" w:cs="Times New Roman"/>
                <w:b w:val="0"/>
                <w:bCs w:val="0"/>
                <w:color w:val="auto"/>
                <w:sz w:val="24"/>
                <w:szCs w:val="24"/>
                <w:highlight w:val="none"/>
              </w:rPr>
              <w:t>声</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通过选用低噪声设备、厂房进行隔声，并禁止施工人员抛掷物品，搬运时尽量轻拿轻放，合理安排施工时间（12:00~14:00、夜间不施工）等措施治理后，施工噪声</w:t>
            </w:r>
            <w:r>
              <w:rPr>
                <w:rFonts w:hint="default" w:ascii="Times New Roman" w:hAnsi="Times New Roman" w:eastAsia="宋体" w:cs="Times New Roman"/>
                <w:b w:val="0"/>
                <w:bCs w:val="0"/>
                <w:color w:val="auto"/>
                <w:sz w:val="24"/>
                <w:szCs w:val="24"/>
                <w:highlight w:val="none"/>
                <w:lang w:eastAsia="zh-CN"/>
              </w:rPr>
              <w:t>对</w:t>
            </w:r>
            <w:r>
              <w:rPr>
                <w:rFonts w:hint="default" w:ascii="Times New Roman" w:hAnsi="Times New Roman" w:eastAsia="宋体" w:cs="Times New Roman"/>
                <w:b w:val="0"/>
                <w:bCs w:val="0"/>
                <w:color w:val="auto"/>
                <w:sz w:val="24"/>
                <w:szCs w:val="24"/>
                <w:highlight w:val="none"/>
                <w:lang w:val="en-US" w:eastAsia="zh-CN"/>
              </w:rPr>
              <w:t>周边</w:t>
            </w:r>
            <w:r>
              <w:rPr>
                <w:rFonts w:hint="default" w:ascii="Times New Roman" w:hAnsi="Times New Roman" w:eastAsia="宋体" w:cs="Times New Roman"/>
                <w:b w:val="0"/>
                <w:bCs w:val="0"/>
                <w:color w:val="auto"/>
                <w:sz w:val="24"/>
                <w:szCs w:val="24"/>
                <w:highlight w:val="none"/>
                <w:lang w:eastAsia="zh-CN"/>
              </w:rPr>
              <w:t>声环境影响较小。</w:t>
            </w:r>
          </w:p>
          <w:p>
            <w:pPr>
              <w:pStyle w:val="25"/>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4、固体废弃物</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项目施工期固体废弃物主要为建筑垃圾和生活垃圾。</w:t>
            </w:r>
          </w:p>
          <w:p>
            <w:pPr>
              <w:spacing w:line="360" w:lineRule="auto"/>
              <w:ind w:firstLine="480"/>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eastAsia="zh-CN"/>
              </w:rPr>
              <w:t>）建筑垃圾</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项目产生的建筑垃圾进行分类集中堆存，能回收利用的部分，请回收商进行收购，重复利用；不能回收利用的运至政府部门指定的建筑垃圾堆放场处置，禁止与生活垃圾混合处置，禁止随意丢弃。</w:t>
            </w:r>
          </w:p>
          <w:p>
            <w:pPr>
              <w:spacing w:line="360" w:lineRule="auto"/>
              <w:ind w:firstLine="480"/>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eastAsia="zh-CN"/>
              </w:rPr>
              <w:t>）施工人员生活垃圾</w:t>
            </w:r>
          </w:p>
          <w:p>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施工期施工人员</w:t>
            </w:r>
            <w:r>
              <w:rPr>
                <w:rFonts w:hint="default" w:ascii="Times New Roman" w:hAnsi="Times New Roman" w:eastAsia="宋体" w:cs="Times New Roman"/>
                <w:color w:val="auto"/>
                <w:sz w:val="24"/>
                <w:szCs w:val="24"/>
                <w:highlight w:val="none"/>
                <w:lang w:val="en-US" w:eastAsia="zh-CN"/>
              </w:rPr>
              <w:t>均</w:t>
            </w:r>
            <w:r>
              <w:rPr>
                <w:rFonts w:hint="default" w:ascii="Times New Roman" w:hAnsi="Times New Roman" w:eastAsia="宋体" w:cs="Times New Roman"/>
                <w:color w:val="auto"/>
                <w:sz w:val="24"/>
                <w:szCs w:val="24"/>
                <w:highlight w:val="none"/>
              </w:rPr>
              <w:t>不在项目区食宿，生活垃圾产生量较小。</w:t>
            </w:r>
            <w:r>
              <w:rPr>
                <w:rFonts w:hint="default" w:ascii="Times New Roman" w:hAnsi="Times New Roman" w:eastAsia="宋体" w:cs="Times New Roman"/>
                <w:color w:val="auto"/>
                <w:sz w:val="24"/>
                <w:highlight w:val="none"/>
              </w:rPr>
              <w:t>生活垃圾以每人每天0.</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kg计，</w:t>
            </w:r>
            <w:r>
              <w:rPr>
                <w:rFonts w:hint="default" w:ascii="Times New Roman" w:hAnsi="Times New Roman" w:eastAsia="宋体" w:cs="Times New Roman"/>
                <w:color w:val="auto"/>
                <w:sz w:val="24"/>
                <w:szCs w:val="24"/>
                <w:highlight w:val="none"/>
                <w:lang w:val="en-US" w:eastAsia="zh-CN"/>
              </w:rPr>
              <w:t>则</w:t>
            </w:r>
            <w:r>
              <w:rPr>
                <w:rFonts w:hint="default" w:ascii="Times New Roman" w:hAnsi="Times New Roman" w:eastAsia="宋体" w:cs="Times New Roman"/>
                <w:color w:val="auto"/>
                <w:sz w:val="24"/>
                <w:szCs w:val="24"/>
                <w:highlight w:val="none"/>
              </w:rPr>
              <w:t>施工期生活垃圾产生量为</w:t>
            </w:r>
            <w:r>
              <w:rPr>
                <w:rFonts w:hint="default" w:ascii="Times New Roman" w:hAnsi="Times New Roman" w:eastAsia="宋体" w:cs="Times New Roman"/>
                <w:snapToGrid w:val="0"/>
                <w:color w:val="auto"/>
                <w:spacing w:val="12"/>
                <w:sz w:val="24"/>
                <w:highlight w:val="none"/>
                <w:lang w:val="en-US" w:eastAsia="zh-CN"/>
              </w:rPr>
              <w:t>2</w:t>
            </w:r>
            <w:r>
              <w:rPr>
                <w:rFonts w:hint="default" w:ascii="Times New Roman" w:hAnsi="Times New Roman" w:eastAsia="宋体" w:cs="Times New Roman"/>
                <w:snapToGrid w:val="0"/>
                <w:color w:val="auto"/>
                <w:spacing w:val="12"/>
                <w:sz w:val="24"/>
                <w:highlight w:val="none"/>
              </w:rPr>
              <w:t>kg/d</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highlight w:val="none"/>
              </w:rPr>
              <w:t>施工人员生活垃圾统一收集</w:t>
            </w:r>
            <w:r>
              <w:rPr>
                <w:rFonts w:hint="default" w:ascii="Times New Roman" w:hAnsi="Times New Roman" w:eastAsia="宋体" w:cs="Times New Roman"/>
                <w:color w:val="auto"/>
                <w:kern w:val="0"/>
                <w:sz w:val="24"/>
                <w:szCs w:val="24"/>
                <w:highlight w:val="none"/>
              </w:rPr>
              <w:t>至垃圾房后，由当地环卫部门处置</w:t>
            </w:r>
            <w:r>
              <w:rPr>
                <w:rFonts w:hint="default" w:ascii="Times New Roman" w:hAnsi="Times New Roman" w:eastAsia="宋体" w:cs="Times New Roman"/>
                <w:color w:val="auto"/>
                <w:sz w:val="24"/>
                <w:highlight w:val="none"/>
              </w:rPr>
              <w:t>。固废处置率100%，对周围环境影响</w:t>
            </w:r>
            <w:r>
              <w:rPr>
                <w:rFonts w:hint="default" w:ascii="Times New Roman" w:hAnsi="Times New Roman" w:eastAsia="宋体" w:cs="Times New Roman"/>
                <w:color w:val="auto"/>
                <w:sz w:val="24"/>
                <w:highlight w:val="none"/>
                <w:lang w:val="en-US" w:eastAsia="zh-CN"/>
              </w:rPr>
              <w:t>较</w:t>
            </w:r>
            <w:r>
              <w:rPr>
                <w:rFonts w:hint="default" w:ascii="Times New Roman" w:hAnsi="Times New Roman" w:eastAsia="宋体" w:cs="Times New Roman"/>
                <w:color w:val="auto"/>
                <w:sz w:val="24"/>
                <w:highlight w:val="none"/>
              </w:rPr>
              <w:t>小。</w:t>
            </w:r>
          </w:p>
          <w:p>
            <w:pPr>
              <w:pStyle w:val="25"/>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Cs/>
                <w:color w:val="auto"/>
                <w:spacing w:val="-10"/>
                <w:szCs w:val="21"/>
                <w:highlight w:val="none"/>
              </w:rPr>
            </w:pPr>
            <w:r>
              <w:rPr>
                <w:rFonts w:hint="default" w:ascii="Times New Roman" w:hAnsi="Times New Roman" w:eastAsia="宋体" w:cs="Times New Roman"/>
                <w:color w:val="auto"/>
                <w:sz w:val="24"/>
                <w:highlight w:val="none"/>
              </w:rPr>
              <w:t>综上，在各项环保措施得到切实实施的情况下，项目施工期产生的环境影响较小，且为暂时的，随着施工期的结束而消失，对周围环境产生的影响较小。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8" w:type="dxa"/>
            <w:tcMar>
              <w:left w:w="28" w:type="dxa"/>
              <w:right w:w="28" w:type="dxa"/>
            </w:tcMar>
            <w:vAlign w:val="center"/>
          </w:tcPr>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运营</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措施</w:t>
            </w:r>
          </w:p>
        </w:tc>
        <w:tc>
          <w:tcPr>
            <w:tcW w:w="8623" w:type="dxa"/>
            <w:vAlign w:val="top"/>
          </w:tcPr>
          <w:p>
            <w:pPr>
              <w:adjustRightInd w:val="0"/>
              <w:snapToGrid w:val="0"/>
              <w:spacing w:line="360" w:lineRule="auto"/>
              <w:ind w:firstLine="482" w:firstLineChars="200"/>
              <w:rPr>
                <w:rFonts w:hint="default" w:ascii="Times New Roman" w:hAnsi="Times New Roman" w:eastAsia="宋体" w:cs="Times New Roman"/>
                <w:b/>
                <w:color w:val="auto"/>
                <w:sz w:val="24"/>
                <w:highlight w:val="none"/>
                <w:lang w:eastAsia="zh-CN"/>
              </w:rPr>
            </w:pPr>
            <w:r>
              <w:rPr>
                <w:rFonts w:hint="default" w:ascii="Times New Roman" w:hAnsi="Times New Roman" w:eastAsia="宋体" w:cs="Times New Roman"/>
                <w:b/>
                <w:color w:val="auto"/>
                <w:sz w:val="24"/>
                <w:highlight w:val="none"/>
                <w:lang w:val="en-US" w:eastAsia="zh-CN"/>
              </w:rPr>
              <w:t>一</w:t>
            </w:r>
            <w:r>
              <w:rPr>
                <w:rFonts w:hint="default" w:ascii="Times New Roman" w:hAnsi="Times New Roman" w:eastAsia="宋体" w:cs="Times New Roman"/>
                <w:b/>
                <w:color w:val="auto"/>
                <w:sz w:val="24"/>
                <w:highlight w:val="none"/>
              </w:rPr>
              <w:t>、废气</w:t>
            </w:r>
            <w:r>
              <w:rPr>
                <w:rFonts w:hint="default" w:ascii="Times New Roman" w:hAnsi="Times New Roman" w:eastAsia="宋体" w:cs="Times New Roman"/>
                <w:b/>
                <w:color w:val="auto"/>
                <w:sz w:val="24"/>
                <w:highlight w:val="none"/>
                <w:lang w:eastAsia="zh-CN"/>
              </w:rPr>
              <w:t>源强核算及影响分析</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运营期</w:t>
            </w:r>
            <w:r>
              <w:rPr>
                <w:rFonts w:hint="default" w:ascii="Times New Roman" w:hAnsi="Times New Roman" w:eastAsia="宋体" w:cs="Times New Roman"/>
                <w:color w:val="auto"/>
                <w:sz w:val="24"/>
                <w:highlight w:val="none"/>
                <w:u w:val="none"/>
              </w:rPr>
              <w:t>废气主</w:t>
            </w:r>
            <w:r>
              <w:rPr>
                <w:rFonts w:hint="default" w:ascii="Times New Roman" w:hAnsi="Times New Roman" w:eastAsia="宋体" w:cs="Times New Roman"/>
                <w:color w:val="auto"/>
                <w:sz w:val="24"/>
                <w:highlight w:val="none"/>
                <w:u w:val="none"/>
                <w:lang w:val="en-US" w:eastAsia="zh-CN"/>
              </w:rPr>
              <w:t>要为挥发性有机废气（以非甲烷总烃计）、食堂油烟及异味等。</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1、污染物源强核算</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zh-CN"/>
              </w:rPr>
              <w:t>（</w:t>
            </w: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lang w:val="zh-CN"/>
              </w:rPr>
              <w:t>）</w:t>
            </w:r>
            <w:r>
              <w:rPr>
                <w:rFonts w:hint="default" w:ascii="Times New Roman" w:hAnsi="Times New Roman" w:eastAsia="宋体" w:cs="Times New Roman"/>
                <w:b/>
                <w:bCs/>
                <w:color w:val="auto"/>
                <w:sz w:val="24"/>
                <w:highlight w:val="none"/>
                <w:lang w:val="en-US" w:eastAsia="zh-CN"/>
              </w:rPr>
              <w:t>正常情况时废气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1）生产废气</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项目运营期废气排放源见表4-1。</w:t>
            </w:r>
          </w:p>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   项目运营期废气排放源一览表</w:t>
            </w:r>
          </w:p>
          <w:tbl>
            <w:tblPr>
              <w:tblStyle w:val="27"/>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2"/>
              <w:gridCol w:w="233"/>
              <w:gridCol w:w="1728"/>
              <w:gridCol w:w="1678"/>
              <w:gridCol w:w="1543"/>
              <w:gridCol w:w="60"/>
              <w:gridCol w:w="1275"/>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526"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3473" w:type="pct"/>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吹膜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6"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99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非甲烷总烃</w:t>
                  </w:r>
                </w:p>
              </w:tc>
              <w:tc>
                <w:tcPr>
                  <w:tcW w:w="91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臭气浓度</w:t>
                  </w:r>
                </w:p>
              </w:tc>
              <w:tc>
                <w:tcPr>
                  <w:tcW w:w="795"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非甲烷总烃</w:t>
                  </w:r>
                </w:p>
              </w:tc>
              <w:tc>
                <w:tcPr>
                  <w:tcW w:w="75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6"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99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w:t>
                  </w:r>
                </w:p>
              </w:tc>
              <w:tc>
                <w:tcPr>
                  <w:tcW w:w="91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少量</w:t>
                  </w:r>
                </w:p>
              </w:tc>
              <w:tc>
                <w:tcPr>
                  <w:tcW w:w="795"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2.5</w:t>
                  </w:r>
                </w:p>
              </w:tc>
              <w:tc>
                <w:tcPr>
                  <w:tcW w:w="75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99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27.56</w:t>
                  </w:r>
                </w:p>
              </w:tc>
              <w:tc>
                <w:tcPr>
                  <w:tcW w:w="91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1075（无量纲）</w:t>
                  </w:r>
                </w:p>
              </w:tc>
              <w:tc>
                <w:tcPr>
                  <w:tcW w:w="795"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75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1918"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有组织</w:t>
                  </w:r>
                </w:p>
              </w:tc>
              <w:tc>
                <w:tcPr>
                  <w:tcW w:w="1554"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1168"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1918"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75600m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1554"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168"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1918"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80%</w:t>
                  </w:r>
                </w:p>
              </w:tc>
              <w:tc>
                <w:tcPr>
                  <w:tcW w:w="1554"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168"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1918"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lang w:val="en-US" w:eastAsia="zh-CN"/>
                    </w:rPr>
                    <w:t>1套</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UV光氧催化+三级活性炭吸附</w:t>
                  </w:r>
                  <w:r>
                    <w:rPr>
                      <w:rFonts w:hint="default" w:ascii="Times New Roman" w:hAnsi="Times New Roman" w:eastAsia="宋体" w:cs="Times New Roman"/>
                      <w:color w:val="auto"/>
                      <w:sz w:val="21"/>
                      <w:szCs w:val="21"/>
                      <w:highlight w:val="none"/>
                    </w:rPr>
                    <w:t>装置</w:t>
                  </w:r>
                  <w:r>
                    <w:rPr>
                      <w:rFonts w:hint="default" w:ascii="Times New Roman" w:hAnsi="Times New Roman" w:eastAsia="宋体" w:cs="Times New Roman"/>
                      <w:color w:val="auto"/>
                      <w:szCs w:val="21"/>
                      <w:highlight w:val="none"/>
                    </w:rPr>
                    <w:t>”</w:t>
                  </w:r>
                </w:p>
              </w:tc>
              <w:tc>
                <w:tcPr>
                  <w:tcW w:w="1554"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自然</w:t>
                  </w:r>
                  <w:r>
                    <w:rPr>
                      <w:rFonts w:hint="default" w:ascii="Times New Roman" w:hAnsi="Times New Roman" w:eastAsia="宋体" w:cs="Times New Roman"/>
                      <w:color w:val="auto"/>
                      <w:sz w:val="21"/>
                      <w:szCs w:val="21"/>
                      <w:highlight w:val="none"/>
                      <w:lang w:val="en-US" w:eastAsia="zh-CN"/>
                    </w:rPr>
                    <w:t>稀释扩散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35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168"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治理工艺去除率</w:t>
                  </w:r>
                </w:p>
              </w:tc>
              <w:tc>
                <w:tcPr>
                  <w:tcW w:w="1918"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78%</w:t>
                  </w:r>
                </w:p>
              </w:tc>
              <w:tc>
                <w:tcPr>
                  <w:tcW w:w="1554"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168"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1918"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c>
                <w:tcPr>
                  <w:tcW w:w="1554"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99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6.06</w:t>
                  </w:r>
                </w:p>
              </w:tc>
              <w:tc>
                <w:tcPr>
                  <w:tcW w:w="91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yellow"/>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236.5（无量纲）</w:t>
                  </w:r>
                </w:p>
              </w:tc>
              <w:tc>
                <w:tcPr>
                  <w:tcW w:w="795"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75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526"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污染物排放速率（kg/h）</w:t>
                  </w:r>
                </w:p>
              </w:tc>
              <w:tc>
                <w:tcPr>
                  <w:tcW w:w="99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0.4583</w:t>
                  </w:r>
                </w:p>
              </w:tc>
              <w:tc>
                <w:tcPr>
                  <w:tcW w:w="91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795"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0.5208</w:t>
                  </w:r>
                </w:p>
              </w:tc>
              <w:tc>
                <w:tcPr>
                  <w:tcW w:w="75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污染物排放量（t/a）</w:t>
                  </w:r>
                </w:p>
              </w:tc>
              <w:tc>
                <w:tcPr>
                  <w:tcW w:w="99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2.2</w:t>
                  </w:r>
                </w:p>
              </w:tc>
              <w:tc>
                <w:tcPr>
                  <w:tcW w:w="91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少量</w:t>
                  </w:r>
                </w:p>
              </w:tc>
              <w:tc>
                <w:tcPr>
                  <w:tcW w:w="795"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2.5</w:t>
                  </w:r>
                </w:p>
              </w:tc>
              <w:tc>
                <w:tcPr>
                  <w:tcW w:w="75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1168"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排气筒高度</w:t>
                  </w:r>
                </w:p>
              </w:tc>
              <w:tc>
                <w:tcPr>
                  <w:tcW w:w="1918"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15m</w:t>
                  </w:r>
                </w:p>
              </w:tc>
              <w:tc>
                <w:tcPr>
                  <w:tcW w:w="1554"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168"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排气筒内径</w:t>
                  </w:r>
                </w:p>
              </w:tc>
              <w:tc>
                <w:tcPr>
                  <w:tcW w:w="1918"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0.8m</w:t>
                  </w:r>
                </w:p>
              </w:tc>
              <w:tc>
                <w:tcPr>
                  <w:tcW w:w="1554"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168"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温度</w:t>
                  </w:r>
                </w:p>
              </w:tc>
              <w:tc>
                <w:tcPr>
                  <w:tcW w:w="1918"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35℃</w:t>
                  </w:r>
                </w:p>
              </w:tc>
              <w:tc>
                <w:tcPr>
                  <w:tcW w:w="1554"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168"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w:t>
                  </w:r>
                </w:p>
              </w:tc>
              <w:tc>
                <w:tcPr>
                  <w:tcW w:w="1918"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DA001</w:t>
                  </w:r>
                </w:p>
              </w:tc>
              <w:tc>
                <w:tcPr>
                  <w:tcW w:w="1554"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168"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1918"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一般排放口</w:t>
                  </w:r>
                </w:p>
              </w:tc>
              <w:tc>
                <w:tcPr>
                  <w:tcW w:w="1554"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168"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1918"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E：103°12′44.565″，N：25°35′16.010″</w:t>
                  </w:r>
                </w:p>
              </w:tc>
              <w:tc>
                <w:tcPr>
                  <w:tcW w:w="1554"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排放标准</w:t>
                  </w:r>
                </w:p>
              </w:tc>
              <w:tc>
                <w:tcPr>
                  <w:tcW w:w="3473" w:type="pct"/>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非甲烷总烃执行</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合成树脂工业污染物排放标准</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z w:val="21"/>
                      <w:szCs w:val="21"/>
                      <w:highlight w:val="none"/>
                      <w:lang w:val="en-US" w:eastAsia="zh-CN"/>
                    </w:rPr>
                    <w:t>31572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2015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中相关</w:t>
                  </w:r>
                  <w:r>
                    <w:rPr>
                      <w:rFonts w:hint="default" w:ascii="Times New Roman" w:hAnsi="Times New Roman" w:eastAsia="宋体" w:cs="Times New Roman"/>
                      <w:color w:val="auto"/>
                      <w:sz w:val="21"/>
                      <w:szCs w:val="21"/>
                      <w:highlight w:val="none"/>
                      <w:lang w:val="en-US" w:eastAsia="zh-CN"/>
                    </w:rPr>
                    <w:t>大气污染物排放限值要求；臭气浓度执行</w:t>
                  </w:r>
                  <w:r>
                    <w:rPr>
                      <w:rFonts w:hint="default" w:ascii="Times New Roman" w:hAnsi="Times New Roman" w:eastAsia="宋体" w:cs="Times New Roman"/>
                      <w:color w:val="auto"/>
                      <w:sz w:val="21"/>
                      <w:szCs w:val="21"/>
                      <w:highlight w:val="none"/>
                      <w:lang w:val="zh-CN" w:eastAsia="zh-CN"/>
                    </w:rPr>
                    <w:t>《恶臭污染物排放标准》（GB14554-93）</w:t>
                  </w:r>
                  <w:r>
                    <w:rPr>
                      <w:rFonts w:hint="default" w:ascii="Times New Roman" w:hAnsi="Times New Roman" w:eastAsia="宋体" w:cs="Times New Roman"/>
                      <w:color w:val="auto"/>
                      <w:sz w:val="21"/>
                      <w:szCs w:val="21"/>
                      <w:highlight w:val="none"/>
                      <w:lang w:val="en-US" w:eastAsia="zh-CN"/>
                    </w:rPr>
                    <w:t>中</w:t>
                  </w:r>
                  <w:r>
                    <w:rPr>
                      <w:rFonts w:hint="default" w:ascii="Times New Roman" w:hAnsi="Times New Roman" w:eastAsia="宋体" w:cs="Times New Roman"/>
                      <w:color w:val="auto"/>
                      <w:sz w:val="21"/>
                      <w:szCs w:val="21"/>
                      <w:highlight w:val="none"/>
                      <w:lang w:val="zh-CN" w:eastAsia="zh-CN"/>
                    </w:rPr>
                    <w:t>标准</w:t>
                  </w:r>
                  <w:r>
                    <w:rPr>
                      <w:rFonts w:hint="default" w:ascii="Times New Roman" w:hAnsi="Times New Roman" w:eastAsia="宋体" w:cs="Times New Roman"/>
                      <w:color w:val="auto"/>
                      <w:sz w:val="21"/>
                      <w:szCs w:val="21"/>
                      <w:highlight w:val="none"/>
                      <w:lang w:val="en-US" w:eastAsia="zh-CN"/>
                    </w:rPr>
                    <w:t>限值</w:t>
                  </w:r>
                  <w:r>
                    <w:rPr>
                      <w:rFonts w:hint="default" w:ascii="Times New Roman" w:hAnsi="Times New Roman" w:eastAsia="宋体" w:cs="Times New Roman"/>
                      <w:color w:val="auto"/>
                      <w:sz w:val="21"/>
                      <w:szCs w:val="21"/>
                      <w:highlight w:val="none"/>
                      <w:lang w:val="zh-CN"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gridSpan w:val="2"/>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102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1954"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DA001排气筒出口</w:t>
                  </w:r>
                </w:p>
              </w:tc>
              <w:tc>
                <w:tcPr>
                  <w:tcW w:w="1518"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厂界上风向及下风向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gridSpan w:val="2"/>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02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99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非甲烷总烃</w:t>
                  </w:r>
                </w:p>
              </w:tc>
              <w:tc>
                <w:tcPr>
                  <w:tcW w:w="954"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臭气浓度</w:t>
                  </w:r>
                </w:p>
              </w:tc>
              <w:tc>
                <w:tcPr>
                  <w:tcW w:w="75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非甲烷总烃</w:t>
                  </w:r>
                </w:p>
              </w:tc>
              <w:tc>
                <w:tcPr>
                  <w:tcW w:w="75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gridSpan w:val="2"/>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02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99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/半</w:t>
                  </w:r>
                  <w:r>
                    <w:rPr>
                      <w:rFonts w:hint="default" w:ascii="Times New Roman" w:hAnsi="Times New Roman" w:eastAsia="宋体" w:cs="Times New Roman"/>
                      <w:color w:val="auto"/>
                      <w:szCs w:val="21"/>
                      <w:highlight w:val="none"/>
                      <w:lang w:bidi="ar"/>
                    </w:rPr>
                    <w:t>年</w:t>
                  </w:r>
                </w:p>
              </w:tc>
              <w:tc>
                <w:tcPr>
                  <w:tcW w:w="954"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/1</w:t>
                  </w:r>
                  <w:r>
                    <w:rPr>
                      <w:rFonts w:hint="default" w:ascii="Times New Roman" w:hAnsi="Times New Roman" w:eastAsia="宋体" w:cs="Times New Roman"/>
                      <w:color w:val="auto"/>
                      <w:szCs w:val="21"/>
                      <w:highlight w:val="none"/>
                      <w:lang w:bidi="ar"/>
                    </w:rPr>
                    <w:t>年</w:t>
                  </w:r>
                </w:p>
              </w:tc>
              <w:tc>
                <w:tcPr>
                  <w:tcW w:w="75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Cs w:val="21"/>
                      <w:highlight w:val="none"/>
                      <w:lang w:val="en-US" w:eastAsia="zh-CN"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/1</w:t>
                  </w:r>
                  <w:r>
                    <w:rPr>
                      <w:rFonts w:hint="default" w:ascii="Times New Roman" w:hAnsi="Times New Roman" w:eastAsia="宋体" w:cs="Times New Roman"/>
                      <w:color w:val="auto"/>
                      <w:szCs w:val="21"/>
                      <w:highlight w:val="none"/>
                      <w:lang w:bidi="ar"/>
                    </w:rPr>
                    <w:t>年</w:t>
                  </w:r>
                </w:p>
              </w:tc>
              <w:tc>
                <w:tcPr>
                  <w:tcW w:w="75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Cs w:val="21"/>
                      <w:highlight w:val="none"/>
                      <w:lang w:val="en-US" w:eastAsia="zh-CN"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/1</w:t>
                  </w:r>
                  <w:r>
                    <w:rPr>
                      <w:rFonts w:hint="default" w:ascii="Times New Roman" w:hAnsi="Times New Roman" w:eastAsia="宋体" w:cs="Times New Roman"/>
                      <w:color w:val="auto"/>
                      <w:szCs w:val="21"/>
                      <w:highlight w:val="none"/>
                      <w:lang w:bidi="ar"/>
                    </w:rPr>
                    <w:t>年</w:t>
                  </w:r>
                </w:p>
              </w:tc>
            </w:tr>
          </w:tbl>
          <w:p>
            <w:pPr>
              <w:pStyle w:val="17"/>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u w:val="none"/>
                <w:lang w:val="en-US" w:eastAsia="zh-CN"/>
              </w:rPr>
              <w:t>项目</w:t>
            </w:r>
            <w:r>
              <w:rPr>
                <w:rFonts w:hint="default" w:ascii="Times New Roman" w:hAnsi="Times New Roman" w:eastAsia="宋体" w:cs="Times New Roman"/>
                <w:color w:val="auto"/>
                <w:sz w:val="24"/>
                <w:highlight w:val="none"/>
                <w:u w:val="none"/>
              </w:rPr>
              <w:t>废气主要为</w:t>
            </w:r>
            <w:r>
              <w:rPr>
                <w:rFonts w:hint="default" w:ascii="Times New Roman" w:hAnsi="Times New Roman" w:eastAsia="宋体" w:cs="Times New Roman"/>
                <w:color w:val="auto"/>
                <w:sz w:val="24"/>
                <w:highlight w:val="none"/>
                <w:u w:val="none"/>
                <w:lang w:val="en-US" w:eastAsia="zh-CN"/>
              </w:rPr>
              <w:t>吹膜废气</w:t>
            </w:r>
            <w:r>
              <w:rPr>
                <w:rFonts w:hint="default" w:ascii="Times New Roman" w:hAnsi="Times New Roman" w:eastAsia="宋体" w:cs="Times New Roman"/>
                <w:color w:val="auto"/>
                <w:sz w:val="24"/>
                <w:highlight w:val="none"/>
                <w:u w:val="none"/>
              </w:rPr>
              <w:t>、食堂油烟</w:t>
            </w:r>
            <w:r>
              <w:rPr>
                <w:rFonts w:hint="default" w:ascii="Times New Roman" w:hAnsi="Times New Roman" w:eastAsia="宋体" w:cs="Times New Roman"/>
                <w:color w:val="auto"/>
                <w:sz w:val="24"/>
                <w:highlight w:val="none"/>
                <w:u w:val="none"/>
                <w:lang w:val="en-US" w:eastAsia="zh-CN"/>
              </w:rPr>
              <w:t>及异味等</w:t>
            </w:r>
            <w:r>
              <w:rPr>
                <w:rFonts w:hint="default" w:ascii="Times New Roman" w:hAnsi="Times New Roman" w:eastAsia="宋体" w:cs="Times New Roman"/>
                <w:color w:val="auto"/>
                <w:sz w:val="24"/>
                <w:highlight w:val="none"/>
                <w:u w:val="none"/>
              </w:rPr>
              <w:t>。</w:t>
            </w:r>
          </w:p>
          <w:p>
            <w:pPr>
              <w:pStyle w:val="17"/>
              <w:keepNext w:val="0"/>
              <w:keepLines w:val="0"/>
              <w:pageBreakBefore w:val="0"/>
              <w:widowControl w:val="0"/>
              <w:kinsoku/>
              <w:wordWrap/>
              <w:overflowPunct/>
              <w:topLinePunct w:val="0"/>
              <w:autoSpaceDE/>
              <w:autoSpaceDN/>
              <w:bidi w:val="0"/>
              <w:adjustRightInd w:val="0"/>
              <w:snapToGrid w:val="0"/>
              <w:spacing w:line="356"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①投料、上料搅拌</w:t>
            </w:r>
          </w:p>
          <w:p>
            <w:pPr>
              <w:pStyle w:val="17"/>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根据业主提供资料，本项目使用的</w:t>
            </w:r>
            <w:r>
              <w:rPr>
                <w:rFonts w:hint="default" w:ascii="Times New Roman" w:hAnsi="Times New Roman" w:eastAsia="宋体" w:cs="Times New Roman"/>
                <w:color w:val="auto"/>
                <w:sz w:val="24"/>
                <w:szCs w:val="24"/>
                <w:highlight w:val="none"/>
                <w:lang w:val="en-US" w:eastAsia="zh-CN"/>
              </w:rPr>
              <w:t>原</w:t>
            </w:r>
            <w:r>
              <w:rPr>
                <w:rFonts w:hint="default" w:ascii="Times New Roman" w:hAnsi="Times New Roman" w:eastAsia="宋体" w:cs="Times New Roman"/>
                <w:color w:val="auto"/>
                <w:sz w:val="24"/>
                <w:szCs w:val="24"/>
                <w:highlight w:val="none"/>
                <w:lang w:eastAsia="zh-CN"/>
              </w:rPr>
              <w:t>辅料</w:t>
            </w:r>
            <w:r>
              <w:rPr>
                <w:rFonts w:hint="default" w:ascii="Times New Roman" w:hAnsi="Times New Roman" w:eastAsia="宋体" w:cs="Times New Roman"/>
                <w:color w:val="auto"/>
                <w:sz w:val="24"/>
                <w:szCs w:val="24"/>
                <w:highlight w:val="none"/>
                <w:lang w:val="en-US" w:eastAsia="zh-CN"/>
              </w:rPr>
              <w:t>均为颗粒状物料，因此</w:t>
            </w:r>
            <w:r>
              <w:rPr>
                <w:rFonts w:hint="default" w:ascii="Times New Roman" w:hAnsi="Times New Roman" w:eastAsia="宋体" w:cs="Times New Roman"/>
                <w:color w:val="auto"/>
                <w:sz w:val="24"/>
                <w:szCs w:val="24"/>
                <w:highlight w:val="none"/>
                <w:lang w:eastAsia="zh-CN"/>
              </w:rPr>
              <w:t>在投料、上料及</w:t>
            </w:r>
            <w:r>
              <w:rPr>
                <w:rFonts w:hint="default" w:ascii="Times New Roman" w:hAnsi="Times New Roman" w:eastAsia="宋体" w:cs="Times New Roman"/>
                <w:color w:val="auto"/>
                <w:sz w:val="24"/>
                <w:szCs w:val="24"/>
                <w:highlight w:val="none"/>
              </w:rPr>
              <w:t>混合拌料过程</w:t>
            </w:r>
            <w:r>
              <w:rPr>
                <w:rFonts w:hint="default" w:ascii="Times New Roman" w:hAnsi="Times New Roman" w:eastAsia="宋体" w:cs="Times New Roman"/>
                <w:color w:val="auto"/>
                <w:sz w:val="24"/>
                <w:szCs w:val="24"/>
                <w:highlight w:val="none"/>
                <w:lang w:val="en-US" w:eastAsia="zh-CN"/>
              </w:rPr>
              <w:t>均无</w:t>
            </w:r>
            <w:r>
              <w:rPr>
                <w:rFonts w:hint="default" w:ascii="Times New Roman" w:hAnsi="Times New Roman" w:eastAsia="宋体" w:cs="Times New Roman"/>
                <w:color w:val="auto"/>
                <w:sz w:val="24"/>
                <w:szCs w:val="24"/>
                <w:highlight w:val="none"/>
                <w:lang w:eastAsia="zh-CN"/>
              </w:rPr>
              <w:t>粉尘</w:t>
            </w:r>
            <w:r>
              <w:rPr>
                <w:rFonts w:hint="default" w:ascii="Times New Roman" w:hAnsi="Times New Roman" w:eastAsia="宋体" w:cs="Times New Roman"/>
                <w:color w:val="auto"/>
                <w:sz w:val="24"/>
                <w:szCs w:val="24"/>
                <w:highlight w:val="none"/>
                <w:lang w:val="en-US" w:eastAsia="zh-CN"/>
              </w:rPr>
              <w:t>产生。</w:t>
            </w:r>
          </w:p>
          <w:p>
            <w:pPr>
              <w:keepNext w:val="0"/>
              <w:keepLines w:val="0"/>
              <w:pageBreakBefore w:val="0"/>
              <w:widowControl/>
              <w:kinsoku/>
              <w:wordWrap/>
              <w:overflowPunct/>
              <w:topLinePunct w:val="0"/>
              <w:autoSpaceDE/>
              <w:autoSpaceDN/>
              <w:bidi w:val="0"/>
              <w:adjustRightInd/>
              <w:snapToGrid/>
              <w:spacing w:line="356" w:lineRule="auto"/>
              <w:ind w:left="0" w:leftChars="0" w:firstLine="482" w:firstLineChars="200"/>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②吹膜废气</w:t>
            </w:r>
          </w:p>
          <w:p>
            <w:pPr>
              <w:keepNext w:val="0"/>
              <w:keepLines w:val="0"/>
              <w:pageBreakBefore w:val="0"/>
              <w:kinsoku/>
              <w:wordWrap/>
              <w:overflowPunct/>
              <w:topLinePunct w:val="0"/>
              <w:autoSpaceDE/>
              <w:autoSpaceDN/>
              <w:bidi w:val="0"/>
              <w:adjustRightInd/>
              <w:snapToGrid/>
              <w:spacing w:line="356"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kern w:val="0"/>
                <w:sz w:val="24"/>
                <w:szCs w:val="24"/>
                <w:highlight w:val="none"/>
              </w:rPr>
              <w:t>加热方式为电加热，没有燃料废气产生</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原料进入</w:t>
            </w:r>
            <w:r>
              <w:rPr>
                <w:rFonts w:hint="default" w:ascii="Times New Roman" w:hAnsi="Times New Roman" w:eastAsia="宋体" w:cs="Times New Roman"/>
                <w:color w:val="auto"/>
                <w:sz w:val="24"/>
                <w:szCs w:val="24"/>
                <w:highlight w:val="none"/>
                <w:lang w:val="en-US" w:eastAsia="zh-CN"/>
              </w:rPr>
              <w:t>吹膜机</w:t>
            </w:r>
            <w:r>
              <w:rPr>
                <w:rFonts w:hint="default" w:ascii="Times New Roman" w:hAnsi="Times New Roman" w:eastAsia="宋体" w:cs="Times New Roman"/>
                <w:color w:val="auto"/>
                <w:sz w:val="24"/>
                <w:szCs w:val="24"/>
                <w:highlight w:val="none"/>
              </w:rPr>
              <w:t>内，经加热熔融（电加热）后</w:t>
            </w:r>
            <w:r>
              <w:rPr>
                <w:rFonts w:hint="default" w:ascii="Times New Roman" w:hAnsi="Times New Roman" w:eastAsia="宋体" w:cs="Times New Roman"/>
                <w:color w:val="auto"/>
                <w:sz w:val="24"/>
                <w:szCs w:val="24"/>
                <w:highlight w:val="none"/>
                <w:lang w:val="en-US" w:eastAsia="zh-CN"/>
              </w:rPr>
              <w:t>吹膜成型</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吹膜</w:t>
            </w:r>
            <w:r>
              <w:rPr>
                <w:rFonts w:hint="default" w:ascii="Times New Roman" w:hAnsi="Times New Roman" w:eastAsia="宋体" w:cs="Times New Roman"/>
                <w:color w:val="auto"/>
                <w:sz w:val="24"/>
                <w:szCs w:val="24"/>
                <w:highlight w:val="none"/>
              </w:rPr>
              <w:t>过程为单纯物理熔融变化过程，</w:t>
            </w:r>
            <w:r>
              <w:rPr>
                <w:rFonts w:hint="default" w:ascii="Times New Roman" w:hAnsi="Times New Roman" w:eastAsia="宋体" w:cs="Times New Roman"/>
                <w:color w:val="auto"/>
                <w:sz w:val="24"/>
                <w:szCs w:val="24"/>
                <w:highlight w:val="none"/>
                <w:lang w:eastAsia="zh-CN"/>
              </w:rPr>
              <w:t>生产过程中不使用增塑剂等其他助剂，</w:t>
            </w:r>
            <w:r>
              <w:rPr>
                <w:rFonts w:hint="default" w:ascii="Times New Roman" w:hAnsi="Times New Roman" w:eastAsia="宋体" w:cs="Times New Roman"/>
                <w:color w:val="auto"/>
                <w:kern w:val="0"/>
                <w:sz w:val="24"/>
                <w:szCs w:val="24"/>
                <w:highlight w:val="none"/>
              </w:rPr>
              <w:t>不进行原料改性</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sz w:val="24"/>
                <w:szCs w:val="24"/>
                <w:highlight w:val="none"/>
              </w:rPr>
              <w:t>在</w:t>
            </w:r>
            <w:r>
              <w:rPr>
                <w:rFonts w:hint="default" w:ascii="Times New Roman" w:hAnsi="Times New Roman" w:eastAsia="宋体" w:cs="Times New Roman"/>
                <w:color w:val="auto"/>
                <w:sz w:val="24"/>
                <w:szCs w:val="24"/>
                <w:highlight w:val="none"/>
                <w:lang w:val="en-US" w:eastAsia="zh-CN"/>
              </w:rPr>
              <w:t>吹塑</w:t>
            </w:r>
            <w:r>
              <w:rPr>
                <w:rFonts w:hint="default" w:ascii="Times New Roman" w:hAnsi="Times New Roman" w:eastAsia="宋体" w:cs="Times New Roman"/>
                <w:color w:val="auto"/>
                <w:sz w:val="24"/>
                <w:szCs w:val="24"/>
                <w:highlight w:val="none"/>
                <w:lang w:eastAsia="zh-CN"/>
              </w:rPr>
              <w:t>时</w:t>
            </w:r>
            <w:r>
              <w:rPr>
                <w:rFonts w:hint="default" w:ascii="Times New Roman" w:hAnsi="Times New Roman" w:eastAsia="宋体" w:cs="Times New Roman"/>
                <w:color w:val="auto"/>
                <w:sz w:val="24"/>
                <w:szCs w:val="24"/>
                <w:highlight w:val="none"/>
              </w:rPr>
              <w:t>采用螺杆式加热方式使聚乙烯</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PE</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eastAsia="zh-CN"/>
              </w:rPr>
              <w:t>熔化</w:t>
            </w:r>
            <w:r>
              <w:rPr>
                <w:rFonts w:hint="default" w:ascii="Times New Roman" w:hAnsi="Times New Roman" w:eastAsia="宋体" w:cs="Times New Roman"/>
                <w:color w:val="auto"/>
                <w:sz w:val="24"/>
                <w:szCs w:val="24"/>
                <w:highlight w:val="none"/>
                <w:lang w:eastAsia="zh-CN"/>
              </w:rPr>
              <w:t>。根据查阅相关资料，</w:t>
            </w:r>
            <w:r>
              <w:rPr>
                <w:rFonts w:hint="default" w:ascii="Times New Roman" w:hAnsi="Times New Roman" w:eastAsia="宋体" w:cs="Times New Roman"/>
                <w:color w:val="auto"/>
                <w:sz w:val="24"/>
                <w:szCs w:val="24"/>
                <w:highlight w:val="none"/>
              </w:rPr>
              <w:t>聚乙烯</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PE</w:t>
            </w:r>
            <w:r>
              <w:rPr>
                <w:rFonts w:hint="default" w:ascii="Times New Roman" w:hAnsi="Times New Roman" w:eastAsia="宋体" w:cs="Times New Roman"/>
                <w:color w:val="auto"/>
                <w:sz w:val="24"/>
                <w:szCs w:val="24"/>
                <w:highlight w:val="none"/>
                <w:lang w:eastAsia="zh-CN"/>
              </w:rPr>
              <w:t>）的熔融温度为</w:t>
            </w:r>
            <w:r>
              <w:rPr>
                <w:rFonts w:hint="default" w:ascii="Times New Roman" w:hAnsi="Times New Roman" w:eastAsia="宋体" w:cs="Times New Roman"/>
                <w:color w:val="auto"/>
                <w:sz w:val="24"/>
                <w:szCs w:val="24"/>
                <w:highlight w:val="none"/>
                <w:lang w:val="en-US" w:eastAsia="zh-CN"/>
              </w:rPr>
              <w:t>120℃-160℃，</w:t>
            </w:r>
            <w:r>
              <w:rPr>
                <w:rFonts w:hint="default" w:ascii="Times New Roman" w:hAnsi="Times New Roman" w:eastAsia="宋体" w:cs="Times New Roman"/>
                <w:color w:val="auto"/>
                <w:sz w:val="24"/>
                <w:szCs w:val="24"/>
                <w:highlight w:val="none"/>
                <w:lang w:eastAsia="zh-CN"/>
              </w:rPr>
              <w:t>热分解</w:t>
            </w:r>
            <w:r>
              <w:rPr>
                <w:rFonts w:hint="default" w:ascii="Times New Roman" w:hAnsi="Times New Roman" w:eastAsia="宋体" w:cs="Times New Roman"/>
                <w:color w:val="auto"/>
                <w:sz w:val="24"/>
                <w:szCs w:val="24"/>
                <w:highlight w:val="none"/>
              </w:rPr>
              <w:t>温度</w:t>
            </w:r>
            <w:r>
              <w:rPr>
                <w:rFonts w:hint="default" w:ascii="Times New Roman" w:hAnsi="Times New Roman" w:eastAsia="宋体" w:cs="Times New Roman"/>
                <w:color w:val="auto"/>
                <w:sz w:val="24"/>
                <w:szCs w:val="24"/>
                <w:highlight w:val="none"/>
                <w:lang w:eastAsia="zh-CN"/>
              </w:rPr>
              <w:t>为</w:t>
            </w:r>
            <w:r>
              <w:rPr>
                <w:rFonts w:hint="default" w:ascii="Times New Roman" w:hAnsi="Times New Roman" w:eastAsia="宋体" w:cs="Times New Roman"/>
                <w:color w:val="auto"/>
                <w:sz w:val="24"/>
                <w:szCs w:val="24"/>
                <w:highlight w:val="none"/>
                <w:lang w:val="en-US" w:eastAsia="zh-CN"/>
              </w:rPr>
              <w:t>＞300℃</w:t>
            </w:r>
            <w:r>
              <w:rPr>
                <w:rFonts w:hint="default" w:ascii="Times New Roman" w:hAnsi="Times New Roman" w:eastAsia="宋体"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rPr>
              <w:t>采用电加热，</w:t>
            </w:r>
            <w:r>
              <w:rPr>
                <w:rFonts w:hint="default" w:ascii="Times New Roman" w:hAnsi="Times New Roman" w:eastAsia="宋体" w:cs="Times New Roman"/>
                <w:color w:val="auto"/>
                <w:sz w:val="24"/>
                <w:szCs w:val="24"/>
                <w:highlight w:val="none"/>
                <w:lang w:val="en-US" w:eastAsia="zh-CN"/>
              </w:rPr>
              <w:t>吹塑</w:t>
            </w:r>
            <w:r>
              <w:rPr>
                <w:rFonts w:hint="default" w:ascii="Times New Roman" w:hAnsi="Times New Roman" w:eastAsia="宋体" w:cs="Times New Roman"/>
                <w:color w:val="auto"/>
                <w:sz w:val="24"/>
                <w:szCs w:val="24"/>
                <w:highlight w:val="none"/>
                <w:lang w:eastAsia="zh-CN"/>
              </w:rPr>
              <w:t>系统</w:t>
            </w:r>
            <w:r>
              <w:rPr>
                <w:rFonts w:hint="default" w:ascii="Times New Roman" w:hAnsi="Times New Roman" w:eastAsia="宋体" w:cs="Times New Roman"/>
                <w:color w:val="auto"/>
                <w:sz w:val="24"/>
                <w:szCs w:val="24"/>
                <w:highlight w:val="none"/>
              </w:rPr>
              <w:t>加热温度</w:t>
            </w:r>
            <w:r>
              <w:rPr>
                <w:rFonts w:hint="default" w:ascii="Times New Roman" w:hAnsi="Times New Roman" w:eastAsia="宋体" w:cs="Times New Roman"/>
                <w:color w:val="auto"/>
                <w:sz w:val="24"/>
                <w:szCs w:val="24"/>
                <w:highlight w:val="none"/>
                <w:lang w:eastAsia="zh-CN"/>
              </w:rPr>
              <w:t>控制在</w:t>
            </w:r>
            <w:r>
              <w:rPr>
                <w:rFonts w:hint="default" w:ascii="Times New Roman" w:hAnsi="Times New Roman" w:eastAsia="宋体" w:cs="Times New Roman"/>
                <w:color w:val="auto"/>
                <w:sz w:val="24"/>
                <w:szCs w:val="24"/>
                <w:highlight w:val="none"/>
                <w:lang w:val="en-US" w:eastAsia="zh-CN"/>
              </w:rPr>
              <w:t>150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左右，</w:t>
            </w:r>
            <w:r>
              <w:rPr>
                <w:rFonts w:hint="default" w:ascii="Times New Roman" w:hAnsi="Times New Roman" w:eastAsia="宋体" w:cs="Times New Roman"/>
                <w:color w:val="auto"/>
                <w:sz w:val="24"/>
                <w:szCs w:val="24"/>
                <w:highlight w:val="none"/>
                <w:lang w:eastAsia="zh-CN"/>
              </w:rPr>
              <w:t>将</w:t>
            </w:r>
            <w:r>
              <w:rPr>
                <w:rFonts w:hint="default" w:ascii="Times New Roman" w:hAnsi="Times New Roman" w:eastAsia="宋体" w:cs="Times New Roman"/>
                <w:color w:val="auto"/>
                <w:sz w:val="24"/>
                <w:szCs w:val="24"/>
                <w:highlight w:val="none"/>
              </w:rPr>
              <w:t>聚乙烯</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PE</w:t>
            </w:r>
            <w:r>
              <w:rPr>
                <w:rFonts w:hint="default" w:ascii="Times New Roman" w:hAnsi="Times New Roman" w:eastAsia="宋体" w:cs="Times New Roman"/>
                <w:color w:val="auto"/>
                <w:sz w:val="24"/>
                <w:szCs w:val="24"/>
                <w:highlight w:val="none"/>
                <w:lang w:eastAsia="zh-CN"/>
              </w:rPr>
              <w:t>）塑料颗粒</w:t>
            </w:r>
            <w:r>
              <w:rPr>
                <w:rFonts w:hint="default" w:ascii="Times New Roman" w:hAnsi="Times New Roman" w:eastAsia="宋体" w:cs="Times New Roman"/>
                <w:color w:val="auto"/>
                <w:sz w:val="24"/>
                <w:szCs w:val="24"/>
                <w:highlight w:val="none"/>
              </w:rPr>
              <w:t>转化为熔融态</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根据原料的物理性质，</w:t>
            </w:r>
            <w:r>
              <w:rPr>
                <w:rFonts w:hint="default" w:ascii="Times New Roman" w:hAnsi="Times New Roman" w:eastAsia="宋体" w:cs="Times New Roman"/>
                <w:color w:val="auto"/>
                <w:sz w:val="24"/>
                <w:szCs w:val="24"/>
                <w:highlight w:val="none"/>
                <w:lang w:eastAsia="zh-CN"/>
              </w:rPr>
              <w:t>项目加热过程中尚未</w:t>
            </w:r>
            <w:r>
              <w:rPr>
                <w:rFonts w:hint="default" w:ascii="Times New Roman" w:hAnsi="Times New Roman" w:eastAsia="宋体" w:cs="Times New Roman"/>
                <w:color w:val="auto"/>
                <w:sz w:val="24"/>
                <w:szCs w:val="24"/>
                <w:highlight w:val="none"/>
              </w:rPr>
              <w:t>达到物料的分解温度，</w:t>
            </w:r>
            <w:r>
              <w:rPr>
                <w:rFonts w:hint="default" w:ascii="Times New Roman" w:hAnsi="Times New Roman" w:eastAsia="宋体" w:cs="Times New Roman"/>
                <w:color w:val="auto"/>
                <w:sz w:val="24"/>
                <w:szCs w:val="24"/>
                <w:highlight w:val="none"/>
                <w:lang w:eastAsia="zh-CN"/>
              </w:rPr>
              <w:t>因此本项目</w:t>
            </w:r>
            <w:r>
              <w:rPr>
                <w:rFonts w:hint="default" w:ascii="Times New Roman" w:hAnsi="Times New Roman" w:eastAsia="宋体" w:cs="Times New Roman"/>
                <w:color w:val="auto"/>
                <w:sz w:val="24"/>
                <w:szCs w:val="24"/>
                <w:highlight w:val="none"/>
                <w:lang w:val="en-US" w:eastAsia="zh-CN"/>
              </w:rPr>
              <w:t>生产过程</w:t>
            </w:r>
            <w:r>
              <w:rPr>
                <w:rFonts w:hint="default" w:ascii="Times New Roman" w:hAnsi="Times New Roman" w:eastAsia="宋体" w:cs="Times New Roman"/>
                <w:color w:val="auto"/>
                <w:sz w:val="24"/>
                <w:szCs w:val="24"/>
                <w:highlight w:val="none"/>
              </w:rPr>
              <w:t>物料</w:t>
            </w:r>
            <w:r>
              <w:rPr>
                <w:rFonts w:hint="default" w:ascii="Times New Roman" w:hAnsi="Times New Roman" w:eastAsia="宋体" w:cs="Times New Roman"/>
                <w:color w:val="auto"/>
                <w:sz w:val="24"/>
                <w:szCs w:val="24"/>
                <w:highlight w:val="none"/>
                <w:lang w:val="en-US" w:eastAsia="zh-CN"/>
              </w:rPr>
              <w:t>在加热熔融</w:t>
            </w:r>
            <w:r>
              <w:rPr>
                <w:rFonts w:hint="default" w:ascii="Times New Roman" w:hAnsi="Times New Roman" w:eastAsia="宋体" w:cs="Times New Roman"/>
                <w:color w:val="auto"/>
                <w:sz w:val="24"/>
                <w:szCs w:val="24"/>
                <w:highlight w:val="none"/>
              </w:rPr>
              <w:t>时</w:t>
            </w:r>
            <w:r>
              <w:rPr>
                <w:rFonts w:hint="default" w:ascii="Times New Roman" w:hAnsi="Times New Roman" w:eastAsia="宋体" w:cs="Times New Roman"/>
                <w:color w:val="auto"/>
                <w:sz w:val="24"/>
                <w:szCs w:val="24"/>
                <w:highlight w:val="none"/>
                <w:lang w:val="en-US" w:eastAsia="zh-CN"/>
              </w:rPr>
              <w:t>仅</w:t>
            </w:r>
            <w:r>
              <w:rPr>
                <w:rFonts w:hint="default" w:ascii="Times New Roman" w:hAnsi="Times New Roman" w:eastAsia="宋体" w:cs="Times New Roman"/>
                <w:color w:val="auto"/>
                <w:sz w:val="24"/>
                <w:szCs w:val="24"/>
                <w:highlight w:val="none"/>
                <w:lang w:eastAsia="zh-CN"/>
              </w:rPr>
              <w:t>产生</w:t>
            </w:r>
            <w:r>
              <w:rPr>
                <w:rFonts w:hint="default" w:ascii="Times New Roman" w:hAnsi="Times New Roman" w:eastAsia="宋体" w:cs="Times New Roman"/>
                <w:color w:val="auto"/>
                <w:kern w:val="2"/>
                <w:sz w:val="24"/>
                <w:szCs w:val="24"/>
                <w:highlight w:val="none"/>
                <w:lang w:val="en-US" w:eastAsia="zh-CN" w:bidi="ar-SA"/>
              </w:rPr>
              <w:t>挥发性有机物（以非甲烷总烃计）及臭气浓度。</w:t>
            </w:r>
          </w:p>
          <w:p>
            <w:pPr>
              <w:keepNext w:val="0"/>
              <w:keepLines w:val="0"/>
              <w:pageBreakBefore w:val="0"/>
              <w:kinsoku/>
              <w:wordWrap/>
              <w:overflowPunct/>
              <w:topLinePunct w:val="0"/>
              <w:autoSpaceDE/>
              <w:autoSpaceDN/>
              <w:bidi w:val="0"/>
              <w:adjustRightInd/>
              <w:snapToGrid/>
              <w:spacing w:line="356" w:lineRule="auto"/>
              <w:ind w:firstLine="480" w:firstLineChars="200"/>
              <w:jc w:val="left"/>
              <w:textAlignment w:val="auto"/>
              <w:rPr>
                <w:rFonts w:hint="default" w:ascii="Times New Roman" w:hAnsi="Times New Roman" w:eastAsia="宋体" w:cs="Times New Roman"/>
                <w:color w:val="auto"/>
                <w:sz w:val="24"/>
                <w:szCs w:val="24"/>
                <w:highlight w:val="none"/>
                <w:lang w:val="zh-CN" w:bidi="en-US"/>
              </w:rPr>
            </w:pPr>
            <w:r>
              <w:rPr>
                <w:rFonts w:hint="default" w:ascii="Times New Roman" w:hAnsi="Times New Roman" w:eastAsia="宋体" w:cs="Times New Roman"/>
                <w:color w:val="auto"/>
                <w:sz w:val="24"/>
                <w:szCs w:val="24"/>
                <w:highlight w:val="none"/>
                <w:lang w:val="en-US" w:eastAsia="zh-CN"/>
              </w:rPr>
              <w:t>生产过程</w:t>
            </w:r>
            <w:r>
              <w:rPr>
                <w:rFonts w:hint="default" w:ascii="Times New Roman" w:hAnsi="Times New Roman" w:eastAsia="宋体" w:cs="Times New Roman"/>
                <w:color w:val="auto"/>
                <w:kern w:val="2"/>
                <w:sz w:val="24"/>
                <w:szCs w:val="24"/>
                <w:highlight w:val="none"/>
                <w:lang w:val="en-US" w:eastAsia="zh-CN" w:bidi="ar-SA"/>
              </w:rPr>
              <w:t>挥发性有机物（以非甲烷总烃计）产生量</w:t>
            </w:r>
            <w:r>
              <w:rPr>
                <w:rFonts w:hint="default" w:ascii="Times New Roman" w:hAnsi="Times New Roman" w:eastAsia="宋体" w:cs="Times New Roman"/>
                <w:color w:val="auto"/>
                <w:sz w:val="24"/>
                <w:szCs w:val="24"/>
                <w:highlight w:val="none"/>
              </w:rPr>
              <w:t>参照</w:t>
            </w:r>
            <w:r>
              <w:rPr>
                <w:rFonts w:hint="default" w:ascii="Times New Roman" w:hAnsi="Times New Roman" w:eastAsia="宋体" w:cs="Times New Roman"/>
                <w:color w:val="auto"/>
                <w:sz w:val="24"/>
                <w:szCs w:val="24"/>
                <w:highlight w:val="none"/>
                <w:lang w:val="en-US" w:eastAsia="zh-CN"/>
              </w:rPr>
              <w:t>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292塑料制品行业系数手册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2921塑料薄膜制造行业系数表中</w:t>
            </w:r>
            <w:r>
              <w:rPr>
                <w:rFonts w:hint="default" w:ascii="Times New Roman" w:hAnsi="Times New Roman" w:eastAsia="宋体" w:cs="Times New Roman"/>
                <w:color w:val="auto"/>
                <w:sz w:val="24"/>
                <w:szCs w:val="24"/>
                <w:highlight w:val="none"/>
              </w:rPr>
              <w:t>的产排污系数进行计算</w:t>
            </w:r>
            <w:r>
              <w:rPr>
                <w:rFonts w:hint="default" w:ascii="Times New Roman" w:hAnsi="Times New Roman" w:eastAsia="宋体" w:cs="Times New Roman"/>
                <w:bCs/>
                <w:color w:val="auto"/>
                <w:spacing w:val="6"/>
                <w:sz w:val="24"/>
                <w:highlight w:val="none"/>
              </w:rPr>
              <w:t>，</w:t>
            </w:r>
            <w:r>
              <w:rPr>
                <w:rFonts w:hint="default" w:ascii="Times New Roman" w:hAnsi="Times New Roman" w:eastAsia="宋体" w:cs="Times New Roman"/>
                <w:bCs/>
                <w:color w:val="auto"/>
                <w:spacing w:val="6"/>
                <w:sz w:val="24"/>
                <w:highlight w:val="none"/>
                <w:lang w:val="en-US" w:eastAsia="zh-CN"/>
              </w:rPr>
              <w:t>本项目原料为树脂、助剂，工艺为配料-混合-挤出，则挥发性有机物（以非甲烷总烃计）产生量为2.5千克/吨-产品，本项目产品产量为5000t/a，</w:t>
            </w:r>
            <w:r>
              <w:rPr>
                <w:rFonts w:hint="default" w:ascii="Times New Roman" w:hAnsi="Times New Roman" w:eastAsia="宋体" w:cs="Times New Roman"/>
                <w:color w:val="auto"/>
                <w:sz w:val="24"/>
                <w:szCs w:val="24"/>
                <w:highlight w:val="none"/>
                <w:lang w:val="zh-CN"/>
              </w:rPr>
              <w:t>则</w:t>
            </w:r>
            <w:r>
              <w:rPr>
                <w:rFonts w:hint="default" w:ascii="Times New Roman" w:hAnsi="Times New Roman" w:eastAsia="宋体" w:cs="Times New Roman"/>
                <w:color w:val="auto"/>
                <w:sz w:val="24"/>
                <w:szCs w:val="24"/>
                <w:highlight w:val="none"/>
                <w:lang w:val="zh-CN" w:bidi="en-US"/>
              </w:rPr>
              <w:t>生产</w:t>
            </w:r>
            <w:r>
              <w:rPr>
                <w:rFonts w:hint="default" w:ascii="Times New Roman" w:hAnsi="Times New Roman" w:eastAsia="宋体" w:cs="Times New Roman"/>
                <w:color w:val="auto"/>
                <w:sz w:val="24"/>
                <w:szCs w:val="24"/>
                <w:highlight w:val="none"/>
                <w:lang w:val="en-US" w:eastAsia="zh-CN" w:bidi="en-US"/>
              </w:rPr>
              <w:t>吹膜</w:t>
            </w:r>
            <w:r>
              <w:rPr>
                <w:rFonts w:hint="default" w:ascii="Times New Roman" w:hAnsi="Times New Roman" w:eastAsia="宋体" w:cs="Times New Roman"/>
                <w:color w:val="auto"/>
                <w:sz w:val="24"/>
                <w:szCs w:val="24"/>
                <w:highlight w:val="none"/>
                <w:lang w:val="zh-CN" w:bidi="en-US"/>
              </w:rPr>
              <w:t>过程非甲烷总烃产生量为</w:t>
            </w:r>
            <w:r>
              <w:rPr>
                <w:rFonts w:hint="default" w:ascii="Times New Roman" w:hAnsi="Times New Roman" w:eastAsia="宋体" w:cs="Times New Roman"/>
                <w:color w:val="auto"/>
                <w:sz w:val="24"/>
                <w:szCs w:val="24"/>
                <w:highlight w:val="none"/>
                <w:lang w:val="en-US" w:eastAsia="zh-CN" w:bidi="en-US"/>
              </w:rPr>
              <w:t>12.5</w:t>
            </w:r>
            <w:r>
              <w:rPr>
                <w:rFonts w:hint="default" w:ascii="Times New Roman" w:hAnsi="Times New Roman" w:eastAsia="宋体" w:cs="Times New Roman"/>
                <w:color w:val="auto"/>
                <w:sz w:val="24"/>
                <w:szCs w:val="24"/>
                <w:highlight w:val="none"/>
                <w:lang w:val="zh-CN" w:bidi="en-US"/>
              </w:rPr>
              <w:t>t/a。</w:t>
            </w:r>
          </w:p>
          <w:p>
            <w:pPr>
              <w:keepNext w:val="0"/>
              <w:keepLines w:val="0"/>
              <w:pageBreakBefore w:val="0"/>
              <w:kinsoku/>
              <w:wordWrap/>
              <w:overflowPunct/>
              <w:topLinePunct w:val="0"/>
              <w:bidi w:val="0"/>
              <w:spacing w:line="356" w:lineRule="auto"/>
              <w:ind w:firstLine="0" w:firstLineChars="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本环评提出在吹膜机出口上方分别设置集气罩将吹膜废气统一收集进入1套</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UV光氧催化+三级活性炭吸附</w:t>
            </w:r>
            <w:r>
              <w:rPr>
                <w:rFonts w:hint="default" w:ascii="Times New Roman" w:hAnsi="Times New Roman" w:eastAsia="宋体" w:cs="Times New Roman"/>
                <w:color w:val="auto"/>
                <w:sz w:val="24"/>
                <w:szCs w:val="24"/>
                <w:highlight w:val="none"/>
              </w:rPr>
              <w:t>装置”</w:t>
            </w:r>
            <w:r>
              <w:rPr>
                <w:rFonts w:hint="default" w:ascii="Times New Roman" w:hAnsi="Times New Roman" w:eastAsia="宋体" w:cs="Times New Roman"/>
                <w:color w:val="auto"/>
                <w:sz w:val="24"/>
                <w:szCs w:val="24"/>
                <w:highlight w:val="none"/>
                <w:lang w:val="en-US" w:eastAsia="zh-CN"/>
              </w:rPr>
              <w:t>处理达标后由</w:t>
            </w:r>
            <w:r>
              <w:rPr>
                <w:rFonts w:hint="default" w:ascii="Times New Roman" w:hAnsi="Times New Roman" w:eastAsia="宋体" w:cs="Times New Roman"/>
                <w:color w:val="auto"/>
                <w:sz w:val="24"/>
                <w:szCs w:val="24"/>
                <w:highlight w:val="none"/>
              </w:rPr>
              <w:t>1根15m高排气筒（</w:t>
            </w:r>
            <w:r>
              <w:rPr>
                <w:rFonts w:hint="default" w:ascii="Times New Roman" w:hAnsi="Times New Roman" w:eastAsia="宋体" w:cs="Times New Roman"/>
                <w:color w:val="auto"/>
                <w:sz w:val="24"/>
                <w:szCs w:val="24"/>
                <w:highlight w:val="none"/>
                <w:lang w:val="en-US" w:eastAsia="zh-CN"/>
              </w:rPr>
              <w:t>DA001</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w:t>
            </w:r>
            <w:r>
              <w:rPr>
                <w:rFonts w:hint="default" w:ascii="Times New Roman" w:hAnsi="Times New Roman" w:eastAsia="宋体" w:cs="Times New Roman"/>
                <w:color w:val="auto"/>
                <w:sz w:val="24"/>
                <w:szCs w:val="24"/>
                <w:highlight w:val="none"/>
                <w:lang w:eastAsia="zh-CN"/>
              </w:rPr>
              <w:t>。</w:t>
            </w:r>
          </w:p>
          <w:p>
            <w:pPr>
              <w:pStyle w:val="77"/>
              <w:keepNext w:val="0"/>
              <w:keepLines w:val="0"/>
              <w:pageBreakBefore w:val="0"/>
              <w:kinsoku/>
              <w:wordWrap/>
              <w:overflowPunct/>
              <w:topLinePunct w:val="0"/>
              <w:autoSpaceDE w:val="0"/>
              <w:autoSpaceDN w:val="0"/>
              <w:bidi w:val="0"/>
              <w:adjustRightInd/>
              <w:spacing w:before="0" w:after="0" w:line="356"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③生产臭气浓度</w:t>
            </w:r>
          </w:p>
          <w:p>
            <w:pPr>
              <w:keepNext w:val="0"/>
              <w:keepLines w:val="0"/>
              <w:pageBreakBefore w:val="0"/>
              <w:widowControl/>
              <w:kinsoku/>
              <w:wordWrap/>
              <w:overflowPunct/>
              <w:topLinePunct w:val="0"/>
              <w:autoSpaceDE/>
              <w:autoSpaceDN/>
              <w:bidi w:val="0"/>
              <w:adjustRightInd/>
              <w:snapToGrid/>
              <w:spacing w:beforeLines="0" w:afterLines="0" w:line="356" w:lineRule="auto"/>
              <w:ind w:left="0" w:leftChars="0" w:firstLine="480" w:firstLineChars="200"/>
              <w:jc w:val="left"/>
              <w:textAlignment w:val="auto"/>
              <w:outlineLvl w:val="9"/>
              <w:rPr>
                <w:rFonts w:hint="default" w:ascii="Times New Roman" w:hAnsi="Times New Roman" w:eastAsia="宋体" w:cs="Times New Roman"/>
                <w:color w:val="auto"/>
                <w:sz w:val="24"/>
                <w:highlight w:val="yellow"/>
                <w:lang w:val="en-US" w:eastAsia="zh-CN"/>
              </w:rPr>
            </w:pPr>
            <w:r>
              <w:rPr>
                <w:rFonts w:hint="default" w:ascii="Times New Roman" w:hAnsi="Times New Roman" w:eastAsia="宋体" w:cs="Times New Roman"/>
                <w:color w:val="auto"/>
                <w:sz w:val="24"/>
                <w:szCs w:val="24"/>
                <w:highlight w:val="none"/>
                <w:lang w:val="zh-CN"/>
              </w:rPr>
              <w:t>本项目</w:t>
            </w:r>
            <w:r>
              <w:rPr>
                <w:rFonts w:hint="default" w:ascii="Times New Roman" w:hAnsi="Times New Roman" w:eastAsia="宋体" w:cs="Times New Roman"/>
                <w:color w:val="auto"/>
                <w:sz w:val="24"/>
                <w:szCs w:val="24"/>
                <w:highlight w:val="none"/>
                <w:lang w:val="en-US" w:eastAsia="zh-CN"/>
              </w:rPr>
              <w:t>生产过程</w:t>
            </w:r>
            <w:r>
              <w:rPr>
                <w:rFonts w:hint="default" w:ascii="Times New Roman" w:hAnsi="Times New Roman" w:eastAsia="宋体" w:cs="Times New Roman"/>
                <w:color w:val="auto"/>
                <w:sz w:val="24"/>
                <w:szCs w:val="24"/>
                <w:highlight w:val="none"/>
                <w:lang w:val="zh-CN"/>
              </w:rPr>
              <w:t>中除产生</w:t>
            </w:r>
            <w:r>
              <w:rPr>
                <w:rFonts w:hint="default" w:ascii="Times New Roman" w:hAnsi="Times New Roman" w:eastAsia="宋体" w:cs="Times New Roman"/>
                <w:color w:val="auto"/>
                <w:kern w:val="2"/>
                <w:sz w:val="24"/>
                <w:szCs w:val="24"/>
                <w:highlight w:val="none"/>
                <w:lang w:val="en-US" w:eastAsia="zh-CN" w:bidi="ar-SA"/>
              </w:rPr>
              <w:t>挥发性有机物</w:t>
            </w:r>
            <w:r>
              <w:rPr>
                <w:rFonts w:hint="default" w:ascii="Times New Roman" w:hAnsi="Times New Roman" w:eastAsia="宋体" w:cs="Times New Roman"/>
                <w:color w:val="auto"/>
                <w:sz w:val="24"/>
                <w:szCs w:val="24"/>
                <w:highlight w:val="none"/>
                <w:lang w:val="zh-CN"/>
              </w:rPr>
              <w:t>废气外，同时还会伴有轻微异味产生，以臭气浓度表征，</w:t>
            </w:r>
            <w:r>
              <w:rPr>
                <w:rFonts w:hint="default" w:ascii="Times New Roman" w:hAnsi="Times New Roman" w:eastAsia="宋体" w:cs="Times New Roman"/>
                <w:color w:val="auto"/>
                <w:sz w:val="24"/>
                <w:szCs w:val="24"/>
                <w:highlight w:val="none"/>
                <w:lang w:val="en-US" w:eastAsia="zh-CN"/>
              </w:rPr>
              <w:t>产生量较小</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highlight w:val="none"/>
                <w:lang w:val="en-US" w:eastAsia="zh-CN"/>
              </w:rPr>
              <w:t>生产车间臭气浓度大部分随有机废气一同收集为有组织排放，少量未收集部分为无组织排放。</w:t>
            </w:r>
            <w:r>
              <w:rPr>
                <w:rFonts w:hint="default" w:ascii="Times New Roman" w:hAnsi="Times New Roman" w:eastAsia="宋体" w:cs="Times New Roman"/>
                <w:color w:val="auto"/>
                <w:kern w:val="0"/>
                <w:sz w:val="24"/>
                <w:szCs w:val="24"/>
                <w:highlight w:val="none"/>
                <w:lang w:val="en-US" w:eastAsia="zh-CN" w:bidi="ar-SA"/>
              </w:rPr>
              <w:t>臭气浓度排放浓度参考《云南长源教学设备有限公司年产6万张单人课桌椅面板建设项目竣工环境保</w:t>
            </w:r>
            <w:r>
              <w:rPr>
                <w:rFonts w:hint="default" w:ascii="Times New Roman" w:hAnsi="Times New Roman" w:eastAsia="宋体" w:cs="Times New Roman"/>
                <w:color w:val="auto"/>
                <w:kern w:val="0"/>
                <w:sz w:val="24"/>
                <w:szCs w:val="24"/>
                <w:lang w:val="en-US" w:eastAsia="zh-CN" w:bidi="ar-SA"/>
              </w:rPr>
              <w:t>护验收报告》进行类比计算，云南长源教学设备有限公司年产6万张单人课桌椅面板建设项目使用的原料为</w:t>
            </w:r>
            <w:r>
              <w:rPr>
                <w:rFonts w:hint="default" w:ascii="Times New Roman" w:hAnsi="Times New Roman" w:eastAsia="宋体" w:cs="Times New Roman"/>
                <w:color w:val="auto"/>
                <w:kern w:val="0"/>
                <w:sz w:val="24"/>
                <w:szCs w:val="24"/>
                <w:highlight w:val="none"/>
                <w:lang w:val="en-US" w:eastAsia="zh-CN" w:bidi="ar-SA"/>
              </w:rPr>
              <w:t>聚丙烯树</w:t>
            </w:r>
            <w:r>
              <w:rPr>
                <w:rFonts w:hint="default" w:ascii="Times New Roman" w:hAnsi="Times New Roman" w:eastAsia="宋体" w:cs="Times New Roman"/>
                <w:color w:val="auto"/>
                <w:kern w:val="0"/>
                <w:sz w:val="24"/>
                <w:szCs w:val="24"/>
                <w:lang w:val="en-US" w:eastAsia="zh-CN" w:bidi="ar-SA"/>
              </w:rPr>
              <w:t>脂颗粒及色母粒，生产工艺为裁剪-冲孔-熟化-注塑-修边-人工打包-成品，产品为课桌背板、座椅背板、座椅坐板，该项目所使用的主要原料（聚丙烯）、生产工艺（注塑）及污染治理措施（UV光氧设施及活性炭吸附）均与本项目类似，具有可类比性。根据该项目验收报告，验收项目非甲烷总烃有组织排放浓度为14.11mg/m</w:t>
            </w:r>
            <w:r>
              <w:rPr>
                <w:rFonts w:hint="default" w:ascii="Times New Roman" w:hAnsi="Times New Roman" w:eastAsia="宋体" w:cs="Times New Roman"/>
                <w:color w:val="auto"/>
                <w:kern w:val="0"/>
                <w:sz w:val="24"/>
                <w:szCs w:val="24"/>
                <w:vertAlign w:val="superscript"/>
                <w:lang w:val="en-US" w:eastAsia="zh-CN" w:bidi="ar-SA"/>
              </w:rPr>
              <w:t>3</w:t>
            </w:r>
            <w:r>
              <w:rPr>
                <w:rFonts w:hint="default" w:ascii="Times New Roman" w:hAnsi="Times New Roman" w:eastAsia="宋体" w:cs="Times New Roman"/>
                <w:color w:val="auto"/>
                <w:kern w:val="0"/>
                <w:sz w:val="24"/>
                <w:szCs w:val="24"/>
                <w:lang w:val="en-US" w:eastAsia="zh-CN" w:bidi="ar-SA"/>
              </w:rPr>
              <w:t>，臭气浓度排放浓度为550（无量纲）；本项目非甲烷总烃有组织排放浓度为6.06mg/m</w:t>
            </w:r>
            <w:r>
              <w:rPr>
                <w:rFonts w:hint="default" w:ascii="Times New Roman" w:hAnsi="Times New Roman" w:eastAsia="宋体" w:cs="Times New Roman"/>
                <w:color w:val="auto"/>
                <w:kern w:val="0"/>
                <w:sz w:val="24"/>
                <w:szCs w:val="24"/>
                <w:vertAlign w:val="superscript"/>
                <w:lang w:val="en-US" w:eastAsia="zh-CN" w:bidi="ar-SA"/>
              </w:rPr>
              <w:t>3</w:t>
            </w:r>
            <w:r>
              <w:rPr>
                <w:rFonts w:hint="default" w:ascii="Times New Roman" w:hAnsi="Times New Roman" w:eastAsia="宋体" w:cs="Times New Roman"/>
                <w:color w:val="auto"/>
                <w:kern w:val="0"/>
                <w:sz w:val="24"/>
                <w:szCs w:val="24"/>
                <w:lang w:val="en-US" w:eastAsia="zh-CN" w:bidi="ar-SA"/>
              </w:rPr>
              <w:t>，则类比折算出本项目有组织臭气浓度排放浓度为236.5（无量纲）（折算系数0.43），满足《恶臭污染物排放标准》（GB14554-93）表2中二级恶臭污染物排放标准要求（2000（无量纲）），对外环境的影响较小。</w:t>
            </w:r>
          </w:p>
          <w:p>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highlight w:val="none"/>
                <w:lang w:val="en-US" w:eastAsia="zh-CN"/>
              </w:rPr>
              <w:t xml:space="preserve">《挥发性有机物无组织排放控制标准》（GB37822-2019）中10.2废气收集系统要求—10.2.2 </w:t>
            </w:r>
            <w:r>
              <w:rPr>
                <w:rFonts w:hint="default" w:ascii="Times New Roman" w:hAnsi="Times New Roman" w:eastAsia="宋体" w:cs="Times New Roman"/>
                <w:color w:val="auto"/>
                <w:kern w:val="2"/>
                <w:sz w:val="24"/>
                <w:szCs w:val="24"/>
                <w:highlight w:val="none"/>
                <w:lang w:val="en-US" w:eastAsia="zh-CN" w:bidi="ar"/>
              </w:rPr>
              <w:t>废气收集系统排风罩（集气罩）的设置应符合GB/T 16758 的规定。采用外部排风罩的，应按 GB/T 16758、AQ/T 4274—2016 规定的方法测量控制风速，测量点应选取在距排风罩开口面最远处的 VOCs 无组织排放位置，控制风速不应低于0.3 m/s。因此，</w:t>
            </w:r>
            <w:r>
              <w:rPr>
                <w:rFonts w:hint="default" w:ascii="Times New Roman" w:hAnsi="Times New Roman" w:eastAsia="宋体" w:cs="Times New Roman"/>
                <w:color w:val="auto"/>
                <w:sz w:val="24"/>
                <w:szCs w:val="24"/>
                <w:highlight w:val="none"/>
                <w:lang w:val="en-US" w:eastAsia="zh-CN"/>
              </w:rPr>
              <w:t>本项目集气罩类型根据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排风罩的分类及技术条件</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GB/T 16758-2008</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中进行确定，由于本项目生产工艺无法做到密闭，因此本项目设置为上吸式集气罩；集气罩收集控制风速限值根据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局部排风设施控制风速检测与评估技术规范</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AQ/T 4274-2016</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表1中局部排风设施控制风速限值标准进行确定，本项目设置的外部排风罩为上吸式集气罩，收集废气为有机废气（非甲烷总烃）及臭气浓度，为有毒气体，因此对应的气体控制风速应为1.0m/s，</w:t>
            </w:r>
            <w:r>
              <w:rPr>
                <w:rFonts w:hint="default" w:ascii="Times New Roman" w:hAnsi="Times New Roman" w:eastAsia="宋体" w:cs="Times New Roman"/>
                <w:color w:val="auto"/>
                <w:kern w:val="2"/>
                <w:sz w:val="24"/>
                <w:szCs w:val="24"/>
                <w:highlight w:val="none"/>
                <w:lang w:val="en-US" w:eastAsia="zh-CN" w:bidi="ar"/>
              </w:rPr>
              <w:t>排风罩开口面最远处的 VOCs 无组织排放位置控制风速不应低于0.3m/s。满足上述条件</w:t>
            </w:r>
            <w:r>
              <w:rPr>
                <w:rFonts w:hint="default" w:ascii="Times New Roman" w:hAnsi="Times New Roman" w:eastAsia="宋体" w:cs="Times New Roman"/>
                <w:color w:val="auto"/>
                <w:kern w:val="2"/>
                <w:sz w:val="24"/>
                <w:szCs w:val="24"/>
                <w:highlight w:val="none"/>
              </w:rPr>
              <w:t>废气收集效率</w:t>
            </w:r>
            <w:r>
              <w:rPr>
                <w:rFonts w:hint="default" w:ascii="Times New Roman" w:hAnsi="Times New Roman" w:eastAsia="宋体" w:cs="Times New Roman"/>
                <w:color w:val="auto"/>
                <w:kern w:val="2"/>
                <w:sz w:val="24"/>
                <w:szCs w:val="24"/>
                <w:highlight w:val="none"/>
                <w:lang w:val="en-US" w:eastAsia="zh-CN"/>
              </w:rPr>
              <w:t>可达80</w:t>
            </w:r>
            <w:r>
              <w:rPr>
                <w:rFonts w:hint="default" w:ascii="Times New Roman" w:hAnsi="Times New Roman" w:eastAsia="宋体" w:cs="Times New Roman"/>
                <w:color w:val="auto"/>
                <w:kern w:val="2"/>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bidi="ar-SA"/>
              </w:rPr>
              <w:t>剩余20%未收集的废气为无组织排放</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集气罩投影面积应大于</w:t>
            </w:r>
            <w:r>
              <w:rPr>
                <w:rFonts w:hint="default" w:ascii="Times New Roman" w:hAnsi="Times New Roman" w:eastAsia="宋体" w:cs="Times New Roman"/>
                <w:color w:val="auto"/>
                <w:sz w:val="24"/>
                <w:szCs w:val="24"/>
                <w:highlight w:val="none"/>
                <w:lang w:val="en-US" w:eastAsia="zh-CN"/>
              </w:rPr>
              <w:t>设备</w:t>
            </w:r>
            <w:r>
              <w:rPr>
                <w:rFonts w:hint="default" w:ascii="Times New Roman" w:hAnsi="Times New Roman" w:eastAsia="宋体" w:cs="Times New Roman"/>
                <w:color w:val="auto"/>
                <w:sz w:val="24"/>
                <w:szCs w:val="24"/>
                <w:highlight w:val="none"/>
                <w:lang w:val="zh-CN"/>
              </w:rPr>
              <w:t>有机废气</w:t>
            </w:r>
            <w:r>
              <w:rPr>
                <w:rFonts w:hint="default" w:ascii="Times New Roman" w:hAnsi="Times New Roman" w:eastAsia="宋体" w:cs="Times New Roman"/>
                <w:color w:val="auto"/>
                <w:sz w:val="24"/>
                <w:szCs w:val="24"/>
                <w:highlight w:val="none"/>
                <w:lang w:val="en-US" w:eastAsia="zh-CN"/>
              </w:rPr>
              <w:t>扩散区</w:t>
            </w:r>
            <w:r>
              <w:rPr>
                <w:rFonts w:hint="default" w:ascii="Times New Roman" w:hAnsi="Times New Roman" w:eastAsia="宋体" w:cs="Times New Roman"/>
                <w:color w:val="auto"/>
                <w:sz w:val="24"/>
                <w:szCs w:val="24"/>
                <w:highlight w:val="none"/>
                <w:lang w:val="zh-CN"/>
              </w:rPr>
              <w:t>面积，</w:t>
            </w:r>
            <w:r>
              <w:rPr>
                <w:rFonts w:hint="default" w:ascii="Times New Roman" w:hAnsi="Times New Roman" w:eastAsia="宋体" w:cs="Times New Roman"/>
                <w:color w:val="auto"/>
                <w:sz w:val="24"/>
                <w:szCs w:val="24"/>
                <w:highlight w:val="none"/>
                <w:lang w:eastAsia="zh-CN"/>
              </w:rPr>
              <w:t>根据本项目生产设备实际情况，</w:t>
            </w:r>
            <w:r>
              <w:rPr>
                <w:rFonts w:hint="default" w:ascii="Times New Roman" w:hAnsi="Times New Roman" w:eastAsia="宋体" w:cs="Times New Roman"/>
                <w:color w:val="auto"/>
                <w:sz w:val="24"/>
                <w:szCs w:val="24"/>
                <w:highlight w:val="none"/>
                <w:lang w:val="en-US" w:eastAsia="zh-CN"/>
              </w:rPr>
              <w:t>集气罩</w:t>
            </w:r>
            <w:r>
              <w:rPr>
                <w:rFonts w:hint="default" w:ascii="Times New Roman" w:hAnsi="Times New Roman" w:eastAsia="宋体" w:cs="Times New Roman"/>
                <w:color w:val="auto"/>
                <w:sz w:val="24"/>
                <w:szCs w:val="24"/>
                <w:highlight w:val="none"/>
                <w:lang w:val="zh-CN"/>
              </w:rPr>
              <w:t>投影面积</w:t>
            </w:r>
            <w:r>
              <w:rPr>
                <w:rFonts w:hint="default" w:ascii="Times New Roman" w:hAnsi="Times New Roman" w:eastAsia="宋体" w:cs="Times New Roman"/>
                <w:color w:val="auto"/>
                <w:sz w:val="24"/>
                <w:szCs w:val="24"/>
                <w:highlight w:val="none"/>
                <w:lang w:val="en-US" w:eastAsia="zh-CN"/>
              </w:rPr>
              <w:t>按照设备废气扩散面积的1.2进行计算，则项目区内设置的15台吹膜机对应风量如下表所示。</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表4-2   本项目集气罩风机风量设置情况</w:t>
            </w:r>
          </w:p>
          <w:tbl>
            <w:tblPr>
              <w:tblStyle w:val="27"/>
              <w:tblW w:w="84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1500"/>
              <w:gridCol w:w="1516"/>
              <w:gridCol w:w="1371"/>
              <w:gridCol w:w="1145"/>
              <w:gridCol w:w="468"/>
              <w:gridCol w:w="1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设备型号</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单台设备废气扩散区面积</w:t>
                  </w:r>
                </w:p>
              </w:tc>
              <w:tc>
                <w:tcPr>
                  <w:tcW w:w="15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eastAsia="zh-CN"/>
                    </w:rPr>
                    <w:t>单台</w:t>
                  </w:r>
                  <w:r>
                    <w:rPr>
                      <w:rFonts w:hint="default" w:ascii="Times New Roman" w:hAnsi="Times New Roman" w:eastAsia="宋体" w:cs="Times New Roman"/>
                      <w:b/>
                      <w:bCs/>
                      <w:color w:val="auto"/>
                      <w:sz w:val="21"/>
                      <w:szCs w:val="21"/>
                      <w:highlight w:val="none"/>
                      <w:lang w:val="en-US" w:eastAsia="zh-CN"/>
                    </w:rPr>
                    <w:t>设备集气罩投影面积</w:t>
                  </w:r>
                </w:p>
              </w:tc>
              <w:tc>
                <w:tcPr>
                  <w:tcW w:w="13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对应的气体控制风速</w:t>
                  </w:r>
                </w:p>
              </w:tc>
              <w:tc>
                <w:tcPr>
                  <w:tcW w:w="11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单个集气罩风量</w:t>
                  </w:r>
                </w:p>
              </w:tc>
              <w:tc>
                <w:tcPr>
                  <w:tcW w:w="4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数量</w:t>
                  </w:r>
                </w:p>
              </w:tc>
              <w:tc>
                <w:tcPr>
                  <w:tcW w:w="118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风量小计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SJ45、SJ65、SJ120、SJ90</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1m</w:t>
                  </w:r>
                  <w:r>
                    <w:rPr>
                      <w:rFonts w:hint="default" w:ascii="Times New Roman" w:hAnsi="Times New Roman" w:eastAsia="宋体" w:cs="Times New Roman"/>
                      <w:color w:val="auto"/>
                      <w:sz w:val="21"/>
                      <w:szCs w:val="21"/>
                      <w:highlight w:val="none"/>
                      <w:vertAlign w:val="superscript"/>
                      <w:lang w:val="en-US" w:eastAsia="zh-CN"/>
                    </w:rPr>
                    <w:t>2</w:t>
                  </w:r>
                </w:p>
              </w:tc>
              <w:tc>
                <w:tcPr>
                  <w:tcW w:w="15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1.2m</w:t>
                  </w:r>
                  <w:r>
                    <w:rPr>
                      <w:rFonts w:hint="default" w:ascii="Times New Roman" w:hAnsi="Times New Roman" w:eastAsia="宋体" w:cs="Times New Roman"/>
                      <w:color w:val="auto"/>
                      <w:sz w:val="21"/>
                      <w:szCs w:val="21"/>
                      <w:highlight w:val="none"/>
                      <w:vertAlign w:val="superscript"/>
                      <w:lang w:val="en-US" w:eastAsia="zh-CN"/>
                    </w:rPr>
                    <w:t>2</w:t>
                  </w:r>
                </w:p>
              </w:tc>
              <w:tc>
                <w:tcPr>
                  <w:tcW w:w="13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1.0m/s</w:t>
                  </w:r>
                </w:p>
              </w:tc>
              <w:tc>
                <w:tcPr>
                  <w:tcW w:w="11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4320m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/h</w:t>
                  </w:r>
                </w:p>
              </w:tc>
              <w:tc>
                <w:tcPr>
                  <w:tcW w:w="4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13</w:t>
                  </w:r>
                </w:p>
              </w:tc>
              <w:tc>
                <w:tcPr>
                  <w:tcW w:w="118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56160m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SJ150</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1.5m</w:t>
                  </w:r>
                  <w:r>
                    <w:rPr>
                      <w:rFonts w:hint="default" w:ascii="Times New Roman" w:hAnsi="Times New Roman" w:eastAsia="宋体" w:cs="Times New Roman"/>
                      <w:color w:val="auto"/>
                      <w:sz w:val="21"/>
                      <w:szCs w:val="21"/>
                      <w:highlight w:val="none"/>
                      <w:vertAlign w:val="superscript"/>
                      <w:lang w:val="en-US" w:eastAsia="zh-CN"/>
                    </w:rPr>
                    <w:t>2</w:t>
                  </w:r>
                </w:p>
              </w:tc>
              <w:tc>
                <w:tcPr>
                  <w:tcW w:w="15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1.8m</w:t>
                  </w:r>
                  <w:r>
                    <w:rPr>
                      <w:rFonts w:hint="default" w:ascii="Times New Roman" w:hAnsi="Times New Roman" w:eastAsia="宋体" w:cs="Times New Roman"/>
                      <w:color w:val="auto"/>
                      <w:sz w:val="21"/>
                      <w:szCs w:val="21"/>
                      <w:highlight w:val="none"/>
                      <w:vertAlign w:val="superscript"/>
                      <w:lang w:val="en-US" w:eastAsia="zh-CN"/>
                    </w:rPr>
                    <w:t>2</w:t>
                  </w:r>
                </w:p>
              </w:tc>
              <w:tc>
                <w:tcPr>
                  <w:tcW w:w="13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1.0m/s</w:t>
                  </w:r>
                </w:p>
              </w:tc>
              <w:tc>
                <w:tcPr>
                  <w:tcW w:w="11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6480m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/h</w:t>
                  </w:r>
                </w:p>
              </w:tc>
              <w:tc>
                <w:tcPr>
                  <w:tcW w:w="4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118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6480m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SJ150</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3m</w:t>
                  </w:r>
                  <w:r>
                    <w:rPr>
                      <w:rFonts w:hint="default" w:ascii="Times New Roman" w:hAnsi="Times New Roman" w:eastAsia="宋体" w:cs="Times New Roman"/>
                      <w:color w:val="auto"/>
                      <w:sz w:val="21"/>
                      <w:szCs w:val="21"/>
                      <w:highlight w:val="none"/>
                      <w:vertAlign w:val="superscript"/>
                      <w:lang w:val="en-US" w:eastAsia="zh-CN"/>
                    </w:rPr>
                    <w:t>2</w:t>
                  </w:r>
                </w:p>
              </w:tc>
              <w:tc>
                <w:tcPr>
                  <w:tcW w:w="15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3.6m</w:t>
                  </w:r>
                  <w:r>
                    <w:rPr>
                      <w:rFonts w:hint="default" w:ascii="Times New Roman" w:hAnsi="Times New Roman" w:eastAsia="宋体" w:cs="Times New Roman"/>
                      <w:color w:val="auto"/>
                      <w:sz w:val="21"/>
                      <w:szCs w:val="21"/>
                      <w:highlight w:val="none"/>
                      <w:vertAlign w:val="superscript"/>
                      <w:lang w:val="en-US" w:eastAsia="zh-CN"/>
                    </w:rPr>
                    <w:t>2</w:t>
                  </w:r>
                </w:p>
              </w:tc>
              <w:tc>
                <w:tcPr>
                  <w:tcW w:w="13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1.0m/s</w:t>
                  </w:r>
                </w:p>
              </w:tc>
              <w:tc>
                <w:tcPr>
                  <w:tcW w:w="11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12960m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/h</w:t>
                  </w:r>
                </w:p>
              </w:tc>
              <w:tc>
                <w:tcPr>
                  <w:tcW w:w="4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118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12960m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3" w:type="dxa"/>
                  <w:gridSpan w:val="6"/>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合计</w:t>
                  </w:r>
                </w:p>
              </w:tc>
              <w:tc>
                <w:tcPr>
                  <w:tcW w:w="118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75600m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/h</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lang w:val="en-US" w:eastAsia="zh-CN"/>
              </w:rPr>
              <w:t>“活性炭吸附”对有机废气及臭气浓度的去除效率与废气进气浓度、气流量等多种因素有关，</w:t>
            </w:r>
            <w:r>
              <w:rPr>
                <w:rFonts w:hint="default" w:ascii="Times New Roman" w:hAnsi="Times New Roman" w:eastAsia="宋体" w:cs="Times New Roman"/>
                <w:color w:val="auto"/>
                <w:sz w:val="24"/>
                <w:szCs w:val="24"/>
                <w:highlight w:val="none"/>
              </w:rPr>
              <w:t>采用多级活性炭吸附装置（由1层吸附处理提高到</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层吸附处理），通过增加废气的停留时间，能有效提高处置效率，“</w:t>
            </w:r>
            <w:r>
              <w:rPr>
                <w:rFonts w:hint="default" w:ascii="Times New Roman" w:hAnsi="Times New Roman" w:eastAsia="宋体" w:cs="Times New Roman"/>
                <w:color w:val="auto"/>
                <w:sz w:val="24"/>
                <w:szCs w:val="24"/>
                <w:highlight w:val="none"/>
                <w:lang w:val="en-US" w:eastAsia="zh-CN"/>
              </w:rPr>
              <w:t>UV光氧催化+三级活性炭吸附</w:t>
            </w:r>
            <w:r>
              <w:rPr>
                <w:rFonts w:hint="default" w:ascii="Times New Roman" w:hAnsi="Times New Roman" w:eastAsia="宋体" w:cs="Times New Roman"/>
                <w:color w:val="auto"/>
                <w:sz w:val="24"/>
                <w:szCs w:val="24"/>
                <w:highlight w:val="none"/>
              </w:rPr>
              <w:t>装置”</w:t>
            </w:r>
            <w:r>
              <w:rPr>
                <w:rFonts w:hint="default" w:ascii="Times New Roman" w:hAnsi="Times New Roman" w:eastAsia="宋体" w:cs="Times New Roman"/>
                <w:color w:val="auto"/>
                <w:sz w:val="24"/>
                <w:szCs w:val="24"/>
                <w:highlight w:val="none"/>
                <w:lang w:val="en-US" w:eastAsia="zh-CN"/>
              </w:rPr>
              <w:t>组合去除效率一般为75-80%，本项目取中间效率78%进行计算。</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szCs w:val="24"/>
                <w:highlight w:val="none"/>
                <w:lang w:val="en-US" w:eastAsia="zh-CN"/>
              </w:rPr>
              <w:t>综上，</w:t>
            </w:r>
            <w:r>
              <w:rPr>
                <w:rFonts w:hint="default" w:ascii="Times New Roman" w:hAnsi="Times New Roman" w:eastAsia="宋体" w:cs="Times New Roman"/>
                <w:color w:val="auto"/>
                <w:sz w:val="24"/>
                <w:szCs w:val="24"/>
                <w:highlight w:val="none"/>
                <w:lang w:val="zh-CN" w:eastAsia="zh-CN"/>
              </w:rPr>
              <w:t>项目</w:t>
            </w:r>
            <w:r>
              <w:rPr>
                <w:rFonts w:hint="default" w:ascii="Times New Roman" w:hAnsi="Times New Roman" w:eastAsia="宋体" w:cs="Times New Roman"/>
                <w:color w:val="auto"/>
                <w:sz w:val="24"/>
                <w:szCs w:val="24"/>
                <w:highlight w:val="none"/>
                <w:lang w:val="en-US" w:eastAsia="zh-CN"/>
              </w:rPr>
              <w:t>吹膜生产过程废气</w:t>
            </w:r>
            <w:r>
              <w:rPr>
                <w:rFonts w:hint="default" w:ascii="Times New Roman" w:hAnsi="Times New Roman" w:eastAsia="宋体" w:cs="Times New Roman"/>
                <w:color w:val="auto"/>
                <w:sz w:val="24"/>
                <w:szCs w:val="24"/>
                <w:highlight w:val="none"/>
                <w:lang w:val="zh-CN" w:eastAsia="zh-CN"/>
              </w:rPr>
              <w:t>产排情况见表</w:t>
            </w:r>
            <w:r>
              <w:rPr>
                <w:rFonts w:hint="default" w:ascii="Times New Roman" w:hAnsi="Times New Roman" w:eastAsia="宋体" w:cs="Times New Roman"/>
                <w:color w:val="auto"/>
                <w:sz w:val="24"/>
                <w:szCs w:val="24"/>
                <w:highlight w:val="none"/>
                <w:lang w:val="en-US" w:eastAsia="zh-CN"/>
              </w:rPr>
              <w:t>4-3。</w:t>
            </w:r>
          </w:p>
          <w:p>
            <w:pPr>
              <w:pStyle w:val="67"/>
              <w:keepNext w:val="0"/>
              <w:keepLines w:val="0"/>
              <w:pageBreakBefore w:val="0"/>
              <w:widowControl w:val="0"/>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项目</w:t>
            </w:r>
            <w:r>
              <w:rPr>
                <w:rFonts w:hint="default" w:ascii="Times New Roman" w:hAnsi="Times New Roman" w:eastAsia="宋体" w:cs="Times New Roman"/>
                <w:b/>
                <w:bCs/>
                <w:color w:val="auto"/>
                <w:sz w:val="21"/>
                <w:szCs w:val="21"/>
                <w:highlight w:val="none"/>
                <w:lang w:val="en-US" w:eastAsia="zh-CN"/>
              </w:rPr>
              <w:t>吹膜生产废气</w:t>
            </w:r>
            <w:r>
              <w:rPr>
                <w:rFonts w:hint="default" w:ascii="Times New Roman" w:hAnsi="Times New Roman" w:eastAsia="宋体" w:cs="Times New Roman"/>
                <w:b/>
                <w:bCs/>
                <w:color w:val="auto"/>
                <w:sz w:val="21"/>
                <w:szCs w:val="21"/>
                <w:highlight w:val="none"/>
              </w:rPr>
              <w:t>产排情况一览表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6"/>
              <w:gridCol w:w="768"/>
              <w:gridCol w:w="1121"/>
              <w:gridCol w:w="744"/>
              <w:gridCol w:w="768"/>
              <w:gridCol w:w="769"/>
              <w:gridCol w:w="634"/>
              <w:gridCol w:w="756"/>
              <w:gridCol w:w="761"/>
              <w:gridCol w:w="703"/>
              <w:gridCol w:w="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3" w:hRule="atLeast"/>
                <w:jc w:val="center"/>
              </w:trPr>
              <w:tc>
                <w:tcPr>
                  <w:tcW w:w="1454" w:type="dxa"/>
                  <w:gridSpan w:val="2"/>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排放形式</w:t>
                  </w:r>
                </w:p>
              </w:tc>
              <w:tc>
                <w:tcPr>
                  <w:tcW w:w="1121"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污染物</w:t>
                  </w:r>
                </w:p>
              </w:tc>
              <w:tc>
                <w:tcPr>
                  <w:tcW w:w="2281" w:type="dxa"/>
                  <w:gridSpan w:val="3"/>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kern w:val="24"/>
                      <w:sz w:val="21"/>
                      <w:szCs w:val="21"/>
                      <w:highlight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产生情况</w:t>
                  </w:r>
                </w:p>
              </w:tc>
              <w:tc>
                <w:tcPr>
                  <w:tcW w:w="634"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处理效率%</w:t>
                  </w:r>
                </w:p>
              </w:tc>
              <w:tc>
                <w:tcPr>
                  <w:tcW w:w="2220" w:type="dxa"/>
                  <w:gridSpan w:val="3"/>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排放情况</w:t>
                  </w:r>
                </w:p>
              </w:tc>
              <w:tc>
                <w:tcPr>
                  <w:tcW w:w="684"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标准限值浓度mg/m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8" w:hRule="atLeast"/>
                <w:jc w:val="center"/>
              </w:trPr>
              <w:tc>
                <w:tcPr>
                  <w:tcW w:w="1454" w:type="dxa"/>
                  <w:gridSpan w:val="2"/>
                  <w:vMerge w:val="continue"/>
                  <w:tcBorders>
                    <w:tl2br w:val="nil"/>
                    <w:tr2bl w:val="nil"/>
                  </w:tcBorders>
                  <w:vAlign w:val="center"/>
                </w:tcPr>
                <w:p>
                  <w:pPr>
                    <w:jc w:val="center"/>
                    <w:rPr>
                      <w:rFonts w:hint="default" w:ascii="Times New Roman" w:hAnsi="Times New Roman" w:eastAsia="宋体" w:cs="Times New Roman"/>
                      <w:b/>
                      <w:bCs/>
                      <w:color w:val="auto"/>
                      <w:sz w:val="21"/>
                      <w:szCs w:val="21"/>
                      <w:highlight w:val="none"/>
                    </w:rPr>
                  </w:pPr>
                </w:p>
              </w:tc>
              <w:tc>
                <w:tcPr>
                  <w:tcW w:w="1121" w:type="dxa"/>
                  <w:vMerge w:val="continue"/>
                  <w:tcBorders>
                    <w:tl2br w:val="nil"/>
                    <w:tr2bl w:val="nil"/>
                  </w:tcBorders>
                  <w:vAlign w:val="center"/>
                </w:tcPr>
                <w:p>
                  <w:pPr>
                    <w:jc w:val="center"/>
                    <w:rPr>
                      <w:rFonts w:hint="default" w:ascii="Times New Roman" w:hAnsi="Times New Roman" w:eastAsia="宋体" w:cs="Times New Roman"/>
                      <w:b/>
                      <w:bCs/>
                      <w:color w:val="auto"/>
                      <w:sz w:val="21"/>
                      <w:szCs w:val="21"/>
                      <w:highlight w:val="none"/>
                    </w:rPr>
                  </w:pPr>
                </w:p>
              </w:tc>
              <w:tc>
                <w:tcPr>
                  <w:tcW w:w="7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浓度mg/m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p>
              </w:tc>
              <w:tc>
                <w:tcPr>
                  <w:tcW w:w="76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速率kg/h</w:t>
                  </w:r>
                </w:p>
              </w:tc>
              <w:tc>
                <w:tcPr>
                  <w:tcW w:w="76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量t/a</w:t>
                  </w:r>
                </w:p>
              </w:tc>
              <w:tc>
                <w:tcPr>
                  <w:tcW w:w="634" w:type="dxa"/>
                  <w:vMerge w:val="continue"/>
                  <w:tcBorders>
                    <w:tl2br w:val="nil"/>
                    <w:tr2bl w:val="nil"/>
                  </w:tcBorders>
                  <w:vAlign w:val="center"/>
                </w:tcPr>
                <w:p>
                  <w:pPr>
                    <w:jc w:val="center"/>
                    <w:rPr>
                      <w:rFonts w:hint="default" w:ascii="Times New Roman" w:hAnsi="Times New Roman" w:eastAsia="宋体" w:cs="Times New Roman"/>
                      <w:b/>
                      <w:bCs/>
                      <w:color w:val="auto"/>
                      <w:sz w:val="21"/>
                      <w:szCs w:val="21"/>
                      <w:highlight w:val="none"/>
                    </w:rPr>
                  </w:pPr>
                </w:p>
              </w:tc>
              <w:tc>
                <w:tcPr>
                  <w:tcW w:w="7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浓度mg/m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p>
              </w:tc>
              <w:tc>
                <w:tcPr>
                  <w:tcW w:w="76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速率kg/h</w:t>
                  </w:r>
                </w:p>
              </w:tc>
              <w:tc>
                <w:tcPr>
                  <w:tcW w:w="70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量t/a</w:t>
                  </w:r>
                </w:p>
              </w:tc>
              <w:tc>
                <w:tcPr>
                  <w:tcW w:w="684"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86"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吹膜工段</w:t>
                  </w:r>
                </w:p>
              </w:tc>
              <w:tc>
                <w:tcPr>
                  <w:tcW w:w="768"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DA001</w:t>
                  </w:r>
                </w:p>
              </w:tc>
              <w:tc>
                <w:tcPr>
                  <w:tcW w:w="11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7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27.56 </w:t>
                  </w:r>
                </w:p>
              </w:tc>
              <w:tc>
                <w:tcPr>
                  <w:tcW w:w="76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2.0833 </w:t>
                  </w:r>
                </w:p>
              </w:tc>
              <w:tc>
                <w:tcPr>
                  <w:tcW w:w="76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63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78</w:t>
                  </w:r>
                </w:p>
              </w:tc>
              <w:tc>
                <w:tcPr>
                  <w:tcW w:w="7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6.06 </w:t>
                  </w:r>
                </w:p>
              </w:tc>
              <w:tc>
                <w:tcPr>
                  <w:tcW w:w="76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0.4583 </w:t>
                  </w:r>
                </w:p>
              </w:tc>
              <w:tc>
                <w:tcPr>
                  <w:tcW w:w="70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2.2</w:t>
                  </w:r>
                </w:p>
              </w:tc>
              <w:tc>
                <w:tcPr>
                  <w:tcW w:w="684" w:type="dxa"/>
                  <w:tcBorders>
                    <w:tl2br w:val="nil"/>
                    <w:tr2bl w:val="nil"/>
                  </w:tcBorders>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86"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68"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臭气浓度</w:t>
                  </w:r>
                </w:p>
              </w:tc>
              <w:tc>
                <w:tcPr>
                  <w:tcW w:w="7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color w:val="auto"/>
                      <w:spacing w:val="-10"/>
                      <w:sz w:val="21"/>
                      <w:szCs w:val="21"/>
                      <w:highlight w:val="none"/>
                      <w:vertAlign w:val="baseline"/>
                      <w:lang w:val="en-US" w:eastAsia="zh-CN"/>
                    </w:rPr>
                    <w:t>1075（无量纲）</w:t>
                  </w:r>
                </w:p>
              </w:tc>
              <w:tc>
                <w:tcPr>
                  <w:tcW w:w="76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6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c>
                <w:tcPr>
                  <w:tcW w:w="63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78</w:t>
                  </w:r>
                </w:p>
              </w:tc>
              <w:tc>
                <w:tcPr>
                  <w:tcW w:w="7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color w:val="auto"/>
                      <w:spacing w:val="-10"/>
                      <w:sz w:val="21"/>
                      <w:szCs w:val="21"/>
                      <w:highlight w:val="none"/>
                      <w:vertAlign w:val="baseline"/>
                      <w:lang w:val="en-US" w:eastAsia="zh-CN"/>
                    </w:rPr>
                    <w:t>236.5（无量纲）</w:t>
                  </w:r>
                </w:p>
              </w:tc>
              <w:tc>
                <w:tcPr>
                  <w:tcW w:w="76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0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c>
                <w:tcPr>
                  <w:tcW w:w="684" w:type="dxa"/>
                  <w:tcBorders>
                    <w:tl2br w:val="nil"/>
                    <w:tr2bl w:val="nil"/>
                  </w:tcBorders>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2000（无量纲）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686" w:type="dxa"/>
                  <w:vMerge w:val="continue"/>
                  <w:tcBorders>
                    <w:tl2br w:val="nil"/>
                    <w:tr2bl w:val="nil"/>
                  </w:tcBorders>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c>
                <w:tcPr>
                  <w:tcW w:w="768"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无组织</w:t>
                  </w:r>
                </w:p>
              </w:tc>
              <w:tc>
                <w:tcPr>
                  <w:tcW w:w="11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7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6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0.5208 </w:t>
                  </w:r>
                </w:p>
              </w:tc>
              <w:tc>
                <w:tcPr>
                  <w:tcW w:w="76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63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Style w:val="90"/>
                      <w:rFonts w:hint="default" w:ascii="Times New Roman" w:hAnsi="Times New Roman" w:eastAsia="宋体" w:cs="Times New Roman"/>
                      <w:color w:val="auto"/>
                      <w:highlight w:val="none"/>
                      <w:lang w:val="en-US" w:eastAsia="zh-CN" w:bidi="ar"/>
                    </w:rPr>
                    <w:t>/</w:t>
                  </w:r>
                </w:p>
              </w:tc>
              <w:tc>
                <w:tcPr>
                  <w:tcW w:w="76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0.5208 </w:t>
                  </w:r>
                </w:p>
              </w:tc>
              <w:tc>
                <w:tcPr>
                  <w:tcW w:w="70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684" w:type="dxa"/>
                  <w:tcBorders>
                    <w:tl2br w:val="nil"/>
                    <w:tr2bl w:val="nil"/>
                  </w:tcBorders>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686" w:type="dxa"/>
                  <w:vMerge w:val="continue"/>
                  <w:tcBorders>
                    <w:tl2br w:val="nil"/>
                    <w:tr2bl w:val="nil"/>
                  </w:tcBorders>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c>
                <w:tcPr>
                  <w:tcW w:w="768"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臭气浓度</w:t>
                  </w:r>
                </w:p>
              </w:tc>
              <w:tc>
                <w:tcPr>
                  <w:tcW w:w="7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6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6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c>
                <w:tcPr>
                  <w:tcW w:w="63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56" w:type="dxa"/>
                  <w:tcBorders>
                    <w:tl2br w:val="nil"/>
                    <w:tr2bl w:val="nil"/>
                  </w:tcBorders>
                  <w:vAlign w:val="center"/>
                </w:tcPr>
                <w:p>
                  <w:pPr>
                    <w:keepNext w:val="0"/>
                    <w:keepLines w:val="0"/>
                    <w:widowControl/>
                    <w:suppressLineNumbers w:val="0"/>
                    <w:jc w:val="center"/>
                    <w:textAlignment w:val="center"/>
                    <w:rPr>
                      <w:rStyle w:val="90"/>
                      <w:rFonts w:hint="default" w:ascii="Times New Roman" w:hAnsi="Times New Roman" w:eastAsia="宋体" w:cs="Times New Roman"/>
                      <w:color w:val="auto"/>
                      <w:highlight w:val="none"/>
                      <w:lang w:val="en-US" w:eastAsia="zh-CN" w:bidi="ar"/>
                    </w:rPr>
                  </w:pPr>
                  <w:r>
                    <w:rPr>
                      <w:rStyle w:val="90"/>
                      <w:rFonts w:hint="default" w:ascii="Times New Roman" w:hAnsi="Times New Roman" w:eastAsia="宋体" w:cs="Times New Roman"/>
                      <w:color w:val="auto"/>
                      <w:highlight w:val="none"/>
                      <w:lang w:val="en-US" w:eastAsia="zh-CN" w:bidi="ar"/>
                    </w:rPr>
                    <w:t>/</w:t>
                  </w:r>
                </w:p>
              </w:tc>
              <w:tc>
                <w:tcPr>
                  <w:tcW w:w="76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0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c>
                <w:tcPr>
                  <w:tcW w:w="684" w:type="dxa"/>
                  <w:tcBorders>
                    <w:tl2br w:val="nil"/>
                    <w:tr2bl w:val="nil"/>
                  </w:tcBorders>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394" w:type="dxa"/>
                  <w:gridSpan w:val="11"/>
                  <w:tcBorders>
                    <w:tl2br w:val="nil"/>
                    <w:tr2bl w:val="nil"/>
                  </w:tcBorders>
                  <w:vAlign w:val="center"/>
                </w:tcPr>
                <w:p>
                  <w:pPr>
                    <w:keepNext w:val="0"/>
                    <w:keepLines w:val="0"/>
                    <w:widowControl/>
                    <w:suppressLineNumbers w:val="0"/>
                    <w:jc w:val="left"/>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注：</w:t>
                  </w:r>
                  <w:r>
                    <w:rPr>
                      <w:rFonts w:hint="default" w:ascii="Times New Roman" w:hAnsi="Times New Roman" w:eastAsia="宋体" w:cs="Times New Roman"/>
                      <w:color w:val="auto"/>
                      <w:sz w:val="21"/>
                      <w:szCs w:val="21"/>
                      <w:highlight w:val="none"/>
                      <w:lang w:val="en-US" w:eastAsia="zh-CN"/>
                    </w:rPr>
                    <w:t>①DA001废气风量为75600m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/h，则废气量为</w:t>
                  </w:r>
                  <w:r>
                    <w:rPr>
                      <w:rFonts w:hint="default" w:ascii="Times New Roman" w:hAnsi="Times New Roman" w:eastAsia="宋体" w:cs="Times New Roman"/>
                      <w:i w:val="0"/>
                      <w:color w:val="auto"/>
                      <w:kern w:val="0"/>
                      <w:sz w:val="21"/>
                      <w:szCs w:val="21"/>
                      <w:highlight w:val="none"/>
                      <w:u w:val="none"/>
                      <w:lang w:val="en-US" w:eastAsia="zh-CN" w:bidi="ar"/>
                    </w:rPr>
                    <w:t>36288万m</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/a</w:t>
                  </w:r>
                  <w:r>
                    <w:rPr>
                      <w:rFonts w:hint="default" w:ascii="Times New Roman" w:hAnsi="Times New Roman" w:eastAsia="宋体" w:cs="Times New Roman"/>
                      <w:color w:val="auto"/>
                      <w:sz w:val="21"/>
                      <w:szCs w:val="21"/>
                      <w:highlight w:val="none"/>
                      <w:lang w:val="en-US" w:eastAsia="zh-CN"/>
                    </w:rPr>
                    <w:t>；</w:t>
                  </w:r>
                </w:p>
                <w:p>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②非甲烷总烃执行</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合成树脂工业污染物排放标准</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z w:val="21"/>
                      <w:szCs w:val="21"/>
                      <w:highlight w:val="none"/>
                      <w:lang w:val="en-US" w:eastAsia="zh-CN"/>
                    </w:rPr>
                    <w:t>31572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2015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中相关</w:t>
                  </w:r>
                  <w:r>
                    <w:rPr>
                      <w:rFonts w:hint="default" w:ascii="Times New Roman" w:hAnsi="Times New Roman" w:eastAsia="宋体" w:cs="Times New Roman"/>
                      <w:color w:val="auto"/>
                      <w:sz w:val="21"/>
                      <w:szCs w:val="21"/>
                      <w:highlight w:val="none"/>
                      <w:lang w:val="en-US" w:eastAsia="zh-CN"/>
                    </w:rPr>
                    <w:t>大气污染物排放限值；臭气浓度执行</w:t>
                  </w:r>
                  <w:r>
                    <w:rPr>
                      <w:rFonts w:hint="default" w:ascii="Times New Roman" w:hAnsi="Times New Roman" w:eastAsia="宋体" w:cs="Times New Roman"/>
                      <w:color w:val="auto"/>
                      <w:sz w:val="21"/>
                      <w:szCs w:val="21"/>
                      <w:highlight w:val="none"/>
                      <w:lang w:val="zh-CN" w:eastAsia="zh-CN"/>
                    </w:rPr>
                    <w:t>《恶臭污染物排放标准》（GB14554-93）</w:t>
                  </w:r>
                  <w:r>
                    <w:rPr>
                      <w:rFonts w:hint="default" w:ascii="Times New Roman" w:hAnsi="Times New Roman" w:eastAsia="宋体" w:cs="Times New Roman"/>
                      <w:color w:val="auto"/>
                      <w:sz w:val="21"/>
                      <w:szCs w:val="21"/>
                      <w:highlight w:val="none"/>
                      <w:lang w:val="en-US" w:eastAsia="zh-CN"/>
                    </w:rPr>
                    <w:t>中</w:t>
                  </w:r>
                  <w:r>
                    <w:rPr>
                      <w:rFonts w:hint="default" w:ascii="Times New Roman" w:hAnsi="Times New Roman" w:eastAsia="宋体" w:cs="Times New Roman"/>
                      <w:color w:val="auto"/>
                      <w:sz w:val="21"/>
                      <w:szCs w:val="21"/>
                      <w:highlight w:val="none"/>
                      <w:lang w:val="zh-CN" w:eastAsia="zh-CN"/>
                    </w:rPr>
                    <w:t>标准</w:t>
                  </w:r>
                  <w:r>
                    <w:rPr>
                      <w:rFonts w:hint="default" w:ascii="Times New Roman" w:hAnsi="Times New Roman" w:eastAsia="宋体" w:cs="Times New Roman"/>
                      <w:color w:val="auto"/>
                      <w:sz w:val="21"/>
                      <w:szCs w:val="21"/>
                      <w:highlight w:val="none"/>
                      <w:lang w:val="en-US" w:eastAsia="zh-CN"/>
                    </w:rPr>
                    <w:t>限值</w:t>
                  </w:r>
                  <w:r>
                    <w:rPr>
                      <w:rFonts w:hint="default" w:ascii="Times New Roman" w:hAnsi="Times New Roman" w:eastAsia="宋体" w:cs="Times New Roman"/>
                      <w:color w:val="auto"/>
                      <w:sz w:val="21"/>
                      <w:szCs w:val="21"/>
                      <w:highlight w:val="none"/>
                      <w:lang w:val="zh-CN" w:eastAsia="zh-CN"/>
                    </w:rPr>
                    <w:t>要求。</w:t>
                  </w:r>
                </w:p>
              </w:tc>
            </w:tr>
          </w:tbl>
          <w:p>
            <w:pPr>
              <w:pStyle w:val="77"/>
              <w:keepNext w:val="0"/>
              <w:keepLines w:val="0"/>
              <w:pageBreakBefore w:val="0"/>
              <w:kinsoku/>
              <w:wordWrap/>
              <w:overflowPunct/>
              <w:topLinePunct w:val="0"/>
              <w:autoSpaceDE w:val="0"/>
              <w:autoSpaceDN w:val="0"/>
              <w:bidi w:val="0"/>
              <w:adjustRightInd/>
              <w:spacing w:before="0" w:after="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eastAsia="zh-CN"/>
              </w:rPr>
              <w:t>食堂油烟</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原项目内已设置1个食堂，内部设置1个灶头，属于小型饮食业单位。厨房内使用电和液化气，属于清洁能源。厨房中产生的废气主要</w:t>
            </w:r>
            <w:r>
              <w:rPr>
                <w:rFonts w:hint="default" w:ascii="Times New Roman" w:hAnsi="Times New Roman" w:eastAsia="宋体" w:cs="Times New Roman"/>
                <w:color w:val="auto"/>
                <w:sz w:val="24"/>
                <w:szCs w:val="24"/>
                <w:highlight w:val="none"/>
                <w:lang w:val="zh-CN" w:eastAsia="zh-CN"/>
              </w:rPr>
              <w:t>为油烟，无燃烧废气产生。食堂油烟经净化处理设备处理达标后经高于房顶1.5m高的排气筒外排。根据营养膳食按每天使用食用油30g/人，本项目食堂</w:t>
            </w:r>
            <w:r>
              <w:rPr>
                <w:rFonts w:hint="default" w:ascii="Times New Roman" w:hAnsi="Times New Roman" w:eastAsia="宋体" w:cs="Times New Roman"/>
                <w:color w:val="auto"/>
                <w:sz w:val="24"/>
                <w:szCs w:val="24"/>
                <w:highlight w:val="none"/>
                <w:lang w:val="en-US" w:eastAsia="zh-CN"/>
              </w:rPr>
              <w:t>原有10人用餐，扩建项目新增20</w:t>
            </w:r>
            <w:r>
              <w:rPr>
                <w:rFonts w:hint="default" w:ascii="Times New Roman" w:hAnsi="Times New Roman" w:eastAsia="宋体" w:cs="Times New Roman"/>
                <w:color w:val="auto"/>
                <w:sz w:val="24"/>
                <w:szCs w:val="24"/>
                <w:highlight w:val="none"/>
                <w:lang w:val="zh-CN" w:eastAsia="zh-CN"/>
              </w:rPr>
              <w:t>人用餐，</w:t>
            </w:r>
            <w:r>
              <w:rPr>
                <w:rFonts w:hint="default" w:ascii="Times New Roman" w:hAnsi="Times New Roman" w:eastAsia="宋体" w:cs="Times New Roman"/>
                <w:color w:val="auto"/>
                <w:sz w:val="24"/>
                <w:szCs w:val="24"/>
                <w:highlight w:val="none"/>
                <w:lang w:val="en-US" w:eastAsia="zh-CN"/>
              </w:rPr>
              <w:t>扩建完成后整个项目区用餐人数为30人。</w:t>
            </w:r>
            <w:r>
              <w:rPr>
                <w:rFonts w:hint="default" w:ascii="Times New Roman" w:hAnsi="Times New Roman" w:eastAsia="宋体" w:cs="Times New Roman"/>
                <w:color w:val="auto"/>
                <w:sz w:val="24"/>
                <w:szCs w:val="24"/>
                <w:highlight w:val="none"/>
                <w:lang w:val="zh-CN" w:eastAsia="zh-CN"/>
              </w:rPr>
              <w:t>在食堂烹饪过程中产生的油烟挥发量按食用油量的2%计算，项目每天提供3餐，炊事时间按4h计算。净化设备每天运行4h，油烟净化设施风机风量为2000m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eastAsia="zh-CN"/>
              </w:rPr>
              <w:t>/h</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zh-CN" w:eastAsia="zh-CN"/>
              </w:rPr>
              <w:t>处理效率不低于60%。</w:t>
            </w:r>
            <w:r>
              <w:rPr>
                <w:rFonts w:hint="default" w:ascii="Times New Roman" w:hAnsi="Times New Roman" w:eastAsia="宋体" w:cs="Times New Roman"/>
                <w:color w:val="auto"/>
                <w:sz w:val="24"/>
                <w:szCs w:val="24"/>
                <w:highlight w:val="none"/>
                <w:lang w:val="en-US" w:eastAsia="zh-CN"/>
              </w:rPr>
              <w:t>由于食堂油烟均由同1个排气筒排出，则扩建完成后整个项目区食堂油烟产排情况如下表所示。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b/>
                <w:bCs/>
                <w:color w:val="auto"/>
                <w:sz w:val="21"/>
                <w:szCs w:val="21"/>
                <w:highlight w:val="none"/>
                <w:lang w:val="en-US" w:eastAsia="zh-CN"/>
              </w:rPr>
              <w:t>表4-4   扩建完成后整个食堂油烟产排情况一览表</w:t>
            </w:r>
          </w:p>
          <w:tbl>
            <w:tblPr>
              <w:tblStyle w:val="26"/>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10"/>
              <w:gridCol w:w="663"/>
              <w:gridCol w:w="799"/>
              <w:gridCol w:w="636"/>
              <w:gridCol w:w="733"/>
              <w:gridCol w:w="682"/>
              <w:gridCol w:w="633"/>
              <w:gridCol w:w="963"/>
              <w:gridCol w:w="709"/>
              <w:gridCol w:w="636"/>
              <w:gridCol w:w="635"/>
              <w:gridCol w:w="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61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污染源</w:t>
                  </w:r>
                </w:p>
              </w:tc>
              <w:tc>
                <w:tcPr>
                  <w:tcW w:w="66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总用餐人数</w:t>
                  </w:r>
                </w:p>
              </w:tc>
              <w:tc>
                <w:tcPr>
                  <w:tcW w:w="79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食用油</w:t>
                  </w:r>
                  <w:r>
                    <w:rPr>
                      <w:rFonts w:hint="default" w:ascii="Times New Roman" w:hAnsi="Times New Roman" w:eastAsia="宋体" w:cs="Times New Roman"/>
                      <w:b/>
                      <w:bCs/>
                      <w:color w:val="auto"/>
                      <w:sz w:val="21"/>
                      <w:szCs w:val="21"/>
                      <w:highlight w:val="none"/>
                      <w:lang w:val="en-US" w:eastAsia="zh-CN"/>
                    </w:rPr>
                    <w:t>用量</w:t>
                  </w:r>
                </w:p>
              </w:tc>
              <w:tc>
                <w:tcPr>
                  <w:tcW w:w="2684"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油烟产生情况</w:t>
                  </w:r>
                </w:p>
              </w:tc>
              <w:tc>
                <w:tcPr>
                  <w:tcW w:w="96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治理措施</w:t>
                  </w:r>
                </w:p>
              </w:tc>
              <w:tc>
                <w:tcPr>
                  <w:tcW w:w="2663"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61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c>
                <w:tcPr>
                  <w:tcW w:w="66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c>
                <w:tcPr>
                  <w:tcW w:w="799"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c>
                <w:tcPr>
                  <w:tcW w:w="6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kg/d</w:t>
                  </w:r>
                </w:p>
              </w:tc>
              <w:tc>
                <w:tcPr>
                  <w:tcW w:w="7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t/a</w:t>
                  </w:r>
                </w:p>
              </w:tc>
              <w:tc>
                <w:tcPr>
                  <w:tcW w:w="6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kg/h</w:t>
                  </w:r>
                </w:p>
              </w:tc>
              <w:tc>
                <w:tcPr>
                  <w:tcW w:w="6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mg/m</w:t>
                  </w:r>
                  <w:r>
                    <w:rPr>
                      <w:rFonts w:hint="default" w:ascii="Times New Roman" w:hAnsi="Times New Roman" w:eastAsia="宋体" w:cs="Times New Roman"/>
                      <w:b/>
                      <w:bCs/>
                      <w:color w:val="auto"/>
                      <w:sz w:val="21"/>
                      <w:szCs w:val="21"/>
                      <w:highlight w:val="none"/>
                      <w:vertAlign w:val="superscript"/>
                      <w:lang w:val="zh-CN" w:eastAsia="zh-CN"/>
                    </w:rPr>
                    <w:t>3</w:t>
                  </w:r>
                </w:p>
              </w:tc>
              <w:tc>
                <w:tcPr>
                  <w:tcW w:w="9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p>
              </w:tc>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kg/d</w:t>
                  </w:r>
                </w:p>
              </w:tc>
              <w:tc>
                <w:tcPr>
                  <w:tcW w:w="6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t/a</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kg/h</w:t>
                  </w:r>
                </w:p>
              </w:tc>
              <w:tc>
                <w:tcPr>
                  <w:tcW w:w="6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mg/m</w:t>
                  </w:r>
                  <w:r>
                    <w:rPr>
                      <w:rFonts w:hint="default" w:ascii="Times New Roman" w:hAnsi="Times New Roman" w:eastAsia="宋体" w:cs="Times New Roman"/>
                      <w:b/>
                      <w:bCs/>
                      <w:color w:val="auto"/>
                      <w:sz w:val="21"/>
                      <w:szCs w:val="21"/>
                      <w:highlight w:val="none"/>
                      <w:vertAlign w:val="superscript"/>
                      <w:lang w:val="zh-CN"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食堂</w:t>
                  </w:r>
                </w:p>
              </w:tc>
              <w:tc>
                <w:tcPr>
                  <w:tcW w:w="6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30人/d</w:t>
                  </w:r>
                </w:p>
              </w:tc>
              <w:tc>
                <w:tcPr>
                  <w:tcW w:w="79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30g/人</w:t>
                  </w:r>
                </w:p>
              </w:tc>
              <w:tc>
                <w:tcPr>
                  <w:tcW w:w="6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0.018</w:t>
                  </w:r>
                </w:p>
              </w:tc>
              <w:tc>
                <w:tcPr>
                  <w:tcW w:w="7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0.0054</w:t>
                  </w:r>
                </w:p>
              </w:tc>
              <w:tc>
                <w:tcPr>
                  <w:tcW w:w="682"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0.0045</w:t>
                  </w:r>
                </w:p>
              </w:tc>
              <w:tc>
                <w:tcPr>
                  <w:tcW w:w="6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2.25</w:t>
                  </w:r>
                </w:p>
              </w:tc>
              <w:tc>
                <w:tcPr>
                  <w:tcW w:w="9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油烟净化器</w:t>
                  </w:r>
                  <w:r>
                    <w:rPr>
                      <w:rStyle w:val="88"/>
                      <w:rFonts w:hint="default" w:ascii="Times New Roman" w:hAnsi="Times New Roman" w:eastAsia="宋体" w:cs="Times New Roman"/>
                      <w:b w:val="0"/>
                      <w:bCs w:val="0"/>
                      <w:color w:val="auto"/>
                      <w:highlight w:val="none"/>
                      <w:lang w:val="en-US" w:eastAsia="zh-CN" w:bidi="ar"/>
                    </w:rPr>
                    <w:t>+</w:t>
                  </w:r>
                  <w:r>
                    <w:rPr>
                      <w:rStyle w:val="87"/>
                      <w:rFonts w:hint="default" w:ascii="Times New Roman" w:hAnsi="Times New Roman" w:eastAsia="宋体" w:cs="Times New Roman"/>
                      <w:b w:val="0"/>
                      <w:bCs w:val="0"/>
                      <w:color w:val="auto"/>
                      <w:highlight w:val="none"/>
                      <w:lang w:val="en-US" w:eastAsia="zh-CN" w:bidi="ar"/>
                    </w:rPr>
                    <w:t>高于房顶</w:t>
                  </w:r>
                  <w:r>
                    <w:rPr>
                      <w:rStyle w:val="88"/>
                      <w:rFonts w:hint="default" w:ascii="Times New Roman" w:hAnsi="Times New Roman" w:eastAsia="宋体" w:cs="Times New Roman"/>
                      <w:b w:val="0"/>
                      <w:bCs w:val="0"/>
                      <w:color w:val="auto"/>
                      <w:highlight w:val="none"/>
                      <w:lang w:val="en-US" w:eastAsia="zh-CN" w:bidi="ar"/>
                    </w:rPr>
                    <w:t>1.5m</w:t>
                  </w:r>
                  <w:r>
                    <w:rPr>
                      <w:rStyle w:val="87"/>
                      <w:rFonts w:hint="default" w:ascii="Times New Roman" w:hAnsi="Times New Roman" w:eastAsia="宋体" w:cs="Times New Roman"/>
                      <w:b w:val="0"/>
                      <w:bCs w:val="0"/>
                      <w:color w:val="auto"/>
                      <w:highlight w:val="none"/>
                      <w:lang w:val="en-US" w:eastAsia="zh-CN" w:bidi="ar"/>
                    </w:rPr>
                    <w:t>排气筒</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0.0072</w:t>
                  </w:r>
                </w:p>
              </w:tc>
              <w:tc>
                <w:tcPr>
                  <w:tcW w:w="6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0.00216</w:t>
                  </w:r>
                </w:p>
              </w:tc>
              <w:tc>
                <w:tcPr>
                  <w:tcW w:w="6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0.0018</w:t>
                  </w:r>
                </w:p>
              </w:tc>
              <w:tc>
                <w:tcPr>
                  <w:tcW w:w="6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0.9</w:t>
                  </w:r>
                </w:p>
              </w:tc>
            </w:tr>
          </w:tbl>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综上可知，项目区食堂油烟</w:t>
            </w:r>
            <w:r>
              <w:rPr>
                <w:rFonts w:hint="default" w:ascii="Times New Roman" w:hAnsi="Times New Roman" w:eastAsia="宋体" w:cs="Times New Roman"/>
                <w:color w:val="auto"/>
                <w:sz w:val="24"/>
                <w:szCs w:val="24"/>
                <w:highlight w:val="none"/>
                <w:lang w:val="zh-CN" w:eastAsia="zh-CN"/>
              </w:rPr>
              <w:t>能</w:t>
            </w:r>
            <w:r>
              <w:rPr>
                <w:rFonts w:hint="default" w:ascii="Times New Roman" w:hAnsi="Times New Roman" w:eastAsia="宋体" w:cs="Times New Roman"/>
                <w:color w:val="auto"/>
                <w:sz w:val="24"/>
                <w:szCs w:val="24"/>
                <w:highlight w:val="none"/>
                <w:lang w:val="en-US" w:eastAsia="zh-CN"/>
              </w:rPr>
              <w:t>满足</w:t>
            </w:r>
            <w:r>
              <w:rPr>
                <w:rFonts w:hint="default" w:ascii="Times New Roman" w:hAnsi="Times New Roman" w:eastAsia="宋体" w:cs="Times New Roman"/>
                <w:color w:val="auto"/>
                <w:sz w:val="24"/>
                <w:highlight w:val="none"/>
                <w:lang w:val="en-US" w:eastAsia="zh-CN"/>
              </w:rPr>
              <w:t>《饮食业油烟排放标准（试行）》（GB18483-2001）中的</w:t>
            </w:r>
            <w:r>
              <w:rPr>
                <w:rFonts w:hint="default" w:ascii="Times New Roman" w:hAnsi="Times New Roman" w:eastAsia="宋体" w:cs="Times New Roman"/>
                <w:color w:val="auto"/>
                <w:sz w:val="24"/>
                <w:szCs w:val="24"/>
                <w:highlight w:val="none"/>
                <w:lang w:val="en-US" w:eastAsia="zh-CN"/>
              </w:rPr>
              <w:t>小型规模</w:t>
            </w:r>
            <w:r>
              <w:rPr>
                <w:rFonts w:hint="default" w:ascii="Times New Roman" w:hAnsi="Times New Roman" w:eastAsia="宋体" w:cs="Times New Roman"/>
                <w:color w:val="auto"/>
                <w:sz w:val="24"/>
                <w:szCs w:val="24"/>
                <w:highlight w:val="none"/>
              </w:rPr>
              <w:t>最高允许排放浓度</w:t>
            </w:r>
            <w:r>
              <w:rPr>
                <w:rFonts w:hint="default" w:ascii="Times New Roman" w:hAnsi="Times New Roman" w:eastAsia="宋体" w:cs="Times New Roman"/>
                <w:color w:val="auto"/>
                <w:sz w:val="24"/>
                <w:szCs w:val="24"/>
                <w:highlight w:val="none"/>
                <w:lang w:val="en-US" w:eastAsia="zh-CN"/>
              </w:rPr>
              <w:t>要求</w:t>
            </w:r>
            <w:r>
              <w:rPr>
                <w:rFonts w:hint="default" w:ascii="Times New Roman" w:hAnsi="Times New Roman" w:eastAsia="宋体" w:cs="Times New Roman"/>
                <w:color w:val="auto"/>
                <w:sz w:val="24"/>
                <w:szCs w:val="24"/>
                <w:highlight w:val="none"/>
              </w:rPr>
              <w:t>，即油烟≤</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48" w:lineRule="auto"/>
              <w:ind w:left="0" w:leftChars="0" w:firstLine="506" w:firstLineChars="200"/>
              <w:textAlignment w:val="auto"/>
              <w:outlineLvl w:val="9"/>
              <w:rPr>
                <w:rFonts w:hint="default" w:ascii="Times New Roman" w:hAnsi="Times New Roman" w:eastAsia="宋体" w:cs="Times New Roman"/>
                <w:b/>
                <w:bCs/>
                <w:color w:val="auto"/>
                <w:spacing w:val="6"/>
                <w:kern w:val="2"/>
                <w:sz w:val="24"/>
                <w:szCs w:val="24"/>
                <w:highlight w:val="none"/>
                <w:lang w:val="en-US" w:eastAsia="zh-CN" w:bidi="ar-SA"/>
              </w:rPr>
            </w:pPr>
            <w:r>
              <w:rPr>
                <w:rFonts w:hint="default" w:ascii="Times New Roman" w:hAnsi="Times New Roman" w:eastAsia="宋体" w:cs="Times New Roman"/>
                <w:b/>
                <w:bCs/>
                <w:color w:val="auto"/>
                <w:spacing w:val="6"/>
                <w:kern w:val="2"/>
                <w:sz w:val="24"/>
                <w:szCs w:val="24"/>
                <w:highlight w:val="none"/>
                <w:lang w:val="en-US" w:eastAsia="zh-CN" w:bidi="ar-SA"/>
              </w:rPr>
              <w:t>3）</w:t>
            </w:r>
            <w:r>
              <w:rPr>
                <w:rFonts w:hint="default" w:ascii="Times New Roman" w:hAnsi="Times New Roman" w:eastAsia="宋体" w:cs="Times New Roman"/>
                <w:b/>
                <w:bCs/>
                <w:color w:val="auto"/>
                <w:sz w:val="24"/>
                <w:szCs w:val="24"/>
                <w:highlight w:val="none"/>
                <w:lang w:eastAsia="zh-CN"/>
              </w:rPr>
              <w:t>卫生间、化粪池</w:t>
            </w:r>
            <w:r>
              <w:rPr>
                <w:rFonts w:hint="default" w:ascii="Times New Roman" w:hAnsi="Times New Roman" w:eastAsia="宋体" w:cs="Times New Roman"/>
                <w:b/>
                <w:bCs/>
                <w:color w:val="auto"/>
                <w:sz w:val="24"/>
                <w:szCs w:val="24"/>
                <w:highlight w:val="none"/>
                <w:lang w:val="en-US" w:eastAsia="zh-CN"/>
              </w:rPr>
              <w:t>及一体化污水处理站</w:t>
            </w:r>
            <w:r>
              <w:rPr>
                <w:rFonts w:hint="default" w:ascii="Times New Roman" w:hAnsi="Times New Roman" w:eastAsia="宋体" w:cs="Times New Roman"/>
                <w:b/>
                <w:bCs/>
                <w:color w:val="auto"/>
                <w:sz w:val="24"/>
                <w:szCs w:val="24"/>
                <w:highlight w:val="none"/>
                <w:lang w:eastAsia="zh-CN"/>
              </w:rPr>
              <w:t>异味</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outlineLvl w:val="9"/>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本项目臭气主要来源于</w:t>
            </w:r>
            <w:r>
              <w:rPr>
                <w:rFonts w:hint="default" w:ascii="Times New Roman" w:hAnsi="Times New Roman" w:eastAsia="宋体" w:cs="Times New Roman"/>
                <w:bCs w:val="0"/>
                <w:color w:val="auto"/>
                <w:sz w:val="24"/>
                <w:highlight w:val="none"/>
                <w:lang w:eastAsia="zh-CN"/>
              </w:rPr>
              <w:t>卫生间</w:t>
            </w:r>
            <w:r>
              <w:rPr>
                <w:rFonts w:hint="default" w:ascii="Times New Roman" w:hAnsi="Times New Roman" w:eastAsia="宋体" w:cs="Times New Roman"/>
                <w:color w:val="auto"/>
                <w:sz w:val="24"/>
                <w:szCs w:val="24"/>
                <w:highlight w:val="none"/>
              </w:rPr>
              <w:t>、化</w:t>
            </w:r>
            <w:r>
              <w:rPr>
                <w:rFonts w:hint="default" w:ascii="Times New Roman" w:hAnsi="Times New Roman" w:eastAsia="宋体" w:cs="Times New Roman"/>
                <w:b w:val="0"/>
                <w:bCs w:val="0"/>
                <w:color w:val="auto"/>
                <w:sz w:val="24"/>
                <w:szCs w:val="24"/>
                <w:highlight w:val="none"/>
              </w:rPr>
              <w:t>粪池</w:t>
            </w:r>
            <w:r>
              <w:rPr>
                <w:rFonts w:hint="default" w:ascii="Times New Roman" w:hAnsi="Times New Roman" w:eastAsia="宋体" w:cs="Times New Roman"/>
                <w:b w:val="0"/>
                <w:bCs w:val="0"/>
                <w:color w:val="auto"/>
                <w:sz w:val="24"/>
                <w:szCs w:val="24"/>
                <w:highlight w:val="none"/>
                <w:lang w:val="en-US" w:eastAsia="zh-CN"/>
              </w:rPr>
              <w:t>及一体化污水处理站</w:t>
            </w:r>
            <w:r>
              <w:rPr>
                <w:rFonts w:hint="default" w:ascii="Times New Roman" w:hAnsi="Times New Roman" w:eastAsia="宋体" w:cs="Times New Roman"/>
                <w:b w:val="0"/>
                <w:bCs w:val="0"/>
                <w:color w:val="auto"/>
                <w:sz w:val="24"/>
                <w:szCs w:val="24"/>
                <w:highlight w:val="none"/>
              </w:rPr>
              <w:t>等</w:t>
            </w:r>
            <w:r>
              <w:rPr>
                <w:rFonts w:hint="default" w:ascii="Times New Roman" w:hAnsi="Times New Roman" w:eastAsia="宋体" w:cs="Times New Roman"/>
                <w:color w:val="auto"/>
                <w:sz w:val="24"/>
                <w:szCs w:val="24"/>
                <w:highlight w:val="none"/>
              </w:rPr>
              <w:t>使用过程。</w:t>
            </w:r>
          </w:p>
          <w:p>
            <w:pPr>
              <w:pStyle w:val="9"/>
              <w:keepNext w:val="0"/>
              <w:keepLines w:val="0"/>
              <w:pageBreakBefore w:val="0"/>
              <w:widowControl w:val="0"/>
              <w:kinsoku/>
              <w:wordWrap/>
              <w:overflowPunct/>
              <w:topLinePunct w:val="0"/>
              <w:autoSpaceDE/>
              <w:autoSpaceDN/>
              <w:bidi w:val="0"/>
              <w:adjustRightInd/>
              <w:snapToGrid/>
              <w:spacing w:line="348" w:lineRule="auto"/>
              <w:ind w:firstLine="48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项目产生的生活垃圾</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办公垃圾经项目</w:t>
            </w:r>
            <w:r>
              <w:rPr>
                <w:rFonts w:hint="default" w:ascii="Times New Roman" w:hAnsi="Times New Roman" w:eastAsia="宋体" w:cs="Times New Roman"/>
                <w:color w:val="auto"/>
                <w:sz w:val="24"/>
                <w:szCs w:val="24"/>
                <w:highlight w:val="none"/>
                <w:lang w:eastAsia="zh-CN"/>
              </w:rPr>
              <w:t>带盖</w:t>
            </w:r>
            <w:r>
              <w:rPr>
                <w:rFonts w:hint="default" w:ascii="Times New Roman" w:hAnsi="Times New Roman" w:eastAsia="宋体" w:cs="Times New Roman"/>
                <w:color w:val="auto"/>
                <w:sz w:val="24"/>
                <w:szCs w:val="24"/>
                <w:highlight w:val="none"/>
              </w:rPr>
              <w:t>垃圾桶收集后直接运至</w:t>
            </w:r>
            <w:r>
              <w:rPr>
                <w:rFonts w:hint="default" w:ascii="Times New Roman" w:hAnsi="Times New Roman" w:eastAsia="宋体" w:cs="Times New Roman"/>
                <w:color w:val="auto"/>
                <w:sz w:val="24"/>
                <w:szCs w:val="24"/>
                <w:highlight w:val="none"/>
                <w:lang w:eastAsia="zh-CN"/>
              </w:rPr>
              <w:t>附近</w:t>
            </w:r>
            <w:r>
              <w:rPr>
                <w:rFonts w:hint="default" w:ascii="Times New Roman" w:hAnsi="Times New Roman" w:eastAsia="宋体" w:cs="Times New Roman"/>
                <w:color w:val="auto"/>
                <w:sz w:val="24"/>
                <w:szCs w:val="24"/>
                <w:highlight w:val="none"/>
              </w:rPr>
              <w:t>垃圾收集点，由环卫部门清运处理，生活垃圾日产日清</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highlight w:val="none"/>
                <w:lang w:eastAsia="zh-CN"/>
              </w:rPr>
              <w:t>异味</w:t>
            </w:r>
            <w:r>
              <w:rPr>
                <w:rFonts w:hint="default" w:ascii="Times New Roman" w:hAnsi="Times New Roman" w:eastAsia="宋体" w:cs="Times New Roman"/>
                <w:color w:val="auto"/>
                <w:sz w:val="24"/>
                <w:szCs w:val="24"/>
                <w:highlight w:val="none"/>
              </w:rPr>
              <w:t>产生量较小</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48" w:lineRule="auto"/>
              <w:ind w:firstLine="488" w:firstLineChars="200"/>
              <w:textAlignment w:val="auto"/>
              <w:outlineLvl w:val="9"/>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同时</w:t>
            </w:r>
            <w:r>
              <w:rPr>
                <w:rFonts w:hint="default" w:ascii="Times New Roman" w:hAnsi="Times New Roman" w:eastAsia="宋体" w:cs="Times New Roman"/>
                <w:color w:val="auto"/>
                <w:spacing w:val="2"/>
                <w:sz w:val="24"/>
                <w:szCs w:val="24"/>
                <w:highlight w:val="none"/>
              </w:rPr>
              <w:t>项目</w:t>
            </w:r>
            <w:r>
              <w:rPr>
                <w:rFonts w:hint="default" w:ascii="Times New Roman" w:hAnsi="Times New Roman" w:eastAsia="宋体" w:cs="Times New Roman"/>
                <w:color w:val="auto"/>
                <w:spacing w:val="2"/>
                <w:sz w:val="24"/>
                <w:szCs w:val="24"/>
                <w:highlight w:val="none"/>
                <w:lang w:eastAsia="zh-CN"/>
              </w:rPr>
              <w:t>卫生间、</w:t>
            </w:r>
            <w:r>
              <w:rPr>
                <w:rFonts w:hint="default" w:ascii="Times New Roman" w:hAnsi="Times New Roman" w:eastAsia="宋体" w:cs="Times New Roman"/>
                <w:color w:val="auto"/>
                <w:spacing w:val="2"/>
                <w:sz w:val="24"/>
                <w:szCs w:val="24"/>
                <w:highlight w:val="none"/>
              </w:rPr>
              <w:t>化粪</w:t>
            </w:r>
            <w:r>
              <w:rPr>
                <w:rFonts w:hint="default" w:ascii="Times New Roman" w:hAnsi="Times New Roman" w:eastAsia="宋体" w:cs="Times New Roman"/>
                <w:b w:val="0"/>
                <w:bCs w:val="0"/>
                <w:color w:val="auto"/>
                <w:spacing w:val="2"/>
                <w:sz w:val="24"/>
                <w:szCs w:val="24"/>
                <w:highlight w:val="none"/>
              </w:rPr>
              <w:t>池</w:t>
            </w:r>
            <w:r>
              <w:rPr>
                <w:rFonts w:hint="default" w:ascii="Times New Roman" w:hAnsi="Times New Roman" w:eastAsia="宋体" w:cs="Times New Roman"/>
                <w:b w:val="0"/>
                <w:bCs w:val="0"/>
                <w:color w:val="auto"/>
                <w:sz w:val="24"/>
                <w:szCs w:val="24"/>
                <w:highlight w:val="none"/>
                <w:lang w:val="en-US" w:eastAsia="zh-CN"/>
              </w:rPr>
              <w:t>及一体化污水处理站</w:t>
            </w:r>
            <w:r>
              <w:rPr>
                <w:rFonts w:hint="default" w:ascii="Times New Roman" w:hAnsi="Times New Roman" w:eastAsia="宋体" w:cs="Times New Roman"/>
                <w:b w:val="0"/>
                <w:bCs w:val="0"/>
                <w:color w:val="auto"/>
                <w:spacing w:val="2"/>
                <w:sz w:val="24"/>
                <w:szCs w:val="24"/>
                <w:highlight w:val="none"/>
                <w:lang w:eastAsia="zh-CN"/>
              </w:rPr>
              <w:t>在</w:t>
            </w:r>
            <w:r>
              <w:rPr>
                <w:rFonts w:hint="default" w:ascii="Times New Roman" w:hAnsi="Times New Roman" w:eastAsia="宋体" w:cs="Times New Roman"/>
                <w:b w:val="0"/>
                <w:bCs w:val="0"/>
                <w:color w:val="auto"/>
                <w:spacing w:val="2"/>
                <w:sz w:val="24"/>
                <w:szCs w:val="24"/>
                <w:highlight w:val="none"/>
              </w:rPr>
              <w:t>运营</w:t>
            </w:r>
            <w:r>
              <w:rPr>
                <w:rFonts w:hint="default" w:ascii="Times New Roman" w:hAnsi="Times New Roman" w:eastAsia="宋体" w:cs="Times New Roman"/>
                <w:color w:val="auto"/>
                <w:spacing w:val="2"/>
                <w:sz w:val="24"/>
                <w:szCs w:val="24"/>
                <w:highlight w:val="none"/>
              </w:rPr>
              <w:t>过程中</w:t>
            </w:r>
            <w:r>
              <w:rPr>
                <w:rFonts w:hint="default" w:ascii="Times New Roman" w:hAnsi="Times New Roman" w:eastAsia="宋体" w:cs="Times New Roman"/>
                <w:color w:val="auto"/>
                <w:spacing w:val="2"/>
                <w:sz w:val="24"/>
                <w:szCs w:val="24"/>
                <w:highlight w:val="none"/>
                <w:lang w:eastAsia="zh-CN"/>
              </w:rPr>
              <w:t>由于</w:t>
            </w:r>
            <w:r>
              <w:rPr>
                <w:rFonts w:hint="default" w:ascii="Times New Roman" w:hAnsi="Times New Roman" w:eastAsia="宋体" w:cs="Times New Roman"/>
                <w:color w:val="auto"/>
                <w:spacing w:val="2"/>
                <w:sz w:val="24"/>
                <w:szCs w:val="24"/>
                <w:highlight w:val="none"/>
              </w:rPr>
              <w:t>有机物的分解、发酵过程将</w:t>
            </w:r>
            <w:r>
              <w:rPr>
                <w:rFonts w:hint="default" w:ascii="Times New Roman" w:hAnsi="Times New Roman" w:eastAsia="宋体" w:cs="Times New Roman"/>
                <w:color w:val="auto"/>
                <w:spacing w:val="2"/>
                <w:sz w:val="24"/>
                <w:szCs w:val="24"/>
                <w:highlight w:val="none"/>
                <w:lang w:eastAsia="zh-CN"/>
              </w:rPr>
              <w:t>会</w:t>
            </w:r>
            <w:r>
              <w:rPr>
                <w:rFonts w:hint="default" w:ascii="Times New Roman" w:hAnsi="Times New Roman" w:eastAsia="宋体" w:cs="Times New Roman"/>
                <w:color w:val="auto"/>
                <w:spacing w:val="2"/>
                <w:sz w:val="24"/>
                <w:szCs w:val="24"/>
                <w:highlight w:val="none"/>
              </w:rPr>
              <w:t>产生异味，异味为多组分、低浓度化学物质形成的混合物，其主要成分为氨、硫化</w:t>
            </w:r>
            <w:r>
              <w:rPr>
                <w:rFonts w:hint="default" w:ascii="Times New Roman" w:hAnsi="Times New Roman" w:eastAsia="宋体" w:cs="Times New Roman"/>
                <w:b w:val="0"/>
                <w:bCs w:val="0"/>
                <w:color w:val="auto"/>
                <w:spacing w:val="2"/>
                <w:sz w:val="24"/>
                <w:szCs w:val="24"/>
                <w:highlight w:val="none"/>
              </w:rPr>
              <w:t>氢</w:t>
            </w:r>
            <w:r>
              <w:rPr>
                <w:rFonts w:hint="default" w:ascii="Times New Roman" w:hAnsi="Times New Roman" w:eastAsia="宋体" w:cs="Times New Roman"/>
                <w:b w:val="0"/>
                <w:bCs w:val="0"/>
                <w:color w:val="auto"/>
                <w:spacing w:val="2"/>
                <w:sz w:val="24"/>
                <w:szCs w:val="24"/>
                <w:highlight w:val="none"/>
                <w:lang w:eastAsia="zh-CN"/>
              </w:rPr>
              <w:t>等</w:t>
            </w:r>
            <w:r>
              <w:rPr>
                <w:rFonts w:hint="default" w:ascii="Times New Roman" w:hAnsi="Times New Roman" w:eastAsia="宋体" w:cs="Times New Roman"/>
                <w:b w:val="0"/>
                <w:bCs w:val="0"/>
                <w:color w:val="auto"/>
                <w:spacing w:val="2"/>
                <w:sz w:val="24"/>
                <w:szCs w:val="24"/>
                <w:highlight w:val="none"/>
              </w:rPr>
              <w:t>物质。</w:t>
            </w:r>
            <w:r>
              <w:rPr>
                <w:rFonts w:hint="default" w:ascii="Times New Roman" w:hAnsi="Times New Roman" w:eastAsia="宋体" w:cs="Times New Roman"/>
                <w:b w:val="0"/>
                <w:bCs w:val="0"/>
                <w:color w:val="auto"/>
                <w:spacing w:val="2"/>
                <w:sz w:val="24"/>
                <w:szCs w:val="24"/>
                <w:highlight w:val="none"/>
                <w:lang w:eastAsia="zh-CN"/>
              </w:rPr>
              <w:t>项目</w:t>
            </w:r>
            <w:r>
              <w:rPr>
                <w:rFonts w:hint="default" w:ascii="Times New Roman" w:hAnsi="Times New Roman" w:eastAsia="宋体" w:cs="Times New Roman"/>
                <w:b w:val="0"/>
                <w:bCs w:val="0"/>
                <w:color w:val="auto"/>
                <w:sz w:val="24"/>
                <w:szCs w:val="24"/>
                <w:highlight w:val="none"/>
              </w:rPr>
              <w:t>卫生间为</w:t>
            </w:r>
            <w:r>
              <w:rPr>
                <w:rFonts w:hint="default" w:ascii="Times New Roman" w:hAnsi="Times New Roman" w:eastAsia="宋体" w:cs="Times New Roman"/>
                <w:b w:val="0"/>
                <w:bCs w:val="0"/>
                <w:color w:val="auto"/>
                <w:sz w:val="24"/>
                <w:szCs w:val="24"/>
                <w:highlight w:val="none"/>
                <w:lang w:eastAsia="zh-CN"/>
              </w:rPr>
              <w:t>水冲厕</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eastAsia="zh-CN"/>
              </w:rPr>
              <w:t>设置专人打扫；</w:t>
            </w:r>
            <w:r>
              <w:rPr>
                <w:rFonts w:hint="default" w:ascii="Times New Roman" w:hAnsi="Times New Roman" w:eastAsia="宋体" w:cs="Times New Roman"/>
                <w:b w:val="0"/>
                <w:bCs w:val="0"/>
                <w:color w:val="auto"/>
                <w:spacing w:val="2"/>
                <w:sz w:val="24"/>
                <w:szCs w:val="24"/>
                <w:highlight w:val="none"/>
              </w:rPr>
              <w:t>化粪池</w:t>
            </w:r>
            <w:r>
              <w:rPr>
                <w:rFonts w:hint="default" w:ascii="Times New Roman" w:hAnsi="Times New Roman" w:eastAsia="宋体" w:cs="Times New Roman"/>
                <w:b w:val="0"/>
                <w:bCs w:val="0"/>
                <w:color w:val="auto"/>
                <w:sz w:val="24"/>
                <w:szCs w:val="24"/>
                <w:highlight w:val="none"/>
                <w:lang w:val="en-US" w:eastAsia="zh-CN"/>
              </w:rPr>
              <w:t>及一体化污水处理站</w:t>
            </w:r>
            <w:r>
              <w:rPr>
                <w:rFonts w:hint="default" w:ascii="Times New Roman" w:hAnsi="Times New Roman" w:eastAsia="宋体" w:cs="Times New Roman"/>
                <w:b w:val="0"/>
                <w:bCs w:val="0"/>
                <w:color w:val="auto"/>
                <w:spacing w:val="2"/>
                <w:sz w:val="24"/>
                <w:szCs w:val="24"/>
                <w:highlight w:val="none"/>
                <w:lang w:eastAsia="zh-CN"/>
              </w:rPr>
              <w:t>为</w:t>
            </w:r>
            <w:r>
              <w:rPr>
                <w:rFonts w:hint="default" w:ascii="Times New Roman" w:hAnsi="Times New Roman" w:eastAsia="宋体" w:cs="Times New Roman"/>
                <w:b w:val="0"/>
                <w:bCs w:val="0"/>
                <w:color w:val="auto"/>
                <w:spacing w:val="2"/>
                <w:sz w:val="24"/>
                <w:szCs w:val="24"/>
                <w:highlight w:val="none"/>
              </w:rPr>
              <w:t>全封闭加盖设计</w:t>
            </w:r>
            <w:r>
              <w:rPr>
                <w:rFonts w:hint="default" w:ascii="Times New Roman" w:hAnsi="Times New Roman" w:eastAsia="宋体" w:cs="Times New Roman"/>
                <w:b w:val="0"/>
                <w:bCs w:val="0"/>
                <w:color w:val="auto"/>
                <w:sz w:val="24"/>
                <w:szCs w:val="24"/>
                <w:highlight w:val="none"/>
                <w:lang w:eastAsia="zh-CN"/>
              </w:rPr>
              <w:t>，同时</w:t>
            </w:r>
            <w:r>
              <w:rPr>
                <w:rFonts w:hint="default" w:ascii="Times New Roman" w:hAnsi="Times New Roman" w:eastAsia="宋体" w:cs="Times New Roman"/>
                <w:b w:val="0"/>
                <w:bCs w:val="0"/>
                <w:color w:val="auto"/>
                <w:sz w:val="24"/>
                <w:szCs w:val="24"/>
                <w:highlight w:val="none"/>
              </w:rPr>
              <w:t>加强卫生管理后异味产生量较小，</w:t>
            </w:r>
            <w:r>
              <w:rPr>
                <w:rFonts w:hint="default" w:ascii="Times New Roman" w:hAnsi="Times New Roman" w:eastAsia="宋体" w:cs="Times New Roman"/>
                <w:b w:val="0"/>
                <w:bCs w:val="0"/>
                <w:color w:val="auto"/>
                <w:spacing w:val="2"/>
                <w:sz w:val="24"/>
                <w:szCs w:val="24"/>
                <w:highlight w:val="none"/>
                <w:lang w:eastAsia="zh-CN"/>
              </w:rPr>
              <w:t>呈无组织排放。</w:t>
            </w:r>
          </w:p>
          <w:p>
            <w:pPr>
              <w:pStyle w:val="25"/>
              <w:keepNext w:val="0"/>
              <w:keepLines w:val="0"/>
              <w:pageBreakBefore w:val="0"/>
              <w:widowControl w:val="0"/>
              <w:kinsoku/>
              <w:wordWrap/>
              <w:overflowPunct/>
              <w:topLinePunct w:val="0"/>
              <w:autoSpaceDE/>
              <w:autoSpaceDN/>
              <w:bidi w:val="0"/>
              <w:adjustRightInd w:val="0"/>
              <w:snapToGrid w:val="0"/>
              <w:spacing w:after="0" w:line="348"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项目生产过程生产车间也会产生一定的异味，生产量较小，生产过程加强通风，生产异味呈无组织排放。</w:t>
            </w:r>
          </w:p>
          <w:p>
            <w:pPr>
              <w:pStyle w:val="25"/>
              <w:keepNext w:val="0"/>
              <w:keepLines w:val="0"/>
              <w:pageBreakBefore w:val="0"/>
              <w:widowControl w:val="0"/>
              <w:kinsoku/>
              <w:wordWrap/>
              <w:overflowPunct/>
              <w:topLinePunct w:val="0"/>
              <w:autoSpaceDE/>
              <w:autoSpaceDN/>
              <w:bidi w:val="0"/>
              <w:adjustRightInd w:val="0"/>
              <w:snapToGrid w:val="0"/>
              <w:spacing w:after="0" w:line="348" w:lineRule="auto"/>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非正常排放分析</w:t>
            </w:r>
          </w:p>
          <w:p>
            <w:pPr>
              <w:pStyle w:val="17"/>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项目发生非正常排放，即废气处理设施（</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UV光氧催化+三级活性炭吸附</w:t>
            </w:r>
            <w:r>
              <w:rPr>
                <w:rFonts w:hint="default" w:ascii="Times New Roman" w:hAnsi="Times New Roman" w:eastAsia="宋体" w:cs="Times New Roman"/>
                <w:color w:val="auto"/>
                <w:sz w:val="24"/>
                <w:szCs w:val="24"/>
                <w:highlight w:val="none"/>
              </w:rPr>
              <w:t>装置”</w:t>
            </w:r>
            <w:r>
              <w:rPr>
                <w:rFonts w:hint="default" w:ascii="Times New Roman" w:hAnsi="Times New Roman" w:eastAsia="宋体" w:cs="Times New Roman"/>
                <w:color w:val="auto"/>
                <w:kern w:val="2"/>
                <w:sz w:val="24"/>
                <w:szCs w:val="24"/>
                <w:highlight w:val="none"/>
                <w:lang w:val="en-US" w:eastAsia="zh-CN" w:bidi="ar-SA"/>
              </w:rPr>
              <w:t>）发生故障时，项目区内的废气处理效率下降甚至完全失效，本次环评主要考虑</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UV光氧催化+三级活性炭吸附</w:t>
            </w:r>
            <w:r>
              <w:rPr>
                <w:rFonts w:hint="default" w:ascii="Times New Roman" w:hAnsi="Times New Roman" w:eastAsia="宋体" w:cs="Times New Roman"/>
                <w:color w:val="auto"/>
                <w:sz w:val="24"/>
                <w:szCs w:val="24"/>
                <w:highlight w:val="none"/>
              </w:rPr>
              <w:t>装置”</w:t>
            </w:r>
            <w:r>
              <w:rPr>
                <w:rFonts w:hint="default" w:ascii="Times New Roman" w:hAnsi="Times New Roman" w:eastAsia="宋体" w:cs="Times New Roman"/>
                <w:color w:val="auto"/>
                <w:kern w:val="2"/>
                <w:sz w:val="24"/>
                <w:szCs w:val="24"/>
                <w:highlight w:val="none"/>
                <w:lang w:val="en-US" w:eastAsia="zh-CN" w:bidi="ar-SA"/>
              </w:rPr>
              <w:t>处理效率降至0%。此时DA001排气筒中污染物浓度大幅增加，对周围环境影响较大。项目非正常排放条件下废气排放情况详见表4-5。</w:t>
            </w:r>
          </w:p>
          <w:p>
            <w:pPr>
              <w:pStyle w:val="13"/>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表4-5   项目非正常排放条件下废气排放情况一览表</w:t>
            </w:r>
          </w:p>
          <w:tbl>
            <w:tblPr>
              <w:tblStyle w:val="27"/>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828"/>
              <w:gridCol w:w="907"/>
              <w:gridCol w:w="905"/>
              <w:gridCol w:w="856"/>
              <w:gridCol w:w="798"/>
              <w:gridCol w:w="944"/>
              <w:gridCol w:w="737"/>
              <w:gridCol w:w="699"/>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序号</w:t>
                  </w:r>
                </w:p>
              </w:tc>
              <w:tc>
                <w:tcPr>
                  <w:tcW w:w="493" w:type="pct"/>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污染源</w:t>
                  </w:r>
                </w:p>
              </w:tc>
              <w:tc>
                <w:tcPr>
                  <w:tcW w:w="540" w:type="pct"/>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非正常排放原因</w:t>
                  </w:r>
                </w:p>
              </w:tc>
              <w:tc>
                <w:tcPr>
                  <w:tcW w:w="539" w:type="pct"/>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污染物</w:t>
                  </w:r>
                </w:p>
              </w:tc>
              <w:tc>
                <w:tcPr>
                  <w:tcW w:w="510" w:type="pct"/>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eastAsia="zh-CN"/>
                    </w:rPr>
                    <w:t>非正常排放浓度</w:t>
                  </w:r>
                  <w:r>
                    <w:rPr>
                      <w:rFonts w:hint="default" w:ascii="Times New Roman" w:hAnsi="Times New Roman" w:eastAsia="宋体" w:cs="Times New Roman"/>
                      <w:b/>
                      <w:bCs w:val="0"/>
                      <w:color w:val="auto"/>
                      <w:sz w:val="21"/>
                      <w:szCs w:val="21"/>
                      <w:highlight w:val="none"/>
                      <w:lang w:val="en-US" w:eastAsia="zh-CN"/>
                    </w:rPr>
                    <w:t>/m</w:t>
                  </w:r>
                  <w:r>
                    <w:rPr>
                      <w:rFonts w:hint="default" w:ascii="Times New Roman" w:hAnsi="Times New Roman" w:eastAsia="宋体" w:cs="Times New Roman"/>
                      <w:b/>
                      <w:bCs w:val="0"/>
                      <w:color w:val="auto"/>
                      <w:sz w:val="21"/>
                      <w:szCs w:val="21"/>
                      <w:highlight w:val="none"/>
                      <w:lang w:eastAsia="zh-CN"/>
                    </w:rPr>
                    <w:t>g/m</w:t>
                  </w:r>
                  <w:r>
                    <w:rPr>
                      <w:rFonts w:hint="default" w:ascii="Times New Roman" w:hAnsi="Times New Roman" w:eastAsia="宋体" w:cs="Times New Roman"/>
                      <w:b/>
                      <w:bCs w:val="0"/>
                      <w:color w:val="auto"/>
                      <w:sz w:val="21"/>
                      <w:szCs w:val="21"/>
                      <w:highlight w:val="none"/>
                      <w:vertAlign w:val="superscript"/>
                      <w:lang w:eastAsia="zh-CN"/>
                    </w:rPr>
                    <w:t>3</w:t>
                  </w:r>
                </w:p>
              </w:tc>
              <w:tc>
                <w:tcPr>
                  <w:tcW w:w="475" w:type="pct"/>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eastAsia="zh-CN"/>
                    </w:rPr>
                    <w:t>非正常排放</w:t>
                  </w:r>
                  <w:r>
                    <w:rPr>
                      <w:rFonts w:hint="default" w:ascii="Times New Roman" w:hAnsi="Times New Roman" w:eastAsia="宋体" w:cs="Times New Roman"/>
                      <w:b/>
                      <w:bCs w:val="0"/>
                      <w:color w:val="auto"/>
                      <w:sz w:val="21"/>
                      <w:szCs w:val="21"/>
                      <w:highlight w:val="none"/>
                      <w:lang w:val="en-US" w:eastAsia="zh-CN"/>
                    </w:rPr>
                    <w:t>量t/a</w:t>
                  </w:r>
                </w:p>
              </w:tc>
              <w:tc>
                <w:tcPr>
                  <w:tcW w:w="562" w:type="pct"/>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eastAsia="zh-CN"/>
                    </w:rPr>
                    <w:t>非正常排放速率</w:t>
                  </w:r>
                  <w:r>
                    <w:rPr>
                      <w:rFonts w:hint="default" w:ascii="Times New Roman" w:hAnsi="Times New Roman" w:eastAsia="宋体" w:cs="Times New Roman"/>
                      <w:b/>
                      <w:bCs w:val="0"/>
                      <w:color w:val="auto"/>
                      <w:sz w:val="21"/>
                      <w:szCs w:val="21"/>
                      <w:highlight w:val="none"/>
                      <w:lang w:val="en-US" w:eastAsia="zh-CN"/>
                    </w:rPr>
                    <w:t>/</w:t>
                  </w:r>
                  <w:r>
                    <w:rPr>
                      <w:rFonts w:hint="default" w:ascii="Times New Roman" w:hAnsi="Times New Roman" w:eastAsia="宋体" w:cs="Times New Roman"/>
                      <w:b/>
                      <w:bCs w:val="0"/>
                      <w:color w:val="auto"/>
                      <w:sz w:val="21"/>
                      <w:szCs w:val="21"/>
                      <w:highlight w:val="none"/>
                      <w:lang w:eastAsia="zh-CN"/>
                    </w:rPr>
                    <w:t>kg/h</w:t>
                  </w:r>
                </w:p>
              </w:tc>
              <w:tc>
                <w:tcPr>
                  <w:tcW w:w="439" w:type="pct"/>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eastAsia="zh-CN"/>
                    </w:rPr>
                    <w:t>单次持续时间</w:t>
                  </w:r>
                  <w:r>
                    <w:rPr>
                      <w:rFonts w:hint="default" w:ascii="Times New Roman" w:hAnsi="Times New Roman" w:eastAsia="宋体" w:cs="Times New Roman"/>
                      <w:b/>
                      <w:bCs w:val="0"/>
                      <w:color w:val="auto"/>
                      <w:sz w:val="21"/>
                      <w:szCs w:val="21"/>
                      <w:highlight w:val="none"/>
                      <w:lang w:val="en-US" w:eastAsia="zh-CN"/>
                    </w:rPr>
                    <w:t>/h</w:t>
                  </w:r>
                </w:p>
              </w:tc>
              <w:tc>
                <w:tcPr>
                  <w:tcW w:w="416" w:type="pct"/>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eastAsia="zh-CN"/>
                    </w:rPr>
                    <w:t>年发生频次</w:t>
                  </w:r>
                  <w:r>
                    <w:rPr>
                      <w:rFonts w:hint="default" w:ascii="Times New Roman" w:hAnsi="Times New Roman" w:eastAsia="宋体" w:cs="Times New Roman"/>
                      <w:b/>
                      <w:bCs w:val="0"/>
                      <w:color w:val="auto"/>
                      <w:sz w:val="21"/>
                      <w:szCs w:val="21"/>
                      <w:highlight w:val="none"/>
                      <w:lang w:val="en-US" w:eastAsia="zh-CN"/>
                    </w:rPr>
                    <w:t>/次</w:t>
                  </w:r>
                </w:p>
              </w:tc>
              <w:tc>
                <w:tcPr>
                  <w:tcW w:w="769" w:type="pct"/>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2"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color w:val="auto"/>
                      <w:sz w:val="21"/>
                      <w:szCs w:val="21"/>
                      <w:highlight w:val="none"/>
                    </w:rPr>
                    <w:t>1</w:t>
                  </w:r>
                </w:p>
              </w:tc>
              <w:tc>
                <w:tcPr>
                  <w:tcW w:w="493"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DA001排气筒</w:t>
                  </w:r>
                </w:p>
              </w:tc>
              <w:tc>
                <w:tcPr>
                  <w:tcW w:w="540" w:type="pct"/>
                  <w:vMerge w:val="restart"/>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废气处理设备未及时进行</w:t>
                  </w:r>
                  <w:r>
                    <w:rPr>
                      <w:rFonts w:hint="default" w:ascii="Times New Roman" w:hAnsi="Times New Roman" w:eastAsia="宋体" w:cs="Times New Roman"/>
                      <w:b w:val="0"/>
                      <w:bCs/>
                      <w:color w:val="auto"/>
                      <w:sz w:val="21"/>
                      <w:szCs w:val="21"/>
                      <w:highlight w:val="none"/>
                      <w:lang w:val="en-US" w:eastAsia="zh-CN"/>
                    </w:rPr>
                    <w:t>维护、更换</w:t>
                  </w:r>
                  <w:r>
                    <w:rPr>
                      <w:rFonts w:hint="default" w:ascii="Times New Roman" w:hAnsi="Times New Roman" w:eastAsia="宋体" w:cs="Times New Roman"/>
                      <w:b w:val="0"/>
                      <w:bCs/>
                      <w:color w:val="auto"/>
                      <w:sz w:val="21"/>
                      <w:szCs w:val="21"/>
                      <w:highlight w:val="none"/>
                      <w:lang w:eastAsia="zh-CN"/>
                    </w:rPr>
                    <w:t>或出现故障</w:t>
                  </w:r>
                </w:p>
              </w:tc>
              <w:tc>
                <w:tcPr>
                  <w:tcW w:w="539"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Cs w:val="21"/>
                      <w:highlight w:val="none"/>
                    </w:rPr>
                    <w:t>非甲烷总烃</w:t>
                  </w:r>
                </w:p>
              </w:tc>
              <w:tc>
                <w:tcPr>
                  <w:tcW w:w="51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27.56</w:t>
                  </w:r>
                </w:p>
              </w:tc>
              <w:tc>
                <w:tcPr>
                  <w:tcW w:w="47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10</w:t>
                  </w:r>
                </w:p>
              </w:tc>
              <w:tc>
                <w:tcPr>
                  <w:tcW w:w="56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2.0833</w:t>
                  </w:r>
                </w:p>
              </w:tc>
              <w:tc>
                <w:tcPr>
                  <w:tcW w:w="439" w:type="pct"/>
                  <w:vMerge w:val="restart"/>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w:t>
                  </w:r>
                </w:p>
              </w:tc>
              <w:tc>
                <w:tcPr>
                  <w:tcW w:w="416" w:type="pct"/>
                  <w:vMerge w:val="restart"/>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769" w:type="pct"/>
                  <w:vMerge w:val="restart"/>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及时停止运行，对设备进行检修，待设备更新或修理完毕后再恢复运营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2"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93"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40" w:type="pct"/>
                  <w:vMerge w:val="continue"/>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539" w:type="pct"/>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臭气浓度</w:t>
                  </w:r>
                </w:p>
              </w:tc>
              <w:tc>
                <w:tcPr>
                  <w:tcW w:w="51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1075（无量纲）</w:t>
                  </w:r>
                </w:p>
              </w:tc>
              <w:tc>
                <w:tcPr>
                  <w:tcW w:w="47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w:t>
                  </w:r>
                </w:p>
              </w:tc>
              <w:tc>
                <w:tcPr>
                  <w:tcW w:w="56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w:t>
                  </w:r>
                </w:p>
              </w:tc>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p>
              </w:tc>
              <w:tc>
                <w:tcPr>
                  <w:tcW w:w="416" w:type="pct"/>
                  <w:vMerge w:val="continue"/>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p>
              </w:tc>
              <w:tc>
                <w:tcPr>
                  <w:tcW w:w="769" w:type="pct"/>
                  <w:vMerge w:val="continue"/>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r>
          </w:tbl>
          <w:p>
            <w:pPr>
              <w:pStyle w:val="17"/>
              <w:keepNext w:val="0"/>
              <w:keepLines w:val="0"/>
              <w:pageBreakBefore w:val="0"/>
              <w:widowControl w:val="0"/>
              <w:kinsoku/>
              <w:wordWrap/>
              <w:overflowPunct/>
              <w:topLinePunct w:val="0"/>
              <w:autoSpaceDE/>
              <w:autoSpaceDN/>
              <w:bidi w:val="0"/>
              <w:adjustRightInd/>
              <w:snapToGrid/>
              <w:spacing w:line="356" w:lineRule="auto"/>
              <w:ind w:firstLine="482"/>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根据上表，</w:t>
            </w:r>
            <w:r>
              <w:rPr>
                <w:rFonts w:hint="default" w:ascii="Times New Roman" w:hAnsi="Times New Roman" w:eastAsia="宋体" w:cs="Times New Roman"/>
                <w:color w:val="auto"/>
                <w:sz w:val="24"/>
                <w:highlight w:val="none"/>
              </w:rPr>
              <w:t>非正常情况下</w:t>
            </w:r>
            <w:r>
              <w:rPr>
                <w:rFonts w:hint="default" w:ascii="Times New Roman" w:hAnsi="Times New Roman" w:eastAsia="宋体" w:cs="Times New Roman"/>
                <w:color w:val="auto"/>
                <w:spacing w:val="-3"/>
                <w:sz w:val="24"/>
                <w:highlight w:val="none"/>
                <w:lang w:eastAsia="zh-CN"/>
              </w:rPr>
              <w:t>，</w:t>
            </w:r>
            <w:r>
              <w:rPr>
                <w:rFonts w:hint="default" w:ascii="Times New Roman" w:hAnsi="Times New Roman" w:eastAsia="宋体" w:cs="Times New Roman"/>
                <w:color w:val="auto"/>
                <w:spacing w:val="-3"/>
                <w:sz w:val="24"/>
                <w:highlight w:val="none"/>
              </w:rPr>
              <w:t>即当</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UV光氧催化+三级活性炭吸附</w:t>
            </w:r>
            <w:r>
              <w:rPr>
                <w:rFonts w:hint="default" w:ascii="Times New Roman" w:hAnsi="Times New Roman" w:eastAsia="宋体" w:cs="Times New Roman"/>
                <w:color w:val="auto"/>
                <w:sz w:val="24"/>
                <w:szCs w:val="24"/>
                <w:highlight w:val="none"/>
              </w:rPr>
              <w:t>装置”</w:t>
            </w:r>
            <w:r>
              <w:rPr>
                <w:rFonts w:hint="default" w:ascii="Times New Roman" w:hAnsi="Times New Roman" w:eastAsia="宋体" w:cs="Times New Roman"/>
                <w:color w:val="auto"/>
                <w:spacing w:val="-3"/>
                <w:sz w:val="24"/>
                <w:highlight w:val="none"/>
                <w:lang w:val="en-US" w:eastAsia="zh-CN"/>
              </w:rPr>
              <w:t>处理</w:t>
            </w:r>
            <w:r>
              <w:rPr>
                <w:rFonts w:hint="default" w:ascii="Times New Roman" w:hAnsi="Times New Roman" w:eastAsia="宋体" w:cs="Times New Roman"/>
                <w:color w:val="auto"/>
                <w:spacing w:val="-4"/>
                <w:sz w:val="24"/>
                <w:highlight w:val="none"/>
              </w:rPr>
              <w:t>效率因故障降为</w:t>
            </w:r>
            <w:r>
              <w:rPr>
                <w:rFonts w:hint="default" w:ascii="Times New Roman" w:hAnsi="Times New Roman" w:eastAsia="宋体" w:cs="Times New Roman"/>
                <w:color w:val="auto"/>
                <w:sz w:val="24"/>
                <w:highlight w:val="none"/>
              </w:rPr>
              <w:t>0%的情况</w:t>
            </w:r>
            <w:r>
              <w:rPr>
                <w:rFonts w:hint="default" w:ascii="Times New Roman" w:hAnsi="Times New Roman" w:eastAsia="宋体" w:cs="Times New Roman"/>
                <w:color w:val="auto"/>
                <w:spacing w:val="-9"/>
                <w:sz w:val="24"/>
                <w:highlight w:val="none"/>
              </w:rPr>
              <w:t>，</w:t>
            </w:r>
            <w:r>
              <w:rPr>
                <w:rFonts w:hint="default" w:ascii="Times New Roman" w:hAnsi="Times New Roman" w:eastAsia="宋体" w:cs="Times New Roman"/>
                <w:color w:val="auto"/>
                <w:spacing w:val="-9"/>
                <w:sz w:val="24"/>
                <w:highlight w:val="none"/>
                <w:lang w:val="en-US" w:eastAsia="zh-CN"/>
              </w:rPr>
              <w:t>排气筒中非甲烷总烃</w:t>
            </w:r>
            <w:r>
              <w:rPr>
                <w:rFonts w:hint="default" w:ascii="Times New Roman" w:hAnsi="Times New Roman" w:eastAsia="宋体" w:cs="Times New Roman"/>
                <w:color w:val="auto"/>
                <w:spacing w:val="-3"/>
                <w:sz w:val="24"/>
                <w:highlight w:val="none"/>
              </w:rPr>
              <w:t>排放浓度</w:t>
            </w:r>
            <w:r>
              <w:rPr>
                <w:rFonts w:hint="default" w:ascii="Times New Roman" w:hAnsi="Times New Roman" w:eastAsia="宋体" w:cs="Times New Roman"/>
                <w:color w:val="auto"/>
                <w:spacing w:val="-3"/>
                <w:sz w:val="24"/>
                <w:highlight w:val="none"/>
                <w:lang w:val="en-US" w:eastAsia="zh-CN"/>
              </w:rPr>
              <w:t>能够</w:t>
            </w:r>
            <w:r>
              <w:rPr>
                <w:rFonts w:hint="default" w:ascii="Times New Roman" w:hAnsi="Times New Roman" w:eastAsia="宋体" w:cs="Times New Roman"/>
                <w:color w:val="auto"/>
                <w:spacing w:val="-3"/>
                <w:sz w:val="24"/>
                <w:highlight w:val="none"/>
              </w:rPr>
              <w:t>满足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合成树脂工业污染物排放标准</w:t>
            </w:r>
            <w:r>
              <w:rPr>
                <w:rFonts w:hint="default" w:ascii="Times New Roman" w:hAnsi="Times New Roman" w:eastAsia="宋体" w:cs="Times New Roman"/>
                <w:color w:val="auto"/>
                <w:sz w:val="24"/>
                <w:szCs w:val="24"/>
                <w:highlight w:val="none"/>
              </w:rPr>
              <w:t>》（GB</w:t>
            </w:r>
            <w:r>
              <w:rPr>
                <w:rFonts w:hint="default" w:ascii="Times New Roman" w:hAnsi="Times New Roman" w:eastAsia="宋体" w:cs="Times New Roman"/>
                <w:color w:val="auto"/>
                <w:sz w:val="24"/>
                <w:szCs w:val="24"/>
                <w:highlight w:val="none"/>
                <w:lang w:val="en-US" w:eastAsia="zh-CN"/>
              </w:rPr>
              <w:t>31572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2015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中相关</w:t>
            </w:r>
            <w:r>
              <w:rPr>
                <w:rFonts w:hint="default" w:ascii="Times New Roman" w:hAnsi="Times New Roman" w:eastAsia="宋体" w:cs="Times New Roman"/>
                <w:color w:val="auto"/>
                <w:sz w:val="24"/>
                <w:szCs w:val="24"/>
                <w:highlight w:val="none"/>
                <w:lang w:val="en-US" w:eastAsia="zh-CN"/>
              </w:rPr>
              <w:t>大气污染物排放限值，即：非甲烷总烃≤100mg/m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pacing w:val="-7"/>
                <w:sz w:val="24"/>
                <w:highlight w:val="none"/>
                <w:lang w:eastAsia="zh-CN"/>
              </w:rPr>
              <w:t>；</w:t>
            </w:r>
            <w:r>
              <w:rPr>
                <w:rFonts w:hint="default" w:ascii="Times New Roman" w:hAnsi="Times New Roman" w:eastAsia="宋体" w:cs="Times New Roman"/>
                <w:color w:val="auto"/>
                <w:spacing w:val="-7"/>
                <w:sz w:val="24"/>
                <w:highlight w:val="none"/>
                <w:lang w:val="en-US" w:eastAsia="zh-CN"/>
              </w:rPr>
              <w:t>臭气浓度能够满足</w:t>
            </w:r>
            <w:r>
              <w:rPr>
                <w:rFonts w:hint="default" w:ascii="Times New Roman" w:hAnsi="Times New Roman" w:eastAsia="宋体" w:cs="Times New Roman"/>
                <w:color w:val="auto"/>
                <w:sz w:val="24"/>
                <w:szCs w:val="24"/>
                <w:highlight w:val="none"/>
                <w:lang w:val="zh-CN" w:eastAsia="zh-CN"/>
              </w:rPr>
              <w:t>《恶臭污染物排放标准》（GB14554-93）</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lang w:val="zh-CN" w:eastAsia="zh-CN"/>
              </w:rPr>
              <w:t>标准</w:t>
            </w:r>
            <w:r>
              <w:rPr>
                <w:rFonts w:hint="default" w:ascii="Times New Roman" w:hAnsi="Times New Roman" w:eastAsia="宋体" w:cs="Times New Roman"/>
                <w:color w:val="auto"/>
                <w:sz w:val="24"/>
                <w:szCs w:val="24"/>
                <w:highlight w:val="none"/>
                <w:lang w:val="en-US" w:eastAsia="zh-CN"/>
              </w:rPr>
              <w:t>限值</w:t>
            </w:r>
            <w:r>
              <w:rPr>
                <w:rFonts w:hint="default" w:ascii="Times New Roman" w:hAnsi="Times New Roman" w:eastAsia="宋体" w:cs="Times New Roman"/>
                <w:color w:val="auto"/>
                <w:sz w:val="24"/>
                <w:szCs w:val="24"/>
                <w:highlight w:val="none"/>
                <w:lang w:val="zh-CN" w:eastAsia="zh-CN"/>
              </w:rPr>
              <w:t>要求。</w:t>
            </w:r>
            <w:r>
              <w:rPr>
                <w:rFonts w:hint="default" w:ascii="Times New Roman" w:hAnsi="Times New Roman" w:eastAsia="宋体" w:cs="Times New Roman"/>
                <w:color w:val="auto"/>
                <w:sz w:val="24"/>
                <w:szCs w:val="24"/>
                <w:highlight w:val="none"/>
              </w:rPr>
              <w:t>为了进一步降低生产废气排放对周围环境空气的影响，必须杜绝项目废气的非正常排放，本次评价提出以下建议措施：</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56"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加强管理，明确岗位责任制，定期检查、维修、保养设备及构件，确保各种工艺、电气、设备的正常运转。</w:t>
            </w:r>
          </w:p>
          <w:p>
            <w:pPr>
              <w:keepNext w:val="0"/>
              <w:keepLines w:val="0"/>
              <w:pageBreakBefore w:val="0"/>
              <w:widowControl w:val="0"/>
              <w:kinsoku/>
              <w:wordWrap/>
              <w:overflowPunct/>
              <w:topLinePunct w:val="0"/>
              <w:autoSpaceDE/>
              <w:autoSpaceDN/>
              <w:bidi w:val="0"/>
              <w:adjustRightInd w:val="0"/>
              <w:snapToGrid w:val="0"/>
              <w:spacing w:line="356" w:lineRule="auto"/>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在必要位置设置监控、预警等装置，做到及时发现，及时解决。若出现非正常情况，应及时停产维修，减少废气对大气环境的影响。</w:t>
            </w:r>
          </w:p>
          <w:p>
            <w:pPr>
              <w:keepNext w:val="0"/>
              <w:keepLines w:val="0"/>
              <w:pageBreakBefore w:val="0"/>
              <w:widowControl w:val="0"/>
              <w:kinsoku/>
              <w:wordWrap/>
              <w:overflowPunct/>
              <w:topLinePunct w:val="0"/>
              <w:autoSpaceDE/>
              <w:autoSpaceDN/>
              <w:bidi w:val="0"/>
              <w:adjustRightInd w:val="0"/>
              <w:snapToGrid w:val="0"/>
              <w:spacing w:line="356"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w:t>
            </w:r>
            <w:r>
              <w:rPr>
                <w:rFonts w:hint="default" w:ascii="Times New Roman" w:hAnsi="Times New Roman" w:eastAsia="宋体" w:cs="Times New Roman"/>
                <w:b/>
                <w:color w:val="auto"/>
                <w:sz w:val="24"/>
                <w:szCs w:val="24"/>
                <w:highlight w:val="none"/>
                <w:lang w:val="en-US" w:eastAsia="zh-CN"/>
              </w:rPr>
              <w:t>废气环境</w:t>
            </w:r>
            <w:r>
              <w:rPr>
                <w:rFonts w:hint="default" w:ascii="Times New Roman" w:hAnsi="Times New Roman" w:eastAsia="宋体" w:cs="Times New Roman"/>
                <w:b/>
                <w:color w:val="auto"/>
                <w:sz w:val="24"/>
                <w:szCs w:val="24"/>
                <w:highlight w:val="none"/>
              </w:rPr>
              <w:t>影响分析</w:t>
            </w:r>
          </w:p>
          <w:p>
            <w:pPr>
              <w:keepNext w:val="0"/>
              <w:keepLines w:val="0"/>
              <w:pageBreakBefore w:val="0"/>
              <w:widowControl w:val="0"/>
              <w:kinsoku/>
              <w:wordWrap/>
              <w:overflowPunct/>
              <w:topLinePunct w:val="0"/>
              <w:autoSpaceDE/>
              <w:autoSpaceDN/>
              <w:bidi w:val="0"/>
              <w:adjustRightInd w:val="0"/>
              <w:snapToGrid w:val="0"/>
              <w:spacing w:line="356" w:lineRule="auto"/>
              <w:ind w:firstLine="482"/>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（1）生产废气</w:t>
            </w:r>
          </w:p>
          <w:p>
            <w:pPr>
              <w:keepNext w:val="0"/>
              <w:keepLines w:val="0"/>
              <w:pageBreakBefore w:val="0"/>
              <w:widowControl w:val="0"/>
              <w:kinsoku/>
              <w:wordWrap/>
              <w:overflowPunct/>
              <w:topLinePunct w:val="0"/>
              <w:autoSpaceDE/>
              <w:autoSpaceDN/>
              <w:bidi w:val="0"/>
              <w:adjustRightInd w:val="0"/>
              <w:snapToGrid w:val="0"/>
              <w:spacing w:line="356" w:lineRule="auto"/>
              <w:ind w:firstLine="482"/>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1）大气影响分析</w:t>
            </w:r>
          </w:p>
          <w:p>
            <w:pPr>
              <w:keepNext w:val="0"/>
              <w:keepLines w:val="0"/>
              <w:pageBreakBefore w:val="0"/>
              <w:widowControl/>
              <w:kinsoku/>
              <w:wordWrap/>
              <w:overflowPunct/>
              <w:topLinePunct w:val="0"/>
              <w:autoSpaceDE/>
              <w:autoSpaceDN/>
              <w:bidi w:val="0"/>
              <w:spacing w:line="356" w:lineRule="auto"/>
              <w:ind w:firstLine="480" w:firstLineChars="200"/>
              <w:jc w:val="left"/>
              <w:textAlignment w:val="auto"/>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①有组织废气达标性分析</w:t>
            </w:r>
          </w:p>
          <w:p>
            <w:pPr>
              <w:pStyle w:val="85"/>
              <w:keepNext w:val="0"/>
              <w:keepLines w:val="0"/>
              <w:pageBreakBefore w:val="0"/>
              <w:kinsoku/>
              <w:wordWrap/>
              <w:overflowPunct/>
              <w:topLinePunct w:val="0"/>
              <w:autoSpaceDE/>
              <w:autoSpaceDN/>
              <w:bidi w:val="0"/>
              <w:spacing w:line="356" w:lineRule="auto"/>
              <w:ind w:firstLine="480"/>
              <w:textAlignment w:val="auto"/>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kern w:val="0"/>
                <w:highlight w:val="none"/>
              </w:rPr>
              <w:t>根据废气计算结果对DA001有组织废气进行达标判定。</w:t>
            </w:r>
            <w:r>
              <w:rPr>
                <w:rFonts w:hint="default" w:ascii="Times New Roman" w:hAnsi="Times New Roman" w:eastAsia="宋体" w:cs="Times New Roman"/>
                <w:bCs/>
                <w:color w:val="auto"/>
                <w:szCs w:val="24"/>
                <w:highlight w:val="none"/>
              </w:rPr>
              <w:t>项目有组织生产废气达标情况详见下表</w:t>
            </w:r>
            <w:r>
              <w:rPr>
                <w:rFonts w:hint="default" w:ascii="Times New Roman" w:hAnsi="Times New Roman" w:eastAsia="宋体" w:cs="Times New Roman"/>
                <w:bCs/>
                <w:color w:val="auto"/>
                <w:szCs w:val="24"/>
                <w:highlight w:val="none"/>
                <w:lang w:val="en-US" w:eastAsia="zh-CN"/>
              </w:rPr>
              <w:t>4-6</w:t>
            </w:r>
            <w:r>
              <w:rPr>
                <w:rFonts w:hint="default" w:ascii="Times New Roman" w:hAnsi="Times New Roman" w:eastAsia="宋体" w:cs="Times New Roman"/>
                <w:bCs/>
                <w:color w:val="auto"/>
                <w:szCs w:val="24"/>
                <w:highlight w:val="none"/>
              </w:rPr>
              <w:t>所示。</w:t>
            </w:r>
          </w:p>
          <w:p>
            <w:pPr>
              <w:pStyle w:val="25"/>
              <w:spacing w:after="0"/>
              <w:ind w:left="0" w:leftChars="0" w:firstLine="0" w:firstLineChars="0"/>
              <w:jc w:val="center"/>
              <w:rPr>
                <w:rFonts w:hint="default" w:ascii="Times New Roman" w:hAnsi="Times New Roman" w:eastAsia="宋体" w:cs="Times New Roman"/>
                <w:b/>
                <w:bCs w:val="0"/>
                <w:color w:val="auto"/>
                <w:spacing w:val="0"/>
                <w:kern w:val="0"/>
                <w:sz w:val="21"/>
                <w:szCs w:val="21"/>
                <w:highlight w:val="none"/>
                <w:lang w:bidi="ar"/>
              </w:rPr>
            </w:pPr>
            <w:r>
              <w:rPr>
                <w:rFonts w:hint="default" w:ascii="Times New Roman" w:hAnsi="Times New Roman" w:eastAsia="宋体" w:cs="Times New Roman"/>
                <w:b/>
                <w:bCs w:val="0"/>
                <w:color w:val="auto"/>
                <w:spacing w:val="0"/>
                <w:kern w:val="0"/>
                <w:sz w:val="21"/>
                <w:szCs w:val="21"/>
                <w:highlight w:val="none"/>
                <w:lang w:bidi="ar"/>
              </w:rPr>
              <w:t>表</w:t>
            </w:r>
            <w:r>
              <w:rPr>
                <w:rFonts w:hint="default" w:ascii="Times New Roman" w:hAnsi="Times New Roman" w:eastAsia="宋体" w:cs="Times New Roman"/>
                <w:b/>
                <w:bCs w:val="0"/>
                <w:color w:val="auto"/>
                <w:spacing w:val="0"/>
                <w:kern w:val="0"/>
                <w:sz w:val="21"/>
                <w:szCs w:val="21"/>
                <w:highlight w:val="none"/>
                <w:lang w:val="en-US" w:eastAsia="zh-CN" w:bidi="ar"/>
              </w:rPr>
              <w:t>4-6</w:t>
            </w:r>
            <w:r>
              <w:rPr>
                <w:rFonts w:hint="default" w:ascii="Times New Roman" w:hAnsi="Times New Roman" w:eastAsia="宋体" w:cs="Times New Roman"/>
                <w:b/>
                <w:bCs w:val="0"/>
                <w:color w:val="auto"/>
                <w:spacing w:val="0"/>
                <w:kern w:val="0"/>
                <w:sz w:val="21"/>
                <w:szCs w:val="21"/>
                <w:highlight w:val="none"/>
                <w:lang w:bidi="ar"/>
              </w:rPr>
              <w:t xml:space="preserve">   达标情况分析表</w:t>
            </w:r>
          </w:p>
          <w:tbl>
            <w:tblPr>
              <w:tblStyle w:val="26"/>
              <w:tblW w:w="8523"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088"/>
              <w:gridCol w:w="1219"/>
              <w:gridCol w:w="920"/>
              <w:gridCol w:w="656"/>
              <w:gridCol w:w="1219"/>
              <w:gridCol w:w="871"/>
              <w:gridCol w:w="1219"/>
              <w:gridCol w:w="672"/>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vMerge w:val="restart"/>
                  <w:tcBorders>
                    <w:tl2br w:val="nil"/>
                    <w:tr2bl w:val="nil"/>
                  </w:tcBorders>
                  <w:noWrap w:val="0"/>
                  <w:vAlign w:val="center"/>
                </w:tcPr>
                <w:p>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工程</w:t>
                  </w:r>
                </w:p>
              </w:tc>
              <w:tc>
                <w:tcPr>
                  <w:tcW w:w="1088" w:type="dxa"/>
                  <w:vMerge w:val="restart"/>
                  <w:tcBorders>
                    <w:tl2br w:val="nil"/>
                    <w:tr2bl w:val="nil"/>
                  </w:tcBorders>
                  <w:noWrap w:val="0"/>
                  <w:vAlign w:val="center"/>
                </w:tcPr>
                <w:p>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污染因子</w:t>
                  </w:r>
                </w:p>
              </w:tc>
              <w:tc>
                <w:tcPr>
                  <w:tcW w:w="2139" w:type="dxa"/>
                  <w:gridSpan w:val="2"/>
                  <w:tcBorders>
                    <w:tl2br w:val="nil"/>
                    <w:tr2bl w:val="nil"/>
                  </w:tcBorders>
                  <w:noWrap w:val="0"/>
                  <w:vAlign w:val="center"/>
                </w:tcPr>
                <w:p>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产生情况</w:t>
                  </w:r>
                </w:p>
              </w:tc>
              <w:tc>
                <w:tcPr>
                  <w:tcW w:w="656" w:type="dxa"/>
                  <w:vMerge w:val="restart"/>
                  <w:tcBorders>
                    <w:tl2br w:val="nil"/>
                    <w:tr2bl w:val="nil"/>
                  </w:tcBorders>
                  <w:noWrap w:val="0"/>
                  <w:vAlign w:val="center"/>
                </w:tcPr>
                <w:p>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处理效率%</w:t>
                  </w:r>
                </w:p>
              </w:tc>
              <w:tc>
                <w:tcPr>
                  <w:tcW w:w="2090" w:type="dxa"/>
                  <w:gridSpan w:val="2"/>
                  <w:tcBorders>
                    <w:tl2br w:val="nil"/>
                    <w:tr2bl w:val="nil"/>
                  </w:tcBorders>
                  <w:noWrap w:val="0"/>
                  <w:vAlign w:val="center"/>
                </w:tcPr>
                <w:p>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排放情况</w:t>
                  </w:r>
                </w:p>
              </w:tc>
              <w:tc>
                <w:tcPr>
                  <w:tcW w:w="1219" w:type="dxa"/>
                  <w:vMerge w:val="restart"/>
                  <w:tcBorders>
                    <w:tl2br w:val="nil"/>
                    <w:tr2bl w:val="nil"/>
                  </w:tcBorders>
                  <w:noWrap w:val="0"/>
                  <w:vAlign w:val="center"/>
                </w:tcPr>
                <w:p>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标准值（mg/m</w:t>
                  </w:r>
                  <w:r>
                    <w:rPr>
                      <w:rFonts w:hint="default" w:ascii="Times New Roman" w:hAnsi="Times New Roman" w:eastAsia="宋体" w:cs="Times New Roman"/>
                      <w:b/>
                      <w:bCs w:val="0"/>
                      <w:color w:val="auto"/>
                      <w:szCs w:val="21"/>
                      <w:highlight w:val="none"/>
                      <w:vertAlign w:val="superscript"/>
                    </w:rPr>
                    <w:t>3</w:t>
                  </w:r>
                  <w:r>
                    <w:rPr>
                      <w:rFonts w:hint="default" w:ascii="Times New Roman" w:hAnsi="Times New Roman" w:eastAsia="宋体" w:cs="Times New Roman"/>
                      <w:b/>
                      <w:bCs w:val="0"/>
                      <w:color w:val="auto"/>
                      <w:szCs w:val="21"/>
                      <w:highlight w:val="none"/>
                    </w:rPr>
                    <w:t>）</w:t>
                  </w:r>
                </w:p>
              </w:tc>
              <w:tc>
                <w:tcPr>
                  <w:tcW w:w="672" w:type="dxa"/>
                  <w:vMerge w:val="restart"/>
                  <w:tcBorders>
                    <w:tl2br w:val="nil"/>
                    <w:tr2bl w:val="nil"/>
                  </w:tcBorders>
                  <w:noWrap w:val="0"/>
                  <w:vAlign w:val="center"/>
                </w:tcPr>
                <w:p>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达标情况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vMerge w:val="continue"/>
                  <w:tcBorders>
                    <w:tl2br w:val="nil"/>
                    <w:tr2bl w:val="nil"/>
                  </w:tcBorders>
                  <w:noWrap w:val="0"/>
                  <w:vAlign w:val="center"/>
                </w:tcPr>
                <w:p>
                  <w:pPr>
                    <w:jc w:val="center"/>
                    <w:rPr>
                      <w:rFonts w:hint="default" w:ascii="Times New Roman" w:hAnsi="Times New Roman" w:eastAsia="宋体" w:cs="Times New Roman"/>
                      <w:b/>
                      <w:bCs w:val="0"/>
                      <w:color w:val="auto"/>
                      <w:szCs w:val="21"/>
                      <w:highlight w:val="none"/>
                    </w:rPr>
                  </w:pPr>
                </w:p>
              </w:tc>
              <w:tc>
                <w:tcPr>
                  <w:tcW w:w="1088" w:type="dxa"/>
                  <w:vMerge w:val="continue"/>
                  <w:tcBorders>
                    <w:tl2br w:val="nil"/>
                    <w:tr2bl w:val="nil"/>
                  </w:tcBorders>
                  <w:noWrap w:val="0"/>
                  <w:vAlign w:val="center"/>
                </w:tcPr>
                <w:p>
                  <w:pPr>
                    <w:jc w:val="center"/>
                    <w:rPr>
                      <w:rFonts w:hint="default" w:ascii="Times New Roman" w:hAnsi="Times New Roman" w:eastAsia="宋体" w:cs="Times New Roman"/>
                      <w:b/>
                      <w:bCs w:val="0"/>
                      <w:color w:val="auto"/>
                      <w:szCs w:val="21"/>
                      <w:highlight w:val="none"/>
                    </w:rPr>
                  </w:pPr>
                </w:p>
              </w:tc>
              <w:tc>
                <w:tcPr>
                  <w:tcW w:w="1219" w:type="dxa"/>
                  <w:tcBorders>
                    <w:tl2br w:val="nil"/>
                    <w:tr2bl w:val="nil"/>
                  </w:tcBorders>
                  <w:noWrap w:val="0"/>
                  <w:vAlign w:val="center"/>
                </w:tcPr>
                <w:p>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产生浓度（mg/m</w:t>
                  </w:r>
                  <w:r>
                    <w:rPr>
                      <w:rFonts w:hint="default" w:ascii="Times New Roman" w:hAnsi="Times New Roman" w:eastAsia="宋体" w:cs="Times New Roman"/>
                      <w:b/>
                      <w:bCs w:val="0"/>
                      <w:color w:val="auto"/>
                      <w:szCs w:val="21"/>
                      <w:highlight w:val="none"/>
                      <w:vertAlign w:val="superscript"/>
                    </w:rPr>
                    <w:t>3</w:t>
                  </w:r>
                  <w:r>
                    <w:rPr>
                      <w:rFonts w:hint="default" w:ascii="Times New Roman" w:hAnsi="Times New Roman" w:eastAsia="宋体" w:cs="Times New Roman"/>
                      <w:b/>
                      <w:bCs w:val="0"/>
                      <w:color w:val="auto"/>
                      <w:szCs w:val="21"/>
                      <w:highlight w:val="none"/>
                    </w:rPr>
                    <w:t>）</w:t>
                  </w:r>
                </w:p>
              </w:tc>
              <w:tc>
                <w:tcPr>
                  <w:tcW w:w="920" w:type="dxa"/>
                  <w:tcBorders>
                    <w:tl2br w:val="nil"/>
                    <w:tr2bl w:val="nil"/>
                  </w:tcBorders>
                  <w:noWrap w:val="0"/>
                  <w:vAlign w:val="center"/>
                </w:tcPr>
                <w:p>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产生量（t/a）</w:t>
                  </w:r>
                </w:p>
              </w:tc>
              <w:tc>
                <w:tcPr>
                  <w:tcW w:w="656" w:type="dxa"/>
                  <w:vMerge w:val="continue"/>
                  <w:tcBorders>
                    <w:tl2br w:val="nil"/>
                    <w:tr2bl w:val="nil"/>
                  </w:tcBorders>
                  <w:noWrap w:val="0"/>
                  <w:vAlign w:val="center"/>
                </w:tcPr>
                <w:p>
                  <w:pPr>
                    <w:jc w:val="center"/>
                    <w:rPr>
                      <w:rFonts w:hint="default" w:ascii="Times New Roman" w:hAnsi="Times New Roman" w:eastAsia="宋体" w:cs="Times New Roman"/>
                      <w:b/>
                      <w:bCs w:val="0"/>
                      <w:color w:val="auto"/>
                      <w:szCs w:val="21"/>
                      <w:highlight w:val="none"/>
                    </w:rPr>
                  </w:pPr>
                </w:p>
              </w:tc>
              <w:tc>
                <w:tcPr>
                  <w:tcW w:w="1219" w:type="dxa"/>
                  <w:tcBorders>
                    <w:tl2br w:val="nil"/>
                    <w:tr2bl w:val="nil"/>
                  </w:tcBorders>
                  <w:noWrap w:val="0"/>
                  <w:vAlign w:val="center"/>
                </w:tcPr>
                <w:p>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排放浓度（mg/m</w:t>
                  </w:r>
                  <w:r>
                    <w:rPr>
                      <w:rFonts w:hint="default" w:ascii="Times New Roman" w:hAnsi="Times New Roman" w:eastAsia="宋体" w:cs="Times New Roman"/>
                      <w:b/>
                      <w:bCs w:val="0"/>
                      <w:color w:val="auto"/>
                      <w:szCs w:val="21"/>
                      <w:highlight w:val="none"/>
                      <w:vertAlign w:val="superscript"/>
                    </w:rPr>
                    <w:t>3</w:t>
                  </w:r>
                  <w:r>
                    <w:rPr>
                      <w:rFonts w:hint="default" w:ascii="Times New Roman" w:hAnsi="Times New Roman" w:eastAsia="宋体" w:cs="Times New Roman"/>
                      <w:b/>
                      <w:bCs w:val="0"/>
                      <w:color w:val="auto"/>
                      <w:szCs w:val="21"/>
                      <w:highlight w:val="none"/>
                    </w:rPr>
                    <w:t>）</w:t>
                  </w:r>
                </w:p>
              </w:tc>
              <w:tc>
                <w:tcPr>
                  <w:tcW w:w="871" w:type="dxa"/>
                  <w:tcBorders>
                    <w:tl2br w:val="nil"/>
                    <w:tr2bl w:val="nil"/>
                  </w:tcBorders>
                  <w:noWrap w:val="0"/>
                  <w:vAlign w:val="center"/>
                </w:tcPr>
                <w:p>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排放量（t/a）</w:t>
                  </w:r>
                </w:p>
              </w:tc>
              <w:tc>
                <w:tcPr>
                  <w:tcW w:w="1219" w:type="dxa"/>
                  <w:vMerge w:val="continue"/>
                  <w:tcBorders>
                    <w:tl2br w:val="nil"/>
                    <w:tr2bl w:val="nil"/>
                  </w:tcBorders>
                  <w:noWrap w:val="0"/>
                  <w:vAlign w:val="center"/>
                </w:tcPr>
                <w:p>
                  <w:pPr>
                    <w:jc w:val="center"/>
                    <w:rPr>
                      <w:rFonts w:hint="default" w:ascii="Times New Roman" w:hAnsi="Times New Roman" w:eastAsia="宋体" w:cs="Times New Roman"/>
                      <w:b/>
                      <w:bCs w:val="0"/>
                      <w:color w:val="auto"/>
                      <w:szCs w:val="21"/>
                      <w:highlight w:val="none"/>
                    </w:rPr>
                  </w:pPr>
                </w:p>
              </w:tc>
              <w:tc>
                <w:tcPr>
                  <w:tcW w:w="672" w:type="dxa"/>
                  <w:vMerge w:val="continue"/>
                  <w:tcBorders>
                    <w:tl2br w:val="nil"/>
                    <w:tr2bl w:val="nil"/>
                  </w:tcBorders>
                  <w:noWrap w:val="0"/>
                  <w:vAlign w:val="center"/>
                </w:tcPr>
                <w:p>
                  <w:pPr>
                    <w:jc w:val="center"/>
                    <w:rPr>
                      <w:rFonts w:hint="default" w:ascii="Times New Roman" w:hAnsi="Times New Roman" w:eastAsia="宋体" w:cs="Times New Roman"/>
                      <w:b/>
                      <w:bCs w:val="0"/>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59" w:type="dxa"/>
                  <w:vMerge w:val="restart"/>
                  <w:tcBorders>
                    <w:tl2br w:val="nil"/>
                    <w:tr2bl w:val="nil"/>
                  </w:tcBorders>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rPr>
                    <w:t>DA00</w:t>
                  </w:r>
                  <w:r>
                    <w:rPr>
                      <w:rFonts w:hint="default" w:ascii="Times New Roman" w:hAnsi="Times New Roman" w:eastAsia="宋体" w:cs="Times New Roman"/>
                      <w:bCs/>
                      <w:color w:val="auto"/>
                      <w:szCs w:val="21"/>
                      <w:highlight w:val="none"/>
                      <w:lang w:val="en-US" w:eastAsia="zh-CN"/>
                    </w:rPr>
                    <w:t>1</w:t>
                  </w:r>
                </w:p>
              </w:tc>
              <w:tc>
                <w:tcPr>
                  <w:tcW w:w="1088" w:type="dxa"/>
                  <w:tcBorders>
                    <w:tl2br w:val="nil"/>
                    <w:tr2bl w:val="nil"/>
                  </w:tcBorders>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非甲烷总烃</w:t>
                  </w:r>
                </w:p>
              </w:tc>
              <w:tc>
                <w:tcPr>
                  <w:tcW w:w="12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27.56</w:t>
                  </w:r>
                </w:p>
              </w:tc>
              <w:tc>
                <w:tcPr>
                  <w:tcW w:w="9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bCs/>
                      <w:i w:val="0"/>
                      <w:iCs w:val="0"/>
                      <w:color w:val="auto"/>
                      <w:kern w:val="0"/>
                      <w:sz w:val="21"/>
                      <w:szCs w:val="21"/>
                      <w:highlight w:val="none"/>
                      <w:u w:val="none"/>
                      <w:lang w:val="en-US" w:eastAsia="zh-CN" w:bidi="ar"/>
                    </w:rPr>
                    <w:t>10</w:t>
                  </w:r>
                </w:p>
              </w:tc>
              <w:tc>
                <w:tcPr>
                  <w:tcW w:w="656" w:type="dxa"/>
                  <w:vMerge w:val="restart"/>
                  <w:tcBorders>
                    <w:tl2br w:val="nil"/>
                    <w:tr2bl w:val="nil"/>
                  </w:tcBorders>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78</w:t>
                  </w:r>
                </w:p>
              </w:tc>
              <w:tc>
                <w:tcPr>
                  <w:tcW w:w="12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bCs/>
                      <w:i w:val="0"/>
                      <w:iCs w:val="0"/>
                      <w:color w:val="auto"/>
                      <w:kern w:val="0"/>
                      <w:sz w:val="21"/>
                      <w:szCs w:val="21"/>
                      <w:highlight w:val="none"/>
                      <w:u w:val="none"/>
                      <w:lang w:val="en-US" w:eastAsia="zh-CN" w:bidi="ar"/>
                    </w:rPr>
                    <w:t>6.06</w:t>
                  </w:r>
                </w:p>
              </w:tc>
              <w:tc>
                <w:tcPr>
                  <w:tcW w:w="87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bCs/>
                      <w:i w:val="0"/>
                      <w:iCs w:val="0"/>
                      <w:color w:val="auto"/>
                      <w:kern w:val="0"/>
                      <w:sz w:val="21"/>
                      <w:szCs w:val="21"/>
                      <w:highlight w:val="none"/>
                      <w:u w:val="none"/>
                      <w:lang w:val="en-US" w:eastAsia="zh-CN" w:bidi="ar"/>
                    </w:rPr>
                    <w:t>2.2</w:t>
                  </w:r>
                </w:p>
              </w:tc>
              <w:tc>
                <w:tcPr>
                  <w:tcW w:w="1219" w:type="dxa"/>
                  <w:tcBorders>
                    <w:tl2br w:val="nil"/>
                    <w:tr2bl w:val="nil"/>
                  </w:tcBorders>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100</w:t>
                  </w:r>
                </w:p>
              </w:tc>
              <w:tc>
                <w:tcPr>
                  <w:tcW w:w="672"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Cs/>
                      <w:color w:val="auto"/>
                      <w:highlight w:val="none"/>
                      <w:lang w:val="en-US" w:eastAsia="zh-CN"/>
                    </w:rPr>
                  </w:pPr>
                  <w:r>
                    <w:rPr>
                      <w:rFonts w:hint="default" w:ascii="Times New Roman" w:hAnsi="Times New Roman" w:eastAsia="宋体" w:cs="Times New Roman"/>
                      <w:bCs/>
                      <w:color w:val="auto"/>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59" w:type="dxa"/>
                  <w:vMerge w:val="continue"/>
                  <w:tcBorders>
                    <w:tl2br w:val="nil"/>
                    <w:tr2bl w:val="nil"/>
                  </w:tcBorders>
                  <w:noWrap w:val="0"/>
                  <w:vAlign w:val="center"/>
                </w:tcPr>
                <w:p>
                  <w:pPr>
                    <w:jc w:val="center"/>
                    <w:rPr>
                      <w:rFonts w:hint="default" w:ascii="Times New Roman" w:hAnsi="Times New Roman" w:eastAsia="宋体" w:cs="Times New Roman"/>
                      <w:bCs/>
                      <w:color w:val="auto"/>
                      <w:szCs w:val="21"/>
                      <w:highlight w:val="none"/>
                    </w:rPr>
                  </w:pPr>
                </w:p>
              </w:tc>
              <w:tc>
                <w:tcPr>
                  <w:tcW w:w="1088" w:type="dxa"/>
                  <w:tcBorders>
                    <w:tl2br w:val="nil"/>
                    <w:tr2bl w:val="nil"/>
                  </w:tcBorders>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臭气浓度</w:t>
                  </w:r>
                </w:p>
              </w:tc>
              <w:tc>
                <w:tcPr>
                  <w:tcW w:w="12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1075</w:t>
                  </w:r>
                  <w:r>
                    <w:rPr>
                      <w:rFonts w:hint="default" w:ascii="Times New Roman" w:hAnsi="Times New Roman" w:eastAsia="宋体" w:cs="Times New Roman"/>
                      <w:bCs/>
                      <w:i w:val="0"/>
                      <w:iCs w:val="0"/>
                      <w:color w:val="auto"/>
                      <w:kern w:val="0"/>
                      <w:sz w:val="21"/>
                      <w:szCs w:val="21"/>
                      <w:highlight w:val="none"/>
                      <w:u w:val="none"/>
                      <w:lang w:val="en-US" w:eastAsia="zh-CN" w:bidi="ar"/>
                    </w:rPr>
                    <w:t>（无量纲）</w:t>
                  </w:r>
                </w:p>
              </w:tc>
              <w:tc>
                <w:tcPr>
                  <w:tcW w:w="9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bCs/>
                      <w:i w:val="0"/>
                      <w:iCs w:val="0"/>
                      <w:color w:val="auto"/>
                      <w:kern w:val="0"/>
                      <w:sz w:val="21"/>
                      <w:szCs w:val="21"/>
                      <w:highlight w:val="none"/>
                      <w:u w:val="none"/>
                      <w:lang w:val="en-US" w:eastAsia="zh-CN" w:bidi="ar"/>
                    </w:rPr>
                    <w:t>少量</w:t>
                  </w:r>
                </w:p>
              </w:tc>
              <w:tc>
                <w:tcPr>
                  <w:tcW w:w="656" w:type="dxa"/>
                  <w:vMerge w:val="continue"/>
                  <w:tcBorders>
                    <w:tl2br w:val="nil"/>
                    <w:tr2bl w:val="nil"/>
                  </w:tcBorders>
                  <w:noWrap w:val="0"/>
                  <w:vAlign w:val="center"/>
                </w:tcPr>
                <w:p>
                  <w:pPr>
                    <w:jc w:val="center"/>
                    <w:rPr>
                      <w:rFonts w:hint="default" w:ascii="Times New Roman" w:hAnsi="Times New Roman" w:eastAsia="宋体" w:cs="Times New Roman"/>
                      <w:bCs/>
                      <w:color w:val="auto"/>
                      <w:szCs w:val="21"/>
                      <w:highlight w:val="none"/>
                      <w:lang w:val="en-US" w:eastAsia="zh-CN"/>
                    </w:rPr>
                  </w:pPr>
                </w:p>
              </w:tc>
              <w:tc>
                <w:tcPr>
                  <w:tcW w:w="12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bCs/>
                      <w:i w:val="0"/>
                      <w:iCs w:val="0"/>
                      <w:color w:val="auto"/>
                      <w:kern w:val="0"/>
                      <w:sz w:val="21"/>
                      <w:szCs w:val="21"/>
                      <w:highlight w:val="none"/>
                      <w:u w:val="none"/>
                      <w:lang w:val="en-US" w:eastAsia="zh-CN" w:bidi="ar"/>
                    </w:rPr>
                    <w:t>236.5（无量纲）</w:t>
                  </w:r>
                </w:p>
              </w:tc>
              <w:tc>
                <w:tcPr>
                  <w:tcW w:w="87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bCs/>
                      <w:i w:val="0"/>
                      <w:iCs w:val="0"/>
                      <w:color w:val="auto"/>
                      <w:kern w:val="0"/>
                      <w:sz w:val="21"/>
                      <w:szCs w:val="21"/>
                      <w:highlight w:val="none"/>
                      <w:u w:val="none"/>
                      <w:lang w:val="en-US" w:eastAsia="zh-CN" w:bidi="ar"/>
                    </w:rPr>
                    <w:t>少量</w:t>
                  </w:r>
                </w:p>
              </w:tc>
              <w:tc>
                <w:tcPr>
                  <w:tcW w:w="1219"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2000（</w:t>
                  </w:r>
                  <w:r>
                    <w:rPr>
                      <w:rFonts w:hint="default" w:ascii="Times New Roman" w:hAnsi="Times New Roman" w:eastAsia="宋体" w:cs="Times New Roman"/>
                      <w:bCs/>
                      <w:i w:val="0"/>
                      <w:iCs w:val="0"/>
                      <w:color w:val="auto"/>
                      <w:kern w:val="0"/>
                      <w:sz w:val="21"/>
                      <w:szCs w:val="21"/>
                      <w:highlight w:val="none"/>
                      <w:u w:val="none"/>
                      <w:lang w:val="en-US" w:eastAsia="zh-CN" w:bidi="ar"/>
                    </w:rPr>
                    <w:t>无量纲</w:t>
                  </w:r>
                  <w:r>
                    <w:rPr>
                      <w:rFonts w:hint="default" w:ascii="Times New Roman" w:hAnsi="Times New Roman" w:eastAsia="宋体" w:cs="Times New Roman"/>
                      <w:b w:val="0"/>
                      <w:bCs w:val="0"/>
                      <w:color w:val="auto"/>
                      <w:sz w:val="21"/>
                      <w:szCs w:val="21"/>
                      <w:highlight w:val="none"/>
                      <w:lang w:val="en-US" w:eastAsia="zh-CN"/>
                    </w:rPr>
                    <w:t>）</w:t>
                  </w:r>
                </w:p>
              </w:tc>
              <w:tc>
                <w:tcPr>
                  <w:tcW w:w="672"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Cs/>
                      <w:color w:val="auto"/>
                      <w:highlight w:val="none"/>
                      <w:lang w:val="en-US" w:eastAsia="zh-CN"/>
                    </w:rPr>
                  </w:pPr>
                  <w:r>
                    <w:rPr>
                      <w:rFonts w:hint="default" w:ascii="Times New Roman" w:hAnsi="Times New Roman" w:eastAsia="宋体" w:cs="Times New Roman"/>
                      <w:bCs/>
                      <w:color w:val="auto"/>
                      <w:highlight w:val="none"/>
                      <w:lang w:val="en-US" w:eastAsia="zh-CN"/>
                    </w:rPr>
                    <w:t>达标</w:t>
                  </w:r>
                </w:p>
              </w:tc>
            </w:tr>
          </w:tbl>
          <w:p>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rPr>
            </w:pPr>
            <w:r>
              <w:rPr>
                <w:rFonts w:hint="default" w:ascii="Times New Roman" w:hAnsi="Times New Roman" w:eastAsia="宋体" w:cs="Times New Roman"/>
                <w:color w:val="auto"/>
                <w:kern w:val="0"/>
                <w:sz w:val="24"/>
                <w:szCs w:val="24"/>
                <w:highlight w:val="none"/>
              </w:rPr>
              <w:t>根据</w:t>
            </w:r>
            <w:r>
              <w:rPr>
                <w:rFonts w:hint="default" w:ascii="Times New Roman" w:hAnsi="Times New Roman" w:eastAsia="宋体" w:cs="Times New Roman"/>
                <w:color w:val="auto"/>
                <w:kern w:val="0"/>
                <w:sz w:val="24"/>
                <w:szCs w:val="24"/>
                <w:highlight w:val="none"/>
                <w:lang w:val="en-US" w:eastAsia="zh-CN"/>
              </w:rPr>
              <w:t>上文</w:t>
            </w:r>
            <w:r>
              <w:rPr>
                <w:rFonts w:hint="default" w:ascii="Times New Roman" w:hAnsi="Times New Roman" w:eastAsia="宋体" w:cs="Times New Roman"/>
                <w:color w:val="auto"/>
                <w:kern w:val="0"/>
                <w:sz w:val="24"/>
                <w:szCs w:val="24"/>
                <w:highlight w:val="none"/>
                <w:lang w:eastAsia="zh-CN"/>
              </w:rPr>
              <w:t>污染物核算</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eastAsia="zh-CN"/>
              </w:rPr>
              <w:t>项目</w:t>
            </w:r>
            <w:r>
              <w:rPr>
                <w:rFonts w:hint="default" w:ascii="Times New Roman" w:hAnsi="Times New Roman" w:eastAsia="宋体" w:cs="Times New Roman"/>
                <w:color w:val="auto"/>
                <w:kern w:val="0"/>
                <w:sz w:val="24"/>
                <w:szCs w:val="24"/>
                <w:highlight w:val="none"/>
                <w:lang w:val="en-US" w:eastAsia="zh-CN"/>
              </w:rPr>
              <w:t>DA001排气筒中非甲烷总烃</w:t>
            </w:r>
            <w:r>
              <w:rPr>
                <w:rFonts w:hint="default" w:ascii="Times New Roman" w:hAnsi="Times New Roman" w:eastAsia="宋体" w:cs="Times New Roman"/>
                <w:color w:val="auto"/>
                <w:sz w:val="24"/>
                <w:szCs w:val="24"/>
                <w:highlight w:val="none"/>
              </w:rPr>
              <w:t>排放量为</w:t>
            </w:r>
            <w:r>
              <w:rPr>
                <w:rFonts w:hint="default"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rPr>
              <w:t>t/a，排放速率为</w:t>
            </w:r>
            <w:r>
              <w:rPr>
                <w:rFonts w:hint="default" w:ascii="Times New Roman" w:hAnsi="Times New Roman" w:eastAsia="宋体" w:cs="Times New Roman"/>
                <w:color w:val="auto"/>
                <w:sz w:val="24"/>
                <w:szCs w:val="24"/>
                <w:highlight w:val="none"/>
                <w:lang w:val="en-US" w:eastAsia="zh-CN"/>
              </w:rPr>
              <w:t>0.4583</w:t>
            </w:r>
            <w:r>
              <w:rPr>
                <w:rFonts w:hint="default" w:ascii="Times New Roman" w:hAnsi="Times New Roman" w:eastAsia="宋体" w:cs="Times New Roman"/>
                <w:color w:val="auto"/>
                <w:sz w:val="24"/>
                <w:szCs w:val="24"/>
                <w:highlight w:val="none"/>
              </w:rPr>
              <w:t>kg/h，排放浓度为</w:t>
            </w:r>
            <w:r>
              <w:rPr>
                <w:rFonts w:hint="default" w:ascii="Times New Roman" w:hAnsi="Times New Roman" w:eastAsia="宋体" w:cs="Times New Roman"/>
                <w:color w:val="auto"/>
                <w:sz w:val="24"/>
                <w:szCs w:val="24"/>
                <w:highlight w:val="none"/>
                <w:lang w:val="en-US" w:eastAsia="zh-CN"/>
              </w:rPr>
              <w:t>6.06</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val="en-US" w:eastAsia="zh-CN"/>
              </w:rPr>
              <w:t>；均能够满足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合成树脂工业污染物排放标准</w:t>
            </w:r>
            <w:r>
              <w:rPr>
                <w:rFonts w:hint="default" w:ascii="Times New Roman" w:hAnsi="Times New Roman" w:eastAsia="宋体" w:cs="Times New Roman"/>
                <w:color w:val="auto"/>
                <w:sz w:val="24"/>
                <w:szCs w:val="24"/>
                <w:highlight w:val="none"/>
              </w:rPr>
              <w:t>》（GB</w:t>
            </w:r>
            <w:r>
              <w:rPr>
                <w:rFonts w:hint="default" w:ascii="Times New Roman" w:hAnsi="Times New Roman" w:eastAsia="宋体" w:cs="Times New Roman"/>
                <w:color w:val="auto"/>
                <w:sz w:val="24"/>
                <w:szCs w:val="24"/>
                <w:highlight w:val="none"/>
                <w:lang w:val="en-US" w:eastAsia="zh-CN"/>
              </w:rPr>
              <w:t>31572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2015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中相关</w:t>
            </w:r>
            <w:r>
              <w:rPr>
                <w:rFonts w:hint="default" w:ascii="Times New Roman" w:hAnsi="Times New Roman" w:eastAsia="宋体" w:cs="Times New Roman"/>
                <w:color w:val="auto"/>
                <w:sz w:val="24"/>
                <w:szCs w:val="24"/>
                <w:highlight w:val="none"/>
                <w:lang w:val="en-US" w:eastAsia="zh-CN"/>
              </w:rPr>
              <w:t>大气污染物排放限值</w:t>
            </w:r>
            <w:r>
              <w:rPr>
                <w:rFonts w:hint="default" w:ascii="Times New Roman" w:hAnsi="Times New Roman" w:eastAsia="宋体" w:cs="Times New Roman"/>
                <w:bCs/>
                <w:color w:val="auto"/>
                <w:kern w:val="2"/>
                <w:sz w:val="24"/>
                <w:szCs w:val="24"/>
                <w:highlight w:val="none"/>
                <w:vertAlign w:val="baseline"/>
                <w:lang w:val="en-US" w:eastAsia="zh-CN" w:bidi="ar-SA"/>
              </w:rPr>
              <w:t>，即非甲烷总烃</w:t>
            </w:r>
            <w:r>
              <w:rPr>
                <w:rFonts w:hint="default" w:ascii="Times New Roman" w:hAnsi="Times New Roman" w:eastAsia="宋体" w:cs="Times New Roman"/>
                <w:color w:val="auto"/>
                <w:sz w:val="24"/>
                <w:szCs w:val="24"/>
                <w:highlight w:val="none"/>
                <w:lang w:val="en-US" w:eastAsia="zh-CN"/>
              </w:rPr>
              <w:t>有组织</w:t>
            </w:r>
            <w:r>
              <w:rPr>
                <w:rFonts w:hint="default" w:ascii="Times New Roman" w:hAnsi="Times New Roman" w:eastAsia="宋体" w:cs="Times New Roman"/>
                <w:color w:val="auto"/>
                <w:sz w:val="24"/>
                <w:szCs w:val="24"/>
                <w:highlight w:val="none"/>
              </w:rPr>
              <w:t>最高允许排</w:t>
            </w:r>
            <w:r>
              <w:rPr>
                <w:rFonts w:hint="default" w:ascii="Times New Roman" w:hAnsi="Times New Roman" w:eastAsia="宋体" w:cs="Times New Roman"/>
                <w:color w:val="auto"/>
                <w:sz w:val="24"/>
                <w:szCs w:val="24"/>
                <w:highlight w:val="none"/>
                <w:lang w:eastAsia="zh-CN"/>
              </w:rPr>
              <w:t>放</w:t>
            </w:r>
            <w:r>
              <w:rPr>
                <w:rFonts w:hint="default" w:ascii="Times New Roman" w:hAnsi="Times New Roman" w:eastAsia="宋体" w:cs="Times New Roman"/>
                <w:color w:val="auto"/>
                <w:sz w:val="24"/>
                <w:szCs w:val="24"/>
                <w:highlight w:val="none"/>
              </w:rPr>
              <w:t>浓度</w:t>
            </w:r>
            <w:r>
              <w:rPr>
                <w:rFonts w:hint="default" w:ascii="Times New Roman" w:hAnsi="Times New Roman" w:eastAsia="宋体" w:cs="Times New Roman"/>
                <w:color w:val="auto"/>
                <w:sz w:val="24"/>
                <w:szCs w:val="24"/>
                <w:highlight w:val="none"/>
                <w:lang w:val="en-US" w:eastAsia="zh-CN"/>
              </w:rPr>
              <w:t>≤100</w:t>
            </w:r>
            <w:r>
              <w:rPr>
                <w:rFonts w:hint="default" w:ascii="Times New Roman" w:hAnsi="Times New Roman" w:eastAsia="宋体" w:cs="Times New Roman"/>
                <w:color w:val="auto"/>
                <w:sz w:val="24"/>
                <w:szCs w:val="24"/>
                <w:highlight w:val="none"/>
              </w:rPr>
              <w:t>mg/m³</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DA001排气筒中臭气浓度</w:t>
            </w:r>
            <w:r>
              <w:rPr>
                <w:rFonts w:hint="default" w:ascii="Times New Roman" w:hAnsi="Times New Roman" w:eastAsia="宋体" w:cs="Times New Roman"/>
                <w:color w:val="auto"/>
                <w:kern w:val="0"/>
                <w:sz w:val="24"/>
                <w:szCs w:val="24"/>
                <w:lang w:val="en-US" w:eastAsia="zh-CN" w:bidi="ar-SA"/>
              </w:rPr>
              <w:t>满足《恶臭污染物排放标准》（GB14554-93）表2中二级恶臭污染物排放标准要求（2000（无量纲））。</w:t>
            </w:r>
          </w:p>
          <w:p>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②</w:t>
            </w:r>
            <w:r>
              <w:rPr>
                <w:rFonts w:hint="default" w:ascii="Times New Roman" w:hAnsi="Times New Roman" w:eastAsia="宋体" w:cs="Times New Roman"/>
                <w:b w:val="0"/>
                <w:bCs w:val="0"/>
                <w:color w:val="auto"/>
                <w:kern w:val="0"/>
                <w:sz w:val="24"/>
                <w:szCs w:val="24"/>
                <w:highlight w:val="none"/>
              </w:rPr>
              <w:t>单位产品非甲烷总烃排放量</w:t>
            </w:r>
            <w:r>
              <w:rPr>
                <w:rFonts w:hint="default" w:ascii="Times New Roman" w:hAnsi="Times New Roman" w:eastAsia="宋体" w:cs="Times New Roman"/>
                <w:b w:val="0"/>
                <w:bCs w:val="0"/>
                <w:color w:val="auto"/>
                <w:kern w:val="0"/>
                <w:sz w:val="24"/>
                <w:highlight w:val="none"/>
              </w:rPr>
              <w:t>达标情况分析</w:t>
            </w:r>
          </w:p>
          <w:p>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单位产品非甲烷总烃含量根据《合成树脂工业污染物排放标准》（GB31572-2015）附录B公式计算：</w:t>
            </w:r>
          </w:p>
          <w:p>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drawing>
                <wp:anchor distT="0" distB="0" distL="114300" distR="114300" simplePos="0" relativeHeight="251669504" behindDoc="0" locked="0" layoutInCell="1" allowOverlap="1">
                  <wp:simplePos x="0" y="0"/>
                  <wp:positionH relativeFrom="column">
                    <wp:posOffset>505460</wp:posOffset>
                  </wp:positionH>
                  <wp:positionV relativeFrom="paragraph">
                    <wp:posOffset>10160</wp:posOffset>
                  </wp:positionV>
                  <wp:extent cx="1844040" cy="616585"/>
                  <wp:effectExtent l="0" t="0" r="3810" b="12065"/>
                  <wp:wrapSquare wrapText="bothSides"/>
                  <wp:docPr id="15" name="图片 26" descr="1628845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6" descr="1628845270(1)"/>
                          <pic:cNvPicPr>
                            <a:picLocks noChangeAspect="1"/>
                          </pic:cNvPicPr>
                        </pic:nvPicPr>
                        <pic:blipFill>
                          <a:blip r:embed="rId30"/>
                          <a:srcRect l="29050" t="14525"/>
                          <a:stretch>
                            <a:fillRect/>
                          </a:stretch>
                        </pic:blipFill>
                        <pic:spPr>
                          <a:xfrm>
                            <a:off x="0" y="0"/>
                            <a:ext cx="1844040" cy="616585"/>
                          </a:xfrm>
                          <a:prstGeom prst="rect">
                            <a:avLst/>
                          </a:prstGeom>
                          <a:noFill/>
                          <a:ln>
                            <a:noFill/>
                          </a:ln>
                        </pic:spPr>
                      </pic:pic>
                    </a:graphicData>
                  </a:graphic>
                </wp:anchor>
              </w:drawing>
            </w:r>
          </w:p>
          <w:p>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p>
          <w:p>
            <w:pPr>
              <w:pStyle w:val="2"/>
              <w:rPr>
                <w:rFonts w:hint="default" w:ascii="Times New Roman" w:hAnsi="Times New Roman" w:eastAsia="宋体" w:cs="Times New Roman"/>
                <w:color w:val="auto"/>
              </w:rPr>
            </w:pP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式中：</w:t>
            </w:r>
            <w:r>
              <w:rPr>
                <w:rFonts w:hint="default" w:ascii="Times New Roman" w:hAnsi="Times New Roman" w:eastAsia="宋体" w:cs="Times New Roman"/>
                <w:i/>
                <w:iCs/>
                <w:color w:val="auto"/>
                <w:kern w:val="0"/>
                <w:sz w:val="24"/>
                <w:highlight w:val="none"/>
              </w:rPr>
              <w:t>A</w:t>
            </w:r>
            <w:r>
              <w:rPr>
                <w:rFonts w:hint="default" w:ascii="Times New Roman" w:hAnsi="Times New Roman" w:eastAsia="宋体" w:cs="Times New Roman"/>
                <w:color w:val="auto"/>
                <w:kern w:val="0"/>
                <w:sz w:val="24"/>
                <w:highlight w:val="none"/>
              </w:rPr>
              <w:t>—单位合成树脂产品非甲烷总烃排放量，kg/t-产品；</w:t>
            </w:r>
          </w:p>
          <w:p>
            <w:pPr>
              <w:keepNext w:val="0"/>
              <w:keepLines w:val="0"/>
              <w:pageBreakBefore w:val="0"/>
              <w:widowControl w:val="0"/>
              <w:kinsoku/>
              <w:wordWrap/>
              <w:overflowPunct/>
              <w:topLinePunct w:val="0"/>
              <w:autoSpaceDE/>
              <w:autoSpaceDN/>
              <w:bidi w:val="0"/>
              <w:adjustRightInd w:val="0"/>
              <w:snapToGrid w:val="0"/>
              <w:spacing w:line="351" w:lineRule="auto"/>
              <w:ind w:firstLine="960" w:firstLineChars="4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C实—排气筒中非甲烷总烃实测浓度，mg/m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val="en-US" w:eastAsia="zh-CN"/>
              </w:rPr>
              <w:t>生产DA001排气筒中非甲烷总烃浓度</w:t>
            </w:r>
            <w:r>
              <w:rPr>
                <w:rFonts w:hint="default" w:ascii="Times New Roman" w:hAnsi="Times New Roman" w:eastAsia="宋体" w:cs="Times New Roman"/>
                <w:color w:val="auto"/>
                <w:kern w:val="0"/>
                <w:sz w:val="24"/>
                <w:highlight w:val="none"/>
              </w:rPr>
              <w:t>取</w:t>
            </w:r>
            <w:r>
              <w:rPr>
                <w:rFonts w:hint="default" w:ascii="Times New Roman" w:hAnsi="Times New Roman" w:eastAsia="宋体" w:cs="Times New Roman"/>
                <w:color w:val="auto"/>
                <w:kern w:val="0"/>
                <w:sz w:val="24"/>
                <w:highlight w:val="none"/>
                <w:lang w:val="en-US" w:eastAsia="zh-CN"/>
              </w:rPr>
              <w:t>6.06</w:t>
            </w:r>
            <w:r>
              <w:rPr>
                <w:rFonts w:hint="default" w:ascii="Times New Roman" w:hAnsi="Times New Roman" w:eastAsia="宋体" w:cs="Times New Roman"/>
                <w:color w:val="auto"/>
                <w:kern w:val="0"/>
                <w:sz w:val="24"/>
                <w:highlight w:val="none"/>
              </w:rPr>
              <w:t>mg/m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w:t>
            </w:r>
          </w:p>
          <w:p>
            <w:pPr>
              <w:keepNext w:val="0"/>
              <w:keepLines w:val="0"/>
              <w:pageBreakBefore w:val="0"/>
              <w:widowControl w:val="0"/>
              <w:kinsoku/>
              <w:wordWrap/>
              <w:overflowPunct/>
              <w:topLinePunct w:val="0"/>
              <w:autoSpaceDE/>
              <w:autoSpaceDN/>
              <w:bidi w:val="0"/>
              <w:adjustRightInd w:val="0"/>
              <w:snapToGrid w:val="0"/>
              <w:spacing w:line="351" w:lineRule="auto"/>
              <w:ind w:firstLine="960" w:firstLineChars="400"/>
              <w:textAlignment w:val="auto"/>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rPr>
              <w:t>Q—排气筒单位事件内排气量，m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/h；</w:t>
            </w:r>
            <w:r>
              <w:rPr>
                <w:rFonts w:hint="default" w:ascii="Times New Roman" w:hAnsi="Times New Roman" w:eastAsia="宋体" w:cs="Times New Roman"/>
                <w:color w:val="auto"/>
                <w:kern w:val="0"/>
                <w:sz w:val="24"/>
                <w:highlight w:val="none"/>
                <w:lang w:val="en-US" w:eastAsia="zh-CN"/>
              </w:rPr>
              <w:t>生产DA001排气筒风量为75600</w:t>
            </w:r>
            <w:r>
              <w:rPr>
                <w:rFonts w:hint="default" w:ascii="Times New Roman" w:hAnsi="Times New Roman" w:eastAsia="宋体" w:cs="Times New Roman"/>
                <w:color w:val="auto"/>
                <w:kern w:val="0"/>
                <w:sz w:val="24"/>
                <w:highlight w:val="none"/>
              </w:rPr>
              <w:t>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/h</w:t>
            </w:r>
            <w:r>
              <w:rPr>
                <w:rFonts w:hint="default" w:ascii="Times New Roman" w:hAnsi="Times New Roman" w:eastAsia="宋体" w:cs="Times New Roman"/>
                <w:color w:val="auto"/>
                <w:kern w:val="0"/>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51" w:lineRule="auto"/>
              <w:ind w:firstLine="960" w:firstLineChars="4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rPr>
              <w:t>T产—单位时间内合成树脂的产量，t/h；</w:t>
            </w:r>
            <w:r>
              <w:rPr>
                <w:rFonts w:hint="default" w:ascii="Times New Roman" w:hAnsi="Times New Roman" w:eastAsia="宋体" w:cs="Times New Roman"/>
                <w:color w:val="auto"/>
                <w:kern w:val="0"/>
                <w:sz w:val="24"/>
                <w:highlight w:val="none"/>
                <w:lang w:val="en-US" w:eastAsia="zh-CN"/>
              </w:rPr>
              <w:t>项目年生产4800h，本项目</w:t>
            </w:r>
            <w:r>
              <w:rPr>
                <w:rFonts w:hint="default" w:ascii="Times New Roman" w:hAnsi="Times New Roman" w:eastAsia="宋体" w:cs="Times New Roman"/>
                <w:color w:val="auto"/>
                <w:kern w:val="0"/>
                <w:sz w:val="24"/>
                <w:highlight w:val="none"/>
              </w:rPr>
              <w:t>年产</w:t>
            </w:r>
            <w:r>
              <w:rPr>
                <w:rFonts w:hint="default" w:ascii="Times New Roman" w:hAnsi="Times New Roman" w:eastAsia="宋体" w:cs="Times New Roman"/>
                <w:color w:val="auto"/>
                <w:kern w:val="0"/>
                <w:sz w:val="24"/>
                <w:highlight w:val="none"/>
                <w:lang w:val="en-US" w:eastAsia="zh-CN"/>
              </w:rPr>
              <w:t>5000t塑料薄膜</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val="en-US" w:eastAsia="zh-CN"/>
              </w:rPr>
              <w:t>即1.042t/h；</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rPr>
              <w:t>根据上式计算得</w:t>
            </w:r>
            <w:r>
              <w:rPr>
                <w:rFonts w:hint="default" w:ascii="Times New Roman" w:hAnsi="Times New Roman" w:eastAsia="宋体" w:cs="Times New Roman"/>
                <w:color w:val="auto"/>
                <w:kern w:val="0"/>
                <w:sz w:val="24"/>
                <w:highlight w:val="none"/>
                <w:lang w:val="en-US" w:eastAsia="zh-CN"/>
              </w:rPr>
              <w:t>本项目</w:t>
            </w:r>
            <w:r>
              <w:rPr>
                <w:rFonts w:hint="default" w:ascii="Times New Roman" w:hAnsi="Times New Roman" w:eastAsia="宋体" w:cs="Times New Roman"/>
                <w:color w:val="auto"/>
                <w:kern w:val="0"/>
                <w:sz w:val="24"/>
                <w:highlight w:val="none"/>
              </w:rPr>
              <w:t>单位产品非甲烷总烃排放量为</w:t>
            </w:r>
            <w:r>
              <w:rPr>
                <w:rFonts w:hint="default" w:ascii="Times New Roman" w:hAnsi="Times New Roman" w:eastAsia="宋体" w:cs="Times New Roman"/>
                <w:color w:val="auto"/>
                <w:kern w:val="0"/>
                <w:sz w:val="24"/>
                <w:highlight w:val="none"/>
                <w:lang w:val="en-US" w:eastAsia="zh-CN"/>
              </w:rPr>
              <w:t>0.4397</w:t>
            </w:r>
            <w:r>
              <w:rPr>
                <w:rFonts w:hint="default" w:ascii="Times New Roman" w:hAnsi="Times New Roman" w:eastAsia="宋体" w:cs="Times New Roman"/>
                <w:color w:val="auto"/>
                <w:kern w:val="0"/>
                <w:sz w:val="24"/>
                <w:highlight w:val="none"/>
              </w:rPr>
              <w:t>kg/t-产品</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能满足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合成树脂工业污染物排放标准</w:t>
            </w:r>
            <w:r>
              <w:rPr>
                <w:rFonts w:hint="default" w:ascii="Times New Roman" w:hAnsi="Times New Roman" w:eastAsia="宋体" w:cs="Times New Roman"/>
                <w:color w:val="auto"/>
                <w:sz w:val="24"/>
                <w:szCs w:val="24"/>
                <w:highlight w:val="none"/>
              </w:rPr>
              <w:t>》（GB</w:t>
            </w:r>
            <w:r>
              <w:rPr>
                <w:rFonts w:hint="default" w:ascii="Times New Roman" w:hAnsi="Times New Roman" w:eastAsia="宋体" w:cs="Times New Roman"/>
                <w:color w:val="auto"/>
                <w:sz w:val="24"/>
                <w:szCs w:val="24"/>
                <w:highlight w:val="none"/>
                <w:lang w:val="en-US" w:eastAsia="zh-CN"/>
              </w:rPr>
              <w:t>31572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2015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中</w:t>
            </w:r>
            <w:r>
              <w:rPr>
                <w:rFonts w:hint="default" w:ascii="Times New Roman" w:hAnsi="Times New Roman" w:eastAsia="宋体" w:cs="Times New Roman"/>
                <w:color w:val="auto"/>
                <w:sz w:val="24"/>
                <w:szCs w:val="24"/>
                <w:highlight w:val="none"/>
              </w:rPr>
              <w:t>单位产品非甲烷总烃排放量</w:t>
            </w:r>
            <w:r>
              <w:rPr>
                <w:rFonts w:hint="default" w:ascii="Times New Roman" w:hAnsi="Times New Roman" w:eastAsia="宋体" w:cs="Times New Roman"/>
                <w:color w:val="auto"/>
                <w:sz w:val="24"/>
                <w:szCs w:val="24"/>
                <w:highlight w:val="none"/>
                <w:lang w:val="en-US" w:eastAsia="zh-CN"/>
              </w:rPr>
              <w:t>满足0.5</w:t>
            </w:r>
            <w:r>
              <w:rPr>
                <w:rFonts w:hint="default" w:ascii="Times New Roman" w:hAnsi="Times New Roman" w:eastAsia="宋体" w:cs="Times New Roman"/>
                <w:color w:val="auto"/>
                <w:sz w:val="24"/>
                <w:szCs w:val="24"/>
                <w:highlight w:val="none"/>
              </w:rPr>
              <w:t>kg/t产品</w:t>
            </w:r>
            <w:r>
              <w:rPr>
                <w:rFonts w:hint="default" w:ascii="Times New Roman" w:hAnsi="Times New Roman" w:eastAsia="宋体" w:cs="Times New Roman"/>
                <w:color w:val="auto"/>
                <w:sz w:val="24"/>
                <w:szCs w:val="24"/>
                <w:highlight w:val="none"/>
                <w:lang w:val="en-US" w:eastAsia="zh-CN"/>
              </w:rPr>
              <w:t>的要求。</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③无组织废气达标分析</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rPr>
              <w:t>本环评采用AERSCREEN模型估算</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项目建成后排放的污染物对周围环境的影响，估算模式为国家环境保护部工程评估中心环境质量模拟重点实验室提供。根据估算模式估算结果，项目无</w:t>
            </w:r>
            <w:r>
              <w:rPr>
                <w:rFonts w:hint="default" w:ascii="Times New Roman" w:hAnsi="Times New Roman" w:eastAsia="宋体" w:cs="Times New Roman"/>
                <w:color w:val="auto"/>
                <w:sz w:val="24"/>
                <w:highlight w:val="none"/>
              </w:rPr>
              <w:t>组织</w:t>
            </w:r>
            <w:r>
              <w:rPr>
                <w:rFonts w:hint="default" w:ascii="Times New Roman" w:hAnsi="Times New Roman" w:eastAsia="宋体" w:cs="Times New Roman"/>
                <w:color w:val="auto"/>
                <w:sz w:val="24"/>
                <w:szCs w:val="24"/>
                <w:highlight w:val="none"/>
              </w:rPr>
              <w:t>排放的污染物最大地面落地浓度距源距离为源下风向</w:t>
            </w:r>
            <w:r>
              <w:rPr>
                <w:rFonts w:hint="default" w:ascii="Times New Roman" w:hAnsi="Times New Roman" w:eastAsia="宋体" w:cs="Times New Roman"/>
                <w:color w:val="auto"/>
                <w:sz w:val="24"/>
                <w:szCs w:val="24"/>
                <w:highlight w:val="none"/>
                <w:lang w:val="en-US" w:eastAsia="zh-CN"/>
              </w:rPr>
              <w:t>67</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lang w:val="en-US" w:eastAsia="zh-CN"/>
              </w:rPr>
              <w:t>无组织非甲烷总烃</w:t>
            </w:r>
            <w:r>
              <w:rPr>
                <w:rFonts w:hint="default" w:ascii="Times New Roman" w:hAnsi="Times New Roman" w:eastAsia="宋体" w:cs="Times New Roman"/>
                <w:iCs/>
                <w:color w:val="auto"/>
                <w:sz w:val="24"/>
                <w:szCs w:val="24"/>
                <w:highlight w:val="none"/>
              </w:rPr>
              <w:t>最大落地浓度为</w:t>
            </w:r>
            <w:r>
              <w:rPr>
                <w:rFonts w:hint="default" w:ascii="Times New Roman" w:hAnsi="Times New Roman" w:eastAsia="宋体" w:cs="Times New Roman"/>
                <w:color w:val="auto"/>
                <w:sz w:val="24"/>
                <w:szCs w:val="24"/>
                <w:highlight w:val="none"/>
                <w:vertAlign w:val="baseline"/>
                <w:lang w:val="en-US" w:eastAsia="zh-CN"/>
              </w:rPr>
              <w:t>0.095m</w:t>
            </w:r>
            <w:r>
              <w:rPr>
                <w:rFonts w:hint="default" w:ascii="Times New Roman" w:hAnsi="Times New Roman" w:eastAsia="宋体" w:cs="Times New Roman"/>
                <w:color w:val="auto"/>
                <w:sz w:val="24"/>
                <w:szCs w:val="24"/>
                <w:highlight w:val="none"/>
              </w:rPr>
              <w:t>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vertAlign w:val="baseline"/>
                <w:lang w:val="en-US" w:eastAsia="zh-CN"/>
              </w:rPr>
              <w:t>占标率为4.7%</w:t>
            </w:r>
            <w:r>
              <w:rPr>
                <w:rFonts w:hint="default" w:ascii="Times New Roman" w:hAnsi="Times New Roman" w:eastAsia="宋体" w:cs="Times New Roman"/>
                <w:iCs/>
                <w:color w:val="auto"/>
                <w:sz w:val="24"/>
                <w:szCs w:val="24"/>
                <w:highlight w:val="none"/>
                <w:lang w:eastAsia="zh-CN"/>
              </w:rPr>
              <w:t>。</w:t>
            </w:r>
            <w:r>
              <w:rPr>
                <w:rFonts w:hint="default" w:ascii="Times New Roman" w:hAnsi="Times New Roman" w:eastAsia="宋体" w:cs="Times New Roman"/>
                <w:color w:val="auto"/>
                <w:sz w:val="24"/>
                <w:highlight w:val="none"/>
              </w:rPr>
              <w:t>无组织有机废气厂区内非甲烷总烃满足</w:t>
            </w:r>
            <w:r>
              <w:rPr>
                <w:rFonts w:hint="default" w:ascii="Times New Roman" w:hAnsi="Times New Roman" w:eastAsia="宋体" w:cs="Times New Roman"/>
                <w:color w:val="auto"/>
                <w:sz w:val="24"/>
                <w:highlight w:val="none"/>
                <w:lang w:eastAsia="zh-CN"/>
              </w:rPr>
              <w:t>《挥发性有机物无组织排放控制标准》</w:t>
            </w:r>
            <w:r>
              <w:rPr>
                <w:rFonts w:hint="default" w:ascii="Times New Roman" w:hAnsi="Times New Roman" w:eastAsia="宋体" w:cs="Times New Roman"/>
                <w:color w:val="auto"/>
                <w:sz w:val="24"/>
                <w:highlight w:val="none"/>
                <w:lang w:val="zh-CN"/>
              </w:rPr>
              <w:t>（GB37822-2019）的要求，</w:t>
            </w:r>
            <w:r>
              <w:rPr>
                <w:rFonts w:hint="default" w:ascii="Times New Roman" w:hAnsi="Times New Roman" w:eastAsia="宋体" w:cs="Times New Roman"/>
                <w:color w:val="auto"/>
                <w:sz w:val="24"/>
                <w:highlight w:val="none"/>
              </w:rPr>
              <w:t>即：非甲烷总烃</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10</w:t>
            </w:r>
            <w:r>
              <w:rPr>
                <w:rFonts w:hint="default" w:ascii="Times New Roman" w:hAnsi="Times New Roman" w:eastAsia="宋体" w:cs="Times New Roman"/>
                <w:color w:val="auto"/>
                <w:sz w:val="24"/>
                <w:highlight w:val="none"/>
                <w:lang w:val="zh-CN"/>
              </w:rPr>
              <w:t>mg/m</w:t>
            </w:r>
            <w:r>
              <w:rPr>
                <w:rFonts w:hint="default" w:ascii="Times New Roman" w:hAnsi="Times New Roman" w:eastAsia="宋体" w:cs="Times New Roman"/>
                <w:color w:val="auto"/>
                <w:sz w:val="24"/>
                <w:highlight w:val="none"/>
                <w:vertAlign w:val="superscript"/>
                <w:lang w:val="zh-CN"/>
              </w:rPr>
              <w:t>3</w:t>
            </w:r>
            <w:r>
              <w:rPr>
                <w:rFonts w:hint="default" w:ascii="Times New Roman" w:hAnsi="Times New Roman" w:eastAsia="宋体" w:cs="Times New Roman"/>
                <w:color w:val="auto"/>
                <w:sz w:val="24"/>
                <w:highlight w:val="none"/>
                <w:lang w:val="zh-CN"/>
              </w:rPr>
              <w:t>（监控点处1m平均浓度值），</w:t>
            </w:r>
            <w:r>
              <w:rPr>
                <w:rFonts w:hint="default" w:ascii="Times New Roman" w:hAnsi="Times New Roman" w:eastAsia="宋体" w:cs="Times New Roman"/>
                <w:color w:val="auto"/>
                <w:sz w:val="24"/>
                <w:highlight w:val="none"/>
              </w:rPr>
              <w:t>非甲烷总烃</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30</w:t>
            </w:r>
            <w:r>
              <w:rPr>
                <w:rFonts w:hint="default" w:ascii="Times New Roman" w:hAnsi="Times New Roman" w:eastAsia="宋体" w:cs="Times New Roman"/>
                <w:color w:val="auto"/>
                <w:sz w:val="24"/>
                <w:highlight w:val="none"/>
                <w:lang w:val="zh-CN"/>
              </w:rPr>
              <w:t>mg/m</w:t>
            </w:r>
            <w:r>
              <w:rPr>
                <w:rFonts w:hint="default" w:ascii="Times New Roman" w:hAnsi="Times New Roman" w:eastAsia="宋体" w:cs="Times New Roman"/>
                <w:color w:val="auto"/>
                <w:sz w:val="24"/>
                <w:highlight w:val="none"/>
                <w:vertAlign w:val="superscript"/>
                <w:lang w:val="zh-CN"/>
              </w:rPr>
              <w:t>3</w:t>
            </w:r>
            <w:r>
              <w:rPr>
                <w:rFonts w:hint="default" w:ascii="Times New Roman" w:hAnsi="Times New Roman" w:eastAsia="宋体" w:cs="Times New Roman"/>
                <w:color w:val="auto"/>
                <w:sz w:val="24"/>
                <w:highlight w:val="none"/>
                <w:lang w:val="zh-CN"/>
              </w:rPr>
              <w:t>（监控点处任意一次浓度值）；</w:t>
            </w:r>
            <w:r>
              <w:rPr>
                <w:rFonts w:hint="default" w:ascii="Times New Roman" w:hAnsi="Times New Roman" w:eastAsia="宋体" w:cs="Times New Roman"/>
                <w:color w:val="auto"/>
                <w:sz w:val="24"/>
                <w:highlight w:val="none"/>
                <w:lang w:val="en-US" w:eastAsia="zh-CN"/>
              </w:rPr>
              <w:t>厂界</w:t>
            </w:r>
            <w:r>
              <w:rPr>
                <w:rFonts w:hint="default" w:ascii="Times New Roman" w:hAnsi="Times New Roman" w:eastAsia="宋体" w:cs="Times New Roman"/>
                <w:color w:val="auto"/>
                <w:sz w:val="24"/>
                <w:highlight w:val="none"/>
              </w:rPr>
              <w:t>非甲烷总烃满足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合成树脂工业污染物排放标准</w:t>
            </w:r>
            <w:r>
              <w:rPr>
                <w:rFonts w:hint="default" w:ascii="Times New Roman" w:hAnsi="Times New Roman" w:eastAsia="宋体" w:cs="Times New Roman"/>
                <w:color w:val="auto"/>
                <w:sz w:val="24"/>
                <w:szCs w:val="24"/>
                <w:highlight w:val="none"/>
              </w:rPr>
              <w:t>》（GB</w:t>
            </w:r>
            <w:r>
              <w:rPr>
                <w:rFonts w:hint="default" w:ascii="Times New Roman" w:hAnsi="Times New Roman" w:eastAsia="宋体" w:cs="Times New Roman"/>
                <w:color w:val="auto"/>
                <w:sz w:val="24"/>
                <w:szCs w:val="24"/>
                <w:highlight w:val="none"/>
                <w:lang w:val="en-US" w:eastAsia="zh-CN"/>
              </w:rPr>
              <w:t>31572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2015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中相关</w:t>
            </w:r>
            <w:r>
              <w:rPr>
                <w:rFonts w:hint="default" w:ascii="Times New Roman" w:hAnsi="Times New Roman" w:eastAsia="宋体" w:cs="Times New Roman"/>
                <w:color w:val="auto"/>
                <w:sz w:val="24"/>
                <w:szCs w:val="24"/>
                <w:highlight w:val="none"/>
                <w:lang w:val="en-US" w:eastAsia="zh-CN"/>
              </w:rPr>
              <w:t>大气污染物排放限值</w:t>
            </w:r>
            <w:r>
              <w:rPr>
                <w:rFonts w:hint="default" w:ascii="Times New Roman" w:hAnsi="Times New Roman" w:eastAsia="宋体" w:cs="Times New Roman"/>
                <w:color w:val="auto"/>
                <w:sz w:val="24"/>
                <w:highlight w:val="none"/>
              </w:rPr>
              <w:t>，即：非甲烷总烃</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4.0</w:t>
            </w:r>
            <w:r>
              <w:rPr>
                <w:rFonts w:hint="default" w:ascii="Times New Roman" w:hAnsi="Times New Roman" w:eastAsia="宋体" w:cs="Times New Roman"/>
                <w:color w:val="auto"/>
                <w:sz w:val="24"/>
                <w:highlight w:val="none"/>
                <w:lang w:val="zh-CN"/>
              </w:rPr>
              <w:t>mg/m</w:t>
            </w:r>
            <w:r>
              <w:rPr>
                <w:rFonts w:hint="default" w:ascii="Times New Roman" w:hAnsi="Times New Roman" w:eastAsia="宋体" w:cs="Times New Roman"/>
                <w:color w:val="auto"/>
                <w:sz w:val="24"/>
                <w:highlight w:val="none"/>
                <w:vertAlign w:val="superscript"/>
                <w:lang w:val="zh-CN"/>
              </w:rPr>
              <w:t>3</w:t>
            </w:r>
            <w:r>
              <w:rPr>
                <w:rFonts w:hint="default" w:ascii="Times New Roman" w:hAnsi="Times New Roman" w:eastAsia="宋体" w:cs="Times New Roman"/>
                <w:color w:val="auto"/>
                <w:sz w:val="24"/>
                <w:highlight w:val="none"/>
                <w:vertAlign w:val="baseline"/>
                <w:lang w:val="zh-CN"/>
              </w:rPr>
              <w:t>；</w:t>
            </w:r>
            <w:r>
              <w:rPr>
                <w:rFonts w:hint="default" w:ascii="Times New Roman" w:hAnsi="Times New Roman" w:eastAsia="宋体" w:cs="Times New Roman"/>
                <w:color w:val="auto"/>
                <w:sz w:val="24"/>
                <w:szCs w:val="24"/>
                <w:lang w:val="en-US" w:eastAsia="zh-CN"/>
              </w:rPr>
              <w:t>厂界无组织臭气浓度满足</w:t>
            </w:r>
            <w:r>
              <w:rPr>
                <w:rFonts w:hint="default" w:ascii="Times New Roman" w:hAnsi="Times New Roman" w:eastAsia="宋体" w:cs="Times New Roman"/>
                <w:color w:val="auto"/>
                <w:sz w:val="24"/>
                <w:szCs w:val="24"/>
                <w:highlight w:val="none"/>
                <w:lang w:val="zh-CN" w:eastAsia="zh-CN"/>
              </w:rPr>
              <w:t>《恶臭污染物排放标准》（GB14554-93）</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lang w:val="zh-CN" w:eastAsia="zh-CN"/>
              </w:rPr>
              <w:t>标准</w:t>
            </w:r>
            <w:r>
              <w:rPr>
                <w:rFonts w:hint="default" w:ascii="Times New Roman" w:hAnsi="Times New Roman" w:eastAsia="宋体" w:cs="Times New Roman"/>
                <w:color w:val="auto"/>
                <w:sz w:val="24"/>
                <w:szCs w:val="24"/>
                <w:highlight w:val="none"/>
                <w:lang w:val="en-US" w:eastAsia="zh-CN"/>
              </w:rPr>
              <w:t>限值</w:t>
            </w:r>
            <w:r>
              <w:rPr>
                <w:rFonts w:hint="default" w:ascii="Times New Roman" w:hAnsi="Times New Roman" w:eastAsia="宋体" w:cs="Times New Roman"/>
                <w:color w:val="auto"/>
                <w:sz w:val="24"/>
                <w:szCs w:val="24"/>
                <w:highlight w:val="none"/>
                <w:lang w:val="zh-CN" w:eastAsia="zh-CN"/>
              </w:rPr>
              <w:t>要求</w:t>
            </w:r>
            <w:r>
              <w:rPr>
                <w:rFonts w:hint="default" w:ascii="Times New Roman" w:hAnsi="Times New Roman" w:eastAsia="宋体" w:cs="Times New Roman"/>
                <w:color w:val="auto"/>
                <w:sz w:val="24"/>
                <w:highlight w:val="none"/>
                <w:vertAlign w:val="baseline"/>
                <w:lang w:val="zh-CN"/>
              </w:rPr>
              <w:t>。</w:t>
            </w:r>
          </w:p>
          <w:p>
            <w:pPr>
              <w:keepNext w:val="0"/>
              <w:keepLines w:val="0"/>
              <w:pageBreakBefore w:val="0"/>
              <w:widowControl w:val="0"/>
              <w:kinsoku/>
              <w:wordWrap/>
              <w:overflowPunct/>
              <w:topLinePunct w:val="0"/>
              <w:autoSpaceDE/>
              <w:autoSpaceDN/>
              <w:bidi w:val="0"/>
              <w:adjustRightInd w:val="0"/>
              <w:snapToGrid w:val="0"/>
              <w:spacing w:line="351" w:lineRule="auto"/>
              <w:ind w:firstLine="482"/>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kern w:val="0"/>
                <w:sz w:val="24"/>
                <w:highlight w:val="none"/>
              </w:rPr>
              <w:t>综上，本项目废气对周边大气环境影响较小。</w:t>
            </w:r>
          </w:p>
          <w:p>
            <w:pPr>
              <w:keepNext w:val="0"/>
              <w:keepLines w:val="0"/>
              <w:pageBreakBefore w:val="0"/>
              <w:widowControl w:val="0"/>
              <w:kinsoku/>
              <w:wordWrap/>
              <w:overflowPunct/>
              <w:topLinePunct w:val="0"/>
              <w:autoSpaceDE/>
              <w:autoSpaceDN/>
              <w:bidi w:val="0"/>
              <w:adjustRightInd w:val="0"/>
              <w:snapToGrid w:val="0"/>
              <w:spacing w:line="351" w:lineRule="auto"/>
              <w:ind w:firstLine="482"/>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污染物排放量核算</w:t>
            </w:r>
          </w:p>
          <w:p>
            <w:pPr>
              <w:keepNext w:val="0"/>
              <w:keepLines w:val="0"/>
              <w:pageBreakBefore w:val="0"/>
              <w:widowControl w:val="0"/>
              <w:kinsoku/>
              <w:wordWrap/>
              <w:overflowPunct/>
              <w:topLinePunct w:val="0"/>
              <w:autoSpaceDE/>
              <w:autoSpaceDN/>
              <w:bidi w:val="0"/>
              <w:adjustRightInd w:val="0"/>
              <w:snapToGrid w:val="0"/>
              <w:spacing w:line="351" w:lineRule="auto"/>
              <w:ind w:firstLine="482"/>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val="0"/>
                <w:bCs/>
                <w:color w:val="auto"/>
                <w:sz w:val="24"/>
                <w:szCs w:val="24"/>
                <w:highlight w:val="none"/>
                <w:lang w:val="en-US" w:eastAsia="zh-CN"/>
              </w:rPr>
              <w:t>根据《环境影响评价技术导则 大气环境》（HJ2.2-2018）中8.1.2内容，结合项目废气排放形式，根据附录C.6.2 无组织排放量核算，对项目污染物排放量进行核算，详见下表所示。</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 xml:space="preserve">4-7   </w:t>
            </w:r>
            <w:r>
              <w:rPr>
                <w:rFonts w:hint="default" w:ascii="Times New Roman" w:hAnsi="Times New Roman" w:eastAsia="宋体" w:cs="Times New Roman"/>
                <w:b/>
                <w:bCs/>
                <w:color w:val="auto"/>
                <w:sz w:val="21"/>
                <w:szCs w:val="21"/>
                <w:highlight w:val="none"/>
                <w:lang w:eastAsia="zh-CN"/>
              </w:rPr>
              <w:t>大气污染物有组织排放量核算表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952"/>
              <w:gridCol w:w="1594"/>
              <w:gridCol w:w="1580"/>
              <w:gridCol w:w="1594"/>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产污环节</w:t>
                  </w:r>
                </w:p>
              </w:tc>
              <w:tc>
                <w:tcPr>
                  <w:tcW w:w="5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排放口编号</w:t>
                  </w:r>
                </w:p>
              </w:tc>
              <w:tc>
                <w:tcPr>
                  <w:tcW w:w="94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污染物名称</w:t>
                  </w:r>
                </w:p>
              </w:tc>
              <w:tc>
                <w:tcPr>
                  <w:tcW w:w="9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核算排放浓度（mg/m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94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核算排放速率（kg/h）</w:t>
                  </w:r>
                </w:p>
              </w:tc>
              <w:tc>
                <w:tcPr>
                  <w:tcW w:w="8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吹膜</w:t>
                  </w:r>
                </w:p>
              </w:tc>
              <w:tc>
                <w:tcPr>
                  <w:tcW w:w="5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DA001</w:t>
                  </w:r>
                </w:p>
              </w:tc>
              <w:tc>
                <w:tcPr>
                  <w:tcW w:w="94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159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6.06</w:t>
                  </w:r>
                </w:p>
              </w:tc>
              <w:tc>
                <w:tcPr>
                  <w:tcW w:w="16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0.4583</w:t>
                  </w:r>
                </w:p>
              </w:tc>
              <w:tc>
                <w:tcPr>
                  <w:tcW w:w="14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2.2</w:t>
                  </w:r>
                </w:p>
              </w:tc>
            </w:tr>
          </w:tbl>
          <w:p>
            <w:pPr>
              <w:pStyle w:val="86"/>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outlineLvl w:val="9"/>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b w:val="0"/>
                <w:bCs/>
                <w:color w:val="auto"/>
                <w:sz w:val="24"/>
                <w:szCs w:val="24"/>
                <w:highlight w:val="none"/>
              </w:rPr>
              <w:t>项目</w:t>
            </w:r>
            <w:r>
              <w:rPr>
                <w:rFonts w:hint="default" w:ascii="Times New Roman" w:hAnsi="Times New Roman" w:eastAsia="宋体" w:cs="Times New Roman"/>
                <w:b w:val="0"/>
                <w:bCs/>
                <w:color w:val="auto"/>
                <w:sz w:val="24"/>
                <w:szCs w:val="24"/>
                <w:highlight w:val="none"/>
                <w:lang w:eastAsia="zh-CN"/>
              </w:rPr>
              <w:t>大气污染物无</w:t>
            </w:r>
            <w:r>
              <w:rPr>
                <w:rFonts w:hint="default" w:ascii="Times New Roman" w:hAnsi="Times New Roman" w:eastAsia="宋体" w:cs="Times New Roman"/>
                <w:b w:val="0"/>
                <w:bCs/>
                <w:color w:val="auto"/>
                <w:sz w:val="24"/>
                <w:szCs w:val="24"/>
                <w:highlight w:val="none"/>
              </w:rPr>
              <w:t>组织排放</w:t>
            </w:r>
            <w:r>
              <w:rPr>
                <w:rFonts w:hint="default" w:ascii="Times New Roman" w:hAnsi="Times New Roman" w:eastAsia="宋体" w:cs="Times New Roman"/>
                <w:b w:val="0"/>
                <w:bCs/>
                <w:color w:val="auto"/>
                <w:sz w:val="24"/>
                <w:szCs w:val="24"/>
                <w:highlight w:val="none"/>
                <w:lang w:eastAsia="zh-CN"/>
              </w:rPr>
              <w:t>量</w:t>
            </w:r>
            <w:r>
              <w:rPr>
                <w:rFonts w:hint="default" w:ascii="Times New Roman" w:hAnsi="Times New Roman" w:eastAsia="宋体" w:cs="Times New Roman"/>
                <w:b w:val="0"/>
                <w:bCs/>
                <w:color w:val="auto"/>
                <w:sz w:val="24"/>
                <w:szCs w:val="24"/>
                <w:highlight w:val="none"/>
              </w:rPr>
              <w:t>情况见下表</w:t>
            </w:r>
            <w:r>
              <w:rPr>
                <w:rFonts w:hint="default" w:ascii="Times New Roman" w:hAnsi="Times New Roman" w:eastAsia="宋体" w:cs="Times New Roman"/>
                <w:b w:val="0"/>
                <w:bCs/>
                <w:color w:val="auto"/>
                <w:sz w:val="24"/>
                <w:szCs w:val="24"/>
                <w:highlight w:val="none"/>
                <w:lang w:val="en-US" w:eastAsia="zh-CN"/>
              </w:rPr>
              <w:t>4-8</w:t>
            </w:r>
            <w:r>
              <w:rPr>
                <w:rFonts w:hint="default" w:ascii="Times New Roman" w:hAnsi="Times New Roman" w:eastAsia="宋体" w:cs="Times New Roman"/>
                <w:b w:val="0"/>
                <w:bCs/>
                <w:color w:val="auto"/>
                <w:sz w:val="24"/>
                <w:szCs w:val="24"/>
                <w:highlight w:val="none"/>
                <w:lang w:eastAsia="zh-CN"/>
              </w:rPr>
              <w:t>。</w:t>
            </w:r>
          </w:p>
          <w:p>
            <w:pPr>
              <w:pStyle w:val="8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表</w:t>
            </w:r>
            <w:r>
              <w:rPr>
                <w:rFonts w:hint="default" w:ascii="Times New Roman" w:hAnsi="Times New Roman" w:eastAsia="宋体" w:cs="Times New Roman"/>
                <w:color w:val="auto"/>
                <w:sz w:val="21"/>
                <w:szCs w:val="21"/>
                <w:highlight w:val="none"/>
                <w:lang w:val="en-US" w:eastAsia="zh-CN"/>
              </w:rPr>
              <w:t xml:space="preserve">4-8 </w:t>
            </w:r>
            <w:r>
              <w:rPr>
                <w:rFonts w:hint="default" w:ascii="Times New Roman" w:hAnsi="Times New Roman" w:eastAsia="宋体" w:cs="Times New Roman"/>
                <w:color w:val="auto"/>
                <w:sz w:val="21"/>
                <w:szCs w:val="21"/>
                <w:highlight w:val="none"/>
                <w:lang w:val="en-US"/>
              </w:rPr>
              <w:t xml:space="preserve">  大气污染物无组织排放量核算表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907"/>
              <w:gridCol w:w="3117"/>
              <w:gridCol w:w="1767"/>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3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产污环节</w:t>
                  </w:r>
                </w:p>
              </w:tc>
              <w:tc>
                <w:tcPr>
                  <w:tcW w:w="54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污染物名称</w:t>
                  </w:r>
                </w:p>
              </w:tc>
              <w:tc>
                <w:tcPr>
                  <w:tcW w:w="2908" w:type="pct"/>
                  <w:gridSpan w:val="2"/>
                  <w:noWrap w:val="0"/>
                  <w:vAlign w:val="center"/>
                </w:tcPr>
                <w:p>
                  <w:pPr>
                    <w:pStyle w:val="17"/>
                    <w:keepNext w:val="0"/>
                    <w:keepLines w:val="0"/>
                    <w:pageBreakBefore w:val="0"/>
                    <w:widowControl w:val="0"/>
                    <w:kinsoku/>
                    <w:wordWrap/>
                    <w:overflowPunct/>
                    <w:topLinePunct w:val="0"/>
                    <w:autoSpaceDE/>
                    <w:autoSpaceDN/>
                    <w:bidi w:val="0"/>
                    <w:adjustRightInd/>
                    <w:snapToGrid/>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eastAsia="zh-CN"/>
                    </w:rPr>
                    <w:t>国家或地方污染物排放标准</w:t>
                  </w:r>
                </w:p>
              </w:tc>
              <w:tc>
                <w:tcPr>
                  <w:tcW w:w="81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3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54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1856" w:type="pct"/>
                  <w:noWrap w:val="0"/>
                  <w:vAlign w:val="center"/>
                </w:tcPr>
                <w:p>
                  <w:pPr>
                    <w:pStyle w:val="17"/>
                    <w:keepNext w:val="0"/>
                    <w:keepLines w:val="0"/>
                    <w:pageBreakBefore w:val="0"/>
                    <w:widowControl w:val="0"/>
                    <w:kinsoku/>
                    <w:wordWrap/>
                    <w:overflowPunct/>
                    <w:topLinePunct w:val="0"/>
                    <w:autoSpaceDE/>
                    <w:autoSpaceDN/>
                    <w:bidi w:val="0"/>
                    <w:adjustRightInd/>
                    <w:snapToGrid/>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eastAsia="zh-CN"/>
                    </w:rPr>
                    <w:t>标准名称</w:t>
                  </w:r>
                </w:p>
              </w:tc>
              <w:tc>
                <w:tcPr>
                  <w:tcW w:w="1052" w:type="pct"/>
                  <w:noWrap w:val="0"/>
                  <w:vAlign w:val="center"/>
                </w:tcPr>
                <w:p>
                  <w:pPr>
                    <w:pStyle w:val="17"/>
                    <w:keepNext w:val="0"/>
                    <w:keepLines w:val="0"/>
                    <w:pageBreakBefore w:val="0"/>
                    <w:widowControl w:val="0"/>
                    <w:kinsoku/>
                    <w:wordWrap/>
                    <w:overflowPunct/>
                    <w:topLinePunct w:val="0"/>
                    <w:autoSpaceDE/>
                    <w:autoSpaceDN/>
                    <w:bidi w:val="0"/>
                    <w:adjustRightInd/>
                    <w:snapToGrid/>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eastAsia="zh-CN"/>
                    </w:rPr>
                    <w:t>浓度限值</w:t>
                  </w: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rPr>
                    <w:t>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lang w:val="en-US" w:eastAsia="zh-CN"/>
                    </w:rPr>
                    <w:t>）</w:t>
                  </w:r>
                </w:p>
              </w:tc>
              <w:tc>
                <w:tcPr>
                  <w:tcW w:w="81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吹塑</w:t>
                  </w:r>
                </w:p>
              </w:tc>
              <w:tc>
                <w:tcPr>
                  <w:tcW w:w="5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非甲烷总烃</w:t>
                  </w:r>
                </w:p>
              </w:tc>
              <w:tc>
                <w:tcPr>
                  <w:tcW w:w="1856" w:type="pct"/>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合成树脂工业污染物排放标准</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z w:val="21"/>
                      <w:szCs w:val="21"/>
                      <w:highlight w:val="none"/>
                      <w:lang w:val="en-US" w:eastAsia="zh-CN"/>
                    </w:rPr>
                    <w:t>31572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2015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中</w:t>
                  </w:r>
                  <w:r>
                    <w:rPr>
                      <w:rFonts w:hint="default" w:ascii="Times New Roman" w:hAnsi="Times New Roman" w:eastAsia="宋体" w:cs="Times New Roman"/>
                      <w:color w:val="auto"/>
                      <w:sz w:val="21"/>
                      <w:szCs w:val="21"/>
                      <w:highlight w:val="none"/>
                    </w:rPr>
                    <w:t>无组织排放监控浓度限值</w:t>
                  </w:r>
                  <w:r>
                    <w:rPr>
                      <w:rFonts w:hint="default" w:ascii="Times New Roman" w:hAnsi="Times New Roman" w:eastAsia="宋体" w:cs="Times New Roman"/>
                      <w:color w:val="auto"/>
                      <w:sz w:val="21"/>
                      <w:szCs w:val="21"/>
                      <w:highlight w:val="none"/>
                      <w:lang w:val="zh-CN" w:eastAsia="zh-CN"/>
                    </w:rPr>
                    <w:t>要求。</w:t>
                  </w:r>
                </w:p>
              </w:tc>
              <w:tc>
                <w:tcPr>
                  <w:tcW w:w="105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p>
              </w:tc>
              <w:tc>
                <w:tcPr>
                  <w:tcW w:w="81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w:t>
                  </w:r>
                </w:p>
              </w:tc>
            </w:tr>
          </w:tbl>
          <w:p>
            <w:pPr>
              <w:pStyle w:val="86"/>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outlineLvl w:val="9"/>
              <w:rPr>
                <w:rFonts w:hint="default" w:ascii="Times New Roman" w:hAnsi="Times New Roman" w:eastAsia="宋体" w:cs="Times New Roman"/>
                <w:b w:val="0"/>
                <w:bCs/>
                <w:color w:val="auto"/>
                <w:sz w:val="21"/>
                <w:szCs w:val="21"/>
                <w:highlight w:val="none"/>
                <w:lang w:val="en-US"/>
              </w:rPr>
            </w:pPr>
            <w:r>
              <w:rPr>
                <w:rFonts w:hint="default" w:ascii="Times New Roman" w:hAnsi="Times New Roman" w:eastAsia="宋体" w:cs="Times New Roman"/>
                <w:b w:val="0"/>
                <w:bCs/>
                <w:color w:val="auto"/>
                <w:sz w:val="24"/>
                <w:szCs w:val="24"/>
                <w:highlight w:val="none"/>
              </w:rPr>
              <w:t>项目运营过程中大气污染物年排放量核算表详见表</w:t>
            </w:r>
            <w:r>
              <w:rPr>
                <w:rFonts w:hint="default" w:ascii="Times New Roman" w:hAnsi="Times New Roman" w:eastAsia="宋体" w:cs="Times New Roman"/>
                <w:b w:val="0"/>
                <w:bCs/>
                <w:color w:val="auto"/>
                <w:sz w:val="24"/>
                <w:szCs w:val="24"/>
                <w:highlight w:val="none"/>
                <w:lang w:val="en-US" w:eastAsia="zh-CN"/>
              </w:rPr>
              <w:t>4-9</w:t>
            </w:r>
            <w:r>
              <w:rPr>
                <w:rFonts w:hint="default" w:ascii="Times New Roman" w:hAnsi="Times New Roman" w:eastAsia="宋体" w:cs="Times New Roman"/>
                <w:b w:val="0"/>
                <w:bCs/>
                <w:color w:val="auto"/>
                <w:sz w:val="24"/>
                <w:szCs w:val="24"/>
                <w:highlight w:val="none"/>
              </w:rPr>
              <w:t>。</w:t>
            </w:r>
          </w:p>
          <w:p>
            <w:pPr>
              <w:pStyle w:val="8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val="0"/>
                <w:color w:val="auto"/>
                <w:sz w:val="21"/>
                <w:szCs w:val="21"/>
                <w:highlight w:val="none"/>
                <w:lang w:val="en-US"/>
              </w:rPr>
            </w:pPr>
            <w:r>
              <w:rPr>
                <w:rFonts w:hint="default" w:ascii="Times New Roman" w:hAnsi="Times New Roman" w:eastAsia="宋体" w:cs="Times New Roman"/>
                <w:color w:val="auto"/>
                <w:sz w:val="21"/>
                <w:szCs w:val="21"/>
                <w:highlight w:val="none"/>
                <w:lang w:val="en-US"/>
              </w:rPr>
              <w:t>表</w:t>
            </w:r>
            <w:r>
              <w:rPr>
                <w:rFonts w:hint="default" w:ascii="Times New Roman" w:hAnsi="Times New Roman" w:eastAsia="宋体" w:cs="Times New Roman"/>
                <w:color w:val="auto"/>
                <w:sz w:val="21"/>
                <w:szCs w:val="21"/>
                <w:highlight w:val="none"/>
                <w:lang w:val="en-US" w:eastAsia="zh-CN"/>
              </w:rPr>
              <w:t xml:space="preserve">4-9  </w:t>
            </w:r>
            <w:r>
              <w:rPr>
                <w:rFonts w:hint="default" w:ascii="Times New Roman" w:hAnsi="Times New Roman" w:eastAsia="宋体" w:cs="Times New Roman"/>
                <w:color w:val="auto"/>
                <w:sz w:val="21"/>
                <w:szCs w:val="21"/>
                <w:highlight w:val="none"/>
                <w:lang w:val="en-US"/>
              </w:rPr>
              <w:t xml:space="preserve"> 大气污染物年排放量核算表</w:t>
            </w:r>
          </w:p>
          <w:tbl>
            <w:tblPr>
              <w:tblStyle w:val="26"/>
              <w:tblW w:w="4998" w:type="pct"/>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3"/>
              <w:gridCol w:w="2690"/>
              <w:gridCol w:w="3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3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生产阶段</w:t>
                  </w:r>
                </w:p>
              </w:tc>
              <w:tc>
                <w:tcPr>
                  <w:tcW w:w="160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污染物</w:t>
                  </w:r>
                </w:p>
              </w:tc>
              <w:tc>
                <w:tcPr>
                  <w:tcW w:w="196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43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整个生产车间</w:t>
                  </w:r>
                </w:p>
              </w:tc>
              <w:tc>
                <w:tcPr>
                  <w:tcW w:w="1602" w:type="pct"/>
                  <w:noWrap w:val="0"/>
                  <w:vAlign w:val="center"/>
                </w:tcPr>
                <w:p>
                  <w:pPr>
                    <w:snapToGrid w:val="0"/>
                    <w:spacing w:afterLine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非甲烷总烃</w:t>
                  </w:r>
                </w:p>
              </w:tc>
              <w:tc>
                <w:tcPr>
                  <w:tcW w:w="19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4.7</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lang w:val="zh-CN"/>
              </w:rPr>
            </w:pPr>
            <w:r>
              <w:rPr>
                <w:rFonts w:hint="default" w:ascii="Times New Roman" w:hAnsi="Times New Roman" w:eastAsia="宋体" w:cs="Times New Roman"/>
                <w:b/>
                <w:bCs/>
                <w:color w:val="auto"/>
                <w:sz w:val="24"/>
                <w:highlight w:val="none"/>
                <w:lang w:val="zh-CN"/>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val="zh-CN"/>
              </w:rPr>
              <w:t>）食堂油烟</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szCs w:val="24"/>
                <w:highlight w:val="none"/>
                <w:lang w:val="en-US" w:eastAsia="zh-CN"/>
              </w:rPr>
              <w:t>项目区食堂油烟</w:t>
            </w:r>
            <w:r>
              <w:rPr>
                <w:rFonts w:hint="default" w:ascii="Times New Roman" w:hAnsi="Times New Roman" w:eastAsia="宋体" w:cs="Times New Roman"/>
                <w:color w:val="auto"/>
                <w:sz w:val="24"/>
                <w:szCs w:val="24"/>
                <w:highlight w:val="none"/>
                <w:lang w:val="zh-CN" w:eastAsia="zh-CN"/>
              </w:rPr>
              <w:t>能达到</w:t>
            </w:r>
            <w:r>
              <w:rPr>
                <w:rFonts w:hint="default" w:ascii="Times New Roman" w:hAnsi="Times New Roman" w:eastAsia="宋体" w:cs="Times New Roman"/>
                <w:color w:val="auto"/>
                <w:sz w:val="24"/>
                <w:highlight w:val="none"/>
                <w:lang w:val="en-US" w:eastAsia="zh-CN"/>
              </w:rPr>
              <w:t>《饮食业油烟排放标准（试行）》（GB18483-2001）中的</w:t>
            </w:r>
            <w:r>
              <w:rPr>
                <w:rFonts w:hint="default" w:ascii="Times New Roman" w:hAnsi="Times New Roman" w:eastAsia="宋体" w:cs="Times New Roman"/>
                <w:color w:val="auto"/>
                <w:sz w:val="24"/>
                <w:szCs w:val="24"/>
                <w:highlight w:val="none"/>
                <w:lang w:val="en-US" w:eastAsia="zh-CN"/>
              </w:rPr>
              <w:t>小型规模</w:t>
            </w:r>
            <w:r>
              <w:rPr>
                <w:rFonts w:hint="default" w:ascii="Times New Roman" w:hAnsi="Times New Roman" w:eastAsia="宋体" w:cs="Times New Roman"/>
                <w:color w:val="auto"/>
                <w:sz w:val="24"/>
                <w:szCs w:val="24"/>
                <w:highlight w:val="none"/>
              </w:rPr>
              <w:t>最高允许排放浓度，即油烟≤</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highlight w:val="none"/>
                <w:lang w:val="zh-CN"/>
              </w:rPr>
              <w:t>项目食堂油烟经净化器处理后可达标排放，油烟排放经空气扩散稀释后对环境影响较小。</w:t>
            </w:r>
          </w:p>
          <w:p>
            <w:pPr>
              <w:keepNext w:val="0"/>
              <w:keepLines w:val="0"/>
              <w:pageBreakBefore w:val="0"/>
              <w:widowControl w:val="0"/>
              <w:kinsoku/>
              <w:wordWrap/>
              <w:overflowPunct/>
              <w:topLinePunct w:val="0"/>
              <w:autoSpaceDE/>
              <w:autoSpaceDN/>
              <w:bidi w:val="0"/>
              <w:spacing w:line="360" w:lineRule="auto"/>
              <w:ind w:left="0" w:right="0" w:firstLine="482" w:firstLineChars="200"/>
              <w:outlineLvl w:val="9"/>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异味环境影响分析</w:t>
            </w:r>
          </w:p>
          <w:p>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bCs/>
                <w:color w:val="auto"/>
                <w:sz w:val="24"/>
                <w:highlight w:val="none"/>
              </w:rPr>
              <w:t>项目</w:t>
            </w:r>
            <w:r>
              <w:rPr>
                <w:rFonts w:hint="default" w:ascii="Times New Roman" w:hAnsi="Times New Roman" w:eastAsia="宋体" w:cs="Times New Roman"/>
                <w:bCs/>
                <w:color w:val="auto"/>
                <w:sz w:val="24"/>
                <w:highlight w:val="none"/>
                <w:lang w:eastAsia="zh-CN"/>
              </w:rPr>
              <w:t>运营期异味主要来源于</w:t>
            </w:r>
            <w:r>
              <w:rPr>
                <w:rFonts w:hint="default" w:ascii="Times New Roman" w:hAnsi="Times New Roman" w:eastAsia="宋体" w:cs="Times New Roman"/>
                <w:color w:val="auto"/>
                <w:sz w:val="24"/>
                <w:highlight w:val="none"/>
                <w:lang w:eastAsia="zh-CN"/>
              </w:rPr>
              <w:t>卫生间、化粪池、</w:t>
            </w:r>
            <w:r>
              <w:rPr>
                <w:rFonts w:hint="default" w:ascii="Times New Roman" w:hAnsi="Times New Roman" w:eastAsia="宋体" w:cs="Times New Roman"/>
                <w:color w:val="auto"/>
                <w:sz w:val="24"/>
                <w:highlight w:val="none"/>
                <w:lang w:val="en-US" w:eastAsia="zh-CN"/>
              </w:rPr>
              <w:t>一体化污水处理站及生产车间</w:t>
            </w:r>
            <w:r>
              <w:rPr>
                <w:rFonts w:hint="default" w:ascii="Times New Roman" w:hAnsi="Times New Roman" w:eastAsia="宋体" w:cs="Times New Roman"/>
                <w:color w:val="auto"/>
                <w:sz w:val="24"/>
                <w:highlight w:val="none"/>
                <w:lang w:eastAsia="zh-CN"/>
              </w:rPr>
              <w:t>。</w:t>
            </w:r>
          </w:p>
          <w:p>
            <w:pPr>
              <w:keepNext w:val="0"/>
              <w:keepLines w:val="0"/>
              <w:pageBreakBefore w:val="0"/>
              <w:kinsoku/>
              <w:wordWrap/>
              <w:overflowPunct/>
              <w:topLinePunct w:val="0"/>
              <w:autoSpaceDE/>
              <w:autoSpaceDN/>
              <w:bidi w:val="0"/>
              <w:adjustRightInd/>
              <w:spacing w:line="360" w:lineRule="auto"/>
              <w:ind w:right="0" w:firstLine="488"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项目</w:t>
            </w:r>
            <w:r>
              <w:rPr>
                <w:rFonts w:hint="default" w:ascii="Times New Roman" w:hAnsi="Times New Roman" w:eastAsia="宋体" w:cs="Times New Roman"/>
                <w:color w:val="auto"/>
                <w:spacing w:val="2"/>
                <w:sz w:val="24"/>
                <w:szCs w:val="24"/>
                <w:highlight w:val="none"/>
              </w:rPr>
              <w:t>化粪池</w:t>
            </w:r>
            <w:r>
              <w:rPr>
                <w:rFonts w:hint="default" w:ascii="Times New Roman" w:hAnsi="Times New Roman" w:eastAsia="宋体" w:cs="Times New Roman"/>
                <w:color w:val="auto"/>
                <w:spacing w:val="2"/>
                <w:sz w:val="24"/>
                <w:szCs w:val="24"/>
                <w:highlight w:val="none"/>
                <w:lang w:val="en-US" w:eastAsia="zh-CN"/>
              </w:rPr>
              <w:t>及</w:t>
            </w:r>
            <w:r>
              <w:rPr>
                <w:rFonts w:hint="default" w:ascii="Times New Roman" w:hAnsi="Times New Roman" w:eastAsia="宋体" w:cs="Times New Roman"/>
                <w:color w:val="auto"/>
                <w:sz w:val="24"/>
                <w:highlight w:val="none"/>
                <w:lang w:val="en-US" w:eastAsia="zh-CN"/>
              </w:rPr>
              <w:t>一体化污水处理站</w:t>
            </w:r>
            <w:r>
              <w:rPr>
                <w:rFonts w:hint="default" w:ascii="Times New Roman" w:hAnsi="Times New Roman" w:eastAsia="宋体" w:cs="Times New Roman"/>
                <w:color w:val="auto"/>
                <w:spacing w:val="2"/>
                <w:sz w:val="24"/>
                <w:szCs w:val="24"/>
                <w:highlight w:val="none"/>
                <w:lang w:eastAsia="zh-CN"/>
              </w:rPr>
              <w:t>为</w:t>
            </w:r>
            <w:r>
              <w:rPr>
                <w:rFonts w:hint="default" w:ascii="Times New Roman" w:hAnsi="Times New Roman" w:eastAsia="宋体" w:cs="Times New Roman"/>
                <w:color w:val="auto"/>
                <w:spacing w:val="2"/>
                <w:sz w:val="24"/>
                <w:szCs w:val="24"/>
                <w:highlight w:val="none"/>
              </w:rPr>
              <w:t>全封闭</w:t>
            </w:r>
            <w:r>
              <w:rPr>
                <w:rFonts w:hint="default" w:ascii="Times New Roman" w:hAnsi="Times New Roman" w:eastAsia="宋体" w:cs="Times New Roman"/>
                <w:color w:val="auto"/>
                <w:spacing w:val="2"/>
                <w:sz w:val="24"/>
                <w:szCs w:val="24"/>
                <w:highlight w:val="none"/>
                <w:lang w:eastAsia="zh-CN"/>
              </w:rPr>
              <w:t>式</w:t>
            </w:r>
            <w:r>
              <w:rPr>
                <w:rFonts w:hint="default" w:ascii="Times New Roman" w:hAnsi="Times New Roman" w:eastAsia="宋体" w:cs="Times New Roman"/>
                <w:color w:val="auto"/>
                <w:spacing w:val="2"/>
                <w:sz w:val="24"/>
                <w:szCs w:val="24"/>
                <w:highlight w:val="none"/>
              </w:rPr>
              <w:t>加盖设计</w:t>
            </w:r>
            <w:r>
              <w:rPr>
                <w:rFonts w:hint="default" w:ascii="Times New Roman" w:hAnsi="Times New Roman" w:eastAsia="宋体" w:cs="Times New Roman"/>
                <w:color w:val="auto"/>
                <w:spacing w:val="2"/>
                <w:sz w:val="24"/>
                <w:szCs w:val="24"/>
                <w:highlight w:val="none"/>
                <w:lang w:eastAsia="zh-CN"/>
              </w:rPr>
              <w:t>，异味产生量较少，呈无组织排放。</w:t>
            </w:r>
            <w:r>
              <w:rPr>
                <w:rFonts w:hint="default" w:ascii="Times New Roman" w:hAnsi="Times New Roman" w:eastAsia="宋体" w:cs="Times New Roman"/>
                <w:color w:val="auto"/>
                <w:sz w:val="24"/>
                <w:szCs w:val="24"/>
                <w:highlight w:val="none"/>
                <w:lang w:eastAsia="zh-CN"/>
              </w:rPr>
              <w:t>同时在周边设置绿化带及墙体进行阻隔，</w:t>
            </w:r>
            <w:r>
              <w:rPr>
                <w:rFonts w:hint="default" w:ascii="Times New Roman" w:hAnsi="Times New Roman" w:eastAsia="宋体" w:cs="Times New Roman"/>
                <w:color w:val="auto"/>
                <w:sz w:val="24"/>
                <w:highlight w:val="none"/>
              </w:rPr>
              <w:t>项目</w:t>
            </w:r>
            <w:r>
              <w:rPr>
                <w:rFonts w:hint="default" w:ascii="Times New Roman" w:hAnsi="Times New Roman" w:eastAsia="宋体" w:cs="Times New Roman"/>
                <w:color w:val="auto"/>
                <w:sz w:val="24"/>
                <w:highlight w:val="none"/>
                <w:lang w:eastAsia="zh-CN"/>
              </w:rPr>
              <w:t>卫生间加强管理，做到日产日清</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生产过程生产车间加强通风，</w:t>
            </w:r>
            <w:r>
              <w:rPr>
                <w:rFonts w:hint="default" w:ascii="Times New Roman" w:hAnsi="Times New Roman" w:eastAsia="宋体" w:cs="Times New Roman"/>
                <w:color w:val="auto"/>
                <w:sz w:val="24"/>
                <w:szCs w:val="24"/>
                <w:highlight w:val="none"/>
                <w:lang w:eastAsia="zh-CN"/>
              </w:rPr>
              <w:t>确保</w:t>
            </w:r>
            <w:r>
              <w:rPr>
                <w:rFonts w:hint="default" w:ascii="Times New Roman" w:hAnsi="Times New Roman" w:eastAsia="宋体" w:cs="Times New Roman"/>
                <w:color w:val="auto"/>
                <w:sz w:val="24"/>
                <w:szCs w:val="24"/>
                <w:highlight w:val="none"/>
                <w:lang w:val="en-US" w:eastAsia="zh-CN"/>
              </w:rPr>
              <w:t>厂界臭气</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eastAsia="zh-CN"/>
              </w:rPr>
              <w:t>浓度</w:t>
            </w:r>
            <w:r>
              <w:rPr>
                <w:rFonts w:hint="default" w:ascii="Times New Roman" w:hAnsi="Times New Roman" w:eastAsia="宋体" w:cs="Times New Roman"/>
                <w:color w:val="auto"/>
                <w:sz w:val="24"/>
                <w:highlight w:val="none"/>
              </w:rPr>
              <w:t>达到《恶臭污染物排放标准》（GB14554-93）</w:t>
            </w:r>
            <w:r>
              <w:rPr>
                <w:rFonts w:hint="default" w:ascii="Times New Roman" w:hAnsi="Times New Roman" w:eastAsia="宋体" w:cs="Times New Roman"/>
                <w:color w:val="auto"/>
                <w:sz w:val="24"/>
                <w:highlight w:val="none"/>
                <w:lang w:eastAsia="zh-CN"/>
              </w:rPr>
              <w:t>中相关标准</w:t>
            </w:r>
            <w:r>
              <w:rPr>
                <w:rFonts w:hint="default" w:ascii="Times New Roman" w:hAnsi="Times New Roman" w:eastAsia="宋体" w:cs="Times New Roman"/>
                <w:color w:val="auto"/>
                <w:sz w:val="24"/>
                <w:highlight w:val="none"/>
              </w:rPr>
              <w:t>。</w:t>
            </w:r>
          </w:p>
          <w:p>
            <w:pPr>
              <w:pStyle w:val="14"/>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综上</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highlight w:val="none"/>
              </w:rPr>
              <w:t>异味产生量很小，对环境的影响较小</w:t>
            </w:r>
            <w:r>
              <w:rPr>
                <w:rFonts w:hint="default" w:ascii="Times New Roman" w:hAnsi="Times New Roman" w:eastAsia="宋体" w:cs="Times New Roman"/>
                <w:color w:val="auto"/>
                <w:sz w:val="24"/>
                <w:szCs w:val="24"/>
                <w:highlight w:val="none"/>
                <w:lang w:eastAsia="zh-CN"/>
              </w:rPr>
              <w:t>。</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highlight w:val="none"/>
                <w:lang w:val="en-US" w:eastAsia="zh-CN"/>
              </w:rPr>
              <w:t>3、废气处理措施可行性分析</w:t>
            </w:r>
          </w:p>
          <w:p>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（1）可行技术分析</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根据</w:t>
            </w:r>
            <w:r>
              <w:rPr>
                <w:rFonts w:hint="default" w:ascii="Times New Roman" w:hAnsi="Times New Roman" w:eastAsia="宋体" w:cs="Times New Roman"/>
                <w:color w:val="auto"/>
                <w:sz w:val="24"/>
                <w:highlight w:val="none"/>
              </w:rPr>
              <w:t>《排污许可证申请与核发技术规范</w:t>
            </w:r>
            <w:r>
              <w:rPr>
                <w:rFonts w:hint="default"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rPr>
              <w:t>橡胶和塑料制品工业》（HJ1122-2020），有机废气收集治理设施包括焚烧、吸附、催化分解、其他。本项目</w:t>
            </w:r>
            <w:r>
              <w:rPr>
                <w:rFonts w:hint="default" w:ascii="Times New Roman" w:hAnsi="Times New Roman" w:eastAsia="宋体" w:cs="Times New Roman"/>
                <w:color w:val="auto"/>
                <w:sz w:val="24"/>
                <w:highlight w:val="none"/>
                <w:lang w:eastAsia="zh-CN"/>
              </w:rPr>
              <w:t>吹膜</w:t>
            </w:r>
            <w:r>
              <w:rPr>
                <w:rFonts w:hint="default" w:ascii="Times New Roman" w:hAnsi="Times New Roman" w:eastAsia="宋体" w:cs="Times New Roman"/>
                <w:color w:val="auto"/>
                <w:sz w:val="24"/>
                <w:highlight w:val="none"/>
              </w:rPr>
              <w:t>产生的</w:t>
            </w:r>
            <w:r>
              <w:rPr>
                <w:rFonts w:hint="default" w:ascii="Times New Roman" w:hAnsi="Times New Roman" w:eastAsia="宋体" w:cs="Times New Roman"/>
                <w:color w:val="auto"/>
                <w:sz w:val="24"/>
                <w:highlight w:val="none"/>
                <w:lang w:val="en-US" w:eastAsia="zh-CN"/>
              </w:rPr>
              <w:t>挥发性</w:t>
            </w:r>
            <w:r>
              <w:rPr>
                <w:rFonts w:hint="default" w:ascii="Times New Roman" w:hAnsi="Times New Roman" w:eastAsia="宋体" w:cs="Times New Roman"/>
                <w:color w:val="auto"/>
                <w:sz w:val="24"/>
                <w:highlight w:val="none"/>
              </w:rPr>
              <w:t>有机废气</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以</w:t>
            </w:r>
            <w:r>
              <w:rPr>
                <w:rFonts w:hint="default" w:ascii="Times New Roman" w:hAnsi="Times New Roman" w:eastAsia="宋体" w:cs="Times New Roman"/>
                <w:color w:val="auto"/>
                <w:sz w:val="24"/>
                <w:highlight w:val="none"/>
              </w:rPr>
              <w:t>非甲烷总烃</w:t>
            </w:r>
            <w:r>
              <w:rPr>
                <w:rFonts w:hint="default" w:ascii="Times New Roman" w:hAnsi="Times New Roman" w:eastAsia="宋体" w:cs="Times New Roman"/>
                <w:color w:val="auto"/>
                <w:sz w:val="24"/>
                <w:highlight w:val="none"/>
                <w:lang w:val="en-US" w:eastAsia="zh-CN"/>
              </w:rPr>
              <w:t>计</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及臭气浓度</w:t>
            </w:r>
            <w:r>
              <w:rPr>
                <w:rFonts w:hint="default" w:ascii="Times New Roman" w:hAnsi="Times New Roman" w:eastAsia="宋体" w:cs="Times New Roman"/>
                <w:color w:val="auto"/>
                <w:sz w:val="24"/>
                <w:highlight w:val="none"/>
              </w:rPr>
              <w:t>经集气罩收集后采用</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UV光氧催化+三级活性炭吸附</w:t>
            </w:r>
            <w:r>
              <w:rPr>
                <w:rFonts w:hint="default" w:ascii="Times New Roman" w:hAnsi="Times New Roman" w:eastAsia="宋体" w:cs="Times New Roman"/>
                <w:color w:val="auto"/>
                <w:sz w:val="24"/>
                <w:szCs w:val="24"/>
                <w:highlight w:val="none"/>
              </w:rPr>
              <w:t>装置”</w:t>
            </w:r>
            <w:r>
              <w:rPr>
                <w:rFonts w:hint="default" w:ascii="Times New Roman" w:hAnsi="Times New Roman" w:eastAsia="宋体" w:cs="Times New Roman"/>
                <w:color w:val="auto"/>
                <w:sz w:val="24"/>
                <w:highlight w:val="none"/>
              </w:rPr>
              <w:t>处理后通过15m高的排气筒排放，废气采用“活性炭吸附装置”属于可行性技术中的“吸附”</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本项目采用的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UV光氧催化+三级活性炭吸附</w:t>
            </w:r>
            <w:r>
              <w:rPr>
                <w:rFonts w:hint="default" w:ascii="Times New Roman" w:hAnsi="Times New Roman" w:eastAsia="宋体" w:cs="Times New Roman"/>
                <w:color w:val="auto"/>
                <w:sz w:val="24"/>
                <w:szCs w:val="24"/>
                <w:highlight w:val="none"/>
              </w:rPr>
              <w:t>装置”</w:t>
            </w:r>
            <w:r>
              <w:rPr>
                <w:rFonts w:hint="default" w:ascii="Times New Roman" w:hAnsi="Times New Roman" w:eastAsia="宋体" w:cs="Times New Roman"/>
                <w:color w:val="auto"/>
                <w:sz w:val="24"/>
                <w:szCs w:val="24"/>
                <w:highlight w:val="none"/>
                <w:lang w:val="en-US" w:eastAsia="zh-CN"/>
              </w:rPr>
              <w:t>为组合工艺，属于可行技术。</w:t>
            </w:r>
          </w:p>
          <w:p>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lang w:val="en-US" w:eastAsia="zh-CN" w:bidi="ar"/>
              </w:rPr>
            </w:pPr>
            <w:r>
              <w:rPr>
                <w:rFonts w:hint="default" w:ascii="Times New Roman" w:hAnsi="Times New Roman" w:eastAsia="宋体" w:cs="Times New Roman"/>
                <w:b/>
                <w:bCs/>
                <w:color w:val="auto"/>
                <w:sz w:val="24"/>
                <w:lang w:eastAsia="zh-CN" w:bidi="ar"/>
              </w:rPr>
              <w:t>（</w:t>
            </w:r>
            <w:r>
              <w:rPr>
                <w:rFonts w:hint="default" w:ascii="Times New Roman" w:hAnsi="Times New Roman" w:eastAsia="宋体" w:cs="Times New Roman"/>
                <w:b/>
                <w:bCs/>
                <w:color w:val="auto"/>
                <w:sz w:val="24"/>
                <w:lang w:val="en-US" w:eastAsia="zh-CN" w:bidi="ar"/>
              </w:rPr>
              <w:t>2</w:t>
            </w:r>
            <w:r>
              <w:rPr>
                <w:rFonts w:hint="default" w:ascii="Times New Roman" w:hAnsi="Times New Roman" w:eastAsia="宋体" w:cs="Times New Roman"/>
                <w:b/>
                <w:bCs/>
                <w:color w:val="auto"/>
                <w:sz w:val="24"/>
                <w:lang w:eastAsia="zh-CN" w:bidi="ar"/>
              </w:rPr>
              <w:t>）</w:t>
            </w:r>
            <w:r>
              <w:rPr>
                <w:rFonts w:hint="default" w:ascii="Times New Roman" w:hAnsi="Times New Roman" w:eastAsia="宋体" w:cs="Times New Roman"/>
                <w:b/>
                <w:bCs/>
                <w:color w:val="auto"/>
                <w:sz w:val="24"/>
                <w:lang w:val="en-US" w:eastAsia="zh-CN" w:bidi="ar"/>
              </w:rPr>
              <w:t>处理装置原理</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lang w:bidi="ar"/>
              </w:rPr>
              <w:t>UV光氧催化净化装置的工作原理为：UV光氧催化净化废气基本原理是通过采用UV-D波段内的真空紫外线，一方面使空气中的氧气，使之形成游离的氧原子并结合生成臭氧【UV＋O</w:t>
            </w:r>
            <w:r>
              <w:rPr>
                <w:rFonts w:hint="default" w:ascii="Times New Roman" w:hAnsi="Times New Roman" w:eastAsia="宋体" w:cs="Times New Roman"/>
                <w:color w:val="auto"/>
                <w:sz w:val="24"/>
                <w:vertAlign w:val="subscript"/>
                <w:lang w:bidi="ar"/>
              </w:rPr>
              <w:t>2</w:t>
            </w:r>
            <w:r>
              <w:rPr>
                <w:rFonts w:hint="default" w:ascii="Times New Roman" w:hAnsi="Times New Roman" w:eastAsia="宋体" w:cs="Times New Roman"/>
                <w:color w:val="auto"/>
                <w:sz w:val="24"/>
                <w:lang w:bidi="ar"/>
              </w:rPr>
              <w:t>→O-+O</w:t>
            </w:r>
            <w:r>
              <w:rPr>
                <w:rFonts w:hint="default" w:ascii="Times New Roman" w:hAnsi="Times New Roman" w:eastAsia="宋体" w:cs="Times New Roman"/>
                <w:color w:val="auto"/>
                <w:sz w:val="24"/>
                <w:vertAlign w:val="superscript"/>
                <w:lang w:bidi="ar"/>
              </w:rPr>
              <w:t>＊</w:t>
            </w:r>
            <w:r>
              <w:rPr>
                <w:rFonts w:hint="default" w:ascii="Times New Roman" w:hAnsi="Times New Roman" w:eastAsia="宋体" w:cs="Times New Roman"/>
                <w:color w:val="auto"/>
                <w:sz w:val="24"/>
                <w:lang w:bidi="ar"/>
              </w:rPr>
              <w:t>(活性氧) O+O</w:t>
            </w:r>
            <w:r>
              <w:rPr>
                <w:rFonts w:hint="default" w:ascii="Times New Roman" w:hAnsi="Times New Roman" w:eastAsia="宋体" w:cs="Times New Roman"/>
                <w:color w:val="auto"/>
                <w:sz w:val="24"/>
                <w:vertAlign w:val="subscript"/>
                <w:lang w:bidi="ar"/>
              </w:rPr>
              <w:t>2</w:t>
            </w:r>
            <w:r>
              <w:rPr>
                <w:rFonts w:hint="default" w:ascii="Times New Roman" w:hAnsi="Times New Roman" w:eastAsia="宋体" w:cs="Times New Roman"/>
                <w:color w:val="auto"/>
                <w:sz w:val="24"/>
                <w:lang w:bidi="ar"/>
              </w:rPr>
              <w:t>→O</w:t>
            </w:r>
            <w:r>
              <w:rPr>
                <w:rFonts w:hint="default" w:ascii="Times New Roman" w:hAnsi="Times New Roman" w:eastAsia="宋体" w:cs="Times New Roman"/>
                <w:color w:val="auto"/>
                <w:sz w:val="24"/>
                <w:vertAlign w:val="subscript"/>
                <w:lang w:bidi="ar"/>
              </w:rPr>
              <w:t>3</w:t>
            </w:r>
            <w:r>
              <w:rPr>
                <w:rFonts w:hint="default" w:ascii="Times New Roman" w:hAnsi="Times New Roman" w:eastAsia="宋体" w:cs="Times New Roman"/>
                <w:color w:val="auto"/>
                <w:sz w:val="24"/>
                <w:lang w:bidi="ar"/>
              </w:rPr>
              <w:t>(臭氧)】，具有强氧化性的臭氧（O</w:t>
            </w:r>
            <w:r>
              <w:rPr>
                <w:rFonts w:hint="default" w:ascii="Times New Roman" w:hAnsi="Times New Roman" w:eastAsia="宋体" w:cs="Times New Roman"/>
                <w:color w:val="auto"/>
                <w:sz w:val="24"/>
                <w:vertAlign w:val="subscript"/>
                <w:lang w:bidi="ar"/>
              </w:rPr>
              <w:t>3</w:t>
            </w:r>
            <w:r>
              <w:rPr>
                <w:rFonts w:hint="default" w:ascii="Times New Roman" w:hAnsi="Times New Roman" w:eastAsia="宋体" w:cs="Times New Roman"/>
                <w:color w:val="auto"/>
                <w:sz w:val="24"/>
                <w:lang w:bidi="ar"/>
              </w:rPr>
              <w:t>）与有机或无机高分子被裂解生成的原子发生氧化反应，形成稳定的小分子H</w:t>
            </w:r>
            <w:r>
              <w:rPr>
                <w:rFonts w:hint="default" w:ascii="Times New Roman" w:hAnsi="Times New Roman" w:eastAsia="宋体" w:cs="Times New Roman"/>
                <w:color w:val="auto"/>
                <w:sz w:val="24"/>
                <w:vertAlign w:val="subscript"/>
                <w:lang w:bidi="ar"/>
              </w:rPr>
              <w:t>2</w:t>
            </w:r>
            <w:r>
              <w:rPr>
                <w:rFonts w:hint="default" w:ascii="Times New Roman" w:hAnsi="Times New Roman" w:eastAsia="宋体" w:cs="Times New Roman"/>
                <w:color w:val="auto"/>
                <w:sz w:val="24"/>
                <w:lang w:bidi="ar"/>
              </w:rPr>
              <w:t>O和CO</w:t>
            </w:r>
            <w:r>
              <w:rPr>
                <w:rFonts w:hint="default" w:ascii="Times New Roman" w:hAnsi="Times New Roman" w:eastAsia="宋体" w:cs="Times New Roman"/>
                <w:color w:val="auto"/>
                <w:sz w:val="24"/>
                <w:vertAlign w:val="subscript"/>
                <w:lang w:bidi="ar"/>
              </w:rPr>
              <w:t>2</w:t>
            </w:r>
            <w:r>
              <w:rPr>
                <w:rFonts w:hint="default" w:ascii="Times New Roman" w:hAnsi="Times New Roman" w:eastAsia="宋体" w:cs="Times New Roman"/>
                <w:color w:val="auto"/>
                <w:sz w:val="24"/>
                <w:lang w:bidi="ar"/>
              </w:rPr>
              <w:t>等，从而使</w:t>
            </w:r>
            <w:r>
              <w:rPr>
                <w:rFonts w:hint="default" w:ascii="Times New Roman" w:hAnsi="Times New Roman" w:eastAsia="宋体" w:cs="Times New Roman"/>
                <w:color w:val="auto"/>
                <w:sz w:val="24"/>
                <w:lang w:val="en-US" w:eastAsia="zh-CN" w:bidi="ar"/>
              </w:rPr>
              <w:t>有机废气</w:t>
            </w:r>
            <w:r>
              <w:rPr>
                <w:rFonts w:hint="default" w:ascii="Times New Roman" w:hAnsi="Times New Roman" w:eastAsia="宋体" w:cs="Times New Roman"/>
                <w:color w:val="auto"/>
                <w:sz w:val="24"/>
                <w:lang w:bidi="ar"/>
              </w:rPr>
              <w:t>得到净化处理。</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活性炭吸附装置原理：利用活性炭或</w:t>
            </w:r>
            <w:r>
              <w:rPr>
                <w:rFonts w:hint="eastAsia" w:cs="Times New Roman"/>
                <w:color w:val="auto"/>
                <w:sz w:val="24"/>
                <w:highlight w:val="none"/>
                <w:lang w:eastAsia="zh-CN"/>
              </w:rPr>
              <w:t>碳纤维</w:t>
            </w:r>
            <w:r>
              <w:rPr>
                <w:rFonts w:hint="default" w:ascii="Times New Roman" w:hAnsi="Times New Roman" w:eastAsia="宋体" w:cs="Times New Roman"/>
                <w:color w:val="auto"/>
                <w:sz w:val="24"/>
                <w:highlight w:val="none"/>
              </w:rPr>
              <w:t>表面的高比表面积对废气中挥发性有机化合物进行吸附，从而达到净化效果。</w:t>
            </w:r>
          </w:p>
          <w:p>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处理效率</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本项目生产车间</w:t>
            </w:r>
            <w:r>
              <w:rPr>
                <w:rFonts w:hint="default" w:ascii="Times New Roman" w:hAnsi="Times New Roman" w:eastAsia="宋体" w:cs="Times New Roman"/>
                <w:color w:val="auto"/>
                <w:sz w:val="24"/>
                <w:highlight w:val="none"/>
                <w:lang w:eastAsia="zh-CN"/>
              </w:rPr>
              <w:t>吹膜</w:t>
            </w:r>
            <w:r>
              <w:rPr>
                <w:rFonts w:hint="default" w:ascii="Times New Roman" w:hAnsi="Times New Roman" w:eastAsia="宋体" w:cs="Times New Roman"/>
                <w:color w:val="auto"/>
                <w:sz w:val="24"/>
                <w:highlight w:val="none"/>
              </w:rPr>
              <w:t>产生的有机废气经集气罩收集后</w:t>
            </w:r>
            <w:r>
              <w:rPr>
                <w:rFonts w:hint="default" w:ascii="Times New Roman" w:hAnsi="Times New Roman" w:eastAsia="宋体" w:cs="Times New Roman"/>
                <w:color w:val="auto"/>
                <w:sz w:val="24"/>
                <w:highlight w:val="none"/>
                <w:lang w:val="en-US" w:eastAsia="zh-CN"/>
              </w:rPr>
              <w:t>统一进入1套</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UV光氧催化+三级活性炭吸附</w:t>
            </w:r>
            <w:r>
              <w:rPr>
                <w:rFonts w:hint="default" w:ascii="Times New Roman" w:hAnsi="Times New Roman" w:eastAsia="宋体" w:cs="Times New Roman"/>
                <w:color w:val="auto"/>
                <w:sz w:val="24"/>
                <w:szCs w:val="24"/>
                <w:highlight w:val="none"/>
              </w:rPr>
              <w:t>装置”</w:t>
            </w:r>
            <w:r>
              <w:rPr>
                <w:rFonts w:hint="default" w:ascii="Times New Roman" w:hAnsi="Times New Roman" w:eastAsia="宋体" w:cs="Times New Roman"/>
                <w:color w:val="auto"/>
                <w:sz w:val="24"/>
                <w:highlight w:val="none"/>
              </w:rPr>
              <w:t>处理</w:t>
            </w:r>
            <w:r>
              <w:rPr>
                <w:rFonts w:hint="default" w:ascii="Times New Roman" w:hAnsi="Times New Roman" w:eastAsia="宋体" w:cs="Times New Roman"/>
                <w:color w:val="auto"/>
                <w:sz w:val="24"/>
                <w:highlight w:val="none"/>
                <w:lang w:val="en-US" w:eastAsia="zh-CN"/>
              </w:rPr>
              <w:t>达标后由1</w:t>
            </w:r>
            <w:r>
              <w:rPr>
                <w:rFonts w:hint="default" w:ascii="Times New Roman" w:hAnsi="Times New Roman" w:eastAsia="宋体" w:cs="Times New Roman"/>
                <w:color w:val="auto"/>
                <w:sz w:val="24"/>
                <w:highlight w:val="none"/>
              </w:rPr>
              <w:t>根15米高的排气筒排放。根据参考目前国内现行的处理有机废气有效的方法，本项目先通过集气罩收集，然后进入</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UV光氧催化+三级活性炭吸附</w:t>
            </w:r>
            <w:r>
              <w:rPr>
                <w:rFonts w:hint="default" w:ascii="Times New Roman" w:hAnsi="Times New Roman" w:eastAsia="宋体" w:cs="Times New Roman"/>
                <w:color w:val="auto"/>
                <w:sz w:val="24"/>
                <w:szCs w:val="24"/>
                <w:highlight w:val="none"/>
              </w:rPr>
              <w:t>装置”</w:t>
            </w:r>
            <w:r>
              <w:rPr>
                <w:rFonts w:hint="default" w:ascii="Times New Roman" w:hAnsi="Times New Roman" w:eastAsia="宋体" w:cs="Times New Roman"/>
                <w:color w:val="auto"/>
                <w:sz w:val="24"/>
                <w:highlight w:val="none"/>
              </w:rPr>
              <w:t>处理后排气筒排放。</w:t>
            </w:r>
            <w:r>
              <w:rPr>
                <w:rFonts w:hint="default" w:ascii="Times New Roman" w:hAnsi="Times New Roman" w:eastAsia="宋体" w:cs="Times New Roman"/>
                <w:color w:val="auto"/>
                <w:sz w:val="24"/>
                <w:highlight w:val="none"/>
                <w:lang w:val="en-US" w:eastAsia="zh-CN"/>
              </w:rPr>
              <w:t>“活性炭吸附”对有机废气及臭气浓度的去除效率与废气进气浓度、气流量等多种因素有关，</w:t>
            </w:r>
            <w:r>
              <w:rPr>
                <w:rFonts w:hint="default" w:ascii="Times New Roman" w:hAnsi="Times New Roman" w:eastAsia="宋体" w:cs="Times New Roman"/>
                <w:color w:val="auto"/>
                <w:sz w:val="24"/>
                <w:szCs w:val="24"/>
                <w:highlight w:val="none"/>
              </w:rPr>
              <w:t>采用多级活性炭吸附装置（由1层吸附处理提高到</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层吸附处理），通过增加废气的停留时间，能有效提高处置效率，“</w:t>
            </w:r>
            <w:r>
              <w:rPr>
                <w:rFonts w:hint="default" w:ascii="Times New Roman" w:hAnsi="Times New Roman" w:eastAsia="宋体" w:cs="Times New Roman"/>
                <w:color w:val="auto"/>
                <w:sz w:val="24"/>
                <w:szCs w:val="24"/>
                <w:highlight w:val="none"/>
                <w:lang w:val="en-US" w:eastAsia="zh-CN"/>
              </w:rPr>
              <w:t>UV光氧催化+三级活性炭吸附</w:t>
            </w:r>
            <w:r>
              <w:rPr>
                <w:rFonts w:hint="default" w:ascii="Times New Roman" w:hAnsi="Times New Roman" w:eastAsia="宋体" w:cs="Times New Roman"/>
                <w:color w:val="auto"/>
                <w:sz w:val="24"/>
                <w:szCs w:val="24"/>
                <w:highlight w:val="none"/>
              </w:rPr>
              <w:t>装置”</w:t>
            </w:r>
            <w:r>
              <w:rPr>
                <w:rFonts w:hint="default" w:ascii="Times New Roman" w:hAnsi="Times New Roman" w:eastAsia="宋体" w:cs="Times New Roman"/>
                <w:color w:val="auto"/>
                <w:sz w:val="24"/>
                <w:szCs w:val="24"/>
                <w:highlight w:val="none"/>
                <w:lang w:val="en-US" w:eastAsia="zh-CN"/>
              </w:rPr>
              <w:t>组合去除效率一般为75-80%，本项目取中间效率78%进行计算。因此本项目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UV光氧催化+三级活性炭吸附</w:t>
            </w:r>
            <w:r>
              <w:rPr>
                <w:rFonts w:hint="default" w:ascii="Times New Roman" w:hAnsi="Times New Roman" w:eastAsia="宋体" w:cs="Times New Roman"/>
                <w:color w:val="auto"/>
                <w:sz w:val="24"/>
                <w:szCs w:val="24"/>
                <w:highlight w:val="none"/>
              </w:rPr>
              <w:t>装置”</w:t>
            </w:r>
            <w:r>
              <w:rPr>
                <w:rFonts w:hint="default" w:ascii="Times New Roman" w:hAnsi="Times New Roman" w:eastAsia="宋体" w:cs="Times New Roman"/>
                <w:color w:val="auto"/>
                <w:sz w:val="24"/>
                <w:szCs w:val="24"/>
                <w:highlight w:val="none"/>
                <w:lang w:val="en-US" w:eastAsia="zh-CN"/>
              </w:rPr>
              <w:t>组合去除效率为78%，</w:t>
            </w:r>
            <w:r>
              <w:rPr>
                <w:rFonts w:hint="default" w:ascii="Times New Roman" w:hAnsi="Times New Roman" w:eastAsia="宋体" w:cs="Times New Roman"/>
                <w:color w:val="auto"/>
                <w:sz w:val="24"/>
                <w:highlight w:val="none"/>
                <w:lang w:val="en-US" w:eastAsia="zh-CN"/>
              </w:rPr>
              <w:t>项目经处理后的废气均可达标排放，故环保设施设置合理。</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综上所述，项目采用</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UV光氧催化+三级活性炭吸附</w:t>
            </w:r>
            <w:r>
              <w:rPr>
                <w:rFonts w:hint="default" w:ascii="Times New Roman" w:hAnsi="Times New Roman" w:eastAsia="宋体" w:cs="Times New Roman"/>
                <w:color w:val="auto"/>
                <w:sz w:val="24"/>
                <w:szCs w:val="24"/>
                <w:highlight w:val="none"/>
              </w:rPr>
              <w:t>装置”</w:t>
            </w:r>
            <w:r>
              <w:rPr>
                <w:rFonts w:hint="default" w:ascii="Times New Roman" w:hAnsi="Times New Roman" w:eastAsia="宋体" w:cs="Times New Roman"/>
                <w:color w:val="auto"/>
                <w:sz w:val="24"/>
                <w:highlight w:val="none"/>
              </w:rPr>
              <w:t>处理有机废气是合理、可行的。</w:t>
            </w:r>
          </w:p>
          <w:p>
            <w:pPr>
              <w:widowControl/>
              <w:spacing w:line="360" w:lineRule="auto"/>
              <w:ind w:firstLine="482" w:firstLineChars="200"/>
              <w:jc w:val="left"/>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4、无组织排放废气防治措施</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本项目无组织废气为未收集的吹膜废气等。为了进一步减少有机废气对生产车间空气环境的影响和保障工人健康，建议建设单位采取下列措施：</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①加强生产车间内通风，并设置较强的排风系统；</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②提高集气罩废气收集效率，加强吹膜工段的风量控制，确保吹膜过程产生的废气能够有效收集；</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③加强设备维护，防止不良工况下的有机废气产生；</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⑤建议生产车间操作人员操作时佩戴口罩；</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⑥加强操作工的培训和管理，所有操作严格按照既定的规程进行，以减少人为造成的对环境的污染。</w:t>
            </w:r>
          </w:p>
          <w:p>
            <w:pPr>
              <w:widowControl/>
              <w:spacing w:line="360" w:lineRule="auto"/>
              <w:ind w:firstLine="482" w:firstLineChars="200"/>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5</w:t>
            </w:r>
            <w:r>
              <w:rPr>
                <w:rFonts w:hint="default" w:ascii="Times New Roman" w:hAnsi="Times New Roman" w:eastAsia="宋体" w:cs="Times New Roman"/>
                <w:b/>
                <w:color w:val="auto"/>
                <w:sz w:val="24"/>
                <w:highlight w:val="none"/>
              </w:rPr>
              <w:t>、监测要求</w:t>
            </w:r>
          </w:p>
          <w:p>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根据</w:t>
            </w:r>
            <w:r>
              <w:rPr>
                <w:rFonts w:hint="default" w:ascii="Times New Roman" w:hAnsi="Times New Roman" w:eastAsia="宋体" w:cs="Times New Roman"/>
                <w:color w:val="auto"/>
                <w:sz w:val="24"/>
                <w:highlight w:val="none"/>
              </w:rPr>
              <w:t>《排污单位自行监测技术指南 橡胶和塑料制品》（HJ1207-2021）</w:t>
            </w:r>
            <w:r>
              <w:rPr>
                <w:rFonts w:hint="default" w:ascii="Times New Roman" w:hAnsi="Times New Roman" w:eastAsia="宋体" w:cs="Times New Roman"/>
                <w:bCs/>
                <w:color w:val="auto"/>
                <w:sz w:val="24"/>
                <w:highlight w:val="none"/>
              </w:rPr>
              <w:t>，项目的监测计划如表4-</w:t>
            </w:r>
            <w:r>
              <w:rPr>
                <w:rFonts w:hint="default" w:ascii="Times New Roman" w:hAnsi="Times New Roman" w:eastAsia="宋体" w:cs="Times New Roman"/>
                <w:bCs/>
                <w:color w:val="auto"/>
                <w:sz w:val="24"/>
                <w:highlight w:val="none"/>
                <w:lang w:val="en-US" w:eastAsia="zh-CN"/>
              </w:rPr>
              <w:t>10</w:t>
            </w:r>
            <w:r>
              <w:rPr>
                <w:rFonts w:hint="default" w:ascii="Times New Roman" w:hAnsi="Times New Roman" w:eastAsia="宋体" w:cs="Times New Roman"/>
                <w:bCs/>
                <w:color w:val="auto"/>
                <w:sz w:val="24"/>
                <w:highlight w:val="none"/>
              </w:rPr>
              <w:t>。</w:t>
            </w:r>
          </w:p>
          <w:p>
            <w:pPr>
              <w:tabs>
                <w:tab w:val="left" w:pos="630"/>
              </w:tabs>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表4-</w:t>
            </w:r>
            <w:r>
              <w:rPr>
                <w:rFonts w:hint="default" w:ascii="Times New Roman" w:hAnsi="Times New Roman" w:eastAsia="宋体" w:cs="Times New Roman"/>
                <w:b/>
                <w:color w:val="auto"/>
                <w:szCs w:val="21"/>
                <w:highlight w:val="none"/>
                <w:lang w:val="en-US" w:eastAsia="zh-CN"/>
              </w:rPr>
              <w:t>10</w:t>
            </w:r>
            <w:r>
              <w:rPr>
                <w:rFonts w:hint="default" w:ascii="Times New Roman" w:hAnsi="Times New Roman" w:eastAsia="宋体" w:cs="Times New Roman"/>
                <w:b/>
                <w:color w:val="auto"/>
                <w:szCs w:val="21"/>
                <w:highlight w:val="none"/>
              </w:rPr>
              <w:t xml:space="preserve">   自行监测计划</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1047"/>
              <w:gridCol w:w="853"/>
              <w:gridCol w:w="2615"/>
              <w:gridCol w:w="2473"/>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项目</w:t>
                  </w:r>
                </w:p>
              </w:tc>
              <w:tc>
                <w:tcPr>
                  <w:tcW w:w="623" w:type="pct"/>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排放源</w:t>
                  </w:r>
                </w:p>
              </w:tc>
              <w:tc>
                <w:tcPr>
                  <w:tcW w:w="508" w:type="pct"/>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排放方式</w:t>
                  </w:r>
                </w:p>
              </w:tc>
              <w:tc>
                <w:tcPr>
                  <w:tcW w:w="1557" w:type="pct"/>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监测点位</w:t>
                  </w:r>
                </w:p>
              </w:tc>
              <w:tc>
                <w:tcPr>
                  <w:tcW w:w="1473" w:type="pct"/>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监测项目</w:t>
                  </w:r>
                </w:p>
              </w:tc>
              <w:tc>
                <w:tcPr>
                  <w:tcW w:w="586" w:type="pct"/>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51" w:type="pct"/>
                  <w:vMerge w:val="restart"/>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废气</w:t>
                  </w:r>
                </w:p>
              </w:tc>
              <w:tc>
                <w:tcPr>
                  <w:tcW w:w="623" w:type="pct"/>
                  <w:vMerge w:val="restart"/>
                  <w:vAlign w:val="center"/>
                </w:tcPr>
                <w:p>
                  <w:pPr>
                    <w:jc w:val="center"/>
                    <w:rPr>
                      <w:rFonts w:hint="default" w:ascii="Times New Roman" w:hAnsi="Times New Roman" w:eastAsia="宋体" w:cs="Times New Roman"/>
                      <w:bCs/>
                      <w:snapToGrid w:val="0"/>
                      <w:color w:val="auto"/>
                      <w:kern w:val="0"/>
                      <w:szCs w:val="21"/>
                      <w:highlight w:val="none"/>
                      <w:lang w:val="en-US" w:eastAsia="zh-CN"/>
                    </w:rPr>
                  </w:pPr>
                  <w:r>
                    <w:rPr>
                      <w:rFonts w:hint="default" w:ascii="Times New Roman" w:hAnsi="Times New Roman" w:eastAsia="宋体" w:cs="Times New Roman"/>
                      <w:bCs/>
                      <w:snapToGrid w:val="0"/>
                      <w:color w:val="auto"/>
                      <w:kern w:val="0"/>
                      <w:szCs w:val="21"/>
                      <w:highlight w:val="none"/>
                      <w:lang w:val="en-US" w:eastAsia="zh-CN"/>
                    </w:rPr>
                    <w:t>吹膜工段</w:t>
                  </w:r>
                </w:p>
              </w:tc>
              <w:tc>
                <w:tcPr>
                  <w:tcW w:w="508" w:type="pct"/>
                  <w:vMerge w:val="restart"/>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有组织</w:t>
                  </w:r>
                </w:p>
              </w:tc>
              <w:tc>
                <w:tcPr>
                  <w:tcW w:w="1557" w:type="pct"/>
                  <w:vMerge w:val="restart"/>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排气口（DA001）</w:t>
                  </w:r>
                </w:p>
              </w:tc>
              <w:tc>
                <w:tcPr>
                  <w:tcW w:w="1473" w:type="pct"/>
                  <w:vAlign w:val="center"/>
                </w:tcPr>
                <w:p>
                  <w:pPr>
                    <w:jc w:val="center"/>
                    <w:rPr>
                      <w:rFonts w:hint="default" w:ascii="Times New Roman" w:hAnsi="Times New Roman" w:eastAsia="宋体" w:cs="Times New Roman"/>
                      <w:bCs/>
                      <w:color w:val="auto"/>
                      <w:szCs w:val="21"/>
                      <w:highlight w:val="none"/>
                      <w:lang w:val="en-US"/>
                    </w:rPr>
                  </w:pPr>
                  <w:r>
                    <w:rPr>
                      <w:rFonts w:hint="default" w:ascii="Times New Roman" w:hAnsi="Times New Roman" w:eastAsia="宋体" w:cs="Times New Roman"/>
                      <w:bCs/>
                      <w:color w:val="auto"/>
                      <w:szCs w:val="21"/>
                      <w:highlight w:val="none"/>
                      <w:lang w:val="en-US" w:eastAsia="zh-CN"/>
                    </w:rPr>
                    <w:t>挥发性有机物（以</w:t>
                  </w:r>
                  <w:r>
                    <w:rPr>
                      <w:rFonts w:hint="default" w:ascii="Times New Roman" w:hAnsi="Times New Roman" w:eastAsia="宋体" w:cs="Times New Roman"/>
                      <w:bCs/>
                      <w:color w:val="auto"/>
                      <w:szCs w:val="21"/>
                      <w:highlight w:val="none"/>
                    </w:rPr>
                    <w:t>非甲烷总烃</w:t>
                  </w:r>
                  <w:r>
                    <w:rPr>
                      <w:rFonts w:hint="default" w:ascii="Times New Roman" w:hAnsi="Times New Roman" w:eastAsia="宋体" w:cs="Times New Roman"/>
                      <w:bCs/>
                      <w:color w:val="auto"/>
                      <w:szCs w:val="21"/>
                      <w:highlight w:val="none"/>
                      <w:lang w:val="en-US" w:eastAsia="zh-CN"/>
                    </w:rPr>
                    <w:t>计）</w:t>
                  </w:r>
                </w:p>
              </w:tc>
              <w:tc>
                <w:tcPr>
                  <w:tcW w:w="586" w:type="pct"/>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lang w:val="en-US" w:eastAsia="zh-CN" w:bidi="ar"/>
                    </w:rPr>
                    <w:t>1次/半年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51" w:type="pct"/>
                  <w:vMerge w:val="continue"/>
                  <w:vAlign w:val="center"/>
                </w:tcPr>
                <w:p>
                  <w:pPr>
                    <w:jc w:val="center"/>
                    <w:rPr>
                      <w:rFonts w:hint="default" w:ascii="Times New Roman" w:hAnsi="Times New Roman" w:eastAsia="宋体" w:cs="Times New Roman"/>
                      <w:color w:val="auto"/>
                    </w:rPr>
                  </w:pPr>
                </w:p>
              </w:tc>
              <w:tc>
                <w:tcPr>
                  <w:tcW w:w="623" w:type="pct"/>
                  <w:vMerge w:val="continue"/>
                  <w:vAlign w:val="center"/>
                </w:tcPr>
                <w:p>
                  <w:pPr>
                    <w:jc w:val="center"/>
                    <w:rPr>
                      <w:rFonts w:hint="default" w:ascii="Times New Roman" w:hAnsi="Times New Roman" w:eastAsia="宋体" w:cs="Times New Roman"/>
                      <w:color w:val="auto"/>
                    </w:rPr>
                  </w:pPr>
                </w:p>
              </w:tc>
              <w:tc>
                <w:tcPr>
                  <w:tcW w:w="508" w:type="pct"/>
                  <w:vMerge w:val="continue"/>
                  <w:vAlign w:val="center"/>
                </w:tcPr>
                <w:p>
                  <w:pPr>
                    <w:jc w:val="center"/>
                    <w:rPr>
                      <w:rFonts w:hint="default" w:ascii="Times New Roman" w:hAnsi="Times New Roman" w:eastAsia="宋体" w:cs="Times New Roman"/>
                      <w:color w:val="auto"/>
                    </w:rPr>
                  </w:pPr>
                </w:p>
              </w:tc>
              <w:tc>
                <w:tcPr>
                  <w:tcW w:w="1557" w:type="pct"/>
                  <w:vMerge w:val="continue"/>
                  <w:vAlign w:val="center"/>
                </w:tcPr>
                <w:p>
                  <w:pPr>
                    <w:jc w:val="center"/>
                    <w:rPr>
                      <w:rFonts w:hint="default" w:ascii="Times New Roman" w:hAnsi="Times New Roman" w:eastAsia="宋体" w:cs="Times New Roman"/>
                      <w:color w:val="auto"/>
                    </w:rPr>
                  </w:pPr>
                </w:p>
              </w:tc>
              <w:tc>
                <w:tcPr>
                  <w:tcW w:w="1473" w:type="pct"/>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臭气浓度</w:t>
                  </w:r>
                </w:p>
              </w:tc>
              <w:tc>
                <w:tcPr>
                  <w:tcW w:w="586" w:type="pct"/>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szCs w:val="21"/>
                      <w:highlight w:val="none"/>
                      <w:lang w:val="en-US" w:eastAsia="zh-CN" w:bidi="ar"/>
                    </w:rPr>
                    <w:t>1次/</w:t>
                  </w:r>
                  <w:r>
                    <w:rPr>
                      <w:rFonts w:hint="default" w:ascii="Times New Roman" w:hAnsi="Times New Roman" w:eastAsia="宋体" w:cs="Times New Roman"/>
                      <w:color w:val="auto"/>
                      <w:szCs w:val="21"/>
                      <w:highlight w:val="none"/>
                      <w:lang w:bidi="ar"/>
                    </w:rPr>
                    <w:t>1</w:t>
                  </w:r>
                  <w:r>
                    <w:rPr>
                      <w:rFonts w:hint="default" w:ascii="Times New Roman" w:hAnsi="Times New Roman" w:eastAsia="宋体" w:cs="Times New Roman"/>
                      <w:color w:val="auto"/>
                      <w:szCs w:val="21"/>
                      <w:highlight w:val="none"/>
                      <w:lang w:val="en-US" w:eastAsia="zh-CN"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251" w:type="pct"/>
                  <w:vMerge w:val="continue"/>
                  <w:vAlign w:val="center"/>
                </w:tcPr>
                <w:p>
                  <w:pPr>
                    <w:jc w:val="center"/>
                    <w:rPr>
                      <w:rFonts w:hint="default" w:ascii="Times New Roman" w:hAnsi="Times New Roman" w:eastAsia="宋体" w:cs="Times New Roman"/>
                      <w:bCs/>
                      <w:color w:val="auto"/>
                      <w:szCs w:val="21"/>
                      <w:highlight w:val="none"/>
                    </w:rPr>
                  </w:pPr>
                </w:p>
              </w:tc>
              <w:tc>
                <w:tcPr>
                  <w:tcW w:w="623" w:type="pct"/>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吹膜</w:t>
                  </w:r>
                </w:p>
              </w:tc>
              <w:tc>
                <w:tcPr>
                  <w:tcW w:w="508" w:type="pct"/>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厂界无组织</w:t>
                  </w:r>
                </w:p>
              </w:tc>
              <w:tc>
                <w:tcPr>
                  <w:tcW w:w="1557" w:type="pct"/>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厂址上风向设1个对照点、厂址下风向设2个监控点</w:t>
                  </w:r>
                </w:p>
              </w:tc>
              <w:tc>
                <w:tcPr>
                  <w:tcW w:w="1473" w:type="pct"/>
                  <w:vAlign w:val="center"/>
                </w:tcPr>
                <w:p>
                  <w:pPr>
                    <w:jc w:val="center"/>
                    <w:rPr>
                      <w:rFonts w:hint="default" w:ascii="Times New Roman" w:hAnsi="Times New Roman" w:eastAsia="宋体" w:cs="Times New Roman"/>
                      <w:bCs/>
                      <w:color w:val="auto"/>
                      <w:szCs w:val="21"/>
                      <w:highlight w:val="none"/>
                      <w:lang w:val="en-US"/>
                    </w:rPr>
                  </w:pPr>
                  <w:r>
                    <w:rPr>
                      <w:rFonts w:hint="default" w:ascii="Times New Roman" w:hAnsi="Times New Roman" w:eastAsia="宋体" w:cs="Times New Roman"/>
                      <w:bCs/>
                      <w:color w:val="auto"/>
                      <w:szCs w:val="21"/>
                      <w:highlight w:val="none"/>
                      <w:lang w:val="en-US" w:eastAsia="zh-CN"/>
                    </w:rPr>
                    <w:t>挥发性有机物（以</w:t>
                  </w:r>
                  <w:r>
                    <w:rPr>
                      <w:rFonts w:hint="default" w:ascii="Times New Roman" w:hAnsi="Times New Roman" w:eastAsia="宋体" w:cs="Times New Roman"/>
                      <w:bCs/>
                      <w:color w:val="auto"/>
                      <w:szCs w:val="21"/>
                      <w:highlight w:val="none"/>
                    </w:rPr>
                    <w:t>非甲烷总烃</w:t>
                  </w:r>
                  <w:r>
                    <w:rPr>
                      <w:rFonts w:hint="default" w:ascii="Times New Roman" w:hAnsi="Times New Roman" w:eastAsia="宋体" w:cs="Times New Roman"/>
                      <w:bCs/>
                      <w:color w:val="auto"/>
                      <w:szCs w:val="21"/>
                      <w:highlight w:val="none"/>
                      <w:lang w:val="en-US" w:eastAsia="zh-CN"/>
                    </w:rPr>
                    <w:t>计）、臭气浓度</w:t>
                  </w:r>
                </w:p>
              </w:tc>
              <w:tc>
                <w:tcPr>
                  <w:tcW w:w="586" w:type="pct"/>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szCs w:val="21"/>
                      <w:highlight w:val="none"/>
                      <w:lang w:val="en-US" w:eastAsia="zh-CN" w:bidi="ar"/>
                    </w:rPr>
                    <w:t>1次/</w:t>
                  </w:r>
                  <w:r>
                    <w:rPr>
                      <w:rFonts w:hint="default" w:ascii="Times New Roman" w:hAnsi="Times New Roman" w:eastAsia="宋体" w:cs="Times New Roman"/>
                      <w:color w:val="auto"/>
                      <w:szCs w:val="21"/>
                      <w:highlight w:val="none"/>
                      <w:lang w:bidi="ar"/>
                    </w:rPr>
                    <w:t>1</w:t>
                  </w:r>
                  <w:r>
                    <w:rPr>
                      <w:rFonts w:hint="default" w:ascii="Times New Roman" w:hAnsi="Times New Roman" w:eastAsia="宋体" w:cs="Times New Roman"/>
                      <w:color w:val="auto"/>
                      <w:szCs w:val="21"/>
                      <w:highlight w:val="none"/>
                      <w:lang w:val="en-US" w:eastAsia="zh-CN"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vMerge w:val="continue"/>
                  <w:vAlign w:val="center"/>
                </w:tcPr>
                <w:p>
                  <w:pPr>
                    <w:jc w:val="center"/>
                    <w:rPr>
                      <w:rFonts w:hint="default" w:ascii="Times New Roman" w:hAnsi="Times New Roman" w:eastAsia="宋体" w:cs="Times New Roman"/>
                      <w:bCs/>
                      <w:color w:val="auto"/>
                      <w:szCs w:val="21"/>
                      <w:highlight w:val="none"/>
                    </w:rPr>
                  </w:pPr>
                </w:p>
              </w:tc>
              <w:tc>
                <w:tcPr>
                  <w:tcW w:w="1131" w:type="pct"/>
                  <w:gridSpan w:val="2"/>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厂内无组织</w:t>
                  </w:r>
                </w:p>
              </w:tc>
              <w:tc>
                <w:tcPr>
                  <w:tcW w:w="1557" w:type="pct"/>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生产车间内设置1个监测点</w:t>
                  </w:r>
                </w:p>
              </w:tc>
              <w:tc>
                <w:tcPr>
                  <w:tcW w:w="1473" w:type="pct"/>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val="en-US" w:eastAsia="zh-CN"/>
                    </w:rPr>
                    <w:t>挥发性有机物（以</w:t>
                  </w:r>
                  <w:r>
                    <w:rPr>
                      <w:rFonts w:hint="default" w:ascii="Times New Roman" w:hAnsi="Times New Roman" w:eastAsia="宋体" w:cs="Times New Roman"/>
                      <w:bCs/>
                      <w:color w:val="auto"/>
                      <w:szCs w:val="21"/>
                      <w:highlight w:val="none"/>
                    </w:rPr>
                    <w:t>非甲烷总烃</w:t>
                  </w:r>
                  <w:r>
                    <w:rPr>
                      <w:rFonts w:hint="default" w:ascii="Times New Roman" w:hAnsi="Times New Roman" w:eastAsia="宋体" w:cs="Times New Roman"/>
                      <w:bCs/>
                      <w:color w:val="auto"/>
                      <w:szCs w:val="21"/>
                      <w:highlight w:val="none"/>
                      <w:lang w:val="en-US" w:eastAsia="zh-CN"/>
                    </w:rPr>
                    <w:t>计）</w:t>
                  </w:r>
                </w:p>
              </w:tc>
              <w:tc>
                <w:tcPr>
                  <w:tcW w:w="586" w:type="pct"/>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lang w:val="en-US" w:eastAsia="zh-CN" w:bidi="ar"/>
                    </w:rPr>
                    <w:t>1次/</w:t>
                  </w:r>
                  <w:r>
                    <w:rPr>
                      <w:rFonts w:hint="default" w:ascii="Times New Roman" w:hAnsi="Times New Roman" w:eastAsia="宋体" w:cs="Times New Roman"/>
                      <w:color w:val="auto"/>
                      <w:szCs w:val="21"/>
                      <w:highlight w:val="none"/>
                      <w:lang w:bidi="ar"/>
                    </w:rPr>
                    <w:t>1</w:t>
                  </w:r>
                  <w:r>
                    <w:rPr>
                      <w:rFonts w:hint="default" w:ascii="Times New Roman" w:hAnsi="Times New Roman" w:eastAsia="宋体" w:cs="Times New Roman"/>
                      <w:color w:val="auto"/>
                      <w:szCs w:val="21"/>
                      <w:highlight w:val="none"/>
                      <w:lang w:val="en-US" w:eastAsia="zh-CN" w:bidi="ar"/>
                    </w:rPr>
                    <w:t>年</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0"/>
                <w:highlight w:val="none"/>
                <w:lang w:val="zh-CN" w:bidi="ar"/>
              </w:rPr>
            </w:pPr>
            <w:r>
              <w:rPr>
                <w:rFonts w:hint="default" w:ascii="Times New Roman" w:hAnsi="Times New Roman" w:eastAsia="宋体" w:cs="Times New Roman"/>
                <w:b/>
                <w:color w:val="auto"/>
                <w:sz w:val="24"/>
                <w:szCs w:val="20"/>
                <w:highlight w:val="none"/>
                <w:lang w:val="en-US" w:eastAsia="zh-CN" w:bidi="ar"/>
              </w:rPr>
              <w:t>二</w:t>
            </w:r>
            <w:r>
              <w:rPr>
                <w:rFonts w:hint="default" w:ascii="Times New Roman" w:hAnsi="Times New Roman" w:eastAsia="宋体" w:cs="Times New Roman"/>
                <w:b/>
                <w:color w:val="auto"/>
                <w:sz w:val="24"/>
                <w:szCs w:val="20"/>
                <w:highlight w:val="none"/>
                <w:lang w:val="zh-CN" w:bidi="ar"/>
              </w:rPr>
              <w:t>、地表水环境影响分析</w:t>
            </w:r>
          </w:p>
          <w:p>
            <w:pPr>
              <w:adjustRightInd w:val="0"/>
              <w:snapToGrid w:val="0"/>
              <w:spacing w:line="360" w:lineRule="auto"/>
              <w:ind w:firstLine="482" w:firstLineChars="200"/>
              <w:rPr>
                <w:rFonts w:hint="default" w:ascii="Times New Roman" w:hAnsi="Times New Roman" w:eastAsia="宋体" w:cs="Times New Roman"/>
                <w:b/>
                <w:color w:val="auto"/>
                <w:sz w:val="24"/>
                <w:szCs w:val="20"/>
                <w:highlight w:val="none"/>
                <w:lang w:val="en-US" w:bidi="ar"/>
              </w:rPr>
            </w:pPr>
            <w:r>
              <w:rPr>
                <w:rFonts w:hint="default" w:ascii="Times New Roman" w:hAnsi="Times New Roman" w:eastAsia="宋体" w:cs="Times New Roman"/>
                <w:b/>
                <w:bCs/>
                <w:color w:val="auto"/>
                <w:sz w:val="24"/>
                <w:szCs w:val="24"/>
                <w:highlight w:val="none"/>
                <w:lang w:val="en-US" w:eastAsia="zh-CN"/>
              </w:rPr>
              <w:t>1、污染源分析</w:t>
            </w:r>
          </w:p>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b/>
                <w:bCs w:val="0"/>
                <w:color w:val="auto"/>
                <w:spacing w:val="-10"/>
                <w:sz w:val="21"/>
                <w:szCs w:val="21"/>
                <w:highlight w:val="none"/>
                <w:lang w:val="en-US" w:eastAsia="zh-CN"/>
              </w:rPr>
              <w:t>表4-11   项目区废水产排情况统计表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676"/>
              <w:gridCol w:w="877"/>
              <w:gridCol w:w="984"/>
              <w:gridCol w:w="984"/>
              <w:gridCol w:w="984"/>
              <w:gridCol w:w="984"/>
              <w:gridCol w:w="872"/>
              <w:gridCol w:w="113"/>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9" w:type="pct"/>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3520" w:type="pct"/>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综合废水（食堂、办公、冲厕、保洁废水）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9" w:type="pct"/>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产生量（</w:t>
                  </w:r>
                  <w:r>
                    <w:rPr>
                      <w:rFonts w:hint="default" w:ascii="Times New Roman" w:hAnsi="Times New Roman" w:eastAsia="宋体" w:cs="Times New Roman"/>
                      <w:b/>
                      <w:bCs w:val="0"/>
                      <w:color w:val="auto"/>
                      <w:kern w:val="2"/>
                      <w:sz w:val="21"/>
                      <w:szCs w:val="21"/>
                      <w:highlight w:val="none"/>
                      <w:lang w:val="zh-CN" w:eastAsia="zh-CN" w:bidi="ar"/>
                    </w:rPr>
                    <w:t>m</w:t>
                  </w:r>
                  <w:r>
                    <w:rPr>
                      <w:rFonts w:hint="default" w:ascii="Times New Roman" w:hAnsi="Times New Roman" w:eastAsia="宋体" w:cs="Times New Roman"/>
                      <w:b/>
                      <w:bCs w:val="0"/>
                      <w:color w:val="auto"/>
                      <w:kern w:val="2"/>
                      <w:sz w:val="21"/>
                      <w:szCs w:val="21"/>
                      <w:highlight w:val="none"/>
                      <w:vertAlign w:val="superscript"/>
                      <w:lang w:val="zh-CN" w:eastAsia="zh-CN" w:bidi="ar"/>
                    </w:rPr>
                    <w:t>3</w:t>
                  </w:r>
                  <w:r>
                    <w:rPr>
                      <w:rFonts w:hint="default" w:ascii="Times New Roman" w:hAnsi="Times New Roman" w:eastAsia="宋体" w:cs="Times New Roman"/>
                      <w:b/>
                      <w:bCs w:val="0"/>
                      <w:color w:val="auto"/>
                      <w:kern w:val="2"/>
                      <w:sz w:val="21"/>
                      <w:szCs w:val="21"/>
                      <w:highlight w:val="none"/>
                      <w:lang w:val="zh-CN" w:eastAsia="zh-CN" w:bidi="ar"/>
                    </w:rPr>
                    <w:t>/a</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3520" w:type="pct"/>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pacing w:val="11"/>
                      <w:sz w:val="21"/>
                      <w:szCs w:val="21"/>
                      <w:highlight w:val="none"/>
                      <w:lang w:val="en-US" w:eastAsia="zh-CN"/>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9" w:type="pct"/>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586"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COD</w:t>
                  </w:r>
                </w:p>
              </w:tc>
              <w:tc>
                <w:tcPr>
                  <w:tcW w:w="586"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BOD</w:t>
                  </w:r>
                  <w:r>
                    <w:rPr>
                      <w:rFonts w:hint="default" w:ascii="Times New Roman" w:hAnsi="Times New Roman" w:eastAsia="宋体" w:cs="Times New Roman"/>
                      <w:b w:val="0"/>
                      <w:bCs/>
                      <w:color w:val="auto"/>
                      <w:spacing w:val="-10"/>
                      <w:sz w:val="21"/>
                      <w:szCs w:val="21"/>
                      <w:highlight w:val="none"/>
                      <w:vertAlign w:val="subscript"/>
                      <w:lang w:val="en-US" w:eastAsia="zh-CN"/>
                    </w:rPr>
                    <w:t>5</w:t>
                  </w:r>
                </w:p>
              </w:tc>
              <w:tc>
                <w:tcPr>
                  <w:tcW w:w="586"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SS</w:t>
                  </w:r>
                </w:p>
              </w:tc>
              <w:tc>
                <w:tcPr>
                  <w:tcW w:w="586"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氨氮</w:t>
                  </w:r>
                </w:p>
              </w:tc>
              <w:tc>
                <w:tcPr>
                  <w:tcW w:w="519" w:type="pct"/>
                  <w:noWrap w:val="0"/>
                  <w:vAlign w:val="center"/>
                </w:tcPr>
                <w:p>
                  <w:pPr>
                    <w:keepNext w:val="0"/>
                    <w:keepLines w:val="0"/>
                    <w:pageBreakBefore w:val="0"/>
                    <w:numPr>
                      <w:ilvl w:val="0"/>
                      <w:numId w:val="0"/>
                    </w:numPr>
                    <w:tabs>
                      <w:tab w:val="left" w:pos="342"/>
                    </w:tabs>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总磷</w:t>
                  </w:r>
                </w:p>
              </w:tc>
              <w:tc>
                <w:tcPr>
                  <w:tcW w:w="656" w:type="pct"/>
                  <w:gridSpan w:val="2"/>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9" w:type="pct"/>
                  <w:gridSpan w:val="3"/>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kern w:val="2"/>
                      <w:sz w:val="21"/>
                      <w:szCs w:val="21"/>
                      <w:highlight w:val="none"/>
                      <w:vertAlign w:val="baseline"/>
                      <w:lang w:val="en-US" w:eastAsia="zh-CN" w:bidi="ar-SA"/>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586"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kern w:val="2"/>
                      <w:sz w:val="21"/>
                      <w:szCs w:val="21"/>
                      <w:highlight w:val="none"/>
                      <w:vertAlign w:val="baseline"/>
                      <w:lang w:val="en-US" w:eastAsia="zh-CN" w:bidi="ar-SA"/>
                    </w:rPr>
                    <w:t>0.2496</w:t>
                  </w:r>
                </w:p>
              </w:tc>
              <w:tc>
                <w:tcPr>
                  <w:tcW w:w="586"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kern w:val="2"/>
                      <w:sz w:val="21"/>
                      <w:szCs w:val="21"/>
                      <w:highlight w:val="none"/>
                      <w:vertAlign w:val="baseline"/>
                      <w:lang w:val="en-US" w:eastAsia="zh-CN" w:bidi="ar-SA"/>
                    </w:rPr>
                    <w:t>0.048</w:t>
                  </w:r>
                </w:p>
              </w:tc>
              <w:tc>
                <w:tcPr>
                  <w:tcW w:w="586"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kern w:val="2"/>
                      <w:sz w:val="21"/>
                      <w:szCs w:val="21"/>
                      <w:highlight w:val="none"/>
                      <w:vertAlign w:val="baseline"/>
                      <w:lang w:val="en-US" w:eastAsia="zh-CN" w:bidi="ar-SA"/>
                    </w:rPr>
                    <w:t>0.168</w:t>
                  </w:r>
                </w:p>
              </w:tc>
              <w:tc>
                <w:tcPr>
                  <w:tcW w:w="586"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kern w:val="2"/>
                      <w:sz w:val="21"/>
                      <w:szCs w:val="21"/>
                      <w:highlight w:val="none"/>
                      <w:vertAlign w:val="baseline"/>
                      <w:lang w:val="en-US" w:eastAsia="zh-CN" w:bidi="ar-SA"/>
                    </w:rPr>
                    <w:t>0.0192</w:t>
                  </w:r>
                </w:p>
              </w:tc>
              <w:tc>
                <w:tcPr>
                  <w:tcW w:w="51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kern w:val="2"/>
                      <w:sz w:val="21"/>
                      <w:szCs w:val="21"/>
                      <w:highlight w:val="none"/>
                      <w:vertAlign w:val="baseline"/>
                      <w:lang w:val="en-US" w:eastAsia="zh-CN" w:bidi="ar-SA"/>
                    </w:rPr>
                    <w:t>0.0038</w:t>
                  </w:r>
                </w:p>
              </w:tc>
              <w:tc>
                <w:tcPr>
                  <w:tcW w:w="656"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0.0168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9" w:type="pct"/>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w:t>
                  </w:r>
                  <w:r>
                    <w:rPr>
                      <w:rFonts w:hint="default" w:ascii="Times New Roman" w:hAnsi="Times New Roman" w:eastAsia="宋体" w:cs="Times New Roman"/>
                      <w:b/>
                      <w:bCs w:val="0"/>
                      <w:color w:val="auto"/>
                      <w:kern w:val="2"/>
                      <w:sz w:val="21"/>
                      <w:szCs w:val="21"/>
                      <w:highlight w:val="none"/>
                      <w:lang w:val="en-US" w:eastAsia="zh-CN" w:bidi="ar"/>
                    </w:rPr>
                    <w:t>mg/L</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586"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520</w:t>
                  </w:r>
                </w:p>
              </w:tc>
              <w:tc>
                <w:tcPr>
                  <w:tcW w:w="586"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100</w:t>
                  </w:r>
                </w:p>
              </w:tc>
              <w:tc>
                <w:tcPr>
                  <w:tcW w:w="586"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350</w:t>
                  </w:r>
                </w:p>
              </w:tc>
              <w:tc>
                <w:tcPr>
                  <w:tcW w:w="586"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40</w:t>
                  </w:r>
                </w:p>
              </w:tc>
              <w:tc>
                <w:tcPr>
                  <w:tcW w:w="519"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w:t>
                  </w:r>
                </w:p>
              </w:tc>
              <w:tc>
                <w:tcPr>
                  <w:tcW w:w="656" w:type="pct"/>
                  <w:gridSpan w:val="2"/>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9" w:type="pct"/>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3520" w:type="pct"/>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4" w:type="pct"/>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92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3520" w:type="pct"/>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92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3520" w:type="pct"/>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92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3520" w:type="pct"/>
                  <w:gridSpan w:val="7"/>
                  <w:noWrap w:val="0"/>
                  <w:vAlign w:val="center"/>
                </w:tcPr>
                <w:p>
                  <w:pPr>
                    <w:pStyle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食堂废水经容积为0.5m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的隔油池处理后，与其他生活污水一并进入容积为5m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的化粪池、处理规模为10m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/d的</w:t>
                  </w:r>
                  <w:r>
                    <w:rPr>
                      <w:rFonts w:hint="default" w:ascii="Times New Roman" w:hAnsi="Times New Roman" w:eastAsia="宋体" w:cs="Times New Roman"/>
                      <w:color w:val="auto"/>
                      <w:sz w:val="21"/>
                      <w:szCs w:val="21"/>
                      <w:highlight w:val="none"/>
                      <w:lang w:eastAsia="zh-CN" w:bidi="ar"/>
                    </w:rPr>
                    <w:t>一体化</w:t>
                  </w:r>
                  <w:r>
                    <w:rPr>
                      <w:rFonts w:hint="default" w:ascii="Times New Roman" w:hAnsi="Times New Roman" w:eastAsia="宋体" w:cs="Times New Roman"/>
                      <w:color w:val="auto"/>
                      <w:sz w:val="21"/>
                      <w:szCs w:val="21"/>
                      <w:highlight w:val="none"/>
                      <w:lang w:val="en-US" w:eastAsia="zh-CN"/>
                    </w:rPr>
                    <w:t>污水处理站（处理工艺为MBR）处理达《城市污水再生利用 城市杂用水水质》（GB/T18920-2020）中的城市绿化、道路清扫、消防、建筑施工标准。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03" w:type="pct"/>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治理效率</w:t>
                  </w:r>
                </w:p>
              </w:tc>
              <w:tc>
                <w:tcPr>
                  <w:tcW w:w="521"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隔油池</w:t>
                  </w:r>
                </w:p>
              </w:tc>
              <w:tc>
                <w:tcPr>
                  <w:tcW w:w="586" w:type="pct"/>
                  <w:noWrap w:val="0"/>
                  <w:vAlign w:val="center"/>
                </w:tcPr>
                <w:p>
                  <w:pPr>
                    <w:keepNext w:val="0"/>
                    <w:keepLines w:val="0"/>
                    <w:pageBreakBefore w:val="0"/>
                    <w:widowControl/>
                    <w:numPr>
                      <w:ilvl w:val="-1"/>
                      <w:numId w:val="0"/>
                    </w:numPr>
                    <w:kinsoku/>
                    <w:wordWrap/>
                    <w:overflowPunct/>
                    <w:topLinePunct w:val="0"/>
                    <w:bidi w:val="0"/>
                    <w:adjustRightInd/>
                    <w:snapToGrid/>
                    <w:jc w:val="center"/>
                    <w:textAlignment w:val="center"/>
                    <w:rPr>
                      <w:rFonts w:hint="default" w:ascii="Times New Roman" w:hAnsi="Times New Roman" w:eastAsia="宋体" w:cs="Times New Roman"/>
                      <w:b w:val="0"/>
                      <w:bCs w:val="0"/>
                      <w:color w:val="auto"/>
                      <w:spacing w:val="0"/>
                      <w:kern w:val="0"/>
                      <w:sz w:val="21"/>
                      <w:szCs w:val="21"/>
                      <w:u w:val="none"/>
                      <w:vertAlign w:val="baseli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586" w:type="pct"/>
                  <w:noWrap w:val="0"/>
                  <w:vAlign w:val="center"/>
                </w:tcPr>
                <w:p>
                  <w:pPr>
                    <w:keepNext w:val="0"/>
                    <w:keepLines w:val="0"/>
                    <w:pageBreakBefore w:val="0"/>
                    <w:widowControl/>
                    <w:numPr>
                      <w:ilvl w:val="-1"/>
                      <w:numId w:val="0"/>
                    </w:numPr>
                    <w:kinsoku/>
                    <w:wordWrap/>
                    <w:overflowPunct/>
                    <w:topLinePunct w:val="0"/>
                    <w:bidi w:val="0"/>
                    <w:adjustRightInd/>
                    <w:snapToGrid/>
                    <w:jc w:val="center"/>
                    <w:textAlignment w:val="center"/>
                    <w:rPr>
                      <w:rFonts w:hint="default" w:ascii="Times New Roman" w:hAnsi="Times New Roman" w:eastAsia="宋体" w:cs="Times New Roman"/>
                      <w:b w:val="0"/>
                      <w:bCs w:val="0"/>
                      <w:color w:val="auto"/>
                      <w:spacing w:val="0"/>
                      <w:kern w:val="0"/>
                      <w:sz w:val="21"/>
                      <w:szCs w:val="21"/>
                      <w:u w:val="none"/>
                      <w:vertAlign w:val="baseli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586" w:type="pct"/>
                  <w:noWrap w:val="0"/>
                  <w:vAlign w:val="center"/>
                </w:tcPr>
                <w:p>
                  <w:pPr>
                    <w:keepNext w:val="0"/>
                    <w:keepLines w:val="0"/>
                    <w:pageBreakBefore w:val="0"/>
                    <w:widowControl/>
                    <w:numPr>
                      <w:ilvl w:val="-1"/>
                      <w:numId w:val="0"/>
                    </w:numPr>
                    <w:kinsoku/>
                    <w:wordWrap/>
                    <w:overflowPunct/>
                    <w:topLinePunct w:val="0"/>
                    <w:bidi w:val="0"/>
                    <w:adjustRightInd/>
                    <w:snapToGrid/>
                    <w:jc w:val="center"/>
                    <w:textAlignment w:val="center"/>
                    <w:rPr>
                      <w:rFonts w:hint="default" w:ascii="Times New Roman" w:hAnsi="Times New Roman" w:eastAsia="宋体" w:cs="Times New Roman"/>
                      <w:b w:val="0"/>
                      <w:bCs w:val="0"/>
                      <w:color w:val="auto"/>
                      <w:spacing w:val="0"/>
                      <w:kern w:val="0"/>
                      <w:sz w:val="21"/>
                      <w:szCs w:val="21"/>
                      <w:u w:val="none"/>
                      <w:vertAlign w:val="baseli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586" w:type="pct"/>
                  <w:noWrap w:val="0"/>
                  <w:vAlign w:val="center"/>
                </w:tcPr>
                <w:p>
                  <w:pPr>
                    <w:keepNext w:val="0"/>
                    <w:keepLines w:val="0"/>
                    <w:pageBreakBefore w:val="0"/>
                    <w:widowControl/>
                    <w:numPr>
                      <w:ilvl w:val="-1"/>
                      <w:numId w:val="0"/>
                    </w:numPr>
                    <w:kinsoku/>
                    <w:wordWrap/>
                    <w:overflowPunct/>
                    <w:topLinePunct w:val="0"/>
                    <w:bidi w:val="0"/>
                    <w:adjustRightInd/>
                    <w:snapToGrid/>
                    <w:jc w:val="center"/>
                    <w:textAlignment w:val="center"/>
                    <w:rPr>
                      <w:rFonts w:hint="default" w:ascii="Times New Roman" w:hAnsi="Times New Roman" w:eastAsia="宋体" w:cs="Times New Roman"/>
                      <w:b w:val="0"/>
                      <w:bCs w:val="0"/>
                      <w:color w:val="auto"/>
                      <w:spacing w:val="0"/>
                      <w:kern w:val="0"/>
                      <w:sz w:val="21"/>
                      <w:szCs w:val="21"/>
                      <w:u w:val="none"/>
                      <w:vertAlign w:val="baseli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586" w:type="pct"/>
                  <w:gridSpan w:val="2"/>
                  <w:noWrap w:val="0"/>
                  <w:vAlign w:val="center"/>
                </w:tcPr>
                <w:p>
                  <w:pPr>
                    <w:keepNext w:val="0"/>
                    <w:keepLines w:val="0"/>
                    <w:pageBreakBefore w:val="0"/>
                    <w:widowControl/>
                    <w:numPr>
                      <w:ilvl w:val="-1"/>
                      <w:numId w:val="0"/>
                    </w:numPr>
                    <w:kinsoku/>
                    <w:wordWrap/>
                    <w:overflowPunct/>
                    <w:topLinePunct w:val="0"/>
                    <w:bidi w:val="0"/>
                    <w:adjustRightInd/>
                    <w:snapToGrid/>
                    <w:jc w:val="center"/>
                    <w:textAlignment w:val="center"/>
                    <w:rPr>
                      <w:rFonts w:hint="default" w:ascii="Times New Roman" w:hAnsi="Times New Roman" w:eastAsia="宋体" w:cs="Times New Roman"/>
                      <w:b w:val="0"/>
                      <w:bCs w:val="0"/>
                      <w:color w:val="auto"/>
                      <w:spacing w:val="0"/>
                      <w:kern w:val="0"/>
                      <w:sz w:val="21"/>
                      <w:szCs w:val="21"/>
                      <w:u w:val="none"/>
                      <w:vertAlign w:val="baseli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590" w:type="pct"/>
                  <w:noWrap w:val="0"/>
                  <w:vAlign w:val="center"/>
                </w:tcPr>
                <w:p>
                  <w:pPr>
                    <w:keepNext w:val="0"/>
                    <w:keepLines w:val="0"/>
                    <w:pageBreakBefore w:val="0"/>
                    <w:widowControl/>
                    <w:numPr>
                      <w:ilvl w:val="-1"/>
                      <w:numId w:val="0"/>
                    </w:numPr>
                    <w:kinsoku/>
                    <w:wordWrap/>
                    <w:overflowPunct/>
                    <w:topLinePunct w:val="0"/>
                    <w:bidi w:val="0"/>
                    <w:adjustRightInd/>
                    <w:snapToGrid/>
                    <w:jc w:val="center"/>
                    <w:textAlignment w:val="center"/>
                    <w:rPr>
                      <w:rFonts w:hint="default" w:ascii="Times New Roman" w:hAnsi="Times New Roman" w:eastAsia="宋体" w:cs="Times New Roman"/>
                      <w:b w:val="0"/>
                      <w:bCs w:val="0"/>
                      <w:color w:val="auto"/>
                      <w:spacing w:val="0"/>
                      <w:kern w:val="0"/>
                      <w:sz w:val="21"/>
                      <w:szCs w:val="21"/>
                      <w:u w:val="none"/>
                      <w:vertAlign w:val="baseline"/>
                      <w:lang w:val="en-US" w:eastAsia="zh-CN" w:bidi="ar"/>
                    </w:rPr>
                  </w:pPr>
                  <w:r>
                    <w:rPr>
                      <w:rFonts w:hint="default" w:ascii="Times New Roman" w:hAnsi="Times New Roman" w:eastAsia="宋体" w:cs="Times New Roman"/>
                      <w:b w:val="0"/>
                      <w:bCs w:val="0"/>
                      <w:color w:val="auto"/>
                      <w:spacing w:val="0"/>
                      <w:kern w:val="0"/>
                      <w:sz w:val="21"/>
                      <w:szCs w:val="21"/>
                      <w:u w:val="none"/>
                      <w:vertAlign w:val="baseline"/>
                      <w:lang w:val="en-US" w:eastAsia="zh-CN"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03"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521"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化粪池</w:t>
                  </w:r>
                </w:p>
              </w:tc>
              <w:tc>
                <w:tcPr>
                  <w:tcW w:w="586" w:type="pct"/>
                  <w:noWrap w:val="0"/>
                  <w:vAlign w:val="center"/>
                </w:tcPr>
                <w:p>
                  <w:pPr>
                    <w:keepNext w:val="0"/>
                    <w:keepLines w:val="0"/>
                    <w:pageBreakBefore w:val="0"/>
                    <w:widowControl/>
                    <w:numPr>
                      <w:ilvl w:val="-1"/>
                      <w:numId w:val="0"/>
                    </w:numPr>
                    <w:kinsoku/>
                    <w:wordWrap/>
                    <w:overflowPunct/>
                    <w:topLinePunct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586" w:type="pct"/>
                  <w:noWrap w:val="0"/>
                  <w:vAlign w:val="center"/>
                </w:tcPr>
                <w:p>
                  <w:pPr>
                    <w:keepNext w:val="0"/>
                    <w:keepLines w:val="0"/>
                    <w:pageBreakBefore w:val="0"/>
                    <w:widowControl/>
                    <w:numPr>
                      <w:ilvl w:val="-1"/>
                      <w:numId w:val="0"/>
                    </w:numPr>
                    <w:kinsoku/>
                    <w:wordWrap/>
                    <w:overflowPunct/>
                    <w:topLinePunct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586" w:type="pct"/>
                  <w:noWrap w:val="0"/>
                  <w:vAlign w:val="center"/>
                </w:tcPr>
                <w:p>
                  <w:pPr>
                    <w:keepNext w:val="0"/>
                    <w:keepLines w:val="0"/>
                    <w:pageBreakBefore w:val="0"/>
                    <w:widowControl/>
                    <w:numPr>
                      <w:ilvl w:val="-1"/>
                      <w:numId w:val="0"/>
                    </w:numPr>
                    <w:kinsoku/>
                    <w:wordWrap/>
                    <w:overflowPunct/>
                    <w:topLinePunct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w:t>
                  </w:r>
                </w:p>
              </w:tc>
              <w:tc>
                <w:tcPr>
                  <w:tcW w:w="586" w:type="pct"/>
                  <w:noWrap w:val="0"/>
                  <w:vAlign w:val="center"/>
                </w:tcPr>
                <w:p>
                  <w:pPr>
                    <w:keepNext w:val="0"/>
                    <w:keepLines w:val="0"/>
                    <w:pageBreakBefore w:val="0"/>
                    <w:widowControl/>
                    <w:numPr>
                      <w:ilvl w:val="-1"/>
                      <w:numId w:val="0"/>
                    </w:numPr>
                    <w:kinsoku/>
                    <w:wordWrap/>
                    <w:overflowPunct/>
                    <w:topLinePunct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586" w:type="pct"/>
                  <w:gridSpan w:val="2"/>
                  <w:noWrap w:val="0"/>
                  <w:vAlign w:val="center"/>
                </w:tcPr>
                <w:p>
                  <w:pPr>
                    <w:keepNext w:val="0"/>
                    <w:keepLines w:val="0"/>
                    <w:pageBreakBefore w:val="0"/>
                    <w:widowControl/>
                    <w:numPr>
                      <w:ilvl w:val="-1"/>
                      <w:numId w:val="0"/>
                    </w:numPr>
                    <w:kinsoku/>
                    <w:wordWrap/>
                    <w:overflowPunct/>
                    <w:topLinePunct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590" w:type="pct"/>
                  <w:noWrap w:val="0"/>
                  <w:vAlign w:val="center"/>
                </w:tcPr>
                <w:p>
                  <w:pPr>
                    <w:keepNext w:val="0"/>
                    <w:keepLines w:val="0"/>
                    <w:pageBreakBefore w:val="0"/>
                    <w:widowControl/>
                    <w:numPr>
                      <w:ilvl w:val="-1"/>
                      <w:numId w:val="0"/>
                    </w:numPr>
                    <w:kinsoku/>
                    <w:wordWrap/>
                    <w:overflowPunct/>
                    <w:topLinePunct w:val="0"/>
                    <w:bidi w:val="0"/>
                    <w:adjustRightInd/>
                    <w:snapToGrid/>
                    <w:jc w:val="center"/>
                    <w:textAlignment w:val="center"/>
                    <w:rPr>
                      <w:rFonts w:hint="default" w:ascii="Times New Roman" w:hAnsi="Times New Roman" w:eastAsia="宋体" w:cs="Times New Roman"/>
                      <w:b w:val="0"/>
                      <w:bCs w:val="0"/>
                      <w:color w:val="auto"/>
                      <w:spacing w:val="0"/>
                      <w:kern w:val="0"/>
                      <w:sz w:val="21"/>
                      <w:szCs w:val="21"/>
                      <w:u w:val="none"/>
                      <w:vertAlign w:val="baseline"/>
                      <w:lang w:val="en-US" w:eastAsia="zh-CN" w:bidi="ar"/>
                    </w:rPr>
                  </w:pPr>
                  <w:r>
                    <w:rPr>
                      <w:rFonts w:hint="default" w:ascii="Times New Roman" w:hAnsi="Times New Roman" w:eastAsia="宋体" w:cs="Times New Roman"/>
                      <w:b w:val="0"/>
                      <w:bCs w:val="0"/>
                      <w:color w:val="auto"/>
                      <w:spacing w:val="0"/>
                      <w:kern w:val="0"/>
                      <w:sz w:val="21"/>
                      <w:szCs w:val="21"/>
                      <w:u w:val="none"/>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03"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521"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处理站</w:t>
                  </w:r>
                </w:p>
              </w:tc>
              <w:tc>
                <w:tcPr>
                  <w:tcW w:w="586" w:type="pct"/>
                  <w:noWrap w:val="0"/>
                  <w:vAlign w:val="center"/>
                </w:tcPr>
                <w:p>
                  <w:pPr>
                    <w:keepNext w:val="0"/>
                    <w:keepLines w:val="0"/>
                    <w:pageBreakBefore w:val="0"/>
                    <w:widowControl/>
                    <w:numPr>
                      <w:ilvl w:val="-1"/>
                      <w:numId w:val="0"/>
                    </w:numPr>
                    <w:kinsoku/>
                    <w:wordWrap/>
                    <w:overflowPunct/>
                    <w:topLinePunct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88.78</w:t>
                  </w:r>
                </w:p>
              </w:tc>
              <w:tc>
                <w:tcPr>
                  <w:tcW w:w="586" w:type="pct"/>
                  <w:noWrap w:val="0"/>
                  <w:vAlign w:val="center"/>
                </w:tcPr>
                <w:p>
                  <w:pPr>
                    <w:keepNext w:val="0"/>
                    <w:keepLines w:val="0"/>
                    <w:pageBreakBefore w:val="0"/>
                    <w:widowControl/>
                    <w:numPr>
                      <w:ilvl w:val="-1"/>
                      <w:numId w:val="0"/>
                    </w:numPr>
                    <w:kinsoku/>
                    <w:wordWrap/>
                    <w:overflowPunct/>
                    <w:topLinePunct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88.78</w:t>
                  </w:r>
                </w:p>
              </w:tc>
              <w:tc>
                <w:tcPr>
                  <w:tcW w:w="586" w:type="pct"/>
                  <w:noWrap w:val="0"/>
                  <w:vAlign w:val="center"/>
                </w:tcPr>
                <w:p>
                  <w:pPr>
                    <w:keepNext w:val="0"/>
                    <w:keepLines w:val="0"/>
                    <w:pageBreakBefore w:val="0"/>
                    <w:widowControl/>
                    <w:numPr>
                      <w:ilvl w:val="-1"/>
                      <w:numId w:val="0"/>
                    </w:numPr>
                    <w:kinsoku/>
                    <w:wordWrap/>
                    <w:overflowPunct/>
                    <w:topLinePunct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90</w:t>
                  </w:r>
                </w:p>
              </w:tc>
              <w:tc>
                <w:tcPr>
                  <w:tcW w:w="586" w:type="pct"/>
                  <w:noWrap w:val="0"/>
                  <w:vAlign w:val="center"/>
                </w:tcPr>
                <w:p>
                  <w:pPr>
                    <w:keepNext w:val="0"/>
                    <w:keepLines w:val="0"/>
                    <w:pageBreakBefore w:val="0"/>
                    <w:widowControl/>
                    <w:numPr>
                      <w:ilvl w:val="-1"/>
                      <w:numId w:val="0"/>
                    </w:numPr>
                    <w:kinsoku/>
                    <w:wordWrap/>
                    <w:overflowPunct/>
                    <w:topLinePunct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82.88</w:t>
                  </w:r>
                </w:p>
              </w:tc>
              <w:tc>
                <w:tcPr>
                  <w:tcW w:w="586" w:type="pct"/>
                  <w:gridSpan w:val="2"/>
                  <w:noWrap w:val="0"/>
                  <w:vAlign w:val="center"/>
                </w:tcPr>
                <w:p>
                  <w:pPr>
                    <w:keepNext w:val="0"/>
                    <w:keepLines w:val="0"/>
                    <w:pageBreakBefore w:val="0"/>
                    <w:widowControl/>
                    <w:numPr>
                      <w:ilvl w:val="-1"/>
                      <w:numId w:val="0"/>
                    </w:numPr>
                    <w:kinsoku/>
                    <w:wordWrap/>
                    <w:overflowPunct/>
                    <w:topLinePunct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82.88</w:t>
                  </w:r>
                </w:p>
              </w:tc>
              <w:tc>
                <w:tcPr>
                  <w:tcW w:w="590" w:type="pct"/>
                  <w:noWrap w:val="0"/>
                  <w:vAlign w:val="center"/>
                </w:tcPr>
                <w:p>
                  <w:pPr>
                    <w:keepNext w:val="0"/>
                    <w:keepLines w:val="0"/>
                    <w:pageBreakBefore w:val="0"/>
                    <w:widowControl/>
                    <w:numPr>
                      <w:ilvl w:val="-1"/>
                      <w:numId w:val="0"/>
                    </w:numPr>
                    <w:kinsoku/>
                    <w:wordWrap/>
                    <w:overflowPunct/>
                    <w:topLinePunct w:val="0"/>
                    <w:bidi w:val="0"/>
                    <w:adjustRightInd/>
                    <w:snapToGrid/>
                    <w:jc w:val="center"/>
                    <w:textAlignment w:val="center"/>
                    <w:rPr>
                      <w:rFonts w:hint="default" w:ascii="Times New Roman" w:hAnsi="Times New Roman" w:eastAsia="宋体" w:cs="Times New Roman"/>
                      <w:b w:val="0"/>
                      <w:bCs w:val="0"/>
                      <w:color w:val="auto"/>
                      <w:spacing w:val="0"/>
                      <w:kern w:val="0"/>
                      <w:sz w:val="21"/>
                      <w:szCs w:val="21"/>
                      <w:u w:val="none"/>
                      <w:vertAlign w:val="baseline"/>
                      <w:lang w:val="en-US" w:eastAsia="zh-CN" w:bidi="ar"/>
                    </w:rPr>
                  </w:pPr>
                  <w:r>
                    <w:rPr>
                      <w:rFonts w:hint="default" w:ascii="Times New Roman" w:hAnsi="Times New Roman" w:eastAsia="宋体" w:cs="Times New Roman"/>
                      <w:b w:val="0"/>
                      <w:bCs w:val="0"/>
                      <w:color w:val="auto"/>
                      <w:spacing w:val="0"/>
                      <w:kern w:val="0"/>
                      <w:sz w:val="21"/>
                      <w:szCs w:val="21"/>
                      <w:u w:val="none"/>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92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3520" w:type="pct"/>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9" w:type="pct"/>
                  <w:gridSpan w:val="3"/>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污染物处理后的量（t/a）</w:t>
                  </w:r>
                </w:p>
              </w:tc>
              <w:tc>
                <w:tcPr>
                  <w:tcW w:w="586"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0.0238</w:t>
                  </w:r>
                </w:p>
              </w:tc>
              <w:tc>
                <w:tcPr>
                  <w:tcW w:w="586"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0.0046</w:t>
                  </w:r>
                </w:p>
              </w:tc>
              <w:tc>
                <w:tcPr>
                  <w:tcW w:w="586"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0.0118</w:t>
                  </w:r>
                </w:p>
              </w:tc>
              <w:tc>
                <w:tcPr>
                  <w:tcW w:w="586"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0.0033</w:t>
                  </w:r>
                </w:p>
              </w:tc>
              <w:tc>
                <w:tcPr>
                  <w:tcW w:w="586"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0.0007</w:t>
                  </w:r>
                </w:p>
              </w:tc>
              <w:tc>
                <w:tcPr>
                  <w:tcW w:w="590"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9" w:type="pct"/>
                  <w:gridSpan w:val="3"/>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污染物出水浓度（</w:t>
                  </w:r>
                  <w:r>
                    <w:rPr>
                      <w:rFonts w:hint="default" w:ascii="Times New Roman" w:hAnsi="Times New Roman" w:eastAsia="宋体" w:cs="Times New Roman"/>
                      <w:b/>
                      <w:bCs w:val="0"/>
                      <w:color w:val="auto"/>
                      <w:kern w:val="2"/>
                      <w:sz w:val="21"/>
                      <w:szCs w:val="21"/>
                      <w:highlight w:val="none"/>
                      <w:lang w:val="en-US" w:eastAsia="zh-CN" w:bidi="ar"/>
                    </w:rPr>
                    <w:t>mg/L</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586"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49.59</w:t>
                  </w:r>
                </w:p>
              </w:tc>
              <w:tc>
                <w:tcPr>
                  <w:tcW w:w="586"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9.54</w:t>
                  </w:r>
                </w:p>
              </w:tc>
              <w:tc>
                <w:tcPr>
                  <w:tcW w:w="586"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24.50</w:t>
                  </w:r>
                </w:p>
              </w:tc>
              <w:tc>
                <w:tcPr>
                  <w:tcW w:w="586"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6.85</w:t>
                  </w:r>
                </w:p>
              </w:tc>
              <w:tc>
                <w:tcPr>
                  <w:tcW w:w="586"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1.37</w:t>
                  </w:r>
                </w:p>
              </w:tc>
              <w:tc>
                <w:tcPr>
                  <w:tcW w:w="590"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9" w:type="pct"/>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排放去向</w:t>
                  </w:r>
                </w:p>
              </w:tc>
              <w:tc>
                <w:tcPr>
                  <w:tcW w:w="3520" w:type="pct"/>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9" w:type="pct"/>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排放规律</w:t>
                  </w:r>
                </w:p>
              </w:tc>
              <w:tc>
                <w:tcPr>
                  <w:tcW w:w="3520" w:type="pct"/>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4" w:type="pct"/>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92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编号及名称</w:t>
                  </w:r>
                </w:p>
              </w:tc>
              <w:tc>
                <w:tcPr>
                  <w:tcW w:w="3520" w:type="pct"/>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DW001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92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3520" w:type="pct"/>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92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3520" w:type="pct"/>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9" w:type="pct"/>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执行标准</w:t>
                  </w:r>
                </w:p>
              </w:tc>
              <w:tc>
                <w:tcPr>
                  <w:tcW w:w="3520" w:type="pct"/>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《城市污水再生利用 城市杂用水水质》（GB/T18920-2020）中的城市绿化、道路清扫、消防、建筑施工标准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4" w:type="pct"/>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92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3520" w:type="pct"/>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一体化污水处理站出口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92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3520" w:type="pct"/>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COD、BOD</w:t>
                  </w:r>
                  <w:r>
                    <w:rPr>
                      <w:rFonts w:hint="default" w:ascii="Times New Roman" w:hAnsi="Times New Roman" w:eastAsia="宋体" w:cs="Times New Roman"/>
                      <w:b w:val="0"/>
                      <w:bCs/>
                      <w:color w:val="auto"/>
                      <w:spacing w:val="-10"/>
                      <w:sz w:val="21"/>
                      <w:szCs w:val="21"/>
                      <w:highlight w:val="none"/>
                      <w:vertAlign w:val="subscript"/>
                      <w:lang w:val="en-US" w:eastAsia="zh-CN"/>
                    </w:rPr>
                    <w:t>5</w:t>
                  </w:r>
                  <w:r>
                    <w:rPr>
                      <w:rFonts w:hint="default" w:ascii="Times New Roman" w:hAnsi="Times New Roman" w:eastAsia="宋体" w:cs="Times New Roman"/>
                      <w:b w:val="0"/>
                      <w:bCs/>
                      <w:color w:val="auto"/>
                      <w:spacing w:val="-10"/>
                      <w:sz w:val="21"/>
                      <w:szCs w:val="21"/>
                      <w:highlight w:val="none"/>
                      <w:vertAlign w:val="baseline"/>
                      <w:lang w:val="en-US" w:eastAsia="zh-CN"/>
                    </w:rPr>
                    <w:t>、SS、氨氮、总磷、动植物油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92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3520" w:type="pct"/>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验收时监测一次，后根据国家相关技术规范进行</w:t>
                  </w:r>
                </w:p>
              </w:tc>
            </w:tr>
          </w:tbl>
          <w:p>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b w:val="0"/>
                <w:bCs w:val="0"/>
                <w:snapToGrid w:val="0"/>
                <w:color w:val="auto"/>
                <w:kern w:val="0"/>
                <w:sz w:val="24"/>
                <w:highlight w:val="none"/>
                <w:lang w:eastAsia="zh-CN"/>
              </w:rPr>
            </w:pP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项目排水采用雨污分流的排水方式，项目区建筑物屋面及地面雨水经厂区雨水沟收集后排入园区</w:t>
            </w:r>
            <w:r>
              <w:rPr>
                <w:rFonts w:hint="default" w:ascii="Times New Roman" w:hAnsi="Times New Roman" w:eastAsia="宋体" w:cs="Times New Roman"/>
                <w:color w:val="auto"/>
                <w:sz w:val="24"/>
                <w:szCs w:val="24"/>
                <w:highlight w:val="none"/>
                <w:lang w:eastAsia="zh-CN"/>
              </w:rPr>
              <w:t>市政雨水管网</w:t>
            </w:r>
            <w:r>
              <w:rPr>
                <w:rFonts w:hint="default" w:ascii="Times New Roman" w:hAnsi="Times New Roman" w:eastAsia="宋体" w:cs="Times New Roman"/>
                <w:color w:val="auto"/>
                <w:sz w:val="24"/>
                <w:szCs w:val="24"/>
                <w:highlight w:val="none"/>
              </w:rPr>
              <w:t>；项目运营期</w:t>
            </w:r>
            <w:r>
              <w:rPr>
                <w:rFonts w:hint="default" w:ascii="Times New Roman" w:hAnsi="Times New Roman" w:eastAsia="宋体" w:cs="Times New Roman"/>
                <w:b w:val="0"/>
                <w:bCs w:val="0"/>
                <w:color w:val="auto"/>
                <w:sz w:val="24"/>
                <w:szCs w:val="24"/>
                <w:highlight w:val="none"/>
                <w:lang w:val="en-US" w:eastAsia="zh-CN"/>
              </w:rPr>
              <w:t>生产过程不使用水，无生产废水产生</w:t>
            </w:r>
            <w:r>
              <w:rPr>
                <w:rFonts w:hint="default" w:ascii="Times New Roman" w:hAnsi="Times New Roman" w:eastAsia="宋体" w:cs="Times New Roman"/>
                <w:color w:val="auto"/>
                <w:sz w:val="24"/>
                <w:szCs w:val="24"/>
                <w:highlight w:val="none"/>
                <w:lang w:val="en-US" w:eastAsia="zh-CN"/>
              </w:rPr>
              <w:t>；食堂含油废水经原项目已建隔油池预处理后与其他办公生活污水一并进入已建化粪池、污水处理站处理达《城市污水再生利用 城市杂用水水质》（GB/T18920-2020）中的城市绿化、道路清扫、消防、建筑施工标准后，</w:t>
            </w:r>
            <w:r>
              <w:rPr>
                <w:rFonts w:hint="default" w:ascii="Times New Roman" w:hAnsi="Times New Roman" w:eastAsia="宋体" w:cs="Times New Roman"/>
                <w:b w:val="0"/>
                <w:bCs w:val="0"/>
                <w:color w:val="auto"/>
                <w:sz w:val="24"/>
                <w:szCs w:val="24"/>
                <w:highlight w:val="none"/>
                <w:lang w:val="en-US" w:eastAsia="zh-CN"/>
              </w:rPr>
              <w:t>用于项目区内绿化及道路场地洒水降尘，不外排</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pacing w:val="11"/>
                <w:sz w:val="24"/>
                <w:szCs w:val="24"/>
                <w:highlight w:val="none"/>
                <w:lang w:val="en-US" w:eastAsia="zh-CN"/>
              </w:rPr>
              <w:t>根据水</w:t>
            </w:r>
            <w:r>
              <w:rPr>
                <w:rFonts w:hint="default" w:ascii="Times New Roman" w:hAnsi="Times New Roman" w:eastAsia="宋体" w:cs="Times New Roman"/>
                <w:color w:val="auto"/>
                <w:spacing w:val="11"/>
                <w:sz w:val="24"/>
                <w:highlight w:val="none"/>
                <w:lang w:val="en-US" w:eastAsia="zh-CN"/>
              </w:rPr>
              <w:t>平衡可知，本项目运营期需进入污水处理站处理的废水量为1.6</w:t>
            </w:r>
            <w:r>
              <w:rPr>
                <w:rFonts w:hint="default" w:ascii="Times New Roman" w:hAnsi="Times New Roman" w:eastAsia="宋体" w:cs="Times New Roman"/>
                <w:color w:val="auto"/>
                <w:spacing w:val="11"/>
                <w:sz w:val="24"/>
                <w:highlight w:val="none"/>
              </w:rPr>
              <w:t>m</w:t>
            </w:r>
            <w:r>
              <w:rPr>
                <w:rFonts w:hint="default" w:ascii="Times New Roman" w:hAnsi="Times New Roman" w:eastAsia="宋体" w:cs="Times New Roman"/>
                <w:color w:val="auto"/>
                <w:spacing w:val="11"/>
                <w:sz w:val="24"/>
                <w:highlight w:val="none"/>
                <w:vertAlign w:val="superscript"/>
              </w:rPr>
              <w:t>3</w:t>
            </w:r>
            <w:r>
              <w:rPr>
                <w:rFonts w:hint="default" w:ascii="Times New Roman" w:hAnsi="Times New Roman" w:eastAsia="宋体" w:cs="Times New Roman"/>
                <w:color w:val="auto"/>
                <w:spacing w:val="11"/>
                <w:sz w:val="24"/>
                <w:highlight w:val="none"/>
              </w:rPr>
              <w:t>/d</w:t>
            </w:r>
            <w:r>
              <w:rPr>
                <w:rFonts w:hint="default" w:ascii="Times New Roman" w:hAnsi="Times New Roman" w:eastAsia="宋体" w:cs="Times New Roman"/>
                <w:color w:val="auto"/>
                <w:spacing w:val="11"/>
                <w:sz w:val="24"/>
                <w:highlight w:val="none"/>
                <w:lang w:eastAsia="zh-CN"/>
              </w:rPr>
              <w:t>、</w:t>
            </w:r>
            <w:r>
              <w:rPr>
                <w:rFonts w:hint="default" w:ascii="Times New Roman" w:hAnsi="Times New Roman" w:eastAsia="宋体" w:cs="Times New Roman"/>
                <w:color w:val="auto"/>
                <w:spacing w:val="11"/>
                <w:sz w:val="24"/>
                <w:highlight w:val="none"/>
                <w:lang w:val="en-US" w:eastAsia="zh-CN"/>
              </w:rPr>
              <w:t>480</w:t>
            </w:r>
            <w:r>
              <w:rPr>
                <w:rFonts w:hint="default" w:ascii="Times New Roman" w:hAnsi="Times New Roman" w:eastAsia="宋体" w:cs="Times New Roman"/>
                <w:color w:val="auto"/>
                <w:spacing w:val="11"/>
                <w:sz w:val="24"/>
                <w:highlight w:val="none"/>
              </w:rPr>
              <w:t>m</w:t>
            </w:r>
            <w:r>
              <w:rPr>
                <w:rFonts w:hint="default" w:ascii="Times New Roman" w:hAnsi="Times New Roman" w:eastAsia="宋体" w:cs="Times New Roman"/>
                <w:color w:val="auto"/>
                <w:spacing w:val="11"/>
                <w:sz w:val="24"/>
                <w:highlight w:val="none"/>
                <w:vertAlign w:val="superscript"/>
              </w:rPr>
              <w:t>3</w:t>
            </w:r>
            <w:r>
              <w:rPr>
                <w:rFonts w:hint="default" w:ascii="Times New Roman" w:hAnsi="Times New Roman" w:eastAsia="宋体" w:cs="Times New Roman"/>
                <w:color w:val="auto"/>
                <w:spacing w:val="11"/>
                <w:sz w:val="24"/>
                <w:highlight w:val="none"/>
              </w:rPr>
              <w:t>/</w:t>
            </w:r>
            <w:r>
              <w:rPr>
                <w:rFonts w:hint="default" w:ascii="Times New Roman" w:hAnsi="Times New Roman" w:eastAsia="宋体" w:cs="Times New Roman"/>
                <w:color w:val="auto"/>
                <w:spacing w:val="11"/>
                <w:sz w:val="24"/>
                <w:highlight w:val="none"/>
                <w:lang w:val="en-US" w:eastAsia="zh-CN"/>
              </w:rPr>
              <w:t>a。</w:t>
            </w:r>
          </w:p>
          <w:p>
            <w:pPr>
              <w:keepNext w:val="0"/>
              <w:keepLines w:val="0"/>
              <w:pageBreakBefore w:val="0"/>
              <w:widowControl w:val="0"/>
              <w:kinsoku/>
              <w:wordWrap/>
              <w:overflowPunct/>
              <w:topLinePunct w:val="0"/>
              <w:autoSpaceDE/>
              <w:autoSpaceDN/>
              <w:bidi w:val="0"/>
              <w:adjustRightInd/>
              <w:spacing w:line="356" w:lineRule="auto"/>
              <w:ind w:firstLine="526" w:firstLineChars="200"/>
              <w:textAlignment w:val="auto"/>
              <w:rPr>
                <w:rFonts w:hint="default" w:ascii="Times New Roman" w:hAnsi="Times New Roman" w:eastAsia="宋体" w:cs="Times New Roman"/>
                <w:b/>
                <w:bCs/>
                <w:color w:val="auto"/>
                <w:spacing w:val="11"/>
                <w:sz w:val="24"/>
                <w:highlight w:val="none"/>
                <w:lang w:val="zh-CN"/>
              </w:rPr>
            </w:pPr>
            <w:r>
              <w:rPr>
                <w:rFonts w:hint="default" w:ascii="Times New Roman" w:hAnsi="Times New Roman" w:eastAsia="宋体" w:cs="Times New Roman"/>
                <w:b/>
                <w:bCs/>
                <w:color w:val="auto"/>
                <w:spacing w:val="11"/>
                <w:sz w:val="24"/>
                <w:highlight w:val="none"/>
                <w:lang w:val="en-US" w:eastAsia="zh-CN"/>
              </w:rPr>
              <w:t>2、</w:t>
            </w:r>
            <w:r>
              <w:rPr>
                <w:rFonts w:hint="default" w:ascii="Times New Roman" w:hAnsi="Times New Roman" w:eastAsia="宋体" w:cs="Times New Roman"/>
                <w:b/>
                <w:bCs/>
                <w:color w:val="auto"/>
                <w:spacing w:val="11"/>
                <w:sz w:val="24"/>
                <w:highlight w:val="none"/>
              </w:rPr>
              <w:t>提出措施后污染物分析</w:t>
            </w:r>
          </w:p>
          <w:p>
            <w:pPr>
              <w:keepNext w:val="0"/>
              <w:keepLines w:val="0"/>
              <w:pageBreakBefore w:val="0"/>
              <w:widowControl w:val="0"/>
              <w:kinsoku/>
              <w:wordWrap/>
              <w:overflowPunct/>
              <w:topLinePunct w:val="0"/>
              <w:autoSpaceDE/>
              <w:autoSpaceDN/>
              <w:bidi w:val="0"/>
              <w:spacing w:line="356" w:lineRule="auto"/>
              <w:ind w:firstLine="480" w:firstLineChars="200"/>
              <w:textAlignment w:val="auto"/>
              <w:outlineLvl w:val="1"/>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color w:val="auto"/>
                <w:sz w:val="24"/>
                <w:highlight w:val="none"/>
              </w:rPr>
              <w:t>生活污水水质数据参照</w:t>
            </w:r>
            <w:r>
              <w:rPr>
                <w:rFonts w:hint="default" w:ascii="Times New Roman" w:hAnsi="Times New Roman" w:eastAsia="宋体" w:cs="Times New Roman"/>
                <w:color w:val="auto"/>
                <w:kern w:val="0"/>
                <w:sz w:val="24"/>
                <w:szCs w:val="24"/>
                <w:highlight w:val="none"/>
                <w:lang w:val="zh-CN"/>
              </w:rPr>
              <w:t>《城市污水回用技术手册》（金兆丰、徐竟成等编著，化学工业出版社，2004年版），我国城市生活污水水质统计数据中，COD约为250~1000mg/L、BOD</w:t>
            </w:r>
            <w:r>
              <w:rPr>
                <w:rFonts w:hint="default" w:ascii="Times New Roman" w:hAnsi="Times New Roman" w:eastAsia="宋体" w:cs="Times New Roman"/>
                <w:color w:val="auto"/>
                <w:kern w:val="0"/>
                <w:sz w:val="24"/>
                <w:szCs w:val="24"/>
                <w:highlight w:val="none"/>
                <w:vertAlign w:val="subscript"/>
              </w:rPr>
              <w:t>5</w:t>
            </w:r>
            <w:r>
              <w:rPr>
                <w:rFonts w:hint="default" w:ascii="Times New Roman" w:hAnsi="Times New Roman" w:eastAsia="宋体" w:cs="Times New Roman"/>
                <w:color w:val="auto"/>
                <w:kern w:val="0"/>
                <w:sz w:val="24"/>
                <w:szCs w:val="24"/>
                <w:highlight w:val="none"/>
                <w:lang w:val="zh-CN"/>
              </w:rPr>
              <w:t>为</w:t>
            </w:r>
            <w:r>
              <w:rPr>
                <w:rFonts w:hint="default" w:ascii="Times New Roman" w:hAnsi="Times New Roman" w:eastAsia="宋体" w:cs="Times New Roman"/>
                <w:color w:val="auto"/>
                <w:kern w:val="0"/>
                <w:sz w:val="24"/>
                <w:szCs w:val="24"/>
                <w:highlight w:val="none"/>
                <w:lang w:val="en-US" w:eastAsia="zh-CN"/>
              </w:rPr>
              <w:t>10</w:t>
            </w:r>
            <w:r>
              <w:rPr>
                <w:rFonts w:hint="default" w:ascii="Times New Roman" w:hAnsi="Times New Roman" w:eastAsia="宋体" w:cs="Times New Roman"/>
                <w:color w:val="auto"/>
                <w:kern w:val="0"/>
                <w:sz w:val="24"/>
                <w:szCs w:val="24"/>
                <w:highlight w:val="none"/>
                <w:lang w:val="zh-CN"/>
              </w:rPr>
              <w:t>0-400mg/L、SS为200-350mg/L、氨氮为20-85mg/L、总磷为4～15mg/L</w:t>
            </w:r>
            <w:r>
              <w:rPr>
                <w:rFonts w:hint="default" w:ascii="Times New Roman" w:hAnsi="Times New Roman" w:eastAsia="宋体" w:cs="Times New Roman"/>
                <w:color w:val="auto"/>
                <w:kern w:val="0"/>
                <w:sz w:val="24"/>
                <w:szCs w:val="24"/>
                <w:highlight w:val="none"/>
                <w:lang w:val="zh-CN" w:eastAsia="zh-CN" w:bidi="ar-SA"/>
              </w:rPr>
              <w:t>、动植物油</w:t>
            </w:r>
            <w:r>
              <w:rPr>
                <w:rFonts w:hint="default" w:ascii="Times New Roman" w:hAnsi="Times New Roman" w:eastAsia="宋体" w:cs="Times New Roman"/>
                <w:color w:val="auto"/>
                <w:kern w:val="0"/>
                <w:sz w:val="24"/>
                <w:szCs w:val="24"/>
                <w:highlight w:val="none"/>
                <w:lang w:val="en-US" w:eastAsia="zh-CN" w:bidi="ar-SA"/>
              </w:rPr>
              <w:t>20</w:t>
            </w:r>
            <w:r>
              <w:rPr>
                <w:rFonts w:hint="default" w:ascii="Times New Roman" w:hAnsi="Times New Roman" w:eastAsia="宋体" w:cs="Times New Roman"/>
                <w:color w:val="auto"/>
                <w:kern w:val="0"/>
                <w:sz w:val="24"/>
                <w:szCs w:val="24"/>
                <w:highlight w:val="none"/>
                <w:lang w:val="zh-CN" w:eastAsia="zh-CN" w:bidi="ar-SA"/>
              </w:rPr>
              <w:t>～</w:t>
            </w:r>
            <w:r>
              <w:rPr>
                <w:rFonts w:hint="default" w:ascii="Times New Roman" w:hAnsi="Times New Roman" w:eastAsia="宋体" w:cs="Times New Roman"/>
                <w:color w:val="auto"/>
                <w:kern w:val="0"/>
                <w:sz w:val="24"/>
                <w:szCs w:val="24"/>
                <w:highlight w:val="none"/>
                <w:lang w:val="en-US" w:eastAsia="zh-CN" w:bidi="ar-SA"/>
              </w:rPr>
              <w:t>100</w:t>
            </w:r>
            <w:r>
              <w:rPr>
                <w:rFonts w:hint="default" w:ascii="Times New Roman" w:hAnsi="Times New Roman" w:eastAsia="宋体" w:cs="Times New Roman"/>
                <w:color w:val="auto"/>
                <w:kern w:val="0"/>
                <w:sz w:val="24"/>
                <w:szCs w:val="24"/>
                <w:highlight w:val="none"/>
                <w:lang w:val="zh-CN" w:eastAsia="zh-CN" w:bidi="ar-SA"/>
              </w:rPr>
              <w:t>mg/L</w:t>
            </w:r>
            <w:r>
              <w:rPr>
                <w:rFonts w:hint="default" w:ascii="Times New Roman" w:hAnsi="Times New Roman" w:eastAsia="宋体" w:cs="Times New Roman"/>
                <w:color w:val="auto"/>
                <w:kern w:val="0"/>
                <w:sz w:val="24"/>
                <w:szCs w:val="24"/>
                <w:highlight w:val="none"/>
                <w:lang w:val="zh-CN"/>
              </w:rPr>
              <w:t>；本环评采用水质统计数据中中等浓度值进行生活污水水质进行预测</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spacing w:line="356" w:lineRule="auto"/>
              <w:ind w:firstLine="480" w:firstLineChars="200"/>
              <w:textAlignment w:val="auto"/>
              <w:outlineLvl w:val="1"/>
              <w:rPr>
                <w:rFonts w:hint="default" w:ascii="Times New Roman" w:hAnsi="Times New Roman" w:eastAsia="宋体" w:cs="Times New Roman"/>
                <w:color w:val="auto"/>
                <w:kern w:val="0"/>
                <w:sz w:val="24"/>
                <w:szCs w:val="20"/>
                <w:highlight w:val="none"/>
                <w:lang w:val="en-US" w:eastAsia="zh-CN"/>
              </w:rPr>
            </w:pPr>
            <w:r>
              <w:rPr>
                <w:rFonts w:hint="default" w:ascii="Times New Roman" w:hAnsi="Times New Roman" w:eastAsia="宋体" w:cs="Times New Roman"/>
                <w:color w:val="auto"/>
                <w:kern w:val="0"/>
                <w:sz w:val="24"/>
                <w:szCs w:val="20"/>
                <w:highlight w:val="none"/>
                <w:lang w:val="en-US" w:eastAsia="zh-CN"/>
              </w:rPr>
              <w:t>①综合生活污水</w:t>
            </w:r>
          </w:p>
          <w:p>
            <w:pPr>
              <w:keepNext w:val="0"/>
              <w:keepLines w:val="0"/>
              <w:pageBreakBefore w:val="0"/>
              <w:widowControl w:val="0"/>
              <w:kinsoku/>
              <w:wordWrap/>
              <w:overflowPunct/>
              <w:topLinePunct w:val="0"/>
              <w:autoSpaceDE/>
              <w:autoSpaceDN/>
              <w:bidi w:val="0"/>
              <w:spacing w:line="356" w:lineRule="auto"/>
              <w:ind w:firstLine="480" w:firstLineChars="200"/>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0"/>
                <w:highlight w:val="none"/>
              </w:rPr>
              <w:t>项目生活废水水质产生情况如下：</w:t>
            </w:r>
            <w:r>
              <w:rPr>
                <w:rFonts w:hint="default" w:ascii="Times New Roman" w:hAnsi="Times New Roman" w:eastAsia="宋体" w:cs="Times New Roman"/>
                <w:color w:val="auto"/>
                <w:sz w:val="24"/>
                <w:highlight w:val="none"/>
              </w:rPr>
              <w:t>COD为520mg/L、BOD</w:t>
            </w:r>
            <w:r>
              <w:rPr>
                <w:rFonts w:hint="default" w:ascii="Times New Roman" w:hAnsi="Times New Roman" w:eastAsia="宋体" w:cs="Times New Roman"/>
                <w:color w:val="auto"/>
                <w:sz w:val="24"/>
                <w:highlight w:val="none"/>
                <w:vertAlign w:val="subscript"/>
              </w:rPr>
              <w:t>5</w:t>
            </w:r>
            <w:r>
              <w:rPr>
                <w:rFonts w:hint="default" w:ascii="Times New Roman" w:hAnsi="Times New Roman" w:eastAsia="宋体" w:cs="Times New Roman"/>
                <w:color w:val="auto"/>
                <w:sz w:val="24"/>
                <w:highlight w:val="none"/>
              </w:rPr>
              <w:t>为</w:t>
            </w:r>
            <w:r>
              <w:rPr>
                <w:rFonts w:hint="default" w:ascii="Times New Roman" w:hAnsi="Times New Roman" w:eastAsia="宋体" w:cs="Times New Roman"/>
                <w:color w:val="auto"/>
                <w:sz w:val="24"/>
                <w:highlight w:val="none"/>
                <w:lang w:val="en-US" w:eastAsia="zh-CN"/>
              </w:rPr>
              <w:t>100</w:t>
            </w:r>
            <w:r>
              <w:rPr>
                <w:rFonts w:hint="default" w:ascii="Times New Roman" w:hAnsi="Times New Roman" w:eastAsia="宋体" w:cs="Times New Roman"/>
                <w:color w:val="auto"/>
                <w:sz w:val="24"/>
                <w:highlight w:val="none"/>
              </w:rPr>
              <w:t>mg/L、SS为</w:t>
            </w:r>
            <w:r>
              <w:rPr>
                <w:rFonts w:hint="default" w:ascii="Times New Roman" w:hAnsi="Times New Roman" w:eastAsia="宋体" w:cs="Times New Roman"/>
                <w:color w:val="auto"/>
                <w:sz w:val="24"/>
                <w:highlight w:val="none"/>
                <w:lang w:val="en-US" w:eastAsia="zh-CN"/>
              </w:rPr>
              <w:t>350</w:t>
            </w:r>
            <w:r>
              <w:rPr>
                <w:rFonts w:hint="default" w:ascii="Times New Roman" w:hAnsi="Times New Roman" w:eastAsia="宋体" w:cs="Times New Roman"/>
                <w:color w:val="auto"/>
                <w:sz w:val="24"/>
                <w:highlight w:val="none"/>
              </w:rPr>
              <w:t>mg/L、氨氮为</w:t>
            </w:r>
            <w:r>
              <w:rPr>
                <w:rFonts w:hint="default" w:ascii="Times New Roman" w:hAnsi="Times New Roman" w:eastAsia="宋体" w:cs="Times New Roman"/>
                <w:color w:val="auto"/>
                <w:sz w:val="24"/>
                <w:highlight w:val="none"/>
                <w:lang w:val="en-US" w:eastAsia="zh-CN"/>
              </w:rPr>
              <w:t>40</w:t>
            </w:r>
            <w:r>
              <w:rPr>
                <w:rFonts w:hint="default" w:ascii="Times New Roman" w:hAnsi="Times New Roman" w:eastAsia="宋体" w:cs="Times New Roman"/>
                <w:color w:val="auto"/>
                <w:sz w:val="24"/>
                <w:highlight w:val="none"/>
              </w:rPr>
              <w:t>mg/L、</w:t>
            </w:r>
            <w:r>
              <w:rPr>
                <w:rFonts w:hint="default" w:ascii="Times New Roman" w:hAnsi="Times New Roman" w:eastAsia="宋体" w:cs="Times New Roman"/>
                <w:color w:val="auto"/>
                <w:sz w:val="24"/>
                <w:highlight w:val="none"/>
                <w:lang w:eastAsia="zh-CN"/>
              </w:rPr>
              <w:t>总</w:t>
            </w:r>
            <w:r>
              <w:rPr>
                <w:rFonts w:hint="default" w:ascii="Times New Roman" w:hAnsi="Times New Roman" w:eastAsia="宋体" w:cs="Times New Roman"/>
                <w:color w:val="auto"/>
                <w:sz w:val="24"/>
                <w:highlight w:val="none"/>
              </w:rPr>
              <w:t>磷为8mg/L、动植物油为</w:t>
            </w:r>
            <w:r>
              <w:rPr>
                <w:rFonts w:hint="default" w:ascii="Times New Roman" w:hAnsi="Times New Roman" w:eastAsia="宋体" w:cs="Times New Roman"/>
                <w:color w:val="auto"/>
                <w:sz w:val="24"/>
                <w:highlight w:val="none"/>
                <w:lang w:val="en-US" w:eastAsia="zh-CN"/>
              </w:rPr>
              <w:t>35</w:t>
            </w:r>
            <w:r>
              <w:rPr>
                <w:rFonts w:hint="default" w:ascii="Times New Roman" w:hAnsi="Times New Roman" w:eastAsia="宋体" w:cs="Times New Roman"/>
                <w:color w:val="auto"/>
                <w:sz w:val="24"/>
                <w:highlight w:val="none"/>
              </w:rPr>
              <w:t>mg/L</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本次环评提出本项目食堂废水经原项目已建隔油池预处理后，与其他生活污水一并进入化粪池、</w:t>
            </w:r>
            <w:r>
              <w:rPr>
                <w:rFonts w:hint="default" w:ascii="Times New Roman" w:hAnsi="Times New Roman" w:eastAsia="宋体" w:cs="Times New Roman"/>
                <w:color w:val="auto"/>
                <w:sz w:val="24"/>
                <w:szCs w:val="24"/>
                <w:highlight w:val="none"/>
                <w:lang w:eastAsia="zh-CN" w:bidi="ar"/>
              </w:rPr>
              <w:t>一体化</w:t>
            </w:r>
            <w:r>
              <w:rPr>
                <w:rFonts w:hint="default" w:ascii="Times New Roman" w:hAnsi="Times New Roman" w:eastAsia="宋体" w:cs="Times New Roman"/>
                <w:color w:val="auto"/>
                <w:sz w:val="24"/>
                <w:szCs w:val="24"/>
                <w:highlight w:val="none"/>
                <w:lang w:val="en-US" w:eastAsia="zh-CN"/>
              </w:rPr>
              <w:t>污水处理站处理达</w:t>
            </w:r>
            <w:r>
              <w:rPr>
                <w:rFonts w:hint="default" w:ascii="Times New Roman" w:hAnsi="Times New Roman" w:eastAsia="宋体" w:cs="Times New Roman"/>
                <w:color w:val="auto"/>
                <w:sz w:val="24"/>
                <w:highlight w:val="none"/>
                <w:lang w:val="en-US" w:eastAsia="zh-CN"/>
              </w:rPr>
              <w:t>《城市污水再生利用 城市杂用水水质》（GB/T18920-2020）</w:t>
            </w:r>
            <w:r>
              <w:rPr>
                <w:rFonts w:hint="default" w:ascii="Times New Roman" w:hAnsi="Times New Roman" w:eastAsia="宋体" w:cs="Times New Roman"/>
                <w:color w:val="auto"/>
                <w:sz w:val="24"/>
                <w:szCs w:val="24"/>
                <w:highlight w:val="none"/>
                <w:lang w:val="en-US" w:eastAsia="zh-CN"/>
              </w:rPr>
              <w:t>中的城市绿化、道路清扫、消防、建筑施工标准后，</w:t>
            </w:r>
            <w:r>
              <w:rPr>
                <w:rFonts w:hint="eastAsia" w:cs="Times New Roman"/>
                <w:color w:val="auto"/>
                <w:sz w:val="24"/>
                <w:szCs w:val="24"/>
                <w:highlight w:val="none"/>
                <w:lang w:val="en-US" w:eastAsia="zh-CN"/>
              </w:rPr>
              <w:t>用于</w:t>
            </w:r>
            <w:r>
              <w:rPr>
                <w:rFonts w:hint="default" w:ascii="Times New Roman" w:hAnsi="Times New Roman" w:eastAsia="宋体" w:cs="Times New Roman"/>
                <w:color w:val="auto"/>
                <w:sz w:val="24"/>
                <w:szCs w:val="24"/>
                <w:highlight w:val="none"/>
                <w:lang w:val="en-US" w:eastAsia="zh-CN"/>
              </w:rPr>
              <w:t>项目区绿化及道路洒水降尘，不外排。</w:t>
            </w:r>
          </w:p>
          <w:p>
            <w:pPr>
              <w:keepNext w:val="0"/>
              <w:keepLines w:val="0"/>
              <w:pageBreakBefore w:val="0"/>
              <w:widowControl w:val="0"/>
              <w:kinsoku/>
              <w:wordWrap/>
              <w:overflowPunct/>
              <w:topLinePunct w:val="0"/>
              <w:autoSpaceDE/>
              <w:autoSpaceDN/>
              <w:bidi w:val="0"/>
              <w:spacing w:line="356" w:lineRule="auto"/>
              <w:ind w:firstLine="480" w:firstLineChars="200"/>
              <w:textAlignment w:val="auto"/>
              <w:outlineLvl w:val="1"/>
              <w:rPr>
                <w:rFonts w:hint="default" w:ascii="Times New Roman" w:hAnsi="Times New Roman" w:eastAsia="宋体" w:cs="Times New Roman"/>
                <w:color w:val="auto"/>
                <w:spacing w:val="11"/>
                <w:sz w:val="24"/>
                <w:szCs w:val="24"/>
                <w:highlight w:val="none"/>
                <w:lang w:val="en-US" w:eastAsia="zh-CN"/>
              </w:rPr>
            </w:pPr>
            <w:r>
              <w:rPr>
                <w:rFonts w:hint="default" w:ascii="Times New Roman" w:hAnsi="Times New Roman" w:eastAsia="宋体" w:cs="Times New Roman"/>
                <w:color w:val="auto"/>
                <w:sz w:val="24"/>
                <w:szCs w:val="24"/>
                <w:lang w:val="en-US" w:eastAsia="zh-CN"/>
              </w:rPr>
              <w:t>根据调查可知，云南嘉峰家具制造有限公司云南嘉峰家具制造生产新建项目所建设的生活污水处理站与本项目工艺相同（MBR），因此一体化生活污水处理站的处理效率参照其进行分析</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lang w:val="en-US" w:eastAsia="zh-CN"/>
              </w:rPr>
              <w:t>《云南嘉峰家具制造有限公司云南嘉峰家具制造生产新建项目》</w:t>
            </w:r>
            <w:r>
              <w:rPr>
                <w:rFonts w:hint="default" w:ascii="Times New Roman" w:hAnsi="Times New Roman" w:eastAsia="宋体" w:cs="Times New Roman"/>
                <w:color w:val="auto"/>
                <w:sz w:val="24"/>
              </w:rPr>
              <w:t>竣工环境保护验收</w:t>
            </w:r>
            <w:r>
              <w:rPr>
                <w:rFonts w:hint="default" w:ascii="Times New Roman" w:hAnsi="Times New Roman" w:eastAsia="宋体" w:cs="Times New Roman"/>
                <w:color w:val="auto"/>
                <w:sz w:val="24"/>
                <w:lang w:eastAsia="zh-CN"/>
              </w:rPr>
              <w:t>检测报告（</w:t>
            </w:r>
            <w:r>
              <w:rPr>
                <w:rFonts w:hint="default" w:ascii="Times New Roman" w:hAnsi="Times New Roman" w:eastAsia="宋体" w:cs="Times New Roman"/>
                <w:color w:val="auto"/>
                <w:sz w:val="24"/>
                <w:lang w:val="en-US" w:eastAsia="zh-CN"/>
              </w:rPr>
              <w:t>报告编号：YNSAG[2022]-0087-1号</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中对一体化生活</w:t>
            </w:r>
            <w:r>
              <w:rPr>
                <w:rFonts w:hint="default" w:ascii="Times New Roman" w:hAnsi="Times New Roman" w:eastAsia="宋体" w:cs="Times New Roman"/>
                <w:color w:val="auto"/>
                <w:sz w:val="24"/>
                <w:szCs w:val="24"/>
                <w:highlight w:val="none"/>
                <w:lang w:val="en-US" w:eastAsia="zh-CN"/>
              </w:rPr>
              <w:t>污水处理站进出口监测数据进行折算，</w:t>
            </w:r>
            <w:r>
              <w:rPr>
                <w:rFonts w:hint="default" w:ascii="Times New Roman" w:hAnsi="Times New Roman" w:eastAsia="宋体" w:cs="Times New Roman"/>
                <w:color w:val="auto"/>
                <w:sz w:val="24"/>
                <w:szCs w:val="24"/>
                <w:highlight w:val="none"/>
                <w:lang w:eastAsia="zh-CN"/>
              </w:rPr>
              <w:t>污水处理</w:t>
            </w:r>
            <w:r>
              <w:rPr>
                <w:rFonts w:hint="default" w:ascii="Times New Roman" w:hAnsi="Times New Roman" w:eastAsia="宋体" w:cs="Times New Roman"/>
                <w:color w:val="auto"/>
                <w:sz w:val="24"/>
                <w:szCs w:val="24"/>
                <w:highlight w:val="none"/>
                <w:lang w:val="en-US" w:eastAsia="zh-CN"/>
              </w:rPr>
              <w:t>站</w:t>
            </w:r>
            <w:r>
              <w:rPr>
                <w:rFonts w:hint="default" w:ascii="Times New Roman" w:hAnsi="Times New Roman" w:eastAsia="宋体" w:cs="Times New Roman"/>
                <w:color w:val="auto"/>
                <w:spacing w:val="11"/>
                <w:sz w:val="24"/>
                <w:szCs w:val="24"/>
                <w:highlight w:val="none"/>
                <w:lang w:val="zh-CN"/>
              </w:rPr>
              <w:t>对</w:t>
            </w:r>
            <w:r>
              <w:rPr>
                <w:rFonts w:hint="default" w:ascii="Times New Roman" w:hAnsi="Times New Roman" w:eastAsia="宋体" w:cs="Times New Roman"/>
                <w:color w:val="auto"/>
                <w:spacing w:val="11"/>
                <w:sz w:val="24"/>
                <w:szCs w:val="24"/>
                <w:highlight w:val="none"/>
                <w:lang w:val="en-US" w:eastAsia="zh-CN"/>
              </w:rPr>
              <w:t>各污染因子的去除效率如下表所示。</w:t>
            </w:r>
          </w:p>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1"/>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4-12</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val="en-US" w:eastAsia="zh-CN"/>
              </w:rPr>
              <w:t>一体化污水处理设施处理效率统计</w:t>
            </w:r>
            <w:r>
              <w:rPr>
                <w:rFonts w:hint="default" w:ascii="Times New Roman" w:hAnsi="Times New Roman" w:eastAsia="宋体" w:cs="Times New Roman"/>
                <w:b/>
                <w:color w:val="auto"/>
                <w:sz w:val="21"/>
                <w:szCs w:val="21"/>
                <w:highlight w:val="none"/>
              </w:rPr>
              <w:t>表</w:t>
            </w:r>
          </w:p>
          <w:tbl>
            <w:tblPr>
              <w:tblStyle w:val="27"/>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1233"/>
              <w:gridCol w:w="1248"/>
              <w:gridCol w:w="1313"/>
              <w:gridCol w:w="1382"/>
              <w:gridCol w:w="1118"/>
              <w:gridCol w:w="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722" w:type="pct"/>
                  <w:vMerge w:val="restart"/>
                  <w:tcBorders>
                    <w:tl2br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outlineLvl w:val="1"/>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结果</w:t>
                  </w:r>
                </w:p>
                <w:p>
                  <w:pPr>
                    <w:pStyle w:val="2"/>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sz w:val="21"/>
                      <w:szCs w:val="21"/>
                      <w:highlight w:val="none"/>
                      <w:vertAlign w:val="baseline"/>
                      <w:lang w:val="en-US" w:eastAsia="zh-CN"/>
                    </w:rPr>
                    <w:t>项目</w:t>
                  </w:r>
                </w:p>
              </w:tc>
              <w:tc>
                <w:tcPr>
                  <w:tcW w:w="1477" w:type="pct"/>
                  <w:gridSpan w:val="2"/>
                  <w:vAlign w:val="center"/>
                </w:tcPr>
                <w:p>
                  <w:pPr>
                    <w:keepNext w:val="0"/>
                    <w:keepLines w:val="0"/>
                    <w:pageBreakBefore w:val="0"/>
                    <w:widowControl/>
                    <w:kinsoku/>
                    <w:wordWrap/>
                    <w:overflowPunct/>
                    <w:topLinePunct w:val="0"/>
                    <w:autoSpaceDE/>
                    <w:autoSpaceDN/>
                    <w:bidi w:val="0"/>
                    <w:spacing w:line="240" w:lineRule="auto"/>
                    <w:jc w:val="center"/>
                    <w:textAlignment w:val="center"/>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i w:val="0"/>
                      <w:color w:val="auto"/>
                      <w:kern w:val="0"/>
                      <w:sz w:val="21"/>
                      <w:szCs w:val="21"/>
                      <w:highlight w:val="none"/>
                      <w:u w:val="none"/>
                      <w:lang w:val="en-US" w:eastAsia="zh-CN" w:bidi="ar"/>
                    </w:rPr>
                    <w:t>进水口</w:t>
                  </w:r>
                </w:p>
              </w:tc>
              <w:tc>
                <w:tcPr>
                  <w:tcW w:w="1605" w:type="pct"/>
                  <w:gridSpan w:val="2"/>
                  <w:vAlign w:val="center"/>
                </w:tcPr>
                <w:p>
                  <w:pPr>
                    <w:keepNext w:val="0"/>
                    <w:keepLines w:val="0"/>
                    <w:pageBreakBefore w:val="0"/>
                    <w:widowControl/>
                    <w:kinsoku/>
                    <w:wordWrap/>
                    <w:overflowPunct/>
                    <w:topLinePunct w:val="0"/>
                    <w:autoSpaceDE/>
                    <w:autoSpaceDN/>
                    <w:bidi w:val="0"/>
                    <w:spacing w:line="240" w:lineRule="auto"/>
                    <w:jc w:val="center"/>
                    <w:textAlignment w:val="center"/>
                    <w:outlineLvl w:val="9"/>
                    <w:rPr>
                      <w:rFonts w:hint="default" w:ascii="Times New Roman" w:hAnsi="Times New Roman" w:eastAsia="宋体" w:cs="Times New Roman"/>
                      <w:b/>
                      <w:i w:val="0"/>
                      <w:color w:val="auto"/>
                      <w:kern w:val="0"/>
                      <w:sz w:val="21"/>
                      <w:szCs w:val="21"/>
                      <w:highlight w:val="none"/>
                      <w:u w:val="none"/>
                      <w:lang w:val="en-US" w:eastAsia="zh-CN" w:bidi="ar"/>
                    </w:rPr>
                  </w:pPr>
                  <w:r>
                    <w:rPr>
                      <w:rFonts w:hint="default" w:ascii="Times New Roman" w:hAnsi="Times New Roman" w:eastAsia="宋体" w:cs="Times New Roman"/>
                      <w:b/>
                      <w:i w:val="0"/>
                      <w:color w:val="auto"/>
                      <w:kern w:val="0"/>
                      <w:sz w:val="21"/>
                      <w:szCs w:val="21"/>
                      <w:highlight w:val="none"/>
                      <w:u w:val="none"/>
                      <w:lang w:val="en-US" w:eastAsia="zh-CN" w:bidi="ar"/>
                    </w:rPr>
                    <w:t>出水口</w:t>
                  </w:r>
                </w:p>
              </w:tc>
              <w:tc>
                <w:tcPr>
                  <w:tcW w:w="1194" w:type="pct"/>
                  <w:gridSpan w:val="2"/>
                  <w:vMerge w:val="restart"/>
                  <w:vAlign w:val="center"/>
                </w:tcPr>
                <w:p>
                  <w:pPr>
                    <w:keepNext w:val="0"/>
                    <w:keepLines w:val="0"/>
                    <w:pageBreakBefore w:val="0"/>
                    <w:widowControl/>
                    <w:kinsoku/>
                    <w:wordWrap/>
                    <w:overflowPunct/>
                    <w:topLinePunct w:val="0"/>
                    <w:autoSpaceDE/>
                    <w:autoSpaceDN/>
                    <w:bidi w:val="0"/>
                    <w:spacing w:line="240" w:lineRule="auto"/>
                    <w:jc w:val="center"/>
                    <w:textAlignment w:val="center"/>
                    <w:outlineLvl w:val="9"/>
                    <w:rPr>
                      <w:rFonts w:hint="default" w:ascii="Times New Roman" w:hAnsi="Times New Roman" w:eastAsia="宋体" w:cs="Times New Roman"/>
                      <w:b/>
                      <w:i w:val="0"/>
                      <w:color w:val="auto"/>
                      <w:kern w:val="0"/>
                      <w:sz w:val="21"/>
                      <w:szCs w:val="21"/>
                      <w:highlight w:val="none"/>
                      <w:u w:val="none"/>
                      <w:lang w:val="en-US" w:eastAsia="zh-CN" w:bidi="ar"/>
                    </w:rPr>
                  </w:pPr>
                  <w:r>
                    <w:rPr>
                      <w:rFonts w:hint="default" w:ascii="Times New Roman" w:hAnsi="Times New Roman" w:eastAsia="宋体" w:cs="Times New Roman"/>
                      <w:b/>
                      <w:i w:val="0"/>
                      <w:color w:val="auto"/>
                      <w:kern w:val="0"/>
                      <w:sz w:val="21"/>
                      <w:szCs w:val="21"/>
                      <w:highlight w:val="none"/>
                      <w:u w:val="none"/>
                      <w:lang w:val="en-US" w:eastAsia="zh-CN" w:bidi="ar"/>
                    </w:rPr>
                    <w:t>处理效率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722"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outlineLvl w:val="1"/>
                    <w:rPr>
                      <w:rFonts w:hint="default" w:ascii="Times New Roman" w:hAnsi="Times New Roman" w:eastAsia="宋体" w:cs="Times New Roman"/>
                      <w:b/>
                      <w:bCs/>
                      <w:color w:val="auto"/>
                      <w:sz w:val="21"/>
                      <w:szCs w:val="21"/>
                      <w:highlight w:val="none"/>
                      <w:vertAlign w:val="baseline"/>
                      <w:lang w:val="en-US" w:eastAsia="zh-CN"/>
                    </w:rPr>
                  </w:pPr>
                </w:p>
              </w:tc>
              <w:tc>
                <w:tcPr>
                  <w:tcW w:w="734" w:type="pct"/>
                  <w:vAlign w:val="center"/>
                </w:tcPr>
                <w:p>
                  <w:pPr>
                    <w:keepNext w:val="0"/>
                    <w:keepLines w:val="0"/>
                    <w:pageBreakBefore w:val="0"/>
                    <w:widowControl/>
                    <w:kinsoku/>
                    <w:wordWrap/>
                    <w:overflowPunct/>
                    <w:topLinePunct w:val="0"/>
                    <w:autoSpaceDE/>
                    <w:autoSpaceDN/>
                    <w:bidi w:val="0"/>
                    <w:spacing w:line="240" w:lineRule="auto"/>
                    <w:jc w:val="center"/>
                    <w:textAlignment w:val="center"/>
                    <w:outlineLvl w:val="9"/>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2022.4.2</w:t>
                  </w:r>
                </w:p>
              </w:tc>
              <w:tc>
                <w:tcPr>
                  <w:tcW w:w="743" w:type="pct"/>
                  <w:vAlign w:val="center"/>
                </w:tcPr>
                <w:p>
                  <w:pPr>
                    <w:keepNext w:val="0"/>
                    <w:keepLines w:val="0"/>
                    <w:pageBreakBefore w:val="0"/>
                    <w:widowControl/>
                    <w:kinsoku/>
                    <w:wordWrap/>
                    <w:overflowPunct/>
                    <w:topLinePunct w:val="0"/>
                    <w:autoSpaceDE/>
                    <w:autoSpaceDN/>
                    <w:bidi w:val="0"/>
                    <w:spacing w:line="240" w:lineRule="auto"/>
                    <w:jc w:val="center"/>
                    <w:textAlignment w:val="center"/>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i w:val="0"/>
                      <w:color w:val="auto"/>
                      <w:kern w:val="0"/>
                      <w:sz w:val="21"/>
                      <w:szCs w:val="21"/>
                      <w:highlight w:val="none"/>
                      <w:u w:val="none"/>
                      <w:lang w:val="en-US" w:eastAsia="zh-CN" w:bidi="ar"/>
                    </w:rPr>
                    <w:t>2022.4.3</w:t>
                  </w:r>
                </w:p>
              </w:tc>
              <w:tc>
                <w:tcPr>
                  <w:tcW w:w="782" w:type="pct"/>
                  <w:vAlign w:val="center"/>
                </w:tcPr>
                <w:p>
                  <w:pPr>
                    <w:keepNext w:val="0"/>
                    <w:keepLines w:val="0"/>
                    <w:pageBreakBefore w:val="0"/>
                    <w:widowControl/>
                    <w:kinsoku/>
                    <w:wordWrap/>
                    <w:overflowPunct/>
                    <w:topLinePunct w:val="0"/>
                    <w:autoSpaceDE/>
                    <w:autoSpaceDN/>
                    <w:bidi w:val="0"/>
                    <w:spacing w:line="240" w:lineRule="auto"/>
                    <w:jc w:val="center"/>
                    <w:textAlignment w:val="center"/>
                    <w:outlineLvl w:val="9"/>
                    <w:rPr>
                      <w:rFonts w:hint="default" w:ascii="Times New Roman" w:hAnsi="Times New Roman" w:eastAsia="宋体" w:cs="Times New Roman"/>
                      <w:b/>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2022.4.2</w:t>
                  </w:r>
                </w:p>
              </w:tc>
              <w:tc>
                <w:tcPr>
                  <w:tcW w:w="823" w:type="pct"/>
                  <w:vAlign w:val="center"/>
                </w:tcPr>
                <w:p>
                  <w:pPr>
                    <w:keepNext w:val="0"/>
                    <w:keepLines w:val="0"/>
                    <w:pageBreakBefore w:val="0"/>
                    <w:widowControl/>
                    <w:kinsoku/>
                    <w:wordWrap/>
                    <w:overflowPunct/>
                    <w:topLinePunct w:val="0"/>
                    <w:autoSpaceDE/>
                    <w:autoSpaceDN/>
                    <w:bidi w:val="0"/>
                    <w:spacing w:line="240" w:lineRule="auto"/>
                    <w:jc w:val="center"/>
                    <w:textAlignment w:val="center"/>
                    <w:outlineLvl w:val="9"/>
                    <w:rPr>
                      <w:rFonts w:hint="default" w:ascii="Times New Roman" w:hAnsi="Times New Roman" w:eastAsia="宋体" w:cs="Times New Roman"/>
                      <w:b/>
                      <w:i w:val="0"/>
                      <w:color w:val="auto"/>
                      <w:kern w:val="0"/>
                      <w:sz w:val="21"/>
                      <w:szCs w:val="21"/>
                      <w:highlight w:val="none"/>
                      <w:u w:val="none"/>
                      <w:lang w:val="en-US" w:eastAsia="zh-CN" w:bidi="ar"/>
                    </w:rPr>
                  </w:pPr>
                  <w:r>
                    <w:rPr>
                      <w:rFonts w:hint="default" w:ascii="Times New Roman" w:hAnsi="Times New Roman" w:eastAsia="宋体" w:cs="Times New Roman"/>
                      <w:b/>
                      <w:i w:val="0"/>
                      <w:color w:val="auto"/>
                      <w:kern w:val="0"/>
                      <w:sz w:val="21"/>
                      <w:szCs w:val="21"/>
                      <w:highlight w:val="none"/>
                      <w:u w:val="none"/>
                      <w:lang w:val="en-US" w:eastAsia="zh-CN" w:bidi="ar"/>
                    </w:rPr>
                    <w:t>2022.4.3</w:t>
                  </w:r>
                </w:p>
              </w:tc>
              <w:tc>
                <w:tcPr>
                  <w:tcW w:w="1194" w:type="pct"/>
                  <w:gridSpan w:val="2"/>
                  <w:vMerge w:val="continue"/>
                  <w:vAlign w:val="center"/>
                </w:tcPr>
                <w:p>
                  <w:pPr>
                    <w:keepNext w:val="0"/>
                    <w:keepLines w:val="0"/>
                    <w:pageBreakBefore w:val="0"/>
                    <w:widowControl/>
                    <w:kinsoku/>
                    <w:wordWrap/>
                    <w:overflowPunct/>
                    <w:topLinePunct w:val="0"/>
                    <w:autoSpaceDE/>
                    <w:autoSpaceDN/>
                    <w:bidi w:val="0"/>
                    <w:spacing w:line="240" w:lineRule="auto"/>
                    <w:jc w:val="center"/>
                    <w:textAlignment w:val="center"/>
                    <w:outlineLvl w:val="9"/>
                    <w:rPr>
                      <w:rFonts w:hint="default" w:ascii="Times New Roman" w:hAnsi="Times New Roman" w:eastAsia="宋体" w:cs="Times New Roman"/>
                      <w:b/>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outlineLvl w:val="1"/>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i w:val="0"/>
                      <w:color w:val="auto"/>
                      <w:kern w:val="0"/>
                      <w:sz w:val="21"/>
                      <w:szCs w:val="21"/>
                      <w:highlight w:val="none"/>
                      <w:u w:val="none"/>
                      <w:lang w:val="en-US" w:eastAsia="zh-CN" w:bidi="ar"/>
                    </w:rPr>
                    <w:t>BOD</w:t>
                  </w:r>
                  <w:r>
                    <w:rPr>
                      <w:rFonts w:hint="default" w:ascii="Times New Roman" w:hAnsi="Times New Roman" w:eastAsia="宋体" w:cs="Times New Roman"/>
                      <w:b/>
                      <w:i w:val="0"/>
                      <w:color w:val="auto"/>
                      <w:kern w:val="0"/>
                      <w:sz w:val="21"/>
                      <w:szCs w:val="21"/>
                      <w:highlight w:val="none"/>
                      <w:u w:val="none"/>
                      <w:vertAlign w:val="subscript"/>
                      <w:lang w:val="en-US" w:eastAsia="zh-CN" w:bidi="ar"/>
                    </w:rPr>
                    <w:t>5</w:t>
                  </w:r>
                </w:p>
              </w:tc>
              <w:tc>
                <w:tcPr>
                  <w:tcW w:w="734"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outlineLvl w:val="1"/>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11.3</w:t>
                  </w:r>
                </w:p>
              </w:tc>
              <w:tc>
                <w:tcPr>
                  <w:tcW w:w="743"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outlineLvl w:val="1"/>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9.8</w:t>
                  </w:r>
                </w:p>
              </w:tc>
              <w:tc>
                <w:tcPr>
                  <w:tcW w:w="782"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outlineLvl w:val="1"/>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1.6</w:t>
                  </w:r>
                </w:p>
              </w:tc>
              <w:tc>
                <w:tcPr>
                  <w:tcW w:w="823"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outlineLvl w:val="1"/>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1.1</w:t>
                  </w:r>
                </w:p>
              </w:tc>
              <w:tc>
                <w:tcPr>
                  <w:tcW w:w="112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85.84 </w:t>
                  </w:r>
                </w:p>
              </w:tc>
              <w:tc>
                <w:tcPr>
                  <w:tcW w:w="89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88.78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outlineLvl w:val="1"/>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i w:val="0"/>
                      <w:color w:val="auto"/>
                      <w:kern w:val="0"/>
                      <w:sz w:val="21"/>
                      <w:szCs w:val="21"/>
                      <w:highlight w:val="none"/>
                      <w:u w:val="none"/>
                      <w:lang w:val="en-US" w:eastAsia="zh-CN" w:bidi="ar"/>
                    </w:rPr>
                    <w:t>氨氮</w:t>
                  </w:r>
                </w:p>
              </w:tc>
              <w:tc>
                <w:tcPr>
                  <w:tcW w:w="734"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outlineLvl w:val="1"/>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1.97</w:t>
                  </w:r>
                </w:p>
              </w:tc>
              <w:tc>
                <w:tcPr>
                  <w:tcW w:w="743"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outlineLvl w:val="1"/>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1.98</w:t>
                  </w:r>
                </w:p>
              </w:tc>
              <w:tc>
                <w:tcPr>
                  <w:tcW w:w="782"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outlineLvl w:val="1"/>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0.316</w:t>
                  </w:r>
                </w:p>
              </w:tc>
              <w:tc>
                <w:tcPr>
                  <w:tcW w:w="823"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outlineLvl w:val="1"/>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0.339</w:t>
                  </w:r>
                </w:p>
              </w:tc>
              <w:tc>
                <w:tcPr>
                  <w:tcW w:w="112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83.96 </w:t>
                  </w:r>
                </w:p>
              </w:tc>
              <w:tc>
                <w:tcPr>
                  <w:tcW w:w="89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82.88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outlineLvl w:val="1"/>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i w:val="0"/>
                      <w:color w:val="auto"/>
                      <w:kern w:val="0"/>
                      <w:sz w:val="21"/>
                      <w:szCs w:val="21"/>
                      <w:highlight w:val="none"/>
                      <w:u w:val="none"/>
                      <w:lang w:val="en-US" w:eastAsia="zh-CN" w:bidi="ar"/>
                    </w:rPr>
                    <w:t>LAS</w:t>
                  </w:r>
                </w:p>
              </w:tc>
              <w:tc>
                <w:tcPr>
                  <w:tcW w:w="734"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outlineLvl w:val="1"/>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1.12</w:t>
                  </w:r>
                </w:p>
              </w:tc>
              <w:tc>
                <w:tcPr>
                  <w:tcW w:w="743"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outlineLvl w:val="1"/>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1.15</w:t>
                  </w:r>
                </w:p>
              </w:tc>
              <w:tc>
                <w:tcPr>
                  <w:tcW w:w="782"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outlineLvl w:val="1"/>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0.06</w:t>
                  </w:r>
                </w:p>
              </w:tc>
              <w:tc>
                <w:tcPr>
                  <w:tcW w:w="823"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outlineLvl w:val="1"/>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0.06</w:t>
                  </w:r>
                </w:p>
              </w:tc>
              <w:tc>
                <w:tcPr>
                  <w:tcW w:w="112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94.64 </w:t>
                  </w:r>
                </w:p>
              </w:tc>
              <w:tc>
                <w:tcPr>
                  <w:tcW w:w="89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94.78 </w:t>
                  </w:r>
                </w:p>
              </w:tc>
            </w:tr>
          </w:tbl>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napToGrid w:val="0"/>
                <w:color w:val="auto"/>
                <w:sz w:val="24"/>
                <w:szCs w:val="24"/>
              </w:rPr>
              <w:t>根据《常用污水处理设备及去除率》进行确</w:t>
            </w:r>
            <w:r>
              <w:rPr>
                <w:rFonts w:hint="default" w:ascii="Times New Roman" w:hAnsi="Times New Roman" w:eastAsia="宋体" w:cs="Times New Roman"/>
                <w:snapToGrid w:val="0"/>
                <w:color w:val="auto"/>
                <w:sz w:val="24"/>
              </w:rPr>
              <w:t>定，</w:t>
            </w:r>
            <w:r>
              <w:rPr>
                <w:rFonts w:hint="default" w:ascii="Times New Roman" w:hAnsi="Times New Roman" w:eastAsia="宋体" w:cs="Times New Roman"/>
                <w:snapToGrid w:val="0"/>
                <w:color w:val="auto"/>
                <w:sz w:val="24"/>
                <w:szCs w:val="24"/>
                <w:lang w:val="zh-CN"/>
              </w:rPr>
              <w:t>化粪池对COD、BOD</w:t>
            </w:r>
            <w:r>
              <w:rPr>
                <w:rFonts w:hint="default" w:ascii="Times New Roman" w:hAnsi="Times New Roman" w:eastAsia="宋体" w:cs="Times New Roman"/>
                <w:snapToGrid w:val="0"/>
                <w:color w:val="auto"/>
                <w:sz w:val="24"/>
                <w:szCs w:val="24"/>
                <w:vertAlign w:val="subscript"/>
                <w:lang w:val="zh-CN"/>
              </w:rPr>
              <w:t>5</w:t>
            </w:r>
            <w:r>
              <w:rPr>
                <w:rFonts w:hint="default" w:ascii="Times New Roman" w:hAnsi="Times New Roman" w:eastAsia="宋体" w:cs="Times New Roman"/>
                <w:snapToGrid w:val="0"/>
                <w:color w:val="auto"/>
                <w:sz w:val="24"/>
                <w:szCs w:val="24"/>
                <w:lang w:val="zh-CN"/>
              </w:rPr>
              <w:t>、SS、NH</w:t>
            </w:r>
            <w:r>
              <w:rPr>
                <w:rFonts w:hint="default" w:ascii="Times New Roman" w:hAnsi="Times New Roman" w:eastAsia="宋体" w:cs="Times New Roman"/>
                <w:snapToGrid w:val="0"/>
                <w:color w:val="auto"/>
                <w:sz w:val="24"/>
                <w:szCs w:val="24"/>
                <w:vertAlign w:val="subscript"/>
                <w:lang w:val="zh-CN"/>
              </w:rPr>
              <w:t>3</w:t>
            </w:r>
            <w:r>
              <w:rPr>
                <w:rFonts w:hint="default" w:ascii="Times New Roman" w:hAnsi="Times New Roman" w:eastAsia="宋体" w:cs="Times New Roman"/>
                <w:snapToGrid w:val="0"/>
                <w:color w:val="auto"/>
                <w:sz w:val="24"/>
                <w:szCs w:val="24"/>
                <w:lang w:val="zh-CN"/>
              </w:rPr>
              <w:t>-N、总磷的处理效率</w:t>
            </w:r>
            <w:r>
              <w:rPr>
                <w:rFonts w:hint="default" w:ascii="Times New Roman" w:hAnsi="Times New Roman" w:eastAsia="宋体" w:cs="Times New Roman"/>
                <w:snapToGrid w:val="0"/>
                <w:color w:val="auto"/>
                <w:sz w:val="24"/>
              </w:rPr>
              <w:t>分别为：15%、1</w:t>
            </w:r>
            <w:r>
              <w:rPr>
                <w:rFonts w:hint="default" w:ascii="Times New Roman" w:hAnsi="Times New Roman" w:eastAsia="宋体" w:cs="Times New Roman"/>
                <w:snapToGrid w:val="0"/>
                <w:color w:val="auto"/>
                <w:sz w:val="24"/>
                <w:lang w:val="en-US" w:eastAsia="zh-CN"/>
              </w:rPr>
              <w:t>0</w:t>
            </w:r>
            <w:r>
              <w:rPr>
                <w:rFonts w:hint="default" w:ascii="Times New Roman" w:hAnsi="Times New Roman" w:eastAsia="宋体" w:cs="Times New Roman"/>
                <w:snapToGrid w:val="0"/>
                <w:color w:val="auto"/>
                <w:sz w:val="24"/>
              </w:rPr>
              <w:t>%、30%、</w:t>
            </w:r>
            <w:r>
              <w:rPr>
                <w:rFonts w:hint="default" w:ascii="Times New Roman" w:hAnsi="Times New Roman" w:eastAsia="宋体" w:cs="Times New Roman"/>
                <w:snapToGrid w:val="0"/>
                <w:color w:val="auto"/>
                <w:sz w:val="24"/>
                <w:lang w:val="en-US" w:eastAsia="zh-CN"/>
              </w:rPr>
              <w:t>0</w:t>
            </w:r>
            <w:r>
              <w:rPr>
                <w:rFonts w:hint="default" w:ascii="Times New Roman" w:hAnsi="Times New Roman" w:eastAsia="宋体" w:cs="Times New Roman"/>
                <w:snapToGrid w:val="0"/>
                <w:color w:val="auto"/>
                <w:sz w:val="24"/>
              </w:rPr>
              <w:t>%、</w:t>
            </w:r>
            <w:r>
              <w:rPr>
                <w:rFonts w:hint="default" w:ascii="Times New Roman" w:hAnsi="Times New Roman" w:eastAsia="宋体" w:cs="Times New Roman"/>
                <w:snapToGrid w:val="0"/>
                <w:color w:val="auto"/>
                <w:sz w:val="24"/>
                <w:lang w:val="en-US" w:eastAsia="zh-CN"/>
              </w:rPr>
              <w:t>0</w:t>
            </w:r>
            <w:r>
              <w:rPr>
                <w:rFonts w:hint="default" w:ascii="Times New Roman" w:hAnsi="Times New Roman" w:eastAsia="宋体" w:cs="Times New Roman"/>
                <w:snapToGrid w:val="0"/>
                <w:color w:val="auto"/>
                <w:sz w:val="24"/>
              </w:rPr>
              <w:t>%。</w:t>
            </w:r>
            <w:r>
              <w:rPr>
                <w:rFonts w:hint="default" w:ascii="Times New Roman" w:hAnsi="Times New Roman" w:eastAsia="宋体" w:cs="Times New Roman"/>
                <w:color w:val="auto"/>
                <w:sz w:val="24"/>
                <w:szCs w:val="24"/>
                <w:highlight w:val="none"/>
                <w:lang w:val="en-US" w:eastAsia="zh-CN"/>
              </w:rPr>
              <w:t>根据《废水处理工程技术手册》（潘涛、田刚主编，</w:t>
            </w:r>
            <w:r>
              <w:rPr>
                <w:rFonts w:hint="default" w:ascii="Times New Roman" w:hAnsi="Times New Roman" w:eastAsia="宋体" w:cs="Times New Roman"/>
                <w:color w:val="auto"/>
                <w:kern w:val="0"/>
                <w:sz w:val="24"/>
                <w:szCs w:val="20"/>
                <w:highlight w:val="none"/>
                <w:lang w:val="zh-CN"/>
              </w:rPr>
              <w:t>化学工业出版社，</w:t>
            </w:r>
            <w:r>
              <w:rPr>
                <w:rFonts w:hint="default" w:ascii="Times New Roman" w:hAnsi="Times New Roman" w:eastAsia="宋体" w:cs="Times New Roman"/>
                <w:color w:val="auto"/>
                <w:kern w:val="0"/>
                <w:sz w:val="24"/>
                <w:szCs w:val="20"/>
                <w:highlight w:val="none"/>
                <w:lang w:val="en-US" w:eastAsia="zh-CN"/>
              </w:rPr>
              <w:t>2010年版</w:t>
            </w:r>
            <w:r>
              <w:rPr>
                <w:rFonts w:hint="default" w:ascii="Times New Roman" w:hAnsi="Times New Roman" w:eastAsia="宋体" w:cs="Times New Roman"/>
                <w:color w:val="auto"/>
                <w:sz w:val="24"/>
                <w:szCs w:val="24"/>
                <w:highlight w:val="none"/>
                <w:lang w:val="en-US" w:eastAsia="zh-CN"/>
              </w:rPr>
              <w:t>），隔油池对生活废水中动植物油去除效率为60%~80%，本项目取80%；</w:t>
            </w:r>
            <w:r>
              <w:rPr>
                <w:rFonts w:hint="default" w:ascii="Times New Roman" w:hAnsi="Times New Roman" w:eastAsia="宋体" w:cs="Times New Roman"/>
                <w:snapToGrid w:val="0"/>
                <w:color w:val="auto"/>
                <w:sz w:val="24"/>
                <w:highlight w:val="none"/>
              </w:rPr>
              <w:t>根据</w:t>
            </w:r>
            <w:r>
              <w:rPr>
                <w:rFonts w:hint="default" w:ascii="Times New Roman" w:hAnsi="Times New Roman" w:eastAsia="宋体" w:cs="Times New Roman"/>
                <w:snapToGrid w:val="0"/>
                <w:color w:val="auto"/>
                <w:sz w:val="24"/>
                <w:highlight w:val="none"/>
                <w:lang w:val="en-US" w:eastAsia="zh-CN"/>
              </w:rPr>
              <w:t>上表可知，</w:t>
            </w:r>
            <w:r>
              <w:rPr>
                <w:rFonts w:hint="default" w:ascii="Times New Roman" w:hAnsi="Times New Roman" w:eastAsia="宋体" w:cs="Times New Roman"/>
                <w:color w:val="auto"/>
                <w:sz w:val="24"/>
                <w:szCs w:val="24"/>
                <w:highlight w:val="none"/>
                <w:lang w:val="zh-CN"/>
              </w:rPr>
              <w:t>本项目</w:t>
            </w:r>
            <w:r>
              <w:rPr>
                <w:rFonts w:hint="default" w:ascii="Times New Roman" w:hAnsi="Times New Roman" w:eastAsia="宋体" w:cs="Times New Roman"/>
                <w:color w:val="auto"/>
                <w:sz w:val="24"/>
                <w:szCs w:val="24"/>
                <w:highlight w:val="none"/>
                <w:lang w:val="en-US" w:eastAsia="zh-CN"/>
              </w:rPr>
              <w:t>一体化</w:t>
            </w:r>
            <w:r>
              <w:rPr>
                <w:rFonts w:hint="default" w:ascii="Times New Roman" w:hAnsi="Times New Roman" w:eastAsia="宋体" w:cs="Times New Roman"/>
                <w:color w:val="auto"/>
                <w:sz w:val="24"/>
                <w:szCs w:val="24"/>
                <w:highlight w:val="none"/>
                <w:lang w:val="zh-CN"/>
              </w:rPr>
              <w:t>污水处理站对生活废水污染物去除效率为：</w:t>
            </w:r>
            <w:r>
              <w:rPr>
                <w:rFonts w:hint="default" w:ascii="Times New Roman" w:hAnsi="Times New Roman" w:eastAsia="宋体" w:cs="Times New Roman"/>
                <w:color w:val="auto"/>
                <w:sz w:val="24"/>
                <w:szCs w:val="24"/>
                <w:highlight w:val="none"/>
                <w:lang w:val="en-US" w:eastAsia="zh-CN"/>
              </w:rPr>
              <w:t>CODcr88.78%（参照BOD</w:t>
            </w:r>
            <w:r>
              <w:rPr>
                <w:rFonts w:hint="default" w:ascii="Times New Roman" w:hAnsi="Times New Roman" w:eastAsia="宋体" w:cs="Times New Roman"/>
                <w:color w:val="auto"/>
                <w:sz w:val="24"/>
                <w:szCs w:val="24"/>
                <w:highlight w:val="none"/>
                <w:vertAlign w:val="subscript"/>
                <w:lang w:val="en-US" w:eastAsia="zh-CN"/>
              </w:rPr>
              <w:t>5</w:t>
            </w:r>
            <w:r>
              <w:rPr>
                <w:rFonts w:hint="default" w:ascii="Times New Roman" w:hAnsi="Times New Roman" w:eastAsia="宋体" w:cs="Times New Roman"/>
                <w:color w:val="auto"/>
                <w:sz w:val="24"/>
                <w:szCs w:val="24"/>
                <w:highlight w:val="none"/>
                <w:lang w:val="en-US" w:eastAsia="zh-CN"/>
              </w:rPr>
              <w:t>），BOD</w:t>
            </w:r>
            <w:r>
              <w:rPr>
                <w:rFonts w:hint="default" w:ascii="Times New Roman" w:hAnsi="Times New Roman" w:eastAsia="宋体" w:cs="Times New Roman"/>
                <w:color w:val="auto"/>
                <w:sz w:val="24"/>
                <w:szCs w:val="24"/>
                <w:highlight w:val="none"/>
                <w:vertAlign w:val="subscript"/>
                <w:lang w:val="en-US" w:eastAsia="zh-CN"/>
              </w:rPr>
              <w:t>5</w:t>
            </w:r>
            <w:r>
              <w:rPr>
                <w:rFonts w:hint="default" w:ascii="Times New Roman" w:hAnsi="Times New Roman" w:eastAsia="宋体" w:cs="Times New Roman"/>
                <w:color w:val="auto"/>
                <w:sz w:val="24"/>
                <w:szCs w:val="24"/>
                <w:highlight w:val="none"/>
                <w:lang w:val="en-US" w:eastAsia="zh-CN"/>
              </w:rPr>
              <w:t>88.78%，SS90%，氨氮82.88%，总磷82.88%（参照氨氮）。</w:t>
            </w:r>
          </w:p>
          <w:p>
            <w:pPr>
              <w:keepNext w:val="0"/>
              <w:keepLines w:val="0"/>
              <w:pageBreakBefore w:val="0"/>
              <w:widowControl w:val="0"/>
              <w:kinsoku/>
              <w:wordWrap/>
              <w:overflowPunct/>
              <w:topLinePunct w:val="0"/>
              <w:autoSpaceDE/>
              <w:autoSpaceDN/>
              <w:bidi w:val="0"/>
              <w:adjustRightInd/>
              <w:snapToGrid w:val="0"/>
              <w:spacing w:line="336" w:lineRule="auto"/>
              <w:ind w:firstLine="482"/>
              <w:textAlignment w:val="auto"/>
              <w:rPr>
                <w:rFonts w:hint="default" w:ascii="Times New Roman" w:hAnsi="Times New Roman" w:eastAsia="宋体" w:cs="Times New Roman"/>
                <w:caps w:val="0"/>
                <w:snapToGrid w:val="0"/>
                <w:color w:val="auto"/>
                <w:spacing w:val="0"/>
                <w:w w:val="100"/>
                <w:position w:val="0"/>
                <w:sz w:val="24"/>
                <w:szCs w:val="24"/>
                <w:highlight w:val="none"/>
                <w:lang w:val="zh-CN"/>
              </w:rPr>
            </w:pPr>
            <w:r>
              <w:rPr>
                <w:rFonts w:hint="default" w:ascii="Times New Roman" w:hAnsi="Times New Roman" w:eastAsia="宋体" w:cs="Times New Roman"/>
                <w:color w:val="auto"/>
                <w:sz w:val="24"/>
                <w:szCs w:val="24"/>
                <w:highlight w:val="none"/>
                <w:lang w:val="en-US" w:eastAsia="zh-CN"/>
              </w:rPr>
              <w:t>本项目综合污水各</w:t>
            </w:r>
            <w:r>
              <w:rPr>
                <w:rFonts w:hint="default" w:ascii="Times New Roman" w:hAnsi="Times New Roman" w:eastAsia="宋体" w:cs="Times New Roman"/>
                <w:color w:val="auto"/>
                <w:sz w:val="24"/>
                <w:szCs w:val="24"/>
                <w:highlight w:val="none"/>
              </w:rPr>
              <w:t>污染物</w:t>
            </w:r>
            <w:r>
              <w:rPr>
                <w:rFonts w:hint="default" w:ascii="Times New Roman" w:hAnsi="Times New Roman" w:eastAsia="宋体" w:cs="Times New Roman"/>
                <w:color w:val="auto"/>
                <w:sz w:val="24"/>
                <w:szCs w:val="24"/>
                <w:highlight w:val="none"/>
                <w:lang w:val="en-US" w:eastAsia="zh-CN"/>
              </w:rPr>
              <w:t>产排</w:t>
            </w:r>
            <w:r>
              <w:rPr>
                <w:rFonts w:hint="default" w:ascii="Times New Roman" w:hAnsi="Times New Roman" w:eastAsia="宋体" w:cs="Times New Roman"/>
                <w:color w:val="auto"/>
                <w:sz w:val="24"/>
                <w:szCs w:val="24"/>
                <w:highlight w:val="none"/>
              </w:rPr>
              <w:t>情况见表</w:t>
            </w:r>
            <w:r>
              <w:rPr>
                <w:rFonts w:hint="default" w:ascii="Times New Roman" w:hAnsi="Times New Roman" w:eastAsia="宋体" w:cs="Times New Roman"/>
                <w:color w:val="auto"/>
                <w:sz w:val="24"/>
                <w:szCs w:val="24"/>
                <w:highlight w:val="none"/>
                <w:lang w:val="en-US" w:eastAsia="zh-CN"/>
              </w:rPr>
              <w:t>4-13</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bidi w:val="0"/>
              <w:snapToGrid w:val="0"/>
              <w:spacing w:line="240" w:lineRule="auto"/>
              <w:jc w:val="center"/>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表</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4-13</w:t>
            </w:r>
            <w:r>
              <w:rPr>
                <w:rFonts w:hint="default" w:ascii="Times New Roman" w:hAnsi="Times New Roman" w:eastAsia="宋体" w:cs="Times New Roman"/>
                <w:b/>
                <w:caps w:val="0"/>
                <w:snapToGrid w:val="0"/>
                <w:color w:val="auto"/>
                <w:spacing w:val="0"/>
                <w:w w:val="100"/>
                <w:position w:val="0"/>
                <w:sz w:val="21"/>
                <w:szCs w:val="21"/>
                <w:highlight w:val="none"/>
              </w:rPr>
              <w:t xml:space="preserve">   项目污染物产排情况汇总表</w:t>
            </w:r>
          </w:p>
          <w:tbl>
            <w:tblPr>
              <w:tblStyle w:val="26"/>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3"/>
              <w:gridCol w:w="714"/>
              <w:gridCol w:w="714"/>
              <w:gridCol w:w="714"/>
              <w:gridCol w:w="714"/>
              <w:gridCol w:w="914"/>
              <w:gridCol w:w="884"/>
              <w:gridCol w:w="714"/>
              <w:gridCol w:w="884"/>
              <w:gridCol w:w="714"/>
              <w:gridCol w:w="7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2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污染源编号</w:t>
                  </w:r>
                </w:p>
              </w:tc>
              <w:tc>
                <w:tcPr>
                  <w:tcW w:w="42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w:t>
                  </w:r>
                </w:p>
              </w:tc>
              <w:tc>
                <w:tcPr>
                  <w:tcW w:w="42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产生浓度mg/L</w:t>
                  </w:r>
                </w:p>
              </w:tc>
              <w:tc>
                <w:tcPr>
                  <w:tcW w:w="42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产生量（t/a）</w:t>
                  </w:r>
                </w:p>
              </w:tc>
              <w:tc>
                <w:tcPr>
                  <w:tcW w:w="969"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去除效率（%）</w:t>
                  </w:r>
                </w:p>
              </w:tc>
              <w:tc>
                <w:tcPr>
                  <w:tcW w:w="52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削减量（t/a）</w:t>
                  </w:r>
                </w:p>
              </w:tc>
              <w:tc>
                <w:tcPr>
                  <w:tcW w:w="42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处理后浓度mg/L</w:t>
                  </w:r>
                </w:p>
              </w:tc>
              <w:tc>
                <w:tcPr>
                  <w:tcW w:w="52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处理后量（t/a）</w:t>
                  </w:r>
                </w:p>
              </w:tc>
              <w:tc>
                <w:tcPr>
                  <w:tcW w:w="42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标准值</w:t>
                  </w:r>
                </w:p>
              </w:tc>
              <w:tc>
                <w:tcPr>
                  <w:tcW w:w="42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达标情况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2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b/>
                      <w:bCs/>
                      <w:i w:val="0"/>
                      <w:iCs w:val="0"/>
                      <w:color w:val="auto"/>
                      <w:sz w:val="21"/>
                      <w:szCs w:val="21"/>
                      <w:u w:val="none"/>
                    </w:rPr>
                  </w:pPr>
                </w:p>
              </w:tc>
              <w:tc>
                <w:tcPr>
                  <w:tcW w:w="42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b/>
                      <w:bCs/>
                      <w:i w:val="0"/>
                      <w:iCs w:val="0"/>
                      <w:color w:val="auto"/>
                      <w:sz w:val="21"/>
                      <w:szCs w:val="21"/>
                      <w:u w:val="none"/>
                    </w:rPr>
                  </w:pPr>
                </w:p>
              </w:tc>
              <w:tc>
                <w:tcPr>
                  <w:tcW w:w="42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b/>
                      <w:bCs/>
                      <w:i w:val="0"/>
                      <w:iCs w:val="0"/>
                      <w:color w:val="auto"/>
                      <w:sz w:val="21"/>
                      <w:szCs w:val="21"/>
                      <w:u w:val="none"/>
                    </w:rPr>
                  </w:pPr>
                </w:p>
              </w:tc>
              <w:tc>
                <w:tcPr>
                  <w:tcW w:w="42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b/>
                      <w:bCs/>
                      <w:i w:val="0"/>
                      <w:iCs w:val="0"/>
                      <w:color w:val="auto"/>
                      <w:sz w:val="21"/>
                      <w:szCs w:val="21"/>
                      <w:u w:val="none"/>
                    </w:rPr>
                  </w:pP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化粪池</w:t>
                  </w:r>
                </w:p>
              </w:tc>
              <w:tc>
                <w:tcPr>
                  <w:tcW w:w="54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处理站</w:t>
                  </w:r>
                </w:p>
              </w:tc>
              <w:tc>
                <w:tcPr>
                  <w:tcW w:w="52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b/>
                      <w:bCs/>
                      <w:i w:val="0"/>
                      <w:iCs w:val="0"/>
                      <w:color w:val="auto"/>
                      <w:sz w:val="21"/>
                      <w:szCs w:val="21"/>
                      <w:u w:val="none"/>
                    </w:rPr>
                  </w:pPr>
                </w:p>
              </w:tc>
              <w:tc>
                <w:tcPr>
                  <w:tcW w:w="42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b/>
                      <w:bCs/>
                      <w:i w:val="0"/>
                      <w:iCs w:val="0"/>
                      <w:color w:val="auto"/>
                      <w:sz w:val="21"/>
                      <w:szCs w:val="21"/>
                      <w:u w:val="none"/>
                    </w:rPr>
                  </w:pPr>
                </w:p>
              </w:tc>
              <w:tc>
                <w:tcPr>
                  <w:tcW w:w="52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b/>
                      <w:bCs/>
                      <w:i w:val="0"/>
                      <w:iCs w:val="0"/>
                      <w:color w:val="auto"/>
                      <w:sz w:val="21"/>
                      <w:szCs w:val="21"/>
                      <w:u w:val="none"/>
                    </w:rPr>
                  </w:pPr>
                </w:p>
              </w:tc>
              <w:tc>
                <w:tcPr>
                  <w:tcW w:w="42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b/>
                      <w:bCs/>
                      <w:i w:val="0"/>
                      <w:iCs w:val="0"/>
                      <w:color w:val="auto"/>
                      <w:sz w:val="21"/>
                      <w:szCs w:val="21"/>
                      <w:u w:val="none"/>
                    </w:rPr>
                  </w:pPr>
                </w:p>
              </w:tc>
              <w:tc>
                <w:tcPr>
                  <w:tcW w:w="42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b/>
                      <w:bCs/>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25" w:type="pct"/>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综合污水（食堂、冲厕、盥洗、办公）</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480</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543" w:type="pct"/>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52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52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480</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25"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520</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0.2496</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54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88.78</w:t>
                  </w:r>
                </w:p>
              </w:tc>
              <w:tc>
                <w:tcPr>
                  <w:tcW w:w="52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0.2258 </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49.59 </w:t>
                  </w:r>
                </w:p>
              </w:tc>
              <w:tc>
                <w:tcPr>
                  <w:tcW w:w="52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0.0238 </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25"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0.048</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54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88.78</w:t>
                  </w:r>
                </w:p>
              </w:tc>
              <w:tc>
                <w:tcPr>
                  <w:tcW w:w="52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0.0434 </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9.54 </w:t>
                  </w:r>
                </w:p>
              </w:tc>
              <w:tc>
                <w:tcPr>
                  <w:tcW w:w="52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0.0046 </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25"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350</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0.168</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54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90</w:t>
                  </w:r>
                </w:p>
              </w:tc>
              <w:tc>
                <w:tcPr>
                  <w:tcW w:w="52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0.1562 </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24.50 </w:t>
                  </w:r>
                </w:p>
              </w:tc>
              <w:tc>
                <w:tcPr>
                  <w:tcW w:w="52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0.0118 </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25"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0.0192</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54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82.88</w:t>
                  </w:r>
                </w:p>
              </w:tc>
              <w:tc>
                <w:tcPr>
                  <w:tcW w:w="52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0.0159 </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6.85 </w:t>
                  </w:r>
                </w:p>
              </w:tc>
              <w:tc>
                <w:tcPr>
                  <w:tcW w:w="52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0.0033 </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25"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0.0038</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54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82.88</w:t>
                  </w:r>
                </w:p>
              </w:tc>
              <w:tc>
                <w:tcPr>
                  <w:tcW w:w="52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0.0031 </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1.37 </w:t>
                  </w:r>
                </w:p>
              </w:tc>
              <w:tc>
                <w:tcPr>
                  <w:tcW w:w="52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0.0007 </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25"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动植物油</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0.0168</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54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52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0.0134 </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7.00 </w:t>
                  </w:r>
                </w:p>
              </w:tc>
              <w:tc>
                <w:tcPr>
                  <w:tcW w:w="52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0.0034 </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2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废水去向</w:t>
                  </w:r>
                </w:p>
              </w:tc>
              <w:tc>
                <w:tcPr>
                  <w:tcW w:w="4574" w:type="pct"/>
                  <w:gridSpan w:val="10"/>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本项目食堂含油废水经原项目已建的隔油池预处理后，与其他生活污水一并进入化粪池、一体化污水处理站处理达《城市污水再生利用 城市杂用水水质》（GB/T18920-2020）中的城市绿化、道路清扫、消防、建筑施工标准后，用于绿化及道路场地洒水，不外排。</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szCs w:val="24"/>
                <w:highlight w:val="none"/>
                <w:lang w:bidi="ar"/>
              </w:rPr>
            </w:pPr>
            <w:r>
              <w:rPr>
                <w:rFonts w:hint="default" w:ascii="Times New Roman" w:hAnsi="Times New Roman" w:eastAsia="宋体" w:cs="Times New Roman"/>
                <w:b/>
                <w:color w:val="auto"/>
                <w:sz w:val="24"/>
                <w:szCs w:val="24"/>
                <w:highlight w:val="none"/>
                <w:lang w:val="en-US" w:eastAsia="zh-CN" w:bidi="ar"/>
              </w:rPr>
              <w:t>3、依托原项目</w:t>
            </w:r>
            <w:r>
              <w:rPr>
                <w:rFonts w:hint="default" w:ascii="Times New Roman" w:hAnsi="Times New Roman" w:eastAsia="宋体" w:cs="Times New Roman"/>
                <w:b/>
                <w:bCs w:val="0"/>
                <w:color w:val="auto"/>
                <w:spacing w:val="-10"/>
                <w:sz w:val="24"/>
                <w:szCs w:val="24"/>
                <w:highlight w:val="none"/>
                <w:lang w:val="en-US" w:eastAsia="zh-CN"/>
              </w:rPr>
              <w:t>污水处理设施的可行性</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zh-CN"/>
              </w:rPr>
              <w:t>）隔油池</w:t>
            </w:r>
          </w:p>
          <w:p>
            <w:pPr>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根据工程分析可知，</w:t>
            </w:r>
            <w:r>
              <w:rPr>
                <w:rFonts w:hint="default" w:ascii="Times New Roman" w:hAnsi="Times New Roman" w:eastAsia="宋体" w:cs="Times New Roman"/>
                <w:color w:val="auto"/>
                <w:sz w:val="24"/>
                <w:szCs w:val="24"/>
                <w:highlight w:val="none"/>
                <w:lang w:val="en-US" w:eastAsia="zh-CN"/>
              </w:rPr>
              <w:t>本次扩建</w:t>
            </w:r>
            <w:r>
              <w:rPr>
                <w:rFonts w:hint="default" w:ascii="Times New Roman" w:hAnsi="Times New Roman" w:eastAsia="宋体" w:cs="Times New Roman"/>
                <w:color w:val="auto"/>
                <w:sz w:val="24"/>
                <w:szCs w:val="24"/>
                <w:highlight w:val="none"/>
              </w:rPr>
              <w:t>项目食堂废水产生量为</w:t>
            </w:r>
            <w:r>
              <w:rPr>
                <w:rFonts w:hint="default" w:ascii="Times New Roman" w:hAnsi="Times New Roman" w:eastAsia="宋体" w:cs="Times New Roman"/>
                <w:color w:val="auto"/>
                <w:sz w:val="24"/>
                <w:szCs w:val="24"/>
                <w:highlight w:val="none"/>
                <w:lang w:val="en-US" w:eastAsia="zh-CN"/>
              </w:rPr>
              <w:t>0.32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pacing w:val="-5"/>
                <w:kern w:val="2"/>
                <w:sz w:val="24"/>
                <w:szCs w:val="24"/>
                <w:highlight w:val="none"/>
                <w:lang w:val="zh-CN" w:eastAsia="zh-CN" w:bidi="ar-SA"/>
              </w:rPr>
              <w:t>《</w:t>
            </w:r>
            <w:r>
              <w:rPr>
                <w:rFonts w:hint="default" w:ascii="Times New Roman" w:hAnsi="Times New Roman" w:eastAsia="宋体" w:cs="Times New Roman"/>
                <w:color w:val="auto"/>
                <w:spacing w:val="-5"/>
                <w:kern w:val="2"/>
                <w:sz w:val="24"/>
                <w:szCs w:val="24"/>
                <w:highlight w:val="none"/>
                <w:lang w:val="en-US" w:eastAsia="zh-CN" w:bidi="ar-SA"/>
              </w:rPr>
              <w:t>昆明茂源卫生用品、纸和纸板容器制造</w:t>
            </w:r>
            <w:r>
              <w:rPr>
                <w:rFonts w:hint="default" w:ascii="Times New Roman" w:hAnsi="Times New Roman" w:eastAsia="宋体" w:cs="Times New Roman"/>
                <w:b w:val="0"/>
                <w:bCs w:val="0"/>
                <w:color w:val="auto"/>
                <w:sz w:val="24"/>
                <w:szCs w:val="24"/>
                <w:highlight w:val="none"/>
              </w:rPr>
              <w:t>生产建设项目竣工环境保护验收监测报告表</w:t>
            </w:r>
            <w:r>
              <w:rPr>
                <w:rFonts w:hint="default" w:ascii="Times New Roman" w:hAnsi="Times New Roman" w:eastAsia="宋体" w:cs="Times New Roman"/>
                <w:b w:val="0"/>
                <w:bCs w:val="0"/>
                <w:color w:val="auto"/>
                <w:sz w:val="24"/>
                <w:szCs w:val="24"/>
                <w:highlight w:val="none"/>
                <w:lang w:val="zh-CN"/>
              </w:rPr>
              <w:t>》</w:t>
            </w:r>
            <w:r>
              <w:rPr>
                <w:rFonts w:hint="default" w:ascii="Times New Roman" w:hAnsi="Times New Roman" w:eastAsia="宋体" w:cs="Times New Roman"/>
                <w:b w:val="0"/>
                <w:bCs w:val="0"/>
                <w:color w:val="auto"/>
                <w:sz w:val="24"/>
                <w:szCs w:val="24"/>
                <w:highlight w:val="none"/>
                <w:lang w:val="en-US" w:eastAsia="zh-CN"/>
              </w:rPr>
              <w:t>及实际调查可知</w:t>
            </w:r>
            <w:r>
              <w:rPr>
                <w:rFonts w:hint="default" w:ascii="Times New Roman" w:hAnsi="Times New Roman" w:eastAsia="宋体" w:cs="Times New Roman"/>
                <w:b w:val="0"/>
                <w:bCs w:val="0"/>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原项目职工全部在项目区内食宿时，</w:t>
            </w:r>
            <w:r>
              <w:rPr>
                <w:rFonts w:hint="default" w:ascii="Times New Roman" w:hAnsi="Times New Roman" w:eastAsia="宋体" w:cs="Times New Roman"/>
                <w:color w:val="auto"/>
                <w:sz w:val="24"/>
                <w:szCs w:val="24"/>
                <w:highlight w:val="none"/>
              </w:rPr>
              <w:t>食堂废水产生量为</w:t>
            </w:r>
            <w:r>
              <w:rPr>
                <w:rFonts w:hint="default" w:ascii="Times New Roman" w:hAnsi="Times New Roman" w:eastAsia="宋体" w:cs="Times New Roman"/>
                <w:color w:val="auto"/>
                <w:sz w:val="24"/>
                <w:szCs w:val="24"/>
                <w:highlight w:val="none"/>
                <w:lang w:val="en-US" w:eastAsia="zh-CN"/>
              </w:rPr>
              <w:t>0.16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/d。根据中华人民共和国国家环境保护标准《饮食业环境保护技术规范》（HJ554-2010），隔油池设计符合下列规定：</w:t>
            </w:r>
          </w:p>
          <w:p>
            <w:pPr>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a、含油污水的水力停留时间不宜小于0.5h；</w:t>
            </w:r>
          </w:p>
          <w:p>
            <w:pPr>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b、池内水流流速不宜大于0.005m/s；</w:t>
            </w:r>
          </w:p>
          <w:p>
            <w:pPr>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c、池内分格宜取两档三格；</w:t>
            </w:r>
          </w:p>
          <w:p>
            <w:pPr>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d、人工除油的隔油池内存油部分的容积不得小于该池有效容积的25%，隔油池出水管管底至池底的深度，不得小于0.6m。</w:t>
            </w:r>
          </w:p>
          <w:p>
            <w:pPr>
              <w:pStyle w:val="14"/>
              <w:keepNext w:val="0"/>
              <w:keepLines w:val="0"/>
              <w:pageBreakBefore w:val="0"/>
              <w:kinsoku/>
              <w:wordWrap/>
              <w:overflowPunct/>
              <w:topLinePunct w:val="0"/>
              <w:autoSpaceDE/>
              <w:autoSpaceDN/>
              <w:bidi w:val="0"/>
              <w:adjustRightInd w:val="0"/>
              <w:snapToGrid w:val="0"/>
              <w:spacing w:after="0" w:line="360" w:lineRule="auto"/>
              <w:ind w:firstLine="464" w:firstLineChars="200"/>
              <w:textAlignment w:val="auto"/>
              <w:rPr>
                <w:rFonts w:hint="default" w:ascii="Times New Roman" w:hAnsi="Times New Roman" w:eastAsia="宋体" w:cs="Times New Roman"/>
                <w:color w:val="auto"/>
                <w:spacing w:val="-4"/>
                <w:sz w:val="24"/>
                <w:szCs w:val="24"/>
                <w:highlight w:val="none"/>
              </w:rPr>
            </w:pPr>
            <w:r>
              <w:rPr>
                <w:rFonts w:hint="default" w:ascii="Times New Roman" w:hAnsi="Times New Roman" w:eastAsia="宋体" w:cs="Times New Roman"/>
                <w:color w:val="auto"/>
                <w:spacing w:val="-4"/>
                <w:sz w:val="24"/>
                <w:szCs w:val="24"/>
                <w:highlight w:val="none"/>
                <w:lang w:val="en-US" w:eastAsia="zh-CN"/>
              </w:rPr>
              <w:t>原项目</w:t>
            </w:r>
            <w:r>
              <w:rPr>
                <w:rFonts w:hint="default" w:ascii="Times New Roman" w:hAnsi="Times New Roman" w:eastAsia="宋体" w:cs="Times New Roman"/>
                <w:color w:val="auto"/>
                <w:sz w:val="24"/>
                <w:szCs w:val="24"/>
                <w:highlight w:val="none"/>
              </w:rPr>
              <w:t>食堂</w:t>
            </w:r>
            <w:r>
              <w:rPr>
                <w:rFonts w:hint="default" w:ascii="Times New Roman" w:hAnsi="Times New Roman" w:eastAsia="宋体" w:cs="Times New Roman"/>
                <w:color w:val="auto"/>
                <w:sz w:val="24"/>
                <w:szCs w:val="24"/>
                <w:highlight w:val="none"/>
                <w:lang w:val="en-US" w:eastAsia="zh-CN"/>
              </w:rPr>
              <w:t>已</w:t>
            </w:r>
            <w:r>
              <w:rPr>
                <w:rFonts w:hint="default" w:ascii="Times New Roman" w:hAnsi="Times New Roman" w:eastAsia="宋体" w:cs="Times New Roman"/>
                <w:color w:val="auto"/>
                <w:sz w:val="24"/>
                <w:szCs w:val="24"/>
                <w:highlight w:val="none"/>
              </w:rPr>
              <w:t>配套设置</w:t>
            </w:r>
            <w:r>
              <w:rPr>
                <w:rFonts w:hint="default" w:ascii="Times New Roman" w:hAnsi="Times New Roman" w:eastAsia="宋体" w:cs="Times New Roman"/>
                <w:color w:val="auto"/>
                <w:sz w:val="24"/>
                <w:szCs w:val="24"/>
                <w:highlight w:val="none"/>
                <w:lang w:val="en-US" w:eastAsia="zh-CN"/>
              </w:rPr>
              <w:t>了1个</w:t>
            </w:r>
            <w:r>
              <w:rPr>
                <w:rFonts w:hint="default" w:ascii="Times New Roman" w:hAnsi="Times New Roman" w:eastAsia="宋体" w:cs="Times New Roman"/>
                <w:color w:val="auto"/>
                <w:sz w:val="24"/>
                <w:szCs w:val="24"/>
                <w:highlight w:val="none"/>
              </w:rPr>
              <w:t>容积</w:t>
            </w:r>
            <w:r>
              <w:rPr>
                <w:rFonts w:hint="default" w:ascii="Times New Roman" w:hAnsi="Times New Roman" w:eastAsia="宋体" w:cs="Times New Roman"/>
                <w:color w:val="auto"/>
                <w:sz w:val="24"/>
                <w:szCs w:val="24"/>
                <w:highlight w:val="none"/>
                <w:lang w:val="en-US" w:eastAsia="zh-CN"/>
              </w:rPr>
              <w:t>约为0.5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的隔油池</w:t>
            </w:r>
            <w:r>
              <w:rPr>
                <w:rFonts w:hint="default" w:ascii="Times New Roman" w:hAnsi="Times New Roman" w:eastAsia="宋体" w:cs="Times New Roman"/>
                <w:color w:val="auto"/>
                <w:sz w:val="24"/>
                <w:szCs w:val="24"/>
                <w:highlight w:val="none"/>
                <w:lang w:val="en-US" w:eastAsia="zh-CN"/>
              </w:rPr>
              <w:t>进行使用</w:t>
            </w:r>
            <w:r>
              <w:rPr>
                <w:rFonts w:hint="default" w:ascii="Times New Roman" w:hAnsi="Times New Roman" w:eastAsia="宋体" w:cs="Times New Roman"/>
                <w:color w:val="auto"/>
                <w:sz w:val="24"/>
                <w:szCs w:val="24"/>
                <w:highlight w:val="none"/>
              </w:rPr>
              <w:t>，用于接纳厨房餐饮含油废水。根据</w:t>
            </w:r>
            <w:r>
              <w:rPr>
                <w:rFonts w:hint="default" w:ascii="Times New Roman" w:hAnsi="Times New Roman" w:eastAsia="宋体" w:cs="Times New Roman"/>
                <w:color w:val="auto"/>
                <w:sz w:val="24"/>
                <w:szCs w:val="24"/>
                <w:highlight w:val="none"/>
                <w:lang w:val="en-US" w:eastAsia="zh-CN"/>
              </w:rPr>
              <w:t>上文</w:t>
            </w:r>
            <w:r>
              <w:rPr>
                <w:rFonts w:hint="default" w:ascii="Times New Roman" w:hAnsi="Times New Roman" w:eastAsia="宋体" w:cs="Times New Roman"/>
                <w:color w:val="auto"/>
                <w:sz w:val="24"/>
                <w:szCs w:val="24"/>
                <w:highlight w:val="none"/>
              </w:rPr>
              <w:t>分析，</w:t>
            </w:r>
            <w:r>
              <w:rPr>
                <w:rFonts w:hint="default" w:ascii="Times New Roman" w:hAnsi="Times New Roman" w:eastAsia="宋体" w:cs="Times New Roman"/>
                <w:color w:val="auto"/>
                <w:sz w:val="24"/>
                <w:szCs w:val="24"/>
                <w:highlight w:val="none"/>
                <w:lang w:val="en-US" w:eastAsia="zh-CN"/>
              </w:rPr>
              <w:t>本次扩建</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建成后整个</w:t>
            </w:r>
            <w:r>
              <w:rPr>
                <w:rFonts w:hint="default" w:ascii="Times New Roman" w:hAnsi="Times New Roman" w:eastAsia="宋体" w:cs="Times New Roman"/>
                <w:color w:val="auto"/>
                <w:sz w:val="24"/>
                <w:szCs w:val="24"/>
                <w:highlight w:val="none"/>
              </w:rPr>
              <w:t>食堂厨房含油废水产生量为</w:t>
            </w:r>
            <w:r>
              <w:rPr>
                <w:rFonts w:hint="default" w:ascii="Times New Roman" w:hAnsi="Times New Roman" w:eastAsia="宋体" w:cs="Times New Roman"/>
                <w:color w:val="auto"/>
                <w:sz w:val="24"/>
                <w:szCs w:val="24"/>
                <w:highlight w:val="none"/>
                <w:lang w:val="en-US" w:eastAsia="zh-CN"/>
              </w:rPr>
              <w:t>0.48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原项目职工全部在厂内用餐时废水量为0.16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本次扩建项目0.32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，按炊事时间4小时计算，</w:t>
            </w:r>
            <w:r>
              <w:rPr>
                <w:rFonts w:hint="default" w:ascii="Times New Roman" w:hAnsi="Times New Roman" w:eastAsia="宋体" w:cs="Times New Roman"/>
                <w:color w:val="auto"/>
                <w:sz w:val="24"/>
                <w:szCs w:val="24"/>
                <w:highlight w:val="none"/>
                <w:lang w:val="en-US" w:eastAsia="zh-CN"/>
              </w:rPr>
              <w:t>则</w:t>
            </w:r>
            <w:r>
              <w:rPr>
                <w:rFonts w:hint="default" w:ascii="Times New Roman" w:hAnsi="Times New Roman" w:eastAsia="宋体" w:cs="Times New Roman"/>
                <w:color w:val="auto"/>
                <w:sz w:val="24"/>
                <w:szCs w:val="24"/>
                <w:highlight w:val="none"/>
              </w:rPr>
              <w:t>隔油池容积大于</w:t>
            </w:r>
            <w:r>
              <w:rPr>
                <w:rFonts w:hint="default" w:ascii="Times New Roman" w:hAnsi="Times New Roman" w:eastAsia="宋体" w:cs="Times New Roman"/>
                <w:color w:val="auto"/>
                <w:sz w:val="24"/>
                <w:szCs w:val="24"/>
                <w:highlight w:val="none"/>
                <w:lang w:val="en-US" w:eastAsia="zh-CN"/>
              </w:rPr>
              <w:t>0.12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即可满足</w:t>
            </w:r>
            <w:r>
              <w:rPr>
                <w:rFonts w:hint="default" w:ascii="Times New Roman" w:hAnsi="Times New Roman" w:eastAsia="宋体" w:cs="Times New Roman"/>
                <w:color w:val="auto"/>
                <w:sz w:val="24"/>
                <w:szCs w:val="24"/>
                <w:highlight w:val="none"/>
                <w:lang w:val="en-US" w:eastAsia="zh-CN"/>
              </w:rPr>
              <w:t>项目扩建完成后整个项目区</w:t>
            </w:r>
            <w:r>
              <w:rPr>
                <w:rFonts w:hint="default" w:ascii="Times New Roman" w:hAnsi="Times New Roman" w:eastAsia="宋体" w:cs="Times New Roman"/>
                <w:color w:val="auto"/>
                <w:sz w:val="24"/>
                <w:szCs w:val="24"/>
                <w:highlight w:val="none"/>
              </w:rPr>
              <w:t>水量停留时间要求，</w:t>
            </w:r>
            <w:r>
              <w:rPr>
                <w:rFonts w:hint="default" w:ascii="Times New Roman" w:hAnsi="Times New Roman" w:eastAsia="宋体" w:cs="Times New Roman"/>
                <w:color w:val="auto"/>
                <w:sz w:val="24"/>
                <w:szCs w:val="24"/>
                <w:highlight w:val="none"/>
                <w:lang w:eastAsia="zh-CN"/>
              </w:rPr>
              <w:t>本</w:t>
            </w:r>
            <w:r>
              <w:rPr>
                <w:rFonts w:hint="eastAsia"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lang w:val="en-US" w:eastAsia="zh-CN"/>
              </w:rPr>
              <w:t>已设置的</w:t>
            </w:r>
            <w:r>
              <w:rPr>
                <w:rFonts w:hint="default" w:ascii="Times New Roman" w:hAnsi="Times New Roman" w:eastAsia="宋体" w:cs="Times New Roman"/>
                <w:color w:val="auto"/>
                <w:sz w:val="24"/>
                <w:szCs w:val="24"/>
                <w:highlight w:val="none"/>
              </w:rPr>
              <w:t>隔油池</w:t>
            </w:r>
            <w:r>
              <w:rPr>
                <w:rFonts w:hint="default" w:ascii="Times New Roman" w:hAnsi="Times New Roman" w:eastAsia="宋体" w:cs="Times New Roman"/>
                <w:color w:val="auto"/>
                <w:sz w:val="24"/>
                <w:szCs w:val="24"/>
                <w:highlight w:val="none"/>
                <w:lang w:eastAsia="zh-CN"/>
              </w:rPr>
              <w:t>容积为</w:t>
            </w:r>
            <w:r>
              <w:rPr>
                <w:rFonts w:hint="default" w:ascii="Times New Roman" w:hAnsi="Times New Roman" w:eastAsia="宋体" w:cs="Times New Roman"/>
                <w:color w:val="auto"/>
                <w:sz w:val="24"/>
                <w:szCs w:val="24"/>
                <w:highlight w:val="none"/>
                <w:lang w:val="en-US" w:eastAsia="zh-CN"/>
              </w:rPr>
              <w:t>0.5m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，隔油池容积能够满足</w:t>
            </w:r>
            <w:r>
              <w:rPr>
                <w:rFonts w:hint="default" w:ascii="Times New Roman" w:hAnsi="Times New Roman" w:eastAsia="宋体" w:cs="Times New Roman"/>
                <w:color w:val="auto"/>
                <w:sz w:val="24"/>
                <w:szCs w:val="24"/>
                <w:highlight w:val="none"/>
                <w:lang w:val="en-US" w:eastAsia="zh-CN"/>
              </w:rPr>
              <w:t>扩建项目建设完成后整个项目区</w:t>
            </w:r>
            <w:r>
              <w:rPr>
                <w:rFonts w:hint="default" w:ascii="Times New Roman" w:hAnsi="Times New Roman" w:eastAsia="宋体" w:cs="Times New Roman"/>
                <w:color w:val="auto"/>
                <w:sz w:val="24"/>
                <w:szCs w:val="24"/>
                <w:highlight w:val="none"/>
              </w:rPr>
              <w:t>含油污水的水量停留时间不小于0.5h的要求，能够确保隔油池的隔油效果</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82"/>
              <w:jc w:val="both"/>
              <w:textAlignment w:val="auto"/>
              <w:outlineLvl w:val="9"/>
              <w:rPr>
                <w:rFonts w:hint="default" w:ascii="Times New Roman" w:hAnsi="Times New Roman" w:eastAsia="宋体" w:cs="Times New Roman"/>
                <w:b w:val="0"/>
                <w:bCs w:val="0"/>
                <w:color w:val="auto"/>
                <w:sz w:val="24"/>
                <w:szCs w:val="24"/>
                <w:highlight w:val="none"/>
                <w:shd w:val="clear" w:color="auto" w:fill="auto"/>
                <w:lang w:val="zh-CN"/>
              </w:rPr>
            </w:pPr>
            <w:r>
              <w:rPr>
                <w:rFonts w:hint="default" w:ascii="Times New Roman" w:hAnsi="Times New Roman" w:eastAsia="宋体" w:cs="Times New Roman"/>
                <w:b w:val="0"/>
                <w:bCs w:val="0"/>
                <w:color w:val="auto"/>
                <w:sz w:val="24"/>
                <w:szCs w:val="24"/>
                <w:highlight w:val="none"/>
                <w:shd w:val="clear" w:color="auto" w:fill="auto"/>
                <w:lang w:val="zh-CN"/>
              </w:rPr>
              <w:t>②化粪池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根据工程分析可知，</w:t>
            </w:r>
            <w:r>
              <w:rPr>
                <w:rFonts w:hint="default" w:ascii="Times New Roman" w:hAnsi="Times New Roman" w:eastAsia="宋体" w:cs="Times New Roman"/>
                <w:color w:val="auto"/>
                <w:sz w:val="24"/>
                <w:szCs w:val="24"/>
                <w:highlight w:val="none"/>
                <w:lang w:val="en-US" w:eastAsia="zh-CN"/>
              </w:rPr>
              <w:t>本次扩建</w:t>
            </w:r>
            <w:r>
              <w:rPr>
                <w:rFonts w:hint="default" w:ascii="Times New Roman" w:hAnsi="Times New Roman" w:eastAsia="宋体" w:cs="Times New Roman"/>
                <w:color w:val="auto"/>
                <w:sz w:val="24"/>
                <w:szCs w:val="24"/>
                <w:highlight w:val="none"/>
              </w:rPr>
              <w:t>项目运营过程中</w:t>
            </w:r>
            <w:r>
              <w:rPr>
                <w:rFonts w:hint="default" w:ascii="Times New Roman" w:hAnsi="Times New Roman" w:eastAsia="宋体" w:cs="Times New Roman"/>
                <w:color w:val="auto"/>
                <w:sz w:val="24"/>
                <w:szCs w:val="24"/>
                <w:highlight w:val="none"/>
                <w:lang w:eastAsia="zh-CN"/>
              </w:rPr>
              <w:t>生活</w:t>
            </w:r>
            <w:r>
              <w:rPr>
                <w:rFonts w:hint="default" w:ascii="Times New Roman" w:hAnsi="Times New Roman" w:eastAsia="宋体" w:cs="Times New Roman"/>
                <w:color w:val="auto"/>
                <w:sz w:val="24"/>
                <w:szCs w:val="24"/>
                <w:highlight w:val="none"/>
              </w:rPr>
              <w:t>废水产生量为</w:t>
            </w:r>
            <w:r>
              <w:rPr>
                <w:rFonts w:hint="default" w:ascii="Times New Roman" w:hAnsi="Times New Roman" w:eastAsia="宋体"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pacing w:val="-5"/>
                <w:kern w:val="2"/>
                <w:sz w:val="24"/>
                <w:szCs w:val="24"/>
                <w:highlight w:val="none"/>
                <w:lang w:val="zh-CN" w:eastAsia="zh-CN" w:bidi="ar-SA"/>
              </w:rPr>
              <w:t>《</w:t>
            </w:r>
            <w:r>
              <w:rPr>
                <w:rFonts w:hint="default" w:ascii="Times New Roman" w:hAnsi="Times New Roman" w:eastAsia="宋体" w:cs="Times New Roman"/>
                <w:color w:val="auto"/>
                <w:spacing w:val="-5"/>
                <w:kern w:val="2"/>
                <w:sz w:val="24"/>
                <w:szCs w:val="24"/>
                <w:highlight w:val="none"/>
                <w:lang w:val="en-US" w:eastAsia="zh-CN" w:bidi="ar-SA"/>
              </w:rPr>
              <w:t>昆明茂源卫生用品、纸和纸板容器制造</w:t>
            </w:r>
            <w:r>
              <w:rPr>
                <w:rFonts w:hint="default" w:ascii="Times New Roman" w:hAnsi="Times New Roman" w:eastAsia="宋体" w:cs="Times New Roman"/>
                <w:b w:val="0"/>
                <w:bCs w:val="0"/>
                <w:color w:val="auto"/>
                <w:sz w:val="24"/>
                <w:szCs w:val="24"/>
                <w:highlight w:val="none"/>
              </w:rPr>
              <w:t>生产建设项目竣工环境保护验收监测报告表</w:t>
            </w:r>
            <w:r>
              <w:rPr>
                <w:rFonts w:hint="default" w:ascii="Times New Roman" w:hAnsi="Times New Roman" w:eastAsia="宋体" w:cs="Times New Roman"/>
                <w:b w:val="0"/>
                <w:bCs w:val="0"/>
                <w:color w:val="auto"/>
                <w:sz w:val="24"/>
                <w:szCs w:val="24"/>
                <w:highlight w:val="none"/>
                <w:lang w:val="zh-CN"/>
              </w:rPr>
              <w:t>》</w:t>
            </w:r>
            <w:r>
              <w:rPr>
                <w:rFonts w:hint="default" w:ascii="Times New Roman" w:hAnsi="Times New Roman" w:eastAsia="宋体" w:cs="Times New Roman"/>
                <w:b w:val="0"/>
                <w:bCs w:val="0"/>
                <w:color w:val="auto"/>
                <w:sz w:val="24"/>
                <w:szCs w:val="24"/>
                <w:highlight w:val="none"/>
                <w:lang w:val="en-US" w:eastAsia="zh-CN"/>
              </w:rPr>
              <w:t>可知</w:t>
            </w:r>
            <w:r>
              <w:rPr>
                <w:rFonts w:hint="default" w:ascii="Times New Roman" w:hAnsi="Times New Roman" w:eastAsia="宋体" w:cs="Times New Roman"/>
                <w:b w:val="0"/>
                <w:bCs w:val="0"/>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原项目</w:t>
            </w:r>
            <w:r>
              <w:rPr>
                <w:rFonts w:hint="default" w:ascii="Times New Roman" w:hAnsi="Times New Roman" w:eastAsia="宋体" w:cs="Times New Roman"/>
                <w:color w:val="auto"/>
                <w:sz w:val="24"/>
                <w:szCs w:val="24"/>
                <w:highlight w:val="none"/>
              </w:rPr>
              <w:t>运营过程中</w:t>
            </w:r>
            <w:r>
              <w:rPr>
                <w:rFonts w:hint="default" w:ascii="Times New Roman" w:hAnsi="Times New Roman" w:eastAsia="宋体" w:cs="Times New Roman"/>
                <w:color w:val="auto"/>
                <w:sz w:val="24"/>
                <w:szCs w:val="24"/>
                <w:highlight w:val="none"/>
                <w:lang w:eastAsia="zh-CN"/>
              </w:rPr>
              <w:t>生活</w:t>
            </w:r>
            <w:r>
              <w:rPr>
                <w:rFonts w:hint="default" w:ascii="Times New Roman" w:hAnsi="Times New Roman" w:eastAsia="宋体" w:cs="Times New Roman"/>
                <w:color w:val="auto"/>
                <w:sz w:val="24"/>
                <w:szCs w:val="24"/>
                <w:highlight w:val="none"/>
              </w:rPr>
              <w:t>废水产生量为</w:t>
            </w:r>
            <w:r>
              <w:rPr>
                <w:rFonts w:hint="default" w:ascii="Times New Roman" w:hAnsi="Times New Roman" w:eastAsia="宋体" w:cs="Times New Roman"/>
                <w:color w:val="auto"/>
                <w:sz w:val="24"/>
                <w:szCs w:val="24"/>
                <w:highlight w:val="none"/>
                <w:lang w:val="en-US" w:eastAsia="zh-CN"/>
              </w:rPr>
              <w:t>0.8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则本次扩建</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建成后整个项目区生活</w:t>
            </w:r>
            <w:r>
              <w:rPr>
                <w:rFonts w:hint="default" w:ascii="Times New Roman" w:hAnsi="Times New Roman" w:eastAsia="宋体" w:cs="Times New Roman"/>
                <w:color w:val="auto"/>
                <w:sz w:val="24"/>
                <w:szCs w:val="24"/>
                <w:highlight w:val="none"/>
              </w:rPr>
              <w:t>废水产生</w:t>
            </w:r>
            <w:r>
              <w:rPr>
                <w:rFonts w:hint="default" w:ascii="Times New Roman" w:hAnsi="Times New Roman" w:eastAsia="宋体" w:cs="Times New Roman"/>
                <w:color w:val="auto"/>
                <w:sz w:val="24"/>
                <w:szCs w:val="24"/>
                <w:highlight w:val="none"/>
                <w:lang w:val="en-US" w:eastAsia="zh-CN"/>
              </w:rPr>
              <w:t>总</w:t>
            </w:r>
            <w:r>
              <w:rPr>
                <w:rFonts w:hint="default" w:ascii="Times New Roman" w:hAnsi="Times New Roman" w:eastAsia="宋体" w:cs="Times New Roman"/>
                <w:color w:val="auto"/>
                <w:sz w:val="24"/>
                <w:szCs w:val="24"/>
                <w:highlight w:val="none"/>
              </w:rPr>
              <w:t>量为</w:t>
            </w:r>
            <w:r>
              <w:rPr>
                <w:rFonts w:hint="default"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pacing w:val="-4"/>
                <w:sz w:val="24"/>
                <w:szCs w:val="24"/>
                <w:highlight w:val="none"/>
              </w:rPr>
              <w:t>根据GB50015-2003《建筑给排水设计规范》（2009年版），</w:t>
            </w:r>
            <w:r>
              <w:rPr>
                <w:rFonts w:hint="default" w:ascii="Times New Roman" w:hAnsi="Times New Roman" w:eastAsia="宋体" w:cs="Times New Roman"/>
                <w:color w:val="auto"/>
                <w:sz w:val="24"/>
                <w:szCs w:val="24"/>
                <w:highlight w:val="none"/>
              </w:rPr>
              <w:t>化粪池总容积应满足废水停留时间12-24小时的要求，并做好防渗处理，化粪池宜建在便于机动车清掏的位置。</w:t>
            </w:r>
            <w:r>
              <w:rPr>
                <w:rFonts w:hint="default" w:ascii="Times New Roman" w:hAnsi="Times New Roman" w:eastAsia="宋体" w:cs="Times New Roman"/>
                <w:color w:val="auto"/>
                <w:sz w:val="24"/>
                <w:szCs w:val="24"/>
                <w:highlight w:val="none"/>
                <w:lang w:val="en-US" w:eastAsia="zh-CN"/>
              </w:rPr>
              <w:t>原</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已设置的</w:t>
            </w:r>
            <w:r>
              <w:rPr>
                <w:rFonts w:hint="default" w:ascii="Times New Roman" w:hAnsi="Times New Roman" w:eastAsia="宋体" w:cs="Times New Roman"/>
                <w:color w:val="auto"/>
                <w:sz w:val="24"/>
                <w:szCs w:val="24"/>
                <w:highlight w:val="none"/>
              </w:rPr>
              <w:t>化粪池容积为</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，用于预处理项目区所有生活污水。</w:t>
            </w:r>
            <w:r>
              <w:rPr>
                <w:rFonts w:hint="default" w:ascii="Times New Roman" w:hAnsi="Times New Roman" w:eastAsia="宋体" w:cs="Times New Roman"/>
                <w:color w:val="auto"/>
                <w:sz w:val="24"/>
                <w:szCs w:val="24"/>
                <w:highlight w:val="none"/>
                <w:lang w:val="en-US" w:eastAsia="zh-CN"/>
              </w:rPr>
              <w:t>原</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lang w:val="en-US" w:eastAsia="zh-CN"/>
              </w:rPr>
              <w:t>已设置的</w:t>
            </w:r>
            <w:r>
              <w:rPr>
                <w:rFonts w:hint="default" w:ascii="Times New Roman" w:hAnsi="Times New Roman" w:eastAsia="宋体" w:cs="Times New Roman"/>
                <w:color w:val="auto"/>
                <w:sz w:val="24"/>
                <w:szCs w:val="24"/>
                <w:highlight w:val="none"/>
                <w:lang w:eastAsia="zh-CN"/>
              </w:rPr>
              <w:t>化粪池容积</w:t>
            </w:r>
            <w:r>
              <w:rPr>
                <w:rFonts w:hint="default" w:ascii="Times New Roman" w:hAnsi="Times New Roman" w:eastAsia="宋体" w:cs="Times New Roman"/>
                <w:color w:val="auto"/>
                <w:sz w:val="24"/>
                <w:szCs w:val="24"/>
                <w:highlight w:val="none"/>
              </w:rPr>
              <w:t>能够保证污水停留</w:t>
            </w:r>
            <w:r>
              <w:rPr>
                <w:rFonts w:hint="default" w:ascii="Times New Roman" w:hAnsi="Times New Roman" w:eastAsia="宋体" w:cs="Times New Roman"/>
                <w:color w:val="auto"/>
                <w:sz w:val="24"/>
                <w:szCs w:val="24"/>
                <w:highlight w:val="none"/>
                <w:lang w:val="en-US" w:eastAsia="zh-CN"/>
              </w:rPr>
              <w:t>24小时以上，</w:t>
            </w:r>
            <w:r>
              <w:rPr>
                <w:rFonts w:hint="default" w:ascii="Times New Roman" w:hAnsi="Times New Roman" w:eastAsia="宋体" w:cs="Times New Roman"/>
                <w:color w:val="auto"/>
                <w:sz w:val="24"/>
                <w:szCs w:val="24"/>
                <w:highlight w:val="none"/>
              </w:rPr>
              <w:t>熟化效果较好</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项目生活污水经化粪池处理</w:t>
            </w:r>
            <w:r>
              <w:rPr>
                <w:rFonts w:hint="eastAsia" w:cs="Times New Roman"/>
                <w:color w:val="auto"/>
                <w:sz w:val="24"/>
                <w:szCs w:val="24"/>
                <w:highlight w:val="none"/>
                <w:lang w:eastAsia="zh-CN"/>
              </w:rPr>
              <w:t>后</w:t>
            </w:r>
            <w:r>
              <w:rPr>
                <w:rFonts w:hint="default" w:ascii="Times New Roman" w:hAnsi="Times New Roman" w:eastAsia="宋体" w:cs="Times New Roman"/>
                <w:color w:val="auto"/>
                <w:sz w:val="24"/>
                <w:szCs w:val="24"/>
                <w:highlight w:val="none"/>
              </w:rPr>
              <w:t>可大大降低后端</w:t>
            </w:r>
            <w:r>
              <w:rPr>
                <w:rFonts w:hint="default" w:ascii="Times New Roman" w:hAnsi="Times New Roman" w:eastAsia="宋体" w:cs="Times New Roman"/>
                <w:color w:val="auto"/>
                <w:sz w:val="24"/>
                <w:szCs w:val="24"/>
                <w:highlight w:val="none"/>
                <w:lang w:val="en-US" w:eastAsia="zh-CN"/>
              </w:rPr>
              <w:t>一体化</w:t>
            </w:r>
            <w:r>
              <w:rPr>
                <w:rFonts w:hint="default" w:ascii="Times New Roman" w:hAnsi="Times New Roman" w:eastAsia="宋体" w:cs="Times New Roman"/>
                <w:color w:val="auto"/>
                <w:sz w:val="24"/>
                <w:szCs w:val="24"/>
                <w:highlight w:val="none"/>
              </w:rPr>
              <w:t>污水处理</w:t>
            </w:r>
            <w:r>
              <w:rPr>
                <w:rFonts w:hint="default" w:ascii="Times New Roman" w:hAnsi="Times New Roman" w:eastAsia="宋体" w:cs="Times New Roman"/>
                <w:color w:val="auto"/>
                <w:sz w:val="24"/>
                <w:szCs w:val="24"/>
                <w:highlight w:val="none"/>
                <w:lang w:val="en-US" w:eastAsia="zh-CN"/>
              </w:rPr>
              <w:t>站</w:t>
            </w:r>
            <w:r>
              <w:rPr>
                <w:rFonts w:hint="default" w:ascii="Times New Roman" w:hAnsi="Times New Roman" w:eastAsia="宋体" w:cs="Times New Roman"/>
                <w:color w:val="auto"/>
                <w:sz w:val="24"/>
                <w:szCs w:val="24"/>
                <w:highlight w:val="none"/>
              </w:rPr>
              <w:t>的运行负荷。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因此，本项目</w:t>
            </w:r>
            <w:r>
              <w:rPr>
                <w:rFonts w:hint="default" w:ascii="Times New Roman" w:hAnsi="Times New Roman" w:eastAsia="宋体" w:cs="Times New Roman"/>
                <w:color w:val="auto"/>
                <w:sz w:val="24"/>
                <w:szCs w:val="24"/>
                <w:highlight w:val="none"/>
                <w:lang w:val="en-US" w:eastAsia="zh-CN"/>
              </w:rPr>
              <w:t>依托原项目已设置的</w:t>
            </w:r>
            <w:r>
              <w:rPr>
                <w:rFonts w:hint="default" w:ascii="Times New Roman" w:hAnsi="Times New Roman" w:eastAsia="宋体" w:cs="Times New Roman"/>
                <w:color w:val="auto"/>
                <w:sz w:val="24"/>
                <w:szCs w:val="24"/>
                <w:highlight w:val="none"/>
              </w:rPr>
              <w:t>化粪池</w:t>
            </w:r>
            <w:r>
              <w:rPr>
                <w:rFonts w:hint="default" w:ascii="Times New Roman" w:hAnsi="Times New Roman" w:eastAsia="宋体" w:cs="Times New Roman"/>
                <w:color w:val="auto"/>
                <w:sz w:val="24"/>
                <w:szCs w:val="24"/>
                <w:highlight w:val="none"/>
                <w:lang w:eastAsia="zh-CN"/>
              </w:rPr>
              <w:t>可行</w:t>
            </w:r>
            <w:r>
              <w:rPr>
                <w:rFonts w:hint="default" w:ascii="Times New Roman" w:hAnsi="Times New Roman" w:eastAsia="宋体" w:cs="Times New Roman"/>
                <w:color w:val="auto"/>
                <w:sz w:val="24"/>
                <w:szCs w:val="24"/>
                <w:highlight w:val="none"/>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lang w:eastAsia="zh-CN" w:bidi="ar"/>
              </w:rPr>
              <w:t>一体化</w:t>
            </w:r>
            <w:r>
              <w:rPr>
                <w:rFonts w:hint="default" w:ascii="Times New Roman" w:hAnsi="Times New Roman" w:eastAsia="宋体" w:cs="Times New Roman"/>
                <w:color w:val="auto"/>
                <w:sz w:val="24"/>
                <w:szCs w:val="24"/>
                <w:highlight w:val="none"/>
                <w:lang w:val="en-US" w:eastAsia="zh-CN"/>
              </w:rPr>
              <w:t>污水处理站</w:t>
            </w:r>
          </w:p>
          <w:p>
            <w:pPr>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根据调查，本项目所依托一体化污水处理站采用</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szCs w:val="24"/>
                <w:highlight w:val="none"/>
                <w:vertAlign w:val="baseline"/>
                <w:lang w:val="en-US" w:eastAsia="zh-CN"/>
              </w:rPr>
              <w:t>MBR膜生物反应</w:t>
            </w:r>
            <w:r>
              <w:rPr>
                <w:rFonts w:hint="default" w:ascii="Times New Roman" w:hAnsi="Times New Roman" w:eastAsia="宋体" w:cs="Times New Roman"/>
                <w:color w:val="auto"/>
                <w:sz w:val="24"/>
                <w:szCs w:val="24"/>
                <w:highlight w:val="none"/>
              </w:rPr>
              <w:t>”工艺处理项目运营过程中产生的废水。</w:t>
            </w:r>
            <w:r>
              <w:rPr>
                <w:rFonts w:hint="default" w:ascii="Times New Roman" w:hAnsi="Times New Roman" w:eastAsia="宋体" w:cs="Times New Roman"/>
                <w:bCs/>
                <w:color w:val="auto"/>
                <w:sz w:val="24"/>
                <w:szCs w:val="24"/>
                <w:highlight w:val="none"/>
                <w:vertAlign w:val="baseline"/>
                <w:lang w:val="en-US" w:eastAsia="zh-CN"/>
              </w:rPr>
              <w:t>MBR</w:t>
            </w:r>
            <w:r>
              <w:rPr>
                <w:rFonts w:hint="default" w:ascii="Times New Roman" w:hAnsi="Times New Roman" w:eastAsia="宋体" w:cs="Times New Roman"/>
                <w:color w:val="auto"/>
                <w:sz w:val="24"/>
                <w:szCs w:val="24"/>
                <w:highlight w:val="none"/>
              </w:rPr>
              <w:t>指把生物反应与膜分离相结合，以膜为分离介质替代常规重力沉淀固液分离获得出水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并能改变反应进程和提高反应效率的污水处理方法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Cs/>
                <w:color w:val="auto"/>
                <w:sz w:val="24"/>
                <w:szCs w:val="24"/>
                <w:highlight w:val="none"/>
                <w:vertAlign w:val="baseline"/>
                <w:lang w:val="en-US" w:eastAsia="zh-CN"/>
              </w:rPr>
              <w:t>MBR</w:t>
            </w:r>
            <w:r>
              <w:rPr>
                <w:rFonts w:hint="default" w:ascii="Times New Roman" w:hAnsi="Times New Roman" w:eastAsia="宋体" w:cs="Times New Roman"/>
                <w:color w:val="auto"/>
                <w:sz w:val="24"/>
                <w:szCs w:val="24"/>
                <w:highlight w:val="none"/>
              </w:rPr>
              <w:t>一体化污水处理</w:t>
            </w:r>
            <w:r>
              <w:rPr>
                <w:rFonts w:hint="default" w:ascii="Times New Roman" w:hAnsi="Times New Roman" w:eastAsia="宋体" w:cs="Times New Roman"/>
                <w:color w:val="auto"/>
                <w:sz w:val="24"/>
                <w:szCs w:val="24"/>
                <w:highlight w:val="none"/>
                <w:lang w:val="en-US" w:eastAsia="zh-CN"/>
              </w:rPr>
              <w:t>站</w:t>
            </w:r>
            <w:r>
              <w:rPr>
                <w:rFonts w:hint="default" w:ascii="Times New Roman" w:hAnsi="Times New Roman" w:eastAsia="宋体" w:cs="Times New Roman"/>
                <w:color w:val="auto"/>
                <w:sz w:val="24"/>
                <w:szCs w:val="24"/>
                <w:highlight w:val="none"/>
              </w:rPr>
              <w:t>运行操作简单，运行成本低，能高效去除污水中的有机污染物。根据</w:t>
            </w:r>
            <w:r>
              <w:rPr>
                <w:rFonts w:hint="default" w:ascii="Times New Roman" w:hAnsi="Times New Roman" w:eastAsia="宋体" w:cs="Times New Roman"/>
                <w:color w:val="auto"/>
                <w:sz w:val="24"/>
                <w:szCs w:val="24"/>
                <w:highlight w:val="none"/>
                <w:lang w:val="en-US" w:eastAsia="zh-CN"/>
              </w:rPr>
              <w:t>水平衡</w:t>
            </w:r>
            <w:r>
              <w:rPr>
                <w:rFonts w:hint="default" w:ascii="Times New Roman" w:hAnsi="Times New Roman" w:eastAsia="宋体" w:cs="Times New Roman"/>
                <w:color w:val="auto"/>
                <w:sz w:val="24"/>
                <w:szCs w:val="24"/>
                <w:highlight w:val="none"/>
              </w:rPr>
              <w:t>可知，</w:t>
            </w:r>
            <w:r>
              <w:rPr>
                <w:rFonts w:hint="default" w:ascii="Times New Roman" w:hAnsi="Times New Roman" w:eastAsia="宋体" w:cs="Times New Roman"/>
                <w:color w:val="auto"/>
                <w:sz w:val="24"/>
                <w:szCs w:val="24"/>
                <w:highlight w:val="none"/>
                <w:lang w:val="en-US" w:eastAsia="zh-CN"/>
              </w:rPr>
              <w:t>本次扩建</w:t>
            </w:r>
            <w:r>
              <w:rPr>
                <w:rFonts w:hint="default" w:ascii="Times New Roman" w:hAnsi="Times New Roman" w:eastAsia="宋体" w:cs="Times New Roman"/>
                <w:color w:val="auto"/>
                <w:sz w:val="24"/>
                <w:szCs w:val="24"/>
                <w:highlight w:val="none"/>
              </w:rPr>
              <w:t>项目运营过程中</w:t>
            </w:r>
            <w:r>
              <w:rPr>
                <w:rFonts w:hint="default" w:ascii="Times New Roman" w:hAnsi="Times New Roman" w:eastAsia="宋体" w:cs="Times New Roman"/>
                <w:color w:val="auto"/>
                <w:sz w:val="24"/>
                <w:szCs w:val="24"/>
                <w:highlight w:val="none"/>
                <w:lang w:eastAsia="zh-CN"/>
              </w:rPr>
              <w:t>生活</w:t>
            </w:r>
            <w:r>
              <w:rPr>
                <w:rFonts w:hint="default" w:ascii="Times New Roman" w:hAnsi="Times New Roman" w:eastAsia="宋体" w:cs="Times New Roman"/>
                <w:color w:val="auto"/>
                <w:sz w:val="24"/>
                <w:szCs w:val="24"/>
                <w:highlight w:val="none"/>
              </w:rPr>
              <w:t>废水产生量为</w:t>
            </w:r>
            <w:r>
              <w:rPr>
                <w:rFonts w:hint="default" w:ascii="Times New Roman" w:hAnsi="Times New Roman" w:eastAsia="宋体"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480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pacing w:val="-5"/>
                <w:kern w:val="2"/>
                <w:sz w:val="24"/>
                <w:szCs w:val="24"/>
                <w:highlight w:val="none"/>
                <w:lang w:val="zh-CN" w:eastAsia="zh-CN" w:bidi="ar-SA"/>
              </w:rPr>
              <w:t>《</w:t>
            </w:r>
            <w:r>
              <w:rPr>
                <w:rFonts w:hint="default" w:ascii="Times New Roman" w:hAnsi="Times New Roman" w:eastAsia="宋体" w:cs="Times New Roman"/>
                <w:color w:val="auto"/>
                <w:spacing w:val="-5"/>
                <w:kern w:val="2"/>
                <w:sz w:val="24"/>
                <w:szCs w:val="24"/>
                <w:highlight w:val="none"/>
                <w:lang w:val="en-US" w:eastAsia="zh-CN" w:bidi="ar-SA"/>
              </w:rPr>
              <w:t>昆明茂源卫生用品、纸和纸板容器制造</w:t>
            </w:r>
            <w:r>
              <w:rPr>
                <w:rFonts w:hint="default" w:ascii="Times New Roman" w:hAnsi="Times New Roman" w:eastAsia="宋体" w:cs="Times New Roman"/>
                <w:b w:val="0"/>
                <w:bCs w:val="0"/>
                <w:color w:val="auto"/>
                <w:sz w:val="24"/>
                <w:szCs w:val="24"/>
                <w:highlight w:val="none"/>
              </w:rPr>
              <w:t>生产建设项目竣工环境保护验收监测报告表</w:t>
            </w:r>
            <w:r>
              <w:rPr>
                <w:rFonts w:hint="default" w:ascii="Times New Roman" w:hAnsi="Times New Roman" w:eastAsia="宋体" w:cs="Times New Roman"/>
                <w:b w:val="0"/>
                <w:bCs w:val="0"/>
                <w:color w:val="auto"/>
                <w:sz w:val="24"/>
                <w:szCs w:val="24"/>
                <w:highlight w:val="none"/>
                <w:lang w:val="zh-CN"/>
              </w:rPr>
              <w:t>》</w:t>
            </w:r>
            <w:r>
              <w:rPr>
                <w:rFonts w:hint="default" w:ascii="Times New Roman" w:hAnsi="Times New Roman" w:eastAsia="宋体" w:cs="Times New Roman"/>
                <w:b w:val="0"/>
                <w:bCs w:val="0"/>
                <w:color w:val="auto"/>
                <w:sz w:val="24"/>
                <w:szCs w:val="24"/>
                <w:highlight w:val="none"/>
                <w:lang w:val="en-US" w:eastAsia="zh-CN"/>
              </w:rPr>
              <w:t>可知</w:t>
            </w:r>
            <w:r>
              <w:rPr>
                <w:rFonts w:hint="default" w:ascii="Times New Roman" w:hAnsi="Times New Roman" w:eastAsia="宋体" w:cs="Times New Roman"/>
                <w:b w:val="0"/>
                <w:bCs w:val="0"/>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原项目</w:t>
            </w:r>
            <w:r>
              <w:rPr>
                <w:rFonts w:hint="default" w:ascii="Times New Roman" w:hAnsi="Times New Roman" w:eastAsia="宋体" w:cs="Times New Roman"/>
                <w:color w:val="auto"/>
                <w:sz w:val="24"/>
                <w:szCs w:val="24"/>
                <w:highlight w:val="none"/>
              </w:rPr>
              <w:t>运营过程中</w:t>
            </w:r>
            <w:r>
              <w:rPr>
                <w:rFonts w:hint="default" w:ascii="Times New Roman" w:hAnsi="Times New Roman" w:eastAsia="宋体" w:cs="Times New Roman"/>
                <w:color w:val="auto"/>
                <w:sz w:val="24"/>
                <w:szCs w:val="24"/>
                <w:highlight w:val="none"/>
                <w:lang w:eastAsia="zh-CN"/>
              </w:rPr>
              <w:t>生活</w:t>
            </w:r>
            <w:r>
              <w:rPr>
                <w:rFonts w:hint="default" w:ascii="Times New Roman" w:hAnsi="Times New Roman" w:eastAsia="宋体" w:cs="Times New Roman"/>
                <w:color w:val="auto"/>
                <w:sz w:val="24"/>
                <w:szCs w:val="24"/>
                <w:highlight w:val="none"/>
              </w:rPr>
              <w:t>废水产生量为</w:t>
            </w:r>
            <w:r>
              <w:rPr>
                <w:rFonts w:hint="default" w:ascii="Times New Roman" w:hAnsi="Times New Roman" w:eastAsia="宋体" w:cs="Times New Roman"/>
                <w:color w:val="auto"/>
                <w:sz w:val="24"/>
                <w:szCs w:val="24"/>
                <w:highlight w:val="none"/>
                <w:lang w:val="en-US" w:eastAsia="zh-CN"/>
              </w:rPr>
              <w:t>0.8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240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则本次扩建</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建成后整个项目区生活</w:t>
            </w:r>
            <w:r>
              <w:rPr>
                <w:rFonts w:hint="default" w:ascii="Times New Roman" w:hAnsi="Times New Roman" w:eastAsia="宋体" w:cs="Times New Roman"/>
                <w:color w:val="auto"/>
                <w:sz w:val="24"/>
                <w:szCs w:val="24"/>
                <w:highlight w:val="none"/>
              </w:rPr>
              <w:t>废水产生</w:t>
            </w:r>
            <w:r>
              <w:rPr>
                <w:rFonts w:hint="default" w:ascii="Times New Roman" w:hAnsi="Times New Roman" w:eastAsia="宋体" w:cs="Times New Roman"/>
                <w:color w:val="auto"/>
                <w:sz w:val="24"/>
                <w:szCs w:val="24"/>
                <w:highlight w:val="none"/>
                <w:lang w:val="en-US" w:eastAsia="zh-CN"/>
              </w:rPr>
              <w:t>总</w:t>
            </w:r>
            <w:r>
              <w:rPr>
                <w:rFonts w:hint="default" w:ascii="Times New Roman" w:hAnsi="Times New Roman" w:eastAsia="宋体" w:cs="Times New Roman"/>
                <w:color w:val="auto"/>
                <w:sz w:val="24"/>
                <w:szCs w:val="24"/>
                <w:highlight w:val="none"/>
              </w:rPr>
              <w:t>量为</w:t>
            </w:r>
            <w:r>
              <w:rPr>
                <w:rFonts w:hint="default"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720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项目所依托</w:t>
            </w:r>
            <w:r>
              <w:rPr>
                <w:rFonts w:hint="default" w:ascii="Times New Roman" w:hAnsi="Times New Roman" w:eastAsia="宋体" w:cs="Times New Roman"/>
                <w:color w:val="auto"/>
                <w:sz w:val="24"/>
                <w:szCs w:val="24"/>
                <w:highlight w:val="none"/>
              </w:rPr>
              <w:t>一体化污水处理设</w:t>
            </w:r>
            <w:r>
              <w:rPr>
                <w:rFonts w:hint="default" w:ascii="Times New Roman" w:hAnsi="Times New Roman" w:eastAsia="宋体" w:cs="Times New Roman"/>
                <w:color w:val="auto"/>
                <w:sz w:val="24"/>
                <w:szCs w:val="24"/>
                <w:highlight w:val="none"/>
                <w:lang w:eastAsia="zh-CN"/>
              </w:rPr>
              <w:t>备</w:t>
            </w:r>
            <w:r>
              <w:rPr>
                <w:rFonts w:hint="default" w:ascii="Times New Roman" w:hAnsi="Times New Roman" w:eastAsia="宋体" w:cs="Times New Roman"/>
                <w:color w:val="auto"/>
                <w:sz w:val="24"/>
                <w:szCs w:val="24"/>
                <w:highlight w:val="none"/>
              </w:rPr>
              <w:t>处理规模</w:t>
            </w:r>
            <w:r>
              <w:rPr>
                <w:rFonts w:hint="default" w:ascii="Times New Roman" w:hAnsi="Times New Roman" w:eastAsia="宋体" w:cs="Times New Roman"/>
                <w:color w:val="auto"/>
                <w:sz w:val="24"/>
                <w:szCs w:val="24"/>
                <w:highlight w:val="none"/>
                <w:lang w:eastAsia="zh-CN"/>
              </w:rPr>
              <w:t>为</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，可容纳项目产生废水，</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项目区绿化</w:t>
            </w:r>
            <w:r>
              <w:rPr>
                <w:rFonts w:hint="default" w:ascii="Times New Roman" w:hAnsi="Times New Roman" w:eastAsia="宋体" w:cs="Times New Roman"/>
                <w:color w:val="auto"/>
                <w:sz w:val="24"/>
                <w:szCs w:val="24"/>
                <w:highlight w:val="none"/>
                <w:lang w:eastAsia="zh-CN"/>
              </w:rPr>
              <w:t>及道路场地洒水</w:t>
            </w:r>
            <w:r>
              <w:rPr>
                <w:rFonts w:hint="default" w:ascii="Times New Roman" w:hAnsi="Times New Roman" w:eastAsia="宋体" w:cs="Times New Roman"/>
                <w:color w:val="auto"/>
                <w:sz w:val="24"/>
                <w:szCs w:val="24"/>
                <w:highlight w:val="none"/>
              </w:rPr>
              <w:t>用水为</w:t>
            </w:r>
            <w:r>
              <w:rPr>
                <w:rFonts w:hint="default" w:ascii="Times New Roman" w:hAnsi="Times New Roman" w:eastAsia="宋体" w:cs="Times New Roman"/>
                <w:color w:val="auto"/>
                <w:sz w:val="24"/>
                <w:szCs w:val="24"/>
                <w:highlight w:val="none"/>
                <w:lang w:val="en-US" w:eastAsia="zh-CN"/>
              </w:rPr>
              <w:t>3.84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802.56</w:t>
            </w:r>
            <w:r>
              <w:rPr>
                <w:rFonts w:hint="default" w:ascii="Times New Roman" w:hAnsi="Times New Roman" w:eastAsia="宋体" w:cs="Times New Roman"/>
                <w:color w:val="auto"/>
                <w:sz w:val="24"/>
                <w:szCs w:val="24"/>
                <w:highlight w:val="none"/>
                <w:lang w:val="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rPr>
              <w:t>/a</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非雨天按209d计</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color w:val="auto"/>
                <w:sz w:val="24"/>
                <w:szCs w:val="24"/>
                <w:highlight w:val="none"/>
              </w:rPr>
              <w:t>，大于项目运营期间废水的产生量。</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项目运营期产生的生活污水经</w:t>
            </w:r>
            <w:r>
              <w:rPr>
                <w:rFonts w:hint="default" w:ascii="Times New Roman" w:hAnsi="Times New Roman" w:eastAsia="宋体" w:cs="Times New Roman"/>
                <w:color w:val="auto"/>
                <w:sz w:val="24"/>
                <w:szCs w:val="24"/>
                <w:highlight w:val="none"/>
                <w:lang w:val="en-US" w:eastAsia="zh-CN"/>
              </w:rPr>
              <w:t>原项目已建</w:t>
            </w:r>
            <w:r>
              <w:rPr>
                <w:rFonts w:hint="default" w:ascii="Times New Roman" w:hAnsi="Times New Roman" w:eastAsia="宋体" w:cs="Times New Roman"/>
                <w:color w:val="auto"/>
                <w:sz w:val="24"/>
                <w:szCs w:val="24"/>
                <w:highlight w:val="none"/>
              </w:rPr>
              <w:t>化粪</w:t>
            </w:r>
            <w:r>
              <w:rPr>
                <w:rFonts w:hint="default"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rPr>
              <w:t>一体化污水处理设施处理达回用标准后回用于</w:t>
            </w:r>
            <w:r>
              <w:rPr>
                <w:rFonts w:hint="default" w:ascii="Times New Roman" w:hAnsi="Times New Roman" w:eastAsia="宋体" w:cs="Times New Roman"/>
                <w:color w:val="auto"/>
                <w:sz w:val="24"/>
                <w:szCs w:val="24"/>
                <w:highlight w:val="none"/>
                <w:lang w:val="en-US" w:eastAsia="zh-CN"/>
              </w:rPr>
              <w:t>项目区内</w:t>
            </w:r>
            <w:r>
              <w:rPr>
                <w:rFonts w:hint="default" w:ascii="Times New Roman" w:hAnsi="Times New Roman" w:eastAsia="宋体" w:cs="Times New Roman"/>
                <w:color w:val="auto"/>
                <w:sz w:val="24"/>
                <w:szCs w:val="24"/>
                <w:highlight w:val="none"/>
              </w:rPr>
              <w:t>绿化及道路</w:t>
            </w:r>
            <w:r>
              <w:rPr>
                <w:rFonts w:hint="default" w:ascii="Times New Roman" w:hAnsi="Times New Roman" w:eastAsia="宋体" w:cs="Times New Roman"/>
                <w:color w:val="auto"/>
                <w:sz w:val="24"/>
                <w:szCs w:val="24"/>
                <w:highlight w:val="none"/>
                <w:lang w:eastAsia="zh-CN"/>
              </w:rPr>
              <w:t>场地洒水</w:t>
            </w:r>
            <w:r>
              <w:rPr>
                <w:rFonts w:hint="default" w:ascii="Times New Roman" w:hAnsi="Times New Roman" w:eastAsia="宋体" w:cs="Times New Roman"/>
                <w:color w:val="auto"/>
                <w:sz w:val="24"/>
                <w:szCs w:val="24"/>
                <w:highlight w:val="none"/>
              </w:rPr>
              <w:t>，不外排。</w:t>
            </w:r>
            <w:r>
              <w:rPr>
                <w:rFonts w:hint="default" w:ascii="Times New Roman" w:hAnsi="Times New Roman" w:eastAsia="宋体" w:cs="Times New Roman"/>
                <w:color w:val="auto"/>
                <w:sz w:val="24"/>
                <w:szCs w:val="24"/>
                <w:highlight w:val="none"/>
                <w:lang w:eastAsia="zh-CN"/>
              </w:rPr>
              <w:t>本</w:t>
            </w:r>
            <w:r>
              <w:rPr>
                <w:rFonts w:hint="default" w:ascii="Times New Roman" w:hAnsi="Times New Roman" w:eastAsia="宋体" w:cs="Times New Roman"/>
                <w:color w:val="auto"/>
                <w:sz w:val="24"/>
                <w:szCs w:val="24"/>
                <w:highlight w:val="none"/>
                <w:lang w:val="en-US" w:eastAsia="zh-CN"/>
              </w:rPr>
              <w:t>次扩建</w:t>
            </w:r>
            <w:r>
              <w:rPr>
                <w:rFonts w:hint="default" w:ascii="Times New Roman" w:hAnsi="Times New Roman" w:eastAsia="宋体" w:cs="Times New Roman"/>
                <w:color w:val="auto"/>
                <w:sz w:val="24"/>
                <w:szCs w:val="24"/>
                <w:highlight w:val="none"/>
                <w:lang w:eastAsia="zh-CN"/>
              </w:rPr>
              <w:t>项目产生废水水质与</w:t>
            </w:r>
            <w:r>
              <w:rPr>
                <w:rFonts w:hint="default" w:ascii="Times New Roman" w:hAnsi="Times New Roman" w:eastAsia="宋体" w:cs="Times New Roman"/>
                <w:color w:val="auto"/>
                <w:sz w:val="24"/>
                <w:szCs w:val="24"/>
                <w:highlight w:val="none"/>
                <w:lang w:val="en-US" w:eastAsia="zh-CN"/>
              </w:rPr>
              <w:t>原</w:t>
            </w:r>
            <w:r>
              <w:rPr>
                <w:rFonts w:hint="default" w:ascii="Times New Roman" w:hAnsi="Times New Roman" w:eastAsia="宋体" w:cs="Times New Roman"/>
                <w:color w:val="auto"/>
                <w:sz w:val="24"/>
                <w:szCs w:val="24"/>
                <w:highlight w:val="none"/>
                <w:lang w:eastAsia="zh-CN"/>
              </w:rPr>
              <w:t>项目水质相似，不会影响其浓度及处理效率，同时根据</w:t>
            </w:r>
            <w:r>
              <w:rPr>
                <w:rFonts w:hint="default" w:ascii="Times New Roman" w:hAnsi="Times New Roman" w:eastAsia="宋体" w:cs="Times New Roman"/>
                <w:color w:val="auto"/>
                <w:spacing w:val="-5"/>
                <w:kern w:val="2"/>
                <w:sz w:val="24"/>
                <w:szCs w:val="24"/>
                <w:highlight w:val="none"/>
                <w:lang w:val="zh-CN" w:eastAsia="zh-CN" w:bidi="ar-SA"/>
              </w:rPr>
              <w:t>《</w:t>
            </w:r>
            <w:r>
              <w:rPr>
                <w:rFonts w:hint="default" w:ascii="Times New Roman" w:hAnsi="Times New Roman" w:eastAsia="宋体" w:cs="Times New Roman"/>
                <w:color w:val="auto"/>
                <w:spacing w:val="-5"/>
                <w:kern w:val="2"/>
                <w:sz w:val="24"/>
                <w:szCs w:val="24"/>
                <w:highlight w:val="none"/>
                <w:lang w:val="en-US" w:eastAsia="zh-CN" w:bidi="ar-SA"/>
              </w:rPr>
              <w:t>昆明茂源卫生用品、纸和纸板容器制造</w:t>
            </w:r>
            <w:r>
              <w:rPr>
                <w:rFonts w:hint="default" w:ascii="Times New Roman" w:hAnsi="Times New Roman" w:eastAsia="宋体" w:cs="Times New Roman"/>
                <w:b w:val="0"/>
                <w:bCs w:val="0"/>
                <w:color w:val="auto"/>
                <w:sz w:val="24"/>
                <w:szCs w:val="24"/>
                <w:highlight w:val="none"/>
              </w:rPr>
              <w:t>生产建设项目竣工环境保护验收监测报告表</w:t>
            </w:r>
            <w:r>
              <w:rPr>
                <w:rFonts w:hint="default" w:ascii="Times New Roman" w:hAnsi="Times New Roman" w:eastAsia="宋体" w:cs="Times New Roman"/>
                <w:b w:val="0"/>
                <w:bCs w:val="0"/>
                <w:color w:val="auto"/>
                <w:sz w:val="24"/>
                <w:szCs w:val="24"/>
                <w:highlight w:val="none"/>
                <w:lang w:val="zh-CN"/>
              </w:rPr>
              <w:t>》</w:t>
            </w:r>
            <w:r>
              <w:rPr>
                <w:rFonts w:hint="default" w:ascii="Times New Roman" w:hAnsi="Times New Roman" w:eastAsia="宋体" w:cs="Times New Roman"/>
                <w:color w:val="auto"/>
                <w:sz w:val="24"/>
                <w:szCs w:val="24"/>
                <w:highlight w:val="none"/>
                <w:lang w:eastAsia="zh-CN"/>
              </w:rPr>
              <w:t>中验收监测报告显示水质达标，因此，本项目依托</w:t>
            </w:r>
            <w:r>
              <w:rPr>
                <w:rFonts w:hint="default" w:ascii="Times New Roman" w:hAnsi="Times New Roman" w:eastAsia="宋体" w:cs="Times New Roman"/>
                <w:color w:val="auto"/>
                <w:sz w:val="24"/>
                <w:szCs w:val="24"/>
                <w:highlight w:val="none"/>
                <w:lang w:val="en-US" w:eastAsia="zh-CN"/>
              </w:rPr>
              <w:t>原项目已建的</w:t>
            </w:r>
            <w:r>
              <w:rPr>
                <w:rFonts w:hint="default" w:ascii="Times New Roman" w:hAnsi="Times New Roman" w:eastAsia="宋体" w:cs="Times New Roman"/>
                <w:color w:val="auto"/>
                <w:sz w:val="24"/>
                <w:szCs w:val="24"/>
                <w:highlight w:val="none"/>
                <w:lang w:eastAsia="zh-CN"/>
              </w:rPr>
              <w:t>一体化污水处理站可行。</w:t>
            </w:r>
          </w:p>
          <w:p>
            <w:pPr>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Cs/>
                <w:color w:val="auto"/>
                <w:highlight w:val="none"/>
                <w:lang w:bidi="ar"/>
              </w:rPr>
            </w:pPr>
            <w:r>
              <w:rPr>
                <w:rFonts w:hint="default" w:ascii="Times New Roman" w:hAnsi="Times New Roman" w:eastAsia="宋体" w:cs="Times New Roman"/>
                <w:bCs/>
                <w:color w:val="auto"/>
                <w:sz w:val="24"/>
                <w:szCs w:val="24"/>
                <w:highlight w:val="none"/>
                <w:lang w:bidi="ar"/>
              </w:rPr>
              <w:t>根据</w:t>
            </w:r>
            <w:r>
              <w:rPr>
                <w:rFonts w:hint="default" w:ascii="Times New Roman" w:hAnsi="Times New Roman" w:eastAsia="宋体" w:cs="Times New Roman"/>
                <w:color w:val="auto"/>
                <w:spacing w:val="-5"/>
                <w:kern w:val="2"/>
                <w:sz w:val="24"/>
                <w:szCs w:val="24"/>
                <w:highlight w:val="none"/>
                <w:lang w:val="zh-CN" w:eastAsia="zh-CN" w:bidi="ar-SA"/>
              </w:rPr>
              <w:t>《</w:t>
            </w:r>
            <w:r>
              <w:rPr>
                <w:rFonts w:hint="default" w:ascii="Times New Roman" w:hAnsi="Times New Roman" w:eastAsia="宋体" w:cs="Times New Roman"/>
                <w:color w:val="auto"/>
                <w:spacing w:val="-5"/>
                <w:kern w:val="2"/>
                <w:sz w:val="24"/>
                <w:szCs w:val="24"/>
                <w:highlight w:val="none"/>
                <w:lang w:val="en-US" w:eastAsia="zh-CN" w:bidi="ar-SA"/>
              </w:rPr>
              <w:t>昆明茂源卫生用品、纸和纸板容器制造</w:t>
            </w:r>
            <w:r>
              <w:rPr>
                <w:rFonts w:hint="default" w:ascii="Times New Roman" w:hAnsi="Times New Roman" w:eastAsia="宋体" w:cs="Times New Roman"/>
                <w:b w:val="0"/>
                <w:bCs w:val="0"/>
                <w:color w:val="auto"/>
                <w:sz w:val="24"/>
                <w:szCs w:val="24"/>
                <w:highlight w:val="none"/>
              </w:rPr>
              <w:t>生产建设项目竣工环境保护验收监测报告表</w:t>
            </w:r>
            <w:r>
              <w:rPr>
                <w:rFonts w:hint="default" w:ascii="Times New Roman" w:hAnsi="Times New Roman" w:eastAsia="宋体" w:cs="Times New Roman"/>
                <w:b w:val="0"/>
                <w:bCs w:val="0"/>
                <w:color w:val="auto"/>
                <w:sz w:val="24"/>
                <w:szCs w:val="24"/>
                <w:highlight w:val="none"/>
                <w:lang w:val="zh-CN"/>
              </w:rPr>
              <w:t>》</w:t>
            </w:r>
            <w:r>
              <w:rPr>
                <w:rFonts w:hint="default" w:ascii="Times New Roman" w:hAnsi="Times New Roman" w:eastAsia="宋体" w:cs="Times New Roman"/>
                <w:color w:val="auto"/>
                <w:sz w:val="24"/>
                <w:szCs w:val="24"/>
                <w:highlight w:val="none"/>
                <w:lang w:eastAsia="zh-CN"/>
              </w:rPr>
              <w:t>中验收监测报告</w:t>
            </w:r>
            <w:r>
              <w:rPr>
                <w:rFonts w:hint="default" w:ascii="Times New Roman" w:hAnsi="Times New Roman" w:eastAsia="宋体" w:cs="Times New Roman"/>
                <w:bCs/>
                <w:color w:val="auto"/>
                <w:sz w:val="24"/>
                <w:szCs w:val="24"/>
                <w:highlight w:val="none"/>
                <w:lang w:bidi="ar"/>
              </w:rPr>
              <w:t>，本项目</w:t>
            </w:r>
            <w:r>
              <w:rPr>
                <w:rFonts w:hint="default" w:ascii="Times New Roman" w:hAnsi="Times New Roman" w:eastAsia="宋体" w:cs="Times New Roman"/>
                <w:bCs/>
                <w:color w:val="auto"/>
                <w:sz w:val="24"/>
                <w:szCs w:val="24"/>
                <w:highlight w:val="none"/>
                <w:lang w:eastAsia="zh-CN" w:bidi="ar"/>
              </w:rPr>
              <w:t>依托</w:t>
            </w:r>
            <w:r>
              <w:rPr>
                <w:rFonts w:hint="default" w:ascii="Times New Roman" w:hAnsi="Times New Roman" w:eastAsia="宋体" w:cs="Times New Roman"/>
                <w:bCs/>
                <w:color w:val="auto"/>
                <w:sz w:val="24"/>
                <w:szCs w:val="24"/>
                <w:highlight w:val="none"/>
                <w:lang w:val="en-US" w:eastAsia="zh-CN" w:bidi="ar"/>
              </w:rPr>
              <w:t>原项目已建的</w:t>
            </w:r>
            <w:r>
              <w:rPr>
                <w:rFonts w:hint="default" w:ascii="Times New Roman" w:hAnsi="Times New Roman" w:eastAsia="宋体" w:cs="Times New Roman"/>
                <w:bCs/>
                <w:color w:val="auto"/>
                <w:sz w:val="24"/>
                <w:szCs w:val="24"/>
                <w:highlight w:val="none"/>
                <w:lang w:bidi="ar"/>
              </w:rPr>
              <w:t>污水处理站</w:t>
            </w:r>
            <w:r>
              <w:rPr>
                <w:rFonts w:hint="default" w:ascii="Times New Roman" w:hAnsi="Times New Roman" w:eastAsia="宋体" w:cs="Times New Roman"/>
                <w:bCs/>
                <w:color w:val="auto"/>
                <w:sz w:val="24"/>
                <w:szCs w:val="24"/>
                <w:highlight w:val="none"/>
                <w:lang w:val="en-US" w:eastAsia="zh-CN" w:bidi="ar"/>
              </w:rPr>
              <w:t>进</w:t>
            </w:r>
            <w:r>
              <w:rPr>
                <w:rFonts w:hint="default" w:ascii="Times New Roman" w:hAnsi="Times New Roman" w:eastAsia="宋体" w:cs="Times New Roman"/>
                <w:bCs/>
                <w:color w:val="auto"/>
                <w:sz w:val="24"/>
                <w:szCs w:val="24"/>
                <w:highlight w:val="none"/>
                <w:lang w:bidi="ar"/>
              </w:rPr>
              <w:t>出水指</w:t>
            </w:r>
            <w:r>
              <w:rPr>
                <w:rFonts w:hint="eastAsia" w:cs="Times New Roman"/>
                <w:bCs/>
                <w:color w:val="auto"/>
                <w:sz w:val="24"/>
                <w:szCs w:val="24"/>
                <w:highlight w:val="none"/>
                <w:lang w:eastAsia="zh-CN" w:bidi="ar"/>
              </w:rPr>
              <w:t>标情</w:t>
            </w:r>
            <w:r>
              <w:rPr>
                <w:rFonts w:hint="default" w:ascii="Times New Roman" w:hAnsi="Times New Roman" w:eastAsia="宋体" w:cs="Times New Roman"/>
                <w:bCs/>
                <w:color w:val="auto"/>
                <w:sz w:val="24"/>
                <w:szCs w:val="24"/>
                <w:highlight w:val="none"/>
                <w:lang w:bidi="ar"/>
              </w:rPr>
              <w:t>况见下表</w:t>
            </w:r>
            <w:r>
              <w:rPr>
                <w:rFonts w:hint="default" w:ascii="Times New Roman" w:hAnsi="Times New Roman" w:eastAsia="宋体" w:cs="Times New Roman"/>
                <w:bCs/>
                <w:color w:val="auto"/>
                <w:sz w:val="24"/>
                <w:szCs w:val="24"/>
                <w:highlight w:val="none"/>
                <w:lang w:val="en-US" w:eastAsia="zh-CN" w:bidi="ar"/>
              </w:rPr>
              <w:t>所示</w:t>
            </w:r>
            <w:r>
              <w:rPr>
                <w:rFonts w:hint="default" w:ascii="Times New Roman" w:hAnsi="Times New Roman" w:eastAsia="宋体" w:cs="Times New Roman"/>
                <w:bCs/>
                <w:color w:val="auto"/>
                <w:sz w:val="24"/>
                <w:szCs w:val="24"/>
                <w:highlight w:val="none"/>
                <w:lang w:bidi="ar"/>
              </w:rPr>
              <w:t>。</w:t>
            </w:r>
          </w:p>
          <w:p>
            <w:pPr>
              <w:spacing w:line="240" w:lineRule="auto"/>
              <w:ind w:firstLine="422"/>
              <w:jc w:val="center"/>
              <w:rPr>
                <w:rFonts w:hint="default" w:ascii="Times New Roman" w:hAnsi="Times New Roman" w:eastAsia="宋体" w:cs="Times New Roman"/>
                <w:b/>
                <w:color w:val="auto"/>
                <w:szCs w:val="24"/>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4-14</w:t>
            </w:r>
            <w:r>
              <w:rPr>
                <w:rFonts w:hint="default" w:ascii="Times New Roman" w:hAnsi="Times New Roman" w:eastAsia="宋体" w:cs="Times New Roman"/>
                <w:b/>
                <w:color w:val="auto"/>
                <w:sz w:val="21"/>
                <w:szCs w:val="21"/>
                <w:highlight w:val="none"/>
              </w:rPr>
              <w:t xml:space="preserve">   生活污水处理站出水指标与各标准值对比一览表</w:t>
            </w:r>
          </w:p>
          <w:tbl>
            <w:tblPr>
              <w:tblStyle w:val="26"/>
              <w:tblW w:w="4997"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589"/>
              <w:gridCol w:w="589"/>
              <w:gridCol w:w="588"/>
              <w:gridCol w:w="589"/>
              <w:gridCol w:w="589"/>
              <w:gridCol w:w="589"/>
              <w:gridCol w:w="589"/>
              <w:gridCol w:w="593"/>
              <w:gridCol w:w="1864"/>
              <w:gridCol w:w="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2" w:type="pct"/>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名称</w:t>
                  </w:r>
                </w:p>
              </w:tc>
              <w:tc>
                <w:tcPr>
                  <w:tcW w:w="1403" w:type="pct"/>
                  <w:gridSpan w:val="4"/>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2021.07.07出水</w:t>
                  </w:r>
                  <w:r>
                    <w:rPr>
                      <w:rFonts w:hint="default" w:ascii="Times New Roman" w:hAnsi="Times New Roman" w:eastAsia="宋体" w:cs="Times New Roman"/>
                      <w:b/>
                      <w:color w:val="auto"/>
                      <w:sz w:val="21"/>
                      <w:szCs w:val="21"/>
                      <w:highlight w:val="none"/>
                    </w:rPr>
                    <w:t>水质（mg/L）</w:t>
                  </w:r>
                </w:p>
              </w:tc>
              <w:tc>
                <w:tcPr>
                  <w:tcW w:w="1406" w:type="pct"/>
                  <w:gridSpan w:val="4"/>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2021.07.08</w:t>
                  </w:r>
                  <w:r>
                    <w:rPr>
                      <w:rFonts w:hint="default" w:ascii="Times New Roman" w:hAnsi="Times New Roman" w:eastAsia="宋体" w:cs="Times New Roman"/>
                      <w:b/>
                      <w:color w:val="auto"/>
                      <w:sz w:val="21"/>
                      <w:szCs w:val="21"/>
                      <w:highlight w:val="none"/>
                    </w:rPr>
                    <w:t>出水水质（mg/L）</w:t>
                  </w:r>
                </w:p>
              </w:tc>
              <w:tc>
                <w:tcPr>
                  <w:tcW w:w="1110" w:type="pct"/>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GB/T18920-20</w:t>
                  </w:r>
                  <w:r>
                    <w:rPr>
                      <w:rFonts w:hint="default" w:ascii="Times New Roman" w:hAnsi="Times New Roman" w:eastAsia="宋体" w:cs="Times New Roman"/>
                      <w:b/>
                      <w:color w:val="auto"/>
                      <w:sz w:val="21"/>
                      <w:szCs w:val="21"/>
                      <w:highlight w:val="none"/>
                      <w:lang w:val="en-US" w:eastAsia="zh-CN"/>
                    </w:rPr>
                    <w:t>20</w:t>
                  </w:r>
                  <w:r>
                    <w:rPr>
                      <w:rFonts w:hint="default" w:ascii="Times New Roman" w:hAnsi="Times New Roman" w:eastAsia="宋体" w:cs="Times New Roman"/>
                      <w:b/>
                      <w:color w:val="auto"/>
                      <w:sz w:val="21"/>
                      <w:szCs w:val="21"/>
                      <w:highlight w:val="none"/>
                    </w:rPr>
                    <w:t>《城市污水再生利用 城市杂用水水质》</w:t>
                  </w:r>
                  <w:r>
                    <w:rPr>
                      <w:rFonts w:hint="default" w:ascii="Times New Roman" w:hAnsi="Times New Roman" w:eastAsia="宋体" w:cs="Times New Roman"/>
                      <w:b/>
                      <w:color w:val="auto"/>
                      <w:sz w:val="21"/>
                      <w:szCs w:val="21"/>
                      <w:highlight w:val="none"/>
                      <w:lang w:eastAsia="zh-CN"/>
                    </w:rPr>
                    <w:t>执行</w:t>
                  </w:r>
                  <w:r>
                    <w:rPr>
                      <w:rFonts w:hint="default" w:ascii="Times New Roman" w:hAnsi="Times New Roman" w:eastAsia="宋体" w:cs="Times New Roman"/>
                      <w:b/>
                      <w:color w:val="auto"/>
                      <w:sz w:val="21"/>
                      <w:szCs w:val="21"/>
                      <w:highlight w:val="none"/>
                    </w:rPr>
                    <w:t>标准</w:t>
                  </w:r>
                </w:p>
              </w:tc>
              <w:tc>
                <w:tcPr>
                  <w:tcW w:w="277" w:type="pct"/>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达标分析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80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pH（无量纲）</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7.2</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7.1</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7.4</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7.9</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7.6</w:t>
                  </w:r>
                </w:p>
              </w:tc>
              <w:tc>
                <w:tcPr>
                  <w:tcW w:w="59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111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6-9</w:t>
                  </w:r>
                </w:p>
              </w:tc>
              <w:tc>
                <w:tcPr>
                  <w:tcW w:w="277"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80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色度（度）</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59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111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277"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80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嗅</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w:t>
                  </w:r>
                </w:p>
              </w:tc>
              <w:tc>
                <w:tcPr>
                  <w:tcW w:w="59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w:t>
                  </w:r>
                </w:p>
              </w:tc>
              <w:tc>
                <w:tcPr>
                  <w:tcW w:w="111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无不快感</w:t>
                  </w:r>
                </w:p>
              </w:tc>
              <w:tc>
                <w:tcPr>
                  <w:tcW w:w="277"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80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浊度（度）</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59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111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277"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80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BOD</w:t>
                  </w:r>
                  <w:r>
                    <w:rPr>
                      <w:rFonts w:hint="default" w:ascii="Times New Roman" w:hAnsi="Times New Roman" w:eastAsia="宋体" w:cs="Times New Roman"/>
                      <w:color w:val="auto"/>
                      <w:sz w:val="21"/>
                      <w:szCs w:val="21"/>
                      <w:highlight w:val="none"/>
                      <w:vertAlign w:val="subscript"/>
                      <w:lang w:val="en-US" w:eastAsia="zh-CN"/>
                    </w:rPr>
                    <w:t>5</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9.2</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9.5</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8.9</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8.6</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9.5</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9.2</w:t>
                  </w:r>
                </w:p>
              </w:tc>
              <w:tc>
                <w:tcPr>
                  <w:tcW w:w="59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8.9</w:t>
                  </w:r>
                </w:p>
              </w:tc>
              <w:tc>
                <w:tcPr>
                  <w:tcW w:w="111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277"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4.82</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4.53</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4.55</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4.68</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4.63</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4.70</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4.65</w:t>
                  </w:r>
                </w:p>
              </w:tc>
              <w:tc>
                <w:tcPr>
                  <w:tcW w:w="59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4.59</w:t>
                  </w:r>
                </w:p>
              </w:tc>
              <w:tc>
                <w:tcPr>
                  <w:tcW w:w="111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277"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LAS</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0.05L</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0.05L</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0.05L</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0.05L</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0.05L</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0.05L</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0.05L</w:t>
                  </w:r>
                </w:p>
              </w:tc>
              <w:tc>
                <w:tcPr>
                  <w:tcW w:w="59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0.05L</w:t>
                  </w:r>
                </w:p>
              </w:tc>
              <w:tc>
                <w:tcPr>
                  <w:tcW w:w="111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277"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溶解氧</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7.1</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6.9</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6.2</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7.2</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6.8</w:t>
                  </w:r>
                </w:p>
              </w:tc>
              <w:tc>
                <w:tcPr>
                  <w:tcW w:w="59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6.1</w:t>
                  </w:r>
                </w:p>
              </w:tc>
              <w:tc>
                <w:tcPr>
                  <w:tcW w:w="111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277"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溶解性固体</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355</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361</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349</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371</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358</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344</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360</w:t>
                  </w:r>
                </w:p>
              </w:tc>
              <w:tc>
                <w:tcPr>
                  <w:tcW w:w="59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371</w:t>
                  </w:r>
                </w:p>
              </w:tc>
              <w:tc>
                <w:tcPr>
                  <w:tcW w:w="111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1000</w:t>
                  </w:r>
                </w:p>
              </w:tc>
              <w:tc>
                <w:tcPr>
                  <w:tcW w:w="277"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大肠埃希氏菌</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5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59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11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不得检出</w:t>
                  </w:r>
                </w:p>
              </w:tc>
              <w:tc>
                <w:tcPr>
                  <w:tcW w:w="277"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bl>
          <w:p>
            <w:pPr>
              <w:keepNext w:val="0"/>
              <w:keepLines w:val="0"/>
              <w:pageBreakBefore w:val="0"/>
              <w:widowControl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由上表可知</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原项目已建的</w:t>
            </w:r>
            <w:r>
              <w:rPr>
                <w:rFonts w:hint="default" w:ascii="Times New Roman" w:hAnsi="Times New Roman" w:eastAsia="宋体" w:cs="Times New Roman"/>
                <w:color w:val="auto"/>
                <w:sz w:val="24"/>
                <w:szCs w:val="24"/>
                <w:highlight w:val="none"/>
              </w:rPr>
              <w:t>污水处理站出水水质能够达到</w:t>
            </w:r>
            <w:r>
              <w:rPr>
                <w:rFonts w:hint="default" w:ascii="Times New Roman" w:hAnsi="Times New Roman" w:eastAsia="宋体" w:cs="Times New Roman"/>
                <w:color w:val="auto"/>
                <w:sz w:val="24"/>
                <w:szCs w:val="24"/>
                <w:highlight w:val="none"/>
                <w:lang w:bidi="ar"/>
              </w:rPr>
              <w:t>GB/T18920-20</w:t>
            </w:r>
            <w:r>
              <w:rPr>
                <w:rFonts w:hint="default" w:ascii="Times New Roman" w:hAnsi="Times New Roman" w:eastAsia="宋体" w:cs="Times New Roman"/>
                <w:color w:val="auto"/>
                <w:sz w:val="24"/>
                <w:szCs w:val="24"/>
                <w:highlight w:val="none"/>
                <w:lang w:val="en-US" w:eastAsia="zh-CN" w:bidi="ar"/>
              </w:rPr>
              <w:t>20</w:t>
            </w:r>
            <w:r>
              <w:rPr>
                <w:rFonts w:hint="default" w:ascii="Times New Roman" w:hAnsi="Times New Roman" w:eastAsia="宋体" w:cs="Times New Roman"/>
                <w:color w:val="auto"/>
                <w:sz w:val="24"/>
                <w:szCs w:val="24"/>
                <w:highlight w:val="none"/>
                <w:lang w:bidi="ar"/>
              </w:rPr>
              <w:t>《城市污水再生利用城市杂用水水质》中绿化</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val="en-US" w:eastAsia="zh-CN"/>
              </w:rPr>
              <w:t>道路清扫标准中的最严值</w:t>
            </w:r>
            <w:r>
              <w:rPr>
                <w:rFonts w:hint="default" w:ascii="Times New Roman" w:hAnsi="Times New Roman" w:eastAsia="宋体" w:cs="Times New Roman"/>
                <w:color w:val="auto"/>
                <w:sz w:val="24"/>
                <w:szCs w:val="24"/>
                <w:highlight w:val="none"/>
              </w:rPr>
              <w:t>。项目废水回用于绿化</w:t>
            </w:r>
            <w:r>
              <w:rPr>
                <w:rFonts w:hint="default" w:ascii="Times New Roman" w:hAnsi="Times New Roman" w:eastAsia="宋体" w:cs="Times New Roman"/>
                <w:color w:val="auto"/>
                <w:sz w:val="24"/>
                <w:szCs w:val="24"/>
                <w:highlight w:val="none"/>
                <w:lang w:eastAsia="zh-CN"/>
              </w:rPr>
              <w:t>及道路场地洒水</w:t>
            </w:r>
            <w:r>
              <w:rPr>
                <w:rFonts w:hint="default" w:ascii="Times New Roman" w:hAnsi="Times New Roman" w:eastAsia="宋体" w:cs="Times New Roman"/>
                <w:color w:val="auto"/>
                <w:sz w:val="24"/>
                <w:szCs w:val="24"/>
                <w:highlight w:val="none"/>
              </w:rPr>
              <w:t>是可行的。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2" w:firstLineChars="200"/>
              <w:textAlignment w:val="auto"/>
              <w:rPr>
                <w:rFonts w:hint="default" w:ascii="Times New Roman" w:hAnsi="Times New Roman" w:eastAsia="宋体" w:cs="Times New Roman"/>
                <w:b/>
                <w:bCs w:val="0"/>
                <w:color w:val="auto"/>
                <w:spacing w:val="-10"/>
                <w:kern w:val="2"/>
                <w:sz w:val="24"/>
                <w:szCs w:val="24"/>
                <w:highlight w:val="none"/>
                <w:lang w:val="en-US" w:eastAsia="zh-CN" w:bidi="ar-SA"/>
              </w:rPr>
            </w:pPr>
            <w:r>
              <w:rPr>
                <w:rFonts w:hint="default" w:ascii="Times New Roman" w:hAnsi="Times New Roman" w:eastAsia="宋体" w:cs="Times New Roman"/>
                <w:b/>
                <w:bCs w:val="0"/>
                <w:color w:val="auto"/>
                <w:spacing w:val="-10"/>
                <w:kern w:val="2"/>
                <w:sz w:val="24"/>
                <w:szCs w:val="24"/>
                <w:highlight w:val="none"/>
                <w:lang w:val="en-US" w:eastAsia="zh-CN" w:bidi="ar-SA"/>
              </w:rPr>
              <w:t>4、生活废水回用可行性分析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lang w:val="en-US" w:eastAsia="zh-CN"/>
              </w:rPr>
              <w:t>本次扩建</w:t>
            </w:r>
            <w:r>
              <w:rPr>
                <w:rFonts w:hint="default" w:ascii="Times New Roman" w:hAnsi="Times New Roman" w:eastAsia="宋体" w:cs="Times New Roman"/>
                <w:color w:val="auto"/>
                <w:sz w:val="24"/>
                <w:szCs w:val="24"/>
                <w:highlight w:val="none"/>
              </w:rPr>
              <w:t>项目运营过程中</w:t>
            </w:r>
            <w:r>
              <w:rPr>
                <w:rFonts w:hint="default" w:ascii="Times New Roman" w:hAnsi="Times New Roman" w:eastAsia="宋体" w:cs="Times New Roman"/>
                <w:color w:val="auto"/>
                <w:sz w:val="24"/>
                <w:szCs w:val="24"/>
                <w:highlight w:val="none"/>
                <w:lang w:eastAsia="zh-CN"/>
              </w:rPr>
              <w:t>生活</w:t>
            </w:r>
            <w:r>
              <w:rPr>
                <w:rFonts w:hint="default" w:ascii="Times New Roman" w:hAnsi="Times New Roman" w:eastAsia="宋体" w:cs="Times New Roman"/>
                <w:color w:val="auto"/>
                <w:sz w:val="24"/>
                <w:szCs w:val="24"/>
                <w:highlight w:val="none"/>
              </w:rPr>
              <w:t>废水产生量为</w:t>
            </w:r>
            <w:r>
              <w:rPr>
                <w:rFonts w:hint="default" w:ascii="Times New Roman" w:hAnsi="Times New Roman" w:eastAsia="宋体" w:cs="Times New Roman"/>
                <w:b w:val="0"/>
                <w:bCs w:val="0"/>
                <w:color w:val="auto"/>
                <w:sz w:val="24"/>
                <w:szCs w:val="24"/>
                <w:highlight w:val="none"/>
                <w:lang w:val="en-US" w:eastAsia="zh-CN"/>
              </w:rPr>
              <w:t>1.6</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480</w:t>
            </w:r>
            <w:r>
              <w:rPr>
                <w:rFonts w:hint="default" w:ascii="Times New Roman" w:hAnsi="Times New Roman" w:eastAsia="宋体" w:cs="Times New Roman"/>
                <w:color w:val="auto"/>
                <w:sz w:val="24"/>
                <w:szCs w:val="24"/>
                <w:highlight w:val="none"/>
                <w:lang w:val="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rPr>
              <w:t>/a</w:t>
            </w:r>
            <w:r>
              <w:rPr>
                <w:rFonts w:hint="default" w:ascii="Times New Roman" w:hAnsi="Times New Roman" w:eastAsia="宋体" w:cs="Times New Roman"/>
                <w:b w:val="0"/>
                <w:bCs w:val="0"/>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原项目</w:t>
            </w:r>
            <w:r>
              <w:rPr>
                <w:rFonts w:hint="default" w:ascii="Times New Roman" w:hAnsi="Times New Roman" w:eastAsia="宋体" w:cs="Times New Roman"/>
                <w:color w:val="auto"/>
                <w:sz w:val="24"/>
                <w:szCs w:val="24"/>
                <w:highlight w:val="none"/>
              </w:rPr>
              <w:t>运营过程中</w:t>
            </w:r>
            <w:r>
              <w:rPr>
                <w:rFonts w:hint="default" w:ascii="Times New Roman" w:hAnsi="Times New Roman" w:eastAsia="宋体" w:cs="Times New Roman"/>
                <w:color w:val="auto"/>
                <w:sz w:val="24"/>
                <w:szCs w:val="24"/>
                <w:highlight w:val="none"/>
                <w:lang w:eastAsia="zh-CN"/>
              </w:rPr>
              <w:t>生活</w:t>
            </w:r>
            <w:r>
              <w:rPr>
                <w:rFonts w:hint="default" w:ascii="Times New Roman" w:hAnsi="Times New Roman" w:eastAsia="宋体" w:cs="Times New Roman"/>
                <w:color w:val="auto"/>
                <w:sz w:val="24"/>
                <w:szCs w:val="24"/>
                <w:highlight w:val="none"/>
              </w:rPr>
              <w:t>废水产生量为</w:t>
            </w:r>
            <w:r>
              <w:rPr>
                <w:rFonts w:hint="default" w:ascii="Times New Roman" w:hAnsi="Times New Roman" w:eastAsia="宋体" w:cs="Times New Roman"/>
                <w:b w:val="0"/>
                <w:bCs w:val="0"/>
                <w:color w:val="auto"/>
                <w:sz w:val="24"/>
                <w:szCs w:val="24"/>
                <w:highlight w:val="none"/>
                <w:lang w:val="en-US" w:eastAsia="zh-CN"/>
              </w:rPr>
              <w:t>0.8</w:t>
            </w:r>
            <w:r>
              <w:rPr>
                <w:rFonts w:hint="default" w:ascii="Times New Roman" w:hAnsi="Times New Roman" w:eastAsia="宋体" w:cs="Times New Roman"/>
                <w:b w:val="0"/>
                <w:bCs w:val="0"/>
                <w:color w:val="auto"/>
                <w:sz w:val="24"/>
                <w:szCs w:val="24"/>
                <w:highlight w:val="none"/>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rPr>
              <w:t>/d</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240</w:t>
            </w:r>
            <w:r>
              <w:rPr>
                <w:rFonts w:hint="default" w:ascii="Times New Roman" w:hAnsi="Times New Roman" w:eastAsia="宋体" w:cs="Times New Roman"/>
                <w:b w:val="0"/>
                <w:bCs w:val="0"/>
                <w:color w:val="auto"/>
                <w:sz w:val="24"/>
                <w:szCs w:val="24"/>
                <w:highlight w:val="none"/>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则本次扩建</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建成后整个项目区生活</w:t>
            </w:r>
            <w:r>
              <w:rPr>
                <w:rFonts w:hint="default" w:ascii="Times New Roman" w:hAnsi="Times New Roman" w:eastAsia="宋体" w:cs="Times New Roman"/>
                <w:color w:val="auto"/>
                <w:sz w:val="24"/>
                <w:szCs w:val="24"/>
                <w:highlight w:val="none"/>
              </w:rPr>
              <w:t>废水产生</w:t>
            </w:r>
            <w:r>
              <w:rPr>
                <w:rFonts w:hint="default" w:ascii="Times New Roman" w:hAnsi="Times New Roman" w:eastAsia="宋体" w:cs="Times New Roman"/>
                <w:color w:val="auto"/>
                <w:sz w:val="24"/>
                <w:szCs w:val="24"/>
                <w:highlight w:val="none"/>
                <w:lang w:val="en-US" w:eastAsia="zh-CN"/>
              </w:rPr>
              <w:t>总</w:t>
            </w:r>
            <w:r>
              <w:rPr>
                <w:rFonts w:hint="default" w:ascii="Times New Roman" w:hAnsi="Times New Roman" w:eastAsia="宋体" w:cs="Times New Roman"/>
                <w:color w:val="auto"/>
                <w:sz w:val="24"/>
                <w:szCs w:val="24"/>
                <w:highlight w:val="none"/>
              </w:rPr>
              <w:t>量为</w:t>
            </w:r>
            <w:r>
              <w:rPr>
                <w:rFonts w:hint="default" w:ascii="Times New Roman" w:hAnsi="Times New Roman" w:eastAsia="宋体" w:cs="Times New Roman"/>
                <w:b w:val="0"/>
                <w:bCs w:val="0"/>
                <w:color w:val="auto"/>
                <w:sz w:val="24"/>
                <w:szCs w:val="24"/>
                <w:highlight w:val="none"/>
                <w:lang w:val="en-US" w:eastAsia="zh-CN"/>
              </w:rPr>
              <w:t>2.4</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720</w:t>
            </w:r>
            <w:r>
              <w:rPr>
                <w:rFonts w:hint="default" w:ascii="Times New Roman" w:hAnsi="Times New Roman" w:eastAsia="宋体" w:cs="Times New Roman"/>
                <w:color w:val="auto"/>
                <w:sz w:val="24"/>
                <w:szCs w:val="24"/>
                <w:highlight w:val="none"/>
                <w:lang w:val="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rPr>
              <w:t>/a</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根据</w:t>
            </w:r>
            <w:r>
              <w:rPr>
                <w:rFonts w:hint="default" w:ascii="Times New Roman" w:hAnsi="Times New Roman" w:eastAsia="宋体" w:cs="Times New Roman"/>
                <w:color w:val="auto"/>
                <w:sz w:val="24"/>
                <w:szCs w:val="24"/>
                <w:highlight w:val="none"/>
                <w:lang w:val="en-US" w:eastAsia="zh-CN"/>
              </w:rPr>
              <w:t>水平衡分析</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snapToGrid w:val="0"/>
                <w:color w:val="auto"/>
                <w:kern w:val="0"/>
                <w:sz w:val="24"/>
                <w:highlight w:val="none"/>
                <w:lang w:val="en-US" w:eastAsia="zh-CN"/>
              </w:rPr>
              <w:t>本项目</w:t>
            </w:r>
            <w:r>
              <w:rPr>
                <w:rFonts w:hint="default" w:ascii="Times New Roman" w:hAnsi="Times New Roman" w:eastAsia="宋体" w:cs="Times New Roman"/>
                <w:color w:val="auto"/>
                <w:sz w:val="24"/>
                <w:szCs w:val="24"/>
                <w:highlight w:val="none"/>
              </w:rPr>
              <w:t>非雨天</w:t>
            </w:r>
            <w:r>
              <w:rPr>
                <w:rFonts w:hint="default" w:ascii="Times New Roman" w:hAnsi="Times New Roman" w:eastAsia="宋体" w:cs="Times New Roman"/>
                <w:snapToGrid w:val="0"/>
                <w:color w:val="auto"/>
                <w:kern w:val="0"/>
                <w:sz w:val="24"/>
                <w:highlight w:val="none"/>
                <w:lang w:val="en-US" w:eastAsia="zh-CN"/>
              </w:rPr>
              <w:t>绿化及</w:t>
            </w:r>
            <w:r>
              <w:rPr>
                <w:rFonts w:hint="default" w:ascii="Times New Roman" w:hAnsi="Times New Roman" w:eastAsia="宋体" w:cs="Times New Roman"/>
                <w:color w:val="auto"/>
                <w:sz w:val="24"/>
                <w:szCs w:val="24"/>
                <w:highlight w:val="none"/>
                <w:lang w:val="en-US" w:eastAsia="zh-CN"/>
              </w:rPr>
              <w:t>道路场地洒水所需</w:t>
            </w:r>
            <w:r>
              <w:rPr>
                <w:rFonts w:hint="default" w:ascii="Times New Roman" w:hAnsi="Times New Roman" w:eastAsia="宋体" w:cs="Times New Roman"/>
                <w:b w:val="0"/>
                <w:bCs w:val="0"/>
                <w:color w:val="auto"/>
                <w:sz w:val="24"/>
                <w:szCs w:val="24"/>
                <w:highlight w:val="none"/>
                <w:lang w:val="en-US" w:eastAsia="zh-CN"/>
              </w:rPr>
              <w:t>量为3.84</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802.56</w:t>
            </w:r>
            <w:r>
              <w:rPr>
                <w:rFonts w:hint="default" w:ascii="Times New Roman" w:hAnsi="Times New Roman" w:eastAsia="宋体" w:cs="Times New Roman"/>
                <w:color w:val="auto"/>
                <w:sz w:val="24"/>
                <w:szCs w:val="24"/>
                <w:highlight w:val="none"/>
                <w:lang w:val="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rPr>
              <w:t>/a</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项目道路及项目区内所需洒水量大于污水总量，</w:t>
            </w:r>
            <w:r>
              <w:rPr>
                <w:rFonts w:hint="default" w:ascii="Times New Roman" w:hAnsi="Times New Roman" w:eastAsia="宋体" w:cs="Times New Roman"/>
                <w:color w:val="auto"/>
                <w:sz w:val="24"/>
                <w:szCs w:val="24"/>
                <w:highlight w:val="none"/>
                <w:lang w:val="en-US" w:eastAsia="zh-CN"/>
              </w:rPr>
              <w:t>因此污水处理站废水可全部</w:t>
            </w:r>
            <w:r>
              <w:rPr>
                <w:rFonts w:hint="default" w:ascii="Times New Roman" w:hAnsi="Times New Roman" w:eastAsia="宋体" w:cs="Times New Roman"/>
                <w:color w:val="auto"/>
                <w:kern w:val="2"/>
                <w:sz w:val="24"/>
                <w:szCs w:val="24"/>
                <w:highlight w:val="none"/>
                <w:lang w:val="en-US" w:eastAsia="zh-CN" w:bidi="ar"/>
              </w:rPr>
              <w:t>回用于项目区内绿化、道路场地洒水及本项目道路场地洒水，不外排。</w:t>
            </w:r>
          </w:p>
          <w:p>
            <w:pPr>
              <w:pStyle w:val="14"/>
              <w:keepNext w:val="0"/>
              <w:keepLines w:val="0"/>
              <w:pageBreakBefore w:val="0"/>
              <w:widowControl w:val="0"/>
              <w:kinsoku/>
              <w:wordWrap/>
              <w:overflowPunct/>
              <w:topLinePunct w:val="0"/>
              <w:autoSpaceDE/>
              <w:autoSpaceDN/>
              <w:bidi w:val="0"/>
              <w:adjustRightInd w:val="0"/>
              <w:snapToGrid w:val="0"/>
              <w:spacing w:after="0" w:line="351"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eastAsia="zh-CN"/>
              </w:rPr>
            </w:pPr>
            <w:r>
              <w:rPr>
                <w:rFonts w:hint="default" w:ascii="Times New Roman" w:hAnsi="Times New Roman" w:eastAsia="宋体" w:cs="Times New Roman"/>
                <w:caps w:val="0"/>
                <w:snapToGrid w:val="0"/>
                <w:color w:val="auto"/>
                <w:spacing w:val="0"/>
                <w:w w:val="100"/>
                <w:position w:val="0"/>
                <w:sz w:val="24"/>
                <w:highlight w:val="none"/>
              </w:rPr>
              <w:t>项目</w:t>
            </w:r>
            <w:r>
              <w:rPr>
                <w:rFonts w:hint="default" w:ascii="Times New Roman" w:hAnsi="Times New Roman" w:eastAsia="宋体" w:cs="Times New Roman"/>
                <w:caps w:val="0"/>
                <w:snapToGrid w:val="0"/>
                <w:color w:val="auto"/>
                <w:spacing w:val="0"/>
                <w:w w:val="100"/>
                <w:position w:val="0"/>
                <w:sz w:val="24"/>
                <w:highlight w:val="none"/>
                <w:lang w:val="en-US" w:eastAsia="zh-CN"/>
              </w:rPr>
              <w:t>扩建完成后全厂总</w:t>
            </w:r>
            <w:r>
              <w:rPr>
                <w:rFonts w:hint="default" w:ascii="Times New Roman" w:hAnsi="Times New Roman" w:eastAsia="宋体" w:cs="Times New Roman"/>
                <w:caps w:val="0"/>
                <w:snapToGrid w:val="0"/>
                <w:color w:val="auto"/>
                <w:spacing w:val="0"/>
                <w:w w:val="100"/>
                <w:position w:val="0"/>
                <w:sz w:val="24"/>
                <w:highlight w:val="none"/>
              </w:rPr>
              <w:t>水平衡如图</w:t>
            </w:r>
            <w:r>
              <w:rPr>
                <w:rFonts w:hint="default" w:ascii="Times New Roman" w:hAnsi="Times New Roman" w:eastAsia="宋体" w:cs="Times New Roman"/>
                <w:caps w:val="0"/>
                <w:snapToGrid w:val="0"/>
                <w:color w:val="auto"/>
                <w:spacing w:val="0"/>
                <w:w w:val="100"/>
                <w:position w:val="0"/>
                <w:sz w:val="24"/>
                <w:highlight w:val="none"/>
                <w:lang w:val="en-US" w:eastAsia="zh-CN"/>
              </w:rPr>
              <w:t>4</w:t>
            </w:r>
            <w:r>
              <w:rPr>
                <w:rFonts w:hint="default" w:ascii="Times New Roman" w:hAnsi="Times New Roman" w:eastAsia="宋体" w:cs="Times New Roman"/>
                <w:caps w:val="0"/>
                <w:snapToGrid w:val="0"/>
                <w:color w:val="auto"/>
                <w:spacing w:val="0"/>
                <w:w w:val="100"/>
                <w:position w:val="0"/>
                <w:sz w:val="24"/>
                <w:highlight w:val="none"/>
              </w:rPr>
              <w:t>-</w:t>
            </w:r>
            <w:r>
              <w:rPr>
                <w:rFonts w:hint="default" w:ascii="Times New Roman" w:hAnsi="Times New Roman" w:eastAsia="宋体" w:cs="Times New Roman"/>
                <w:caps w:val="0"/>
                <w:snapToGrid w:val="0"/>
                <w:color w:val="auto"/>
                <w:spacing w:val="0"/>
                <w:w w:val="100"/>
                <w:position w:val="0"/>
                <w:sz w:val="24"/>
                <w:highlight w:val="none"/>
                <w:lang w:val="en-US" w:eastAsia="zh-CN"/>
              </w:rPr>
              <w:t>1、4-2</w:t>
            </w:r>
            <w:r>
              <w:rPr>
                <w:rFonts w:hint="default" w:ascii="Times New Roman" w:hAnsi="Times New Roman" w:eastAsia="宋体" w:cs="Times New Roman"/>
                <w:caps w:val="0"/>
                <w:snapToGrid w:val="0"/>
                <w:color w:val="auto"/>
                <w:spacing w:val="0"/>
                <w:w w:val="100"/>
                <w:position w:val="0"/>
                <w:sz w:val="24"/>
                <w:highlight w:val="none"/>
              </w:rPr>
              <w:t>所示。</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aps w:val="0"/>
                <w:snapToGrid w:val="0"/>
                <w:color w:val="auto"/>
                <w:spacing w:val="0"/>
                <w:w w:val="100"/>
                <w:position w:val="0"/>
                <w:sz w:val="21"/>
                <w:szCs w:val="21"/>
                <w:highlight w:val="none"/>
              </w:rPr>
            </w:pPr>
            <w:r>
              <w:rPr>
                <w:rFonts w:hint="default" w:ascii="Times New Roman" w:hAnsi="Times New Roman" w:eastAsia="宋体" w:cs="Times New Roman"/>
                <w:color w:val="auto"/>
                <w:sz w:val="24"/>
              </w:rPr>
              <w:object>
                <v:shape id="_x0000_i1030" o:spt="75" type="#_x0000_t75" style="height:142.7pt;width:422.25pt;" o:ole="t" filled="f" o:preferrelative="t" stroked="f" coordsize="21600,21600">
                  <v:path/>
                  <v:fill on="f" focussize="0,0"/>
                  <v:stroke on="f"/>
                  <v:imagedata r:id="rId32" o:title=""/>
                  <o:lock v:ext="edit" aspectratio="t"/>
                  <w10:wrap type="none"/>
                  <w10:anchorlock/>
                </v:shape>
                <o:OLEObject Type="Embed" ProgID="Visio.Drawing.11" ShapeID="_x0000_i1030" DrawAspect="Content" ObjectID="_1468075730" r:id="rId31">
                  <o:LockedField>false</o:LockedField>
                </o:OLEObject>
              </w:object>
            </w:r>
            <w:r>
              <w:rPr>
                <w:rFonts w:hint="default" w:ascii="Times New Roman" w:hAnsi="Times New Roman" w:eastAsia="宋体" w:cs="Times New Roman"/>
                <w:b/>
                <w:bCs/>
                <w:caps w:val="0"/>
                <w:snapToGrid w:val="0"/>
                <w:color w:val="auto"/>
                <w:spacing w:val="0"/>
                <w:w w:val="100"/>
                <w:position w:val="0"/>
                <w:sz w:val="21"/>
                <w:szCs w:val="21"/>
                <w:highlight w:val="none"/>
              </w:rPr>
              <w:t>图</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4</w:t>
            </w:r>
            <w:r>
              <w:rPr>
                <w:rFonts w:hint="default" w:ascii="Times New Roman" w:hAnsi="Times New Roman" w:eastAsia="宋体" w:cs="Times New Roman"/>
                <w:b/>
                <w:bCs/>
                <w:caps w:val="0"/>
                <w:snapToGrid w:val="0"/>
                <w:color w:val="auto"/>
                <w:spacing w:val="0"/>
                <w:w w:val="100"/>
                <w:position w:val="0"/>
                <w:sz w:val="21"/>
                <w:szCs w:val="21"/>
                <w:highlight w:val="none"/>
              </w:rPr>
              <w:t>-</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1</w:t>
            </w:r>
            <w:r>
              <w:rPr>
                <w:rFonts w:hint="default" w:ascii="Times New Roman" w:hAnsi="Times New Roman" w:eastAsia="宋体" w:cs="Times New Roman"/>
                <w:b/>
                <w:bCs/>
                <w:caps w:val="0"/>
                <w:snapToGrid w:val="0"/>
                <w:color w:val="auto"/>
                <w:spacing w:val="0"/>
                <w:w w:val="100"/>
                <w:position w:val="0"/>
                <w:sz w:val="21"/>
                <w:szCs w:val="21"/>
                <w:highlight w:val="none"/>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rPr>
              <w:t xml:space="preserve"> 项目</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扩建完成后全厂</w:t>
            </w:r>
            <w:r>
              <w:rPr>
                <w:rFonts w:hint="default" w:ascii="Times New Roman" w:hAnsi="Times New Roman" w:eastAsia="宋体" w:cs="Times New Roman"/>
                <w:b/>
                <w:bCs/>
                <w:caps w:val="0"/>
                <w:snapToGrid w:val="0"/>
                <w:color w:val="auto"/>
                <w:spacing w:val="0"/>
                <w:w w:val="100"/>
                <w:position w:val="0"/>
                <w:sz w:val="21"/>
                <w:szCs w:val="21"/>
                <w:highlight w:val="none"/>
              </w:rPr>
              <w:t>运营期</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非雨天</w:t>
            </w:r>
            <w:r>
              <w:rPr>
                <w:rFonts w:hint="default" w:ascii="Times New Roman" w:hAnsi="Times New Roman" w:eastAsia="宋体" w:cs="Times New Roman"/>
                <w:b/>
                <w:bCs/>
                <w:caps w:val="0"/>
                <w:snapToGrid w:val="0"/>
                <w:color w:val="auto"/>
                <w:spacing w:val="0"/>
                <w:w w:val="100"/>
                <w:position w:val="0"/>
                <w:sz w:val="21"/>
                <w:szCs w:val="21"/>
                <w:highlight w:val="none"/>
              </w:rPr>
              <w:t>水平衡示意图   单位：m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z w:val="24"/>
                <w:szCs w:val="24"/>
                <w:highlight w:val="none"/>
              </w:rPr>
            </w:pP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0" w:firstLineChars="0"/>
              <w:jc w:val="center"/>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object>
                <v:shape id="_x0000_i1031" o:spt="75" type="#_x0000_t75" style="height:142.7pt;width:422.25pt;" o:ole="t" filled="f" o:preferrelative="t" stroked="f" coordsize="21600,21600">
                  <v:path/>
                  <v:fill on="f" focussize="0,0"/>
                  <v:stroke on="f"/>
                  <v:imagedata r:id="rId34" o:title=""/>
                  <o:lock v:ext="edit" aspectratio="t"/>
                  <w10:wrap type="none"/>
                  <w10:anchorlock/>
                </v:shape>
                <o:OLEObject Type="Embed" ProgID="Visio.Drawing.11" ShapeID="_x0000_i1031" DrawAspect="Content" ObjectID="_1468075731" r:id="rId33">
                  <o:LockedField>false</o:LockedField>
                </o:OLEObject>
              </w:object>
            </w:r>
            <w:r>
              <w:rPr>
                <w:rFonts w:hint="default" w:ascii="Times New Roman" w:hAnsi="Times New Roman" w:eastAsia="宋体" w:cs="Times New Roman"/>
                <w:b/>
                <w:bCs/>
                <w:caps w:val="0"/>
                <w:snapToGrid w:val="0"/>
                <w:color w:val="auto"/>
                <w:spacing w:val="0"/>
                <w:w w:val="100"/>
                <w:position w:val="0"/>
                <w:sz w:val="21"/>
                <w:szCs w:val="21"/>
                <w:highlight w:val="none"/>
              </w:rPr>
              <w:t>图</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4</w:t>
            </w:r>
            <w:r>
              <w:rPr>
                <w:rFonts w:hint="default" w:ascii="Times New Roman" w:hAnsi="Times New Roman" w:eastAsia="宋体" w:cs="Times New Roman"/>
                <w:b/>
                <w:bCs/>
                <w:caps w:val="0"/>
                <w:snapToGrid w:val="0"/>
                <w:color w:val="auto"/>
                <w:spacing w:val="0"/>
                <w:w w:val="100"/>
                <w:position w:val="0"/>
                <w:sz w:val="21"/>
                <w:szCs w:val="21"/>
                <w:highlight w:val="none"/>
              </w:rPr>
              <w:t>-</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bCs/>
                <w:caps w:val="0"/>
                <w:snapToGrid w:val="0"/>
                <w:color w:val="auto"/>
                <w:spacing w:val="0"/>
                <w:w w:val="100"/>
                <w:position w:val="0"/>
                <w:sz w:val="21"/>
                <w:szCs w:val="21"/>
                <w:highlight w:val="none"/>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rPr>
              <w:t xml:space="preserve"> 项目</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扩建完成后全厂</w:t>
            </w:r>
            <w:r>
              <w:rPr>
                <w:rFonts w:hint="default" w:ascii="Times New Roman" w:hAnsi="Times New Roman" w:eastAsia="宋体" w:cs="Times New Roman"/>
                <w:b/>
                <w:bCs/>
                <w:caps w:val="0"/>
                <w:snapToGrid w:val="0"/>
                <w:color w:val="auto"/>
                <w:spacing w:val="0"/>
                <w:w w:val="100"/>
                <w:position w:val="0"/>
                <w:sz w:val="21"/>
                <w:szCs w:val="21"/>
                <w:highlight w:val="none"/>
              </w:rPr>
              <w:t>运营期</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雨天</w:t>
            </w:r>
            <w:r>
              <w:rPr>
                <w:rFonts w:hint="default" w:ascii="Times New Roman" w:hAnsi="Times New Roman" w:eastAsia="宋体" w:cs="Times New Roman"/>
                <w:b/>
                <w:bCs/>
                <w:caps w:val="0"/>
                <w:snapToGrid w:val="0"/>
                <w:color w:val="auto"/>
                <w:spacing w:val="0"/>
                <w:w w:val="100"/>
                <w:position w:val="0"/>
                <w:sz w:val="21"/>
                <w:szCs w:val="21"/>
                <w:highlight w:val="none"/>
              </w:rPr>
              <w:t>水平衡示意图   单位：m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根据</w:t>
            </w:r>
            <w:r>
              <w:rPr>
                <w:rFonts w:hint="default" w:ascii="Times New Roman" w:hAnsi="Times New Roman" w:eastAsia="宋体" w:cs="Times New Roman"/>
                <w:color w:val="auto"/>
                <w:spacing w:val="-4"/>
                <w:sz w:val="24"/>
                <w:szCs w:val="24"/>
                <w:highlight w:val="none"/>
                <w:lang w:eastAsia="zh-CN"/>
              </w:rPr>
              <w:t>工程分析，本项目依托</w:t>
            </w:r>
            <w:r>
              <w:rPr>
                <w:rFonts w:hint="default" w:ascii="Times New Roman" w:hAnsi="Times New Roman" w:eastAsia="宋体" w:cs="Times New Roman"/>
                <w:color w:val="auto"/>
                <w:spacing w:val="-4"/>
                <w:sz w:val="24"/>
                <w:szCs w:val="24"/>
                <w:highlight w:val="none"/>
                <w:lang w:val="en-US" w:eastAsia="zh-CN"/>
              </w:rPr>
              <w:t>原项目已建</w:t>
            </w:r>
            <w:r>
              <w:rPr>
                <w:rFonts w:hint="default" w:ascii="Times New Roman" w:hAnsi="Times New Roman" w:eastAsia="宋体" w:cs="Times New Roman"/>
                <w:color w:val="auto"/>
                <w:spacing w:val="-4"/>
                <w:sz w:val="24"/>
                <w:szCs w:val="24"/>
                <w:highlight w:val="none"/>
                <w:lang w:eastAsia="zh-CN"/>
              </w:rPr>
              <w:t>污水处理</w:t>
            </w:r>
            <w:r>
              <w:rPr>
                <w:rFonts w:hint="default" w:ascii="Times New Roman" w:hAnsi="Times New Roman" w:eastAsia="宋体" w:cs="Times New Roman"/>
                <w:color w:val="auto"/>
                <w:spacing w:val="-4"/>
                <w:sz w:val="24"/>
                <w:szCs w:val="24"/>
                <w:highlight w:val="none"/>
                <w:lang w:val="en-US" w:eastAsia="zh-CN"/>
              </w:rPr>
              <w:t>站</w:t>
            </w:r>
            <w:r>
              <w:rPr>
                <w:rFonts w:hint="default" w:ascii="Times New Roman" w:hAnsi="Times New Roman" w:eastAsia="宋体" w:cs="Times New Roman"/>
                <w:color w:val="auto"/>
                <w:spacing w:val="-4"/>
                <w:sz w:val="24"/>
                <w:szCs w:val="24"/>
                <w:highlight w:val="none"/>
                <w:lang w:eastAsia="zh-CN"/>
              </w:rPr>
              <w:t>处理后能够</w:t>
            </w:r>
            <w:r>
              <w:rPr>
                <w:rFonts w:hint="eastAsia" w:eastAsia="宋体" w:cs="Times New Roman"/>
                <w:color w:val="auto"/>
                <w:spacing w:val="-4"/>
                <w:sz w:val="24"/>
                <w:szCs w:val="24"/>
                <w:highlight w:val="none"/>
                <w:lang w:eastAsia="zh-CN"/>
              </w:rPr>
              <w:t>达到</w:t>
            </w:r>
            <w:r>
              <w:rPr>
                <w:rFonts w:hint="default" w:ascii="Times New Roman" w:hAnsi="Times New Roman" w:eastAsia="宋体" w:cs="Times New Roman"/>
                <w:color w:val="auto"/>
                <w:sz w:val="24"/>
                <w:szCs w:val="24"/>
                <w:highlight w:val="none"/>
              </w:rPr>
              <w:t>《城市污水再生利用城市杂用水水质》（GB/T18920-20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）中绿化</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道路清扫标准中的最严值。</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val="0"/>
                <w:bCs/>
                <w:color w:val="auto"/>
                <w:spacing w:val="0"/>
                <w:w w:val="100"/>
                <w:position w:val="0"/>
                <w:sz w:val="24"/>
                <w:szCs w:val="24"/>
                <w:highlight w:val="none"/>
                <w:lang w:val="en-US" w:eastAsia="zh-CN"/>
              </w:rPr>
              <w:t>综上，项目生活废水回用可行，不外排，对周边地表水环境的影响较小。</w:t>
            </w:r>
          </w:p>
          <w:p>
            <w:pPr>
              <w:keepNext w:val="0"/>
              <w:keepLines w:val="0"/>
              <w:pageBreakBefore w:val="0"/>
              <w:widowControl w:val="0"/>
              <w:kinsoku/>
              <w:wordWrap/>
              <w:overflowPunct/>
              <w:topLinePunct w:val="0"/>
              <w:autoSpaceDE/>
              <w:autoSpaceDN/>
              <w:bidi w:val="0"/>
              <w:spacing w:line="360" w:lineRule="auto"/>
              <w:ind w:left="0"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5、</w:t>
            </w:r>
            <w:r>
              <w:rPr>
                <w:rFonts w:hint="default" w:ascii="Times New Roman" w:hAnsi="Times New Roman" w:eastAsia="宋体" w:cs="Times New Roman"/>
                <w:b/>
                <w:bCs/>
                <w:color w:val="auto"/>
                <w:sz w:val="24"/>
                <w:szCs w:val="24"/>
                <w:highlight w:val="none"/>
                <w:lang w:val="en-US" w:eastAsia="zh-CN"/>
              </w:rPr>
              <w:t>事故</w:t>
            </w:r>
            <w:r>
              <w:rPr>
                <w:rFonts w:hint="default" w:ascii="Times New Roman" w:hAnsi="Times New Roman" w:eastAsia="宋体" w:cs="Times New Roman"/>
                <w:b/>
                <w:bCs/>
                <w:color w:val="auto"/>
                <w:sz w:val="24"/>
                <w:szCs w:val="24"/>
                <w:highlight w:val="none"/>
              </w:rPr>
              <w:t>废水</w:t>
            </w:r>
            <w:r>
              <w:rPr>
                <w:rFonts w:hint="default" w:ascii="Times New Roman" w:hAnsi="Times New Roman" w:eastAsia="宋体" w:cs="Times New Roman"/>
                <w:b/>
                <w:bCs/>
                <w:color w:val="auto"/>
                <w:sz w:val="24"/>
                <w:szCs w:val="24"/>
                <w:highlight w:val="none"/>
                <w:lang w:val="en-US" w:eastAsia="zh-CN"/>
              </w:rPr>
              <w:t>处置分析</w:t>
            </w:r>
          </w:p>
          <w:p>
            <w:pPr>
              <w:keepNext w:val="0"/>
              <w:keepLines w:val="0"/>
              <w:pageBreakBefore w:val="0"/>
              <w:widowControl w:val="0"/>
              <w:kinsoku/>
              <w:wordWrap/>
              <w:overflowPunct/>
              <w:topLinePunct w:val="0"/>
              <w:autoSpaceDE/>
              <w:autoSpaceDN/>
              <w:bidi w:val="0"/>
              <w:spacing w:line="360" w:lineRule="auto"/>
              <w:ind w:left="0" w:firstLine="464" w:firstLineChars="200"/>
              <w:rPr>
                <w:rFonts w:hint="default" w:ascii="Times New Roman" w:hAnsi="Times New Roman" w:eastAsia="宋体" w:cs="Times New Roman"/>
                <w:b w:val="0"/>
                <w:bCs/>
                <w:color w:val="auto"/>
                <w:spacing w:val="0"/>
                <w:w w:val="100"/>
                <w:position w:val="0"/>
                <w:sz w:val="24"/>
                <w:szCs w:val="24"/>
                <w:highlight w:val="none"/>
                <w:lang w:val="en-US" w:eastAsia="zh-CN"/>
              </w:rPr>
            </w:pPr>
            <w:r>
              <w:rPr>
                <w:rFonts w:hint="default" w:ascii="Times New Roman" w:hAnsi="Times New Roman" w:eastAsia="宋体" w:cs="Times New Roman"/>
                <w:color w:val="auto"/>
                <w:spacing w:val="-4"/>
                <w:sz w:val="24"/>
                <w:szCs w:val="24"/>
                <w:highlight w:val="none"/>
              </w:rPr>
              <w:t>一体化生活污水处理</w:t>
            </w:r>
            <w:r>
              <w:rPr>
                <w:rFonts w:hint="default" w:ascii="Times New Roman" w:hAnsi="Times New Roman" w:eastAsia="宋体" w:cs="Times New Roman"/>
                <w:color w:val="auto"/>
                <w:spacing w:val="-4"/>
                <w:sz w:val="24"/>
                <w:szCs w:val="24"/>
                <w:highlight w:val="none"/>
                <w:lang w:val="en-US" w:eastAsia="zh-CN"/>
              </w:rPr>
              <w:t>站旁设置1个事故应急池，用于暂存</w:t>
            </w:r>
            <w:r>
              <w:rPr>
                <w:rFonts w:hint="default" w:ascii="Times New Roman" w:hAnsi="Times New Roman" w:eastAsia="宋体" w:cs="Times New Roman"/>
                <w:color w:val="auto"/>
                <w:spacing w:val="-4"/>
                <w:sz w:val="24"/>
                <w:szCs w:val="24"/>
                <w:highlight w:val="none"/>
              </w:rPr>
              <w:t>一体化生活污水处理</w:t>
            </w:r>
            <w:r>
              <w:rPr>
                <w:rFonts w:hint="default" w:ascii="Times New Roman" w:hAnsi="Times New Roman" w:eastAsia="宋体" w:cs="Times New Roman"/>
                <w:color w:val="auto"/>
                <w:spacing w:val="-4"/>
                <w:sz w:val="24"/>
                <w:szCs w:val="24"/>
                <w:highlight w:val="none"/>
                <w:lang w:val="en-US" w:eastAsia="zh-CN"/>
              </w:rPr>
              <w:t>站故障时的废水，</w:t>
            </w:r>
            <w:r>
              <w:rPr>
                <w:rFonts w:hint="default" w:ascii="Times New Roman" w:hAnsi="Times New Roman" w:eastAsia="宋体" w:cs="Times New Roman"/>
                <w:color w:val="auto"/>
                <w:sz w:val="24"/>
                <w:szCs w:val="24"/>
                <w:highlight w:val="none"/>
                <w:lang w:val="en-US" w:eastAsia="zh-CN" w:bidi="ar"/>
              </w:rPr>
              <w:t>事故应急池的容积按照以下公式计算：应急时间×高峰期流量来确定，本</w:t>
            </w:r>
            <w:r>
              <w:rPr>
                <w:rFonts w:hint="default" w:ascii="Times New Roman" w:hAnsi="Times New Roman" w:eastAsia="宋体" w:cs="Times New Roman"/>
                <w:b w:val="0"/>
                <w:bCs w:val="0"/>
                <w:color w:val="auto"/>
                <w:kern w:val="0"/>
                <w:sz w:val="24"/>
                <w:szCs w:val="24"/>
                <w:lang w:val="en-US" w:eastAsia="zh-CN" w:bidi="ar"/>
              </w:rPr>
              <w:t>项目扩建完成后全厂废水总量为</w:t>
            </w:r>
            <w:r>
              <w:rPr>
                <w:rFonts w:hint="default" w:ascii="Times New Roman" w:hAnsi="Times New Roman" w:eastAsia="宋体" w:cs="Times New Roman"/>
                <w:b w:val="0"/>
                <w:bCs w:val="0"/>
                <w:color w:val="auto"/>
                <w:kern w:val="0"/>
                <w:sz w:val="24"/>
                <w:szCs w:val="24"/>
                <w:highlight w:val="none"/>
                <w:lang w:val="en-US" w:eastAsia="zh-CN" w:bidi="ar"/>
              </w:rPr>
              <w:t>2.4</w:t>
            </w:r>
            <w:r>
              <w:rPr>
                <w:rFonts w:hint="default" w:ascii="Times New Roman" w:hAnsi="Times New Roman" w:eastAsia="宋体" w:cs="Times New Roman"/>
                <w:b w:val="0"/>
                <w:bCs w:val="0"/>
                <w:color w:val="auto"/>
                <w:kern w:val="0"/>
                <w:sz w:val="24"/>
                <w:szCs w:val="24"/>
                <w:lang w:val="en-US" w:eastAsia="zh-CN" w:bidi="ar"/>
              </w:rPr>
              <w:t>m³/d，本次评价按</w:t>
            </w:r>
            <w:r>
              <w:rPr>
                <w:rFonts w:hint="default" w:ascii="Times New Roman" w:hAnsi="Times New Roman" w:eastAsia="宋体" w:cs="Times New Roman"/>
                <w:color w:val="auto"/>
                <w:sz w:val="24"/>
                <w:szCs w:val="24"/>
                <w:highlight w:val="none"/>
                <w:lang w:val="en-US" w:eastAsia="zh-CN" w:bidi="ar"/>
              </w:rPr>
              <w:t>高峰期流量为0.3</w:t>
            </w:r>
            <w:r>
              <w:rPr>
                <w:rFonts w:hint="default" w:ascii="Times New Roman" w:hAnsi="Times New Roman" w:eastAsia="宋体" w:cs="Times New Roman"/>
                <w:b w:val="0"/>
                <w:bCs w:val="0"/>
                <w:color w:val="auto"/>
                <w:kern w:val="0"/>
                <w:sz w:val="24"/>
                <w:szCs w:val="24"/>
                <w:lang w:val="en-US" w:eastAsia="zh-CN" w:bidi="ar"/>
              </w:rPr>
              <w:t>m³/h计（高峰时间每天8小时）</w:t>
            </w:r>
            <w:r>
              <w:rPr>
                <w:rFonts w:hint="default" w:ascii="Times New Roman" w:hAnsi="Times New Roman" w:eastAsia="宋体" w:cs="Times New Roman"/>
                <w:color w:val="auto"/>
                <w:sz w:val="24"/>
                <w:szCs w:val="24"/>
                <w:highlight w:val="none"/>
                <w:lang w:val="en-US" w:eastAsia="zh-CN" w:bidi="ar"/>
              </w:rPr>
              <w:t>，</w:t>
            </w:r>
            <w:r>
              <w:rPr>
                <w:rFonts w:hint="default" w:ascii="Times New Roman" w:hAnsi="Times New Roman" w:eastAsia="宋体" w:cs="Times New Roman"/>
                <w:color w:val="auto"/>
                <w:sz w:val="24"/>
                <w:szCs w:val="24"/>
                <w:lang w:val="zh-CN" w:bidi="ar"/>
              </w:rPr>
              <w:t>事故排除时间为2h，</w:t>
            </w:r>
            <w:r>
              <w:rPr>
                <w:rFonts w:hint="default" w:ascii="Times New Roman" w:hAnsi="Times New Roman" w:eastAsia="宋体" w:cs="Times New Roman"/>
                <w:color w:val="auto"/>
                <w:sz w:val="24"/>
                <w:szCs w:val="24"/>
                <w:highlight w:val="none"/>
                <w:lang w:val="en-US" w:eastAsia="zh-CN" w:bidi="ar"/>
              </w:rPr>
              <w:t>因此项目事故应急池的容积应不小于0.6</w:t>
            </w:r>
            <w:r>
              <w:rPr>
                <w:rFonts w:hint="default" w:ascii="Times New Roman" w:hAnsi="Times New Roman" w:eastAsia="宋体" w:cs="Times New Roman"/>
                <w:color w:val="auto"/>
                <w:sz w:val="24"/>
                <w:szCs w:val="24"/>
                <w:lang w:val="zh-CN" w:bidi="ar"/>
              </w:rPr>
              <w:t>m</w:t>
            </w:r>
            <w:r>
              <w:rPr>
                <w:rFonts w:hint="default" w:ascii="Times New Roman" w:hAnsi="Times New Roman" w:eastAsia="宋体" w:cs="Times New Roman"/>
                <w:color w:val="auto"/>
                <w:sz w:val="24"/>
                <w:szCs w:val="24"/>
                <w:vertAlign w:val="superscript"/>
                <w:lang w:bidi="ar"/>
              </w:rPr>
              <w:t>3</w:t>
            </w:r>
            <w:r>
              <w:rPr>
                <w:rFonts w:hint="default" w:ascii="Times New Roman" w:hAnsi="Times New Roman" w:eastAsia="宋体" w:cs="Times New Roman"/>
                <w:color w:val="auto"/>
                <w:sz w:val="24"/>
                <w:szCs w:val="24"/>
                <w:highlight w:val="none"/>
                <w:lang w:val="en-US" w:eastAsia="zh-CN" w:bidi="ar"/>
              </w:rPr>
              <w:t>，本次环评提出设置1个容积约为1</w:t>
            </w:r>
            <w:r>
              <w:rPr>
                <w:rFonts w:hint="default" w:ascii="Times New Roman" w:hAnsi="Times New Roman" w:eastAsia="宋体" w:cs="Times New Roman"/>
                <w:color w:val="auto"/>
                <w:sz w:val="24"/>
                <w:szCs w:val="24"/>
                <w:lang w:val="zh-CN" w:bidi="ar"/>
              </w:rPr>
              <w:t>m</w:t>
            </w:r>
            <w:r>
              <w:rPr>
                <w:rFonts w:hint="default" w:ascii="Times New Roman" w:hAnsi="Times New Roman" w:eastAsia="宋体" w:cs="Times New Roman"/>
                <w:color w:val="auto"/>
                <w:sz w:val="24"/>
                <w:szCs w:val="24"/>
                <w:vertAlign w:val="superscript"/>
                <w:lang w:bidi="ar"/>
              </w:rPr>
              <w:t>3</w:t>
            </w:r>
            <w:r>
              <w:rPr>
                <w:rFonts w:hint="default" w:ascii="Times New Roman" w:hAnsi="Times New Roman" w:eastAsia="宋体" w:cs="Times New Roman"/>
                <w:color w:val="auto"/>
                <w:sz w:val="24"/>
                <w:szCs w:val="24"/>
                <w:highlight w:val="none"/>
                <w:lang w:val="en-US" w:eastAsia="zh-CN" w:bidi="ar"/>
              </w:rPr>
              <w:t>的事故应急池，</w:t>
            </w:r>
            <w:r>
              <w:rPr>
                <w:rFonts w:hint="default" w:ascii="Times New Roman" w:hAnsi="Times New Roman" w:eastAsia="宋体" w:cs="Times New Roman"/>
                <w:color w:val="auto"/>
                <w:sz w:val="24"/>
                <w:szCs w:val="24"/>
                <w:lang w:val="zh-CN" w:bidi="ar"/>
              </w:rPr>
              <w:t>本项目设置</w:t>
            </w:r>
            <w:r>
              <w:rPr>
                <w:rFonts w:hint="default" w:ascii="Times New Roman" w:hAnsi="Times New Roman" w:eastAsia="宋体" w:cs="Times New Roman"/>
                <w:color w:val="auto"/>
                <w:sz w:val="24"/>
                <w:szCs w:val="24"/>
                <w:lang w:val="en-US" w:eastAsia="zh-CN" w:bidi="ar"/>
              </w:rPr>
              <w:t>的</w:t>
            </w:r>
            <w:r>
              <w:rPr>
                <w:rFonts w:hint="default" w:ascii="Times New Roman" w:hAnsi="Times New Roman" w:eastAsia="宋体" w:cs="Times New Roman"/>
                <w:color w:val="auto"/>
                <w:sz w:val="24"/>
                <w:szCs w:val="24"/>
                <w:lang w:val="zh-CN" w:bidi="ar"/>
              </w:rPr>
              <w:t>事故池其容量完全能够满足事故处理期间临时存放废水的需要。</w:t>
            </w:r>
            <w:r>
              <w:rPr>
                <w:rFonts w:hint="default" w:ascii="Times New Roman" w:hAnsi="Times New Roman" w:eastAsia="宋体" w:cs="Times New Roman"/>
                <w:color w:val="auto"/>
                <w:spacing w:val="-4"/>
                <w:sz w:val="24"/>
                <w:szCs w:val="24"/>
                <w:highlight w:val="none"/>
                <w:lang w:val="en-US" w:eastAsia="zh-CN"/>
              </w:rPr>
              <w:t>待生活污水处理站恢复正常运营时再将暂存于事故应急池内的废水进行处理达标后</w:t>
            </w:r>
            <w:r>
              <w:rPr>
                <w:rFonts w:hint="default" w:ascii="Times New Roman" w:hAnsi="Times New Roman" w:eastAsia="宋体" w:cs="Times New Roman"/>
                <w:color w:val="auto"/>
                <w:kern w:val="2"/>
                <w:sz w:val="24"/>
                <w:szCs w:val="24"/>
                <w:highlight w:val="none"/>
                <w:lang w:val="en-US" w:eastAsia="zh-CN" w:bidi="ar"/>
              </w:rPr>
              <w:t>回用于项目区内绿化、道路场地洒水，不外排。</w:t>
            </w:r>
          </w:p>
          <w:p>
            <w:pPr>
              <w:keepNext w:val="0"/>
              <w:keepLines w:val="0"/>
              <w:pageBreakBefore w:val="0"/>
              <w:widowControl w:val="0"/>
              <w:kinsoku/>
              <w:wordWrap/>
              <w:overflowPunct/>
              <w:topLinePunct w:val="0"/>
              <w:autoSpaceDE/>
              <w:autoSpaceDN/>
              <w:bidi w:val="0"/>
              <w:spacing w:line="360" w:lineRule="auto"/>
              <w:ind w:left="0" w:firstLine="480"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val="0"/>
                <w:bCs/>
                <w:color w:val="auto"/>
                <w:spacing w:val="0"/>
                <w:w w:val="100"/>
                <w:position w:val="0"/>
                <w:sz w:val="24"/>
                <w:szCs w:val="24"/>
                <w:highlight w:val="none"/>
                <w:lang w:val="en-US" w:eastAsia="zh-CN"/>
              </w:rPr>
              <w:t>综上，项目污水处理设施事故状态时可保证废水全部收集暂存，不外排，对周边地表水环境的影响较小。</w:t>
            </w:r>
          </w:p>
          <w:p>
            <w:pPr>
              <w:keepNext w:val="0"/>
              <w:keepLines w:val="0"/>
              <w:pageBreakBefore w:val="0"/>
              <w:widowControl w:val="0"/>
              <w:kinsoku/>
              <w:wordWrap/>
              <w:overflowPunct/>
              <w:topLinePunct w:val="0"/>
              <w:autoSpaceDE/>
              <w:autoSpaceDN/>
              <w:bidi w:val="0"/>
              <w:spacing w:line="360" w:lineRule="auto"/>
              <w:ind w:lef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、雨天废水</w:t>
            </w:r>
            <w:r>
              <w:rPr>
                <w:rFonts w:hint="default" w:ascii="Times New Roman" w:hAnsi="Times New Roman" w:eastAsia="宋体" w:cs="Times New Roman"/>
                <w:b/>
                <w:bCs/>
                <w:color w:val="auto"/>
                <w:sz w:val="24"/>
                <w:szCs w:val="24"/>
                <w:highlight w:val="none"/>
                <w:lang w:val="en-US" w:eastAsia="zh-CN"/>
              </w:rPr>
              <w:t>处置</w:t>
            </w:r>
            <w:r>
              <w:rPr>
                <w:rFonts w:hint="default" w:ascii="Times New Roman" w:hAnsi="Times New Roman" w:eastAsia="宋体" w:cs="Times New Roman"/>
                <w:b/>
                <w:bCs/>
                <w:color w:val="auto"/>
                <w:sz w:val="24"/>
                <w:szCs w:val="24"/>
                <w:highlight w:val="none"/>
              </w:rPr>
              <w:t>可行性分析</w:t>
            </w:r>
          </w:p>
          <w:p>
            <w:pPr>
              <w:keepNext w:val="0"/>
              <w:keepLines w:val="0"/>
              <w:pageBreakBefore w:val="0"/>
              <w:widowControl w:val="0"/>
              <w:kinsoku/>
              <w:wordWrap/>
              <w:overflowPunct/>
              <w:topLinePunct w:val="0"/>
              <w:autoSpaceDE/>
              <w:autoSpaceDN/>
              <w:bidi w:val="0"/>
              <w:spacing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项目雨季产生的废水经一体化污水处理设施处理后，暂存于蓄水池中，本项目</w:t>
            </w:r>
            <w:r>
              <w:rPr>
                <w:rFonts w:hint="default" w:ascii="Times New Roman" w:hAnsi="Times New Roman" w:eastAsia="宋体" w:cs="Times New Roman"/>
                <w:color w:val="auto"/>
                <w:sz w:val="24"/>
                <w:szCs w:val="24"/>
                <w:highlight w:val="none"/>
                <w:lang w:eastAsia="zh-CN"/>
              </w:rPr>
              <w:t>依托</w:t>
            </w:r>
            <w:r>
              <w:rPr>
                <w:rFonts w:hint="default" w:ascii="Times New Roman" w:hAnsi="Times New Roman" w:eastAsia="宋体" w:cs="Times New Roman"/>
                <w:color w:val="auto"/>
                <w:sz w:val="24"/>
                <w:szCs w:val="24"/>
                <w:highlight w:val="none"/>
                <w:lang w:val="en-US" w:eastAsia="zh-CN"/>
              </w:rPr>
              <w:t>原项目</w:t>
            </w:r>
            <w:r>
              <w:rPr>
                <w:rFonts w:hint="default" w:ascii="Times New Roman" w:hAnsi="Times New Roman" w:eastAsia="宋体" w:cs="Times New Roman"/>
                <w:color w:val="auto"/>
                <w:sz w:val="24"/>
                <w:szCs w:val="24"/>
                <w:highlight w:val="none"/>
                <w:lang w:eastAsia="zh-CN"/>
              </w:rPr>
              <w:t>已建蓄水池储存</w:t>
            </w:r>
            <w:r>
              <w:rPr>
                <w:rFonts w:hint="default" w:ascii="Times New Roman" w:hAnsi="Times New Roman" w:eastAsia="宋体" w:cs="Times New Roman"/>
                <w:color w:val="auto"/>
                <w:sz w:val="24"/>
                <w:szCs w:val="24"/>
                <w:highlight w:val="none"/>
              </w:rPr>
              <w:t>经一体化污水处理设施处理后</w:t>
            </w:r>
            <w:r>
              <w:rPr>
                <w:rFonts w:hint="default" w:ascii="Times New Roman" w:hAnsi="Times New Roman" w:eastAsia="宋体" w:cs="Times New Roman"/>
                <w:color w:val="auto"/>
                <w:sz w:val="24"/>
                <w:szCs w:val="24"/>
                <w:highlight w:val="none"/>
                <w:lang w:eastAsia="zh-CN"/>
              </w:rPr>
              <w:t>的废水，本</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eastAsia="zh-CN"/>
              </w:rPr>
              <w:t>及</w:t>
            </w:r>
            <w:r>
              <w:rPr>
                <w:rFonts w:hint="default" w:ascii="Times New Roman" w:hAnsi="Times New Roman" w:eastAsia="宋体" w:cs="Times New Roman"/>
                <w:color w:val="auto"/>
                <w:sz w:val="24"/>
                <w:szCs w:val="24"/>
                <w:highlight w:val="none"/>
                <w:lang w:val="en-US" w:eastAsia="zh-CN"/>
              </w:rPr>
              <w:t>原项目</w:t>
            </w:r>
            <w:r>
              <w:rPr>
                <w:rFonts w:hint="default" w:ascii="Times New Roman" w:hAnsi="Times New Roman" w:eastAsia="宋体" w:cs="Times New Roman"/>
                <w:color w:val="auto"/>
                <w:sz w:val="24"/>
                <w:szCs w:val="24"/>
                <w:highlight w:val="none"/>
                <w:lang w:eastAsia="zh-CN"/>
              </w:rPr>
              <w:t>废水总量为</w:t>
            </w:r>
            <w:r>
              <w:rPr>
                <w:rFonts w:hint="default" w:ascii="Times New Roman" w:hAnsi="Times New Roman" w:eastAsia="宋体" w:cs="Times New Roman"/>
                <w:b w:val="0"/>
                <w:bCs w:val="0"/>
                <w:color w:val="auto"/>
                <w:sz w:val="24"/>
                <w:szCs w:val="24"/>
                <w:highlight w:val="none"/>
                <w:lang w:val="en-US" w:eastAsia="zh-CN"/>
              </w:rPr>
              <w:t>2.4</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eastAsia="zh-CN"/>
              </w:rPr>
              <w:t>雨天</w:t>
            </w:r>
            <w:r>
              <w:rPr>
                <w:rFonts w:hint="default" w:ascii="Times New Roman" w:hAnsi="Times New Roman" w:eastAsia="宋体" w:cs="Times New Roman"/>
                <w:color w:val="auto"/>
                <w:sz w:val="24"/>
                <w:szCs w:val="24"/>
                <w:highlight w:val="none"/>
              </w:rPr>
              <w:t>容积按连续5天降雨时废水排放量计算</w:t>
            </w:r>
            <w:r>
              <w:rPr>
                <w:rFonts w:hint="default" w:ascii="Times New Roman" w:hAnsi="Times New Roman" w:eastAsia="宋体" w:cs="Times New Roman"/>
                <w:color w:val="auto"/>
                <w:sz w:val="24"/>
                <w:szCs w:val="24"/>
                <w:highlight w:val="none"/>
                <w:lang w:val="en-US" w:eastAsia="zh-CN"/>
              </w:rPr>
              <w:t>为12m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原</w:t>
            </w:r>
            <w:r>
              <w:rPr>
                <w:rFonts w:hint="default" w:ascii="Times New Roman" w:hAnsi="Times New Roman" w:eastAsia="宋体" w:cs="Times New Roman"/>
                <w:color w:val="auto"/>
                <w:sz w:val="24"/>
                <w:szCs w:val="24"/>
                <w:highlight w:val="none"/>
                <w:vertAlign w:val="baseline"/>
                <w:lang w:eastAsia="zh-CN"/>
              </w:rPr>
              <w:t>项目</w:t>
            </w:r>
            <w:r>
              <w:rPr>
                <w:rFonts w:hint="default" w:ascii="Times New Roman" w:hAnsi="Times New Roman" w:eastAsia="宋体" w:cs="Times New Roman"/>
                <w:color w:val="auto"/>
                <w:sz w:val="24"/>
                <w:szCs w:val="24"/>
                <w:highlight w:val="none"/>
                <w:vertAlign w:val="baseline"/>
                <w:lang w:val="en-US" w:eastAsia="zh-CN"/>
              </w:rPr>
              <w:t>已建</w:t>
            </w:r>
            <w:r>
              <w:rPr>
                <w:rFonts w:hint="default" w:ascii="Times New Roman" w:hAnsi="Times New Roman" w:eastAsia="宋体" w:cs="Times New Roman"/>
                <w:color w:val="auto"/>
                <w:sz w:val="24"/>
                <w:szCs w:val="24"/>
                <w:highlight w:val="none"/>
              </w:rPr>
              <w:t>蓄水池容积为</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vertAlign w:val="baseline"/>
                <w:lang w:val="en-US" w:eastAsia="zh-CN"/>
              </w:rPr>
              <w:t>且原项目已设置的污水处理站有较大余量，可</w:t>
            </w:r>
            <w:r>
              <w:rPr>
                <w:rFonts w:hint="default" w:ascii="Times New Roman" w:hAnsi="Times New Roman" w:eastAsia="宋体" w:cs="Times New Roman"/>
                <w:color w:val="auto"/>
                <w:sz w:val="24"/>
                <w:szCs w:val="24"/>
                <w:highlight w:val="none"/>
                <w:vertAlign w:val="baseline"/>
                <w:lang w:eastAsia="zh-CN"/>
              </w:rPr>
              <w:t>足够存下雨天所产生的全部废水，</w:t>
            </w:r>
            <w:r>
              <w:rPr>
                <w:rFonts w:hint="default" w:ascii="Times New Roman" w:hAnsi="Times New Roman" w:eastAsia="宋体" w:cs="Times New Roman"/>
                <w:color w:val="auto"/>
                <w:sz w:val="24"/>
                <w:szCs w:val="24"/>
                <w:highlight w:val="none"/>
              </w:rPr>
              <w:t>待晴天回用于绿化。因此项目</w:t>
            </w:r>
            <w:r>
              <w:rPr>
                <w:rFonts w:hint="default" w:ascii="Times New Roman" w:hAnsi="Times New Roman" w:eastAsia="宋体" w:cs="Times New Roman"/>
                <w:color w:val="auto"/>
                <w:sz w:val="24"/>
                <w:szCs w:val="24"/>
                <w:highlight w:val="none"/>
                <w:lang w:eastAsia="zh-CN"/>
              </w:rPr>
              <w:t>依托</w:t>
            </w:r>
            <w:r>
              <w:rPr>
                <w:rFonts w:hint="default" w:ascii="Times New Roman" w:hAnsi="Times New Roman" w:eastAsia="宋体" w:cs="Times New Roman"/>
                <w:color w:val="auto"/>
                <w:sz w:val="24"/>
                <w:szCs w:val="24"/>
                <w:highlight w:val="none"/>
                <w:lang w:val="en-US" w:eastAsia="zh-CN"/>
              </w:rPr>
              <w:t>原项目</w:t>
            </w:r>
            <w:r>
              <w:rPr>
                <w:rFonts w:hint="default" w:ascii="Times New Roman" w:hAnsi="Times New Roman" w:eastAsia="宋体" w:cs="Times New Roman"/>
                <w:color w:val="auto"/>
                <w:sz w:val="24"/>
                <w:szCs w:val="24"/>
                <w:highlight w:val="none"/>
                <w:lang w:eastAsia="zh-CN"/>
              </w:rPr>
              <w:t>已建蓄水池暂存</w:t>
            </w:r>
            <w:r>
              <w:rPr>
                <w:rFonts w:hint="default" w:ascii="Times New Roman" w:hAnsi="Times New Roman" w:eastAsia="宋体" w:cs="Times New Roman"/>
                <w:color w:val="auto"/>
                <w:sz w:val="24"/>
                <w:szCs w:val="24"/>
                <w:highlight w:val="none"/>
              </w:rPr>
              <w:t>废水回用于绿化</w:t>
            </w:r>
            <w:r>
              <w:rPr>
                <w:rFonts w:hint="default" w:ascii="Times New Roman" w:hAnsi="Times New Roman" w:eastAsia="宋体" w:cs="Times New Roman"/>
                <w:color w:val="auto"/>
                <w:sz w:val="24"/>
                <w:szCs w:val="24"/>
                <w:highlight w:val="none"/>
                <w:lang w:val="en-US" w:eastAsia="zh-CN"/>
              </w:rPr>
              <w:t>及道路洒水降尘</w:t>
            </w:r>
            <w:r>
              <w:rPr>
                <w:rFonts w:hint="default" w:ascii="Times New Roman" w:hAnsi="Times New Roman" w:eastAsia="宋体" w:cs="Times New Roman"/>
                <w:color w:val="auto"/>
                <w:sz w:val="24"/>
                <w:szCs w:val="24"/>
                <w:highlight w:val="none"/>
              </w:rPr>
              <w:t>是可行的。</w:t>
            </w:r>
          </w:p>
          <w:p>
            <w:pPr>
              <w:pStyle w:val="37"/>
              <w:keepNext w:val="0"/>
              <w:keepLines w:val="0"/>
              <w:pageBreakBefore w:val="0"/>
              <w:widowControl w:val="0"/>
              <w:kinsoku/>
              <w:wordWrap/>
              <w:overflowPunct/>
              <w:topLinePunct w:val="0"/>
              <w:autoSpaceDE/>
              <w:autoSpaceDN/>
              <w:bidi w:val="0"/>
              <w:spacing w:line="360" w:lineRule="auto"/>
              <w:ind w:left="0" w:right="0" w:firstLine="496"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综上所述，</w:t>
            </w:r>
            <w:r>
              <w:rPr>
                <w:rFonts w:hint="default" w:ascii="Times New Roman" w:hAnsi="Times New Roman" w:eastAsia="宋体" w:cs="Times New Roman"/>
                <w:color w:val="auto"/>
                <w:sz w:val="24"/>
                <w:szCs w:val="24"/>
                <w:highlight w:val="none"/>
                <w:lang w:eastAsia="zh-CN"/>
              </w:rPr>
              <w:t>项目废水环保设施均依托</w:t>
            </w:r>
            <w:r>
              <w:rPr>
                <w:rFonts w:hint="default" w:ascii="Times New Roman" w:hAnsi="Times New Roman" w:eastAsia="宋体" w:cs="Times New Roman"/>
                <w:color w:val="auto"/>
                <w:sz w:val="24"/>
                <w:szCs w:val="24"/>
                <w:highlight w:val="none"/>
                <w:lang w:val="en-US" w:eastAsia="zh-CN"/>
              </w:rPr>
              <w:t>原项目</w:t>
            </w:r>
            <w:r>
              <w:rPr>
                <w:rFonts w:hint="default" w:ascii="Times New Roman" w:hAnsi="Times New Roman" w:eastAsia="宋体" w:cs="Times New Roman"/>
                <w:color w:val="auto"/>
                <w:sz w:val="24"/>
                <w:szCs w:val="24"/>
                <w:highlight w:val="none"/>
                <w:lang w:eastAsia="zh-CN"/>
              </w:rPr>
              <w:t>已建设施可行，所依托设施</w:t>
            </w:r>
            <w:r>
              <w:rPr>
                <w:rFonts w:hint="default" w:ascii="Times New Roman" w:hAnsi="Times New Roman" w:eastAsia="宋体" w:cs="Times New Roman"/>
                <w:color w:val="auto"/>
                <w:sz w:val="24"/>
                <w:szCs w:val="24"/>
                <w:highlight w:val="none"/>
                <w:lang w:val="en-US" w:eastAsia="zh-CN"/>
              </w:rPr>
              <w:t>均已通过了竣工环境保护验收，验收意见见附件7。</w:t>
            </w:r>
          </w:p>
          <w:p>
            <w:pPr>
              <w:keepNext w:val="0"/>
              <w:keepLines w:val="0"/>
              <w:pageBreakBefore w:val="0"/>
              <w:widowControl w:val="0"/>
              <w:kinsoku/>
              <w:wordWrap/>
              <w:overflowPunct/>
              <w:topLinePunct w:val="0"/>
              <w:autoSpaceDE/>
              <w:autoSpaceDN/>
              <w:bidi w:val="0"/>
              <w:spacing w:line="360" w:lineRule="auto"/>
              <w:ind w:lef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因此，</w:t>
            </w:r>
            <w:r>
              <w:rPr>
                <w:rFonts w:hint="default" w:ascii="Times New Roman" w:hAnsi="Times New Roman" w:eastAsia="宋体" w:cs="Times New Roman"/>
                <w:color w:val="auto"/>
                <w:sz w:val="24"/>
                <w:szCs w:val="24"/>
                <w:highlight w:val="none"/>
              </w:rPr>
              <w:t>项目运营期产生的废水不外排，对周边地表水环境影响较小。</w:t>
            </w:r>
          </w:p>
          <w:p>
            <w:pPr>
              <w:keepNext w:val="0"/>
              <w:keepLines w:val="0"/>
              <w:pageBreakBefore w:val="0"/>
              <w:widowControl w:val="0"/>
              <w:kinsoku/>
              <w:wordWrap/>
              <w:overflowPunct/>
              <w:topLinePunct w:val="0"/>
              <w:autoSpaceDE/>
              <w:autoSpaceDN/>
              <w:bidi w:val="0"/>
              <w:spacing w:line="360" w:lineRule="auto"/>
              <w:ind w:left="0" w:firstLine="482" w:firstLineChars="200"/>
              <w:textAlignment w:val="auto"/>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lang w:val="en-US" w:eastAsia="zh-CN" w:bidi="ar"/>
              </w:rPr>
              <w:t>7</w:t>
            </w:r>
            <w:r>
              <w:rPr>
                <w:rFonts w:hint="default" w:ascii="Times New Roman" w:hAnsi="Times New Roman" w:eastAsia="宋体" w:cs="Times New Roman"/>
                <w:b/>
                <w:bCs w:val="0"/>
                <w:color w:val="auto"/>
                <w:sz w:val="24"/>
                <w:szCs w:val="24"/>
                <w:highlight w:val="none"/>
                <w:lang w:bidi="ar"/>
              </w:rPr>
              <w:t>、</w:t>
            </w:r>
            <w:r>
              <w:rPr>
                <w:rFonts w:hint="default" w:ascii="Times New Roman" w:hAnsi="Times New Roman" w:eastAsia="宋体" w:cs="Times New Roman"/>
                <w:b/>
                <w:bCs w:val="0"/>
                <w:color w:val="auto"/>
                <w:sz w:val="24"/>
                <w:szCs w:val="24"/>
                <w:highlight w:val="none"/>
              </w:rPr>
              <w:t>监测要求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sz w:val="24"/>
                <w:szCs w:val="24"/>
                <w:highlight w:val="none"/>
              </w:rPr>
              <w:t>根据排污许可技术</w:t>
            </w:r>
            <w:r>
              <w:rPr>
                <w:rFonts w:hint="default" w:ascii="Times New Roman" w:hAnsi="Times New Roman" w:eastAsia="宋体" w:cs="Times New Roman"/>
                <w:bCs/>
                <w:color w:val="auto"/>
                <w:sz w:val="24"/>
                <w:highlight w:val="none"/>
              </w:rPr>
              <w:t>规范可知，项目的废水监测计划如表</w:t>
            </w:r>
            <w:r>
              <w:rPr>
                <w:rFonts w:hint="default" w:ascii="Times New Roman" w:hAnsi="Times New Roman" w:eastAsia="宋体" w:cs="Times New Roman"/>
                <w:bCs/>
                <w:color w:val="auto"/>
                <w:sz w:val="24"/>
                <w:highlight w:val="none"/>
                <w:lang w:val="en-US" w:eastAsia="zh-CN"/>
              </w:rPr>
              <w:t>4-15</w:t>
            </w:r>
            <w:r>
              <w:rPr>
                <w:rFonts w:hint="default" w:ascii="Times New Roman" w:hAnsi="Times New Roman" w:eastAsia="宋体" w:cs="Times New Roman"/>
                <w:bCs/>
                <w:color w:val="auto"/>
                <w:highlight w:val="none"/>
              </w:rPr>
              <w:t>。</w:t>
            </w:r>
          </w:p>
          <w:p>
            <w:pPr>
              <w:ind w:firstLine="2471" w:firstLineChars="1172"/>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表4-</w:t>
            </w:r>
            <w:r>
              <w:rPr>
                <w:rFonts w:hint="default" w:ascii="Times New Roman" w:hAnsi="Times New Roman" w:eastAsia="宋体" w:cs="Times New Roman"/>
                <w:b/>
                <w:bCs w:val="0"/>
                <w:color w:val="auto"/>
                <w:highlight w:val="none"/>
                <w:lang w:val="en-US" w:eastAsia="zh-CN"/>
              </w:rPr>
              <w:t xml:space="preserve">15 </w:t>
            </w:r>
            <w:r>
              <w:rPr>
                <w:rFonts w:hint="default" w:ascii="Times New Roman" w:hAnsi="Times New Roman" w:eastAsia="宋体" w:cs="Times New Roman"/>
                <w:b/>
                <w:bCs w:val="0"/>
                <w:color w:val="auto"/>
                <w:highlight w:val="none"/>
              </w:rPr>
              <w:t xml:space="preserve">  环境监测计划一览表</w:t>
            </w:r>
          </w:p>
          <w:tbl>
            <w:tblPr>
              <w:tblStyle w:val="26"/>
              <w:tblW w:w="829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7"/>
              <w:gridCol w:w="1066"/>
              <w:gridCol w:w="1792"/>
              <w:gridCol w:w="3547"/>
              <w:gridCol w:w="13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567"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类别</w:t>
                  </w:r>
                </w:p>
              </w:tc>
              <w:tc>
                <w:tcPr>
                  <w:tcW w:w="1066"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监测点位</w:t>
                  </w:r>
                </w:p>
              </w:tc>
              <w:tc>
                <w:tcPr>
                  <w:tcW w:w="1792"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监测项目</w:t>
                  </w:r>
                </w:p>
              </w:tc>
              <w:tc>
                <w:tcPr>
                  <w:tcW w:w="3547"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标准</w:t>
                  </w:r>
                </w:p>
              </w:tc>
              <w:tc>
                <w:tcPr>
                  <w:tcW w:w="1320"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监测时间及频率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67" w:type="dxa"/>
                  <w:vAlign w:val="center"/>
                </w:tcPr>
                <w:p>
                  <w:pPr>
                    <w:pStyle w:val="10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066" w:type="dxa"/>
                  <w:vAlign w:val="center"/>
                </w:tcPr>
                <w:p>
                  <w:pPr>
                    <w:pStyle w:val="10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一体化污水处理站</w:t>
                  </w:r>
                  <w:r>
                    <w:rPr>
                      <w:rFonts w:hint="default" w:ascii="Times New Roman" w:hAnsi="Times New Roman" w:eastAsia="宋体" w:cs="Times New Roman"/>
                      <w:color w:val="auto"/>
                      <w:sz w:val="21"/>
                      <w:szCs w:val="21"/>
                      <w:highlight w:val="none"/>
                    </w:rPr>
                    <w:t>出口</w:t>
                  </w:r>
                </w:p>
              </w:tc>
              <w:tc>
                <w:tcPr>
                  <w:tcW w:w="1792" w:type="dxa"/>
                  <w:vAlign w:val="center"/>
                </w:tcPr>
                <w:p>
                  <w:pPr>
                    <w:pStyle w:val="10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pH、COD、BOD、SS、NH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-N、TP</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动植物油</w:t>
                  </w:r>
                </w:p>
              </w:tc>
              <w:tc>
                <w:tcPr>
                  <w:tcW w:w="3547" w:type="dxa"/>
                  <w:vAlign w:val="center"/>
                </w:tcPr>
                <w:p>
                  <w:pPr>
                    <w:pStyle w:val="77"/>
                    <w:spacing w:before="5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《城市污水再生利用 城市杂用水水质》（GB/T18920-2020）中的城市绿化、道路清扫、消防、建筑施工标准</w:t>
                  </w:r>
                </w:p>
              </w:tc>
              <w:tc>
                <w:tcPr>
                  <w:tcW w:w="1320" w:type="dxa"/>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Cs w:val="21"/>
                      <w:highlight w:val="none"/>
                      <w:lang w:val="en-US" w:eastAsia="zh-CN"/>
                    </w:rPr>
                    <w:t>验收时监测一次，后期根据相关要求进行</w:t>
                  </w:r>
                </w:p>
              </w:tc>
            </w:tr>
          </w:tbl>
          <w:p>
            <w:pPr>
              <w:keepNext w:val="0"/>
              <w:keepLines w:val="0"/>
              <w:pageBreakBefore w:val="0"/>
              <w:numPr>
                <w:ilvl w:val="0"/>
                <w:numId w:val="0"/>
              </w:numPr>
              <w:kinsoku/>
              <w:wordWrap/>
              <w:overflowPunct/>
              <w:topLinePunct w:val="0"/>
              <w:autoSpaceDE/>
              <w:autoSpaceDN/>
              <w:bidi w:val="0"/>
              <w:adjustRightInd w:val="0"/>
              <w:snapToGrid w:val="0"/>
              <w:spacing w:line="348" w:lineRule="auto"/>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三</w:t>
            </w:r>
            <w:r>
              <w:rPr>
                <w:rFonts w:hint="default" w:ascii="Times New Roman" w:hAnsi="Times New Roman" w:eastAsia="宋体" w:cs="Times New Roman"/>
                <w:b/>
                <w:color w:val="auto"/>
                <w:sz w:val="24"/>
                <w:szCs w:val="24"/>
                <w:highlight w:val="none"/>
              </w:rPr>
              <w:t>、噪声影响分析</w:t>
            </w:r>
          </w:p>
          <w:p>
            <w:pPr>
              <w:pStyle w:val="25"/>
              <w:keepNext w:val="0"/>
              <w:keepLines w:val="0"/>
              <w:pageBreakBefore w:val="0"/>
              <w:widowControl w:val="0"/>
              <w:numPr>
                <w:ilvl w:val="0"/>
                <w:numId w:val="0"/>
              </w:numPr>
              <w:kinsoku/>
              <w:wordWrap/>
              <w:overflowPunct/>
              <w:topLinePunct w:val="0"/>
              <w:autoSpaceDE/>
              <w:autoSpaceDN/>
              <w:bidi w:val="0"/>
              <w:adjustRightInd/>
              <w:snapToGrid w:val="0"/>
              <w:spacing w:after="0" w:afterLines="0" w:line="348"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color w:val="auto"/>
                <w:sz w:val="24"/>
                <w:szCs w:val="24"/>
                <w:highlight w:val="none"/>
                <w:lang w:eastAsia="zh-CN"/>
              </w:rPr>
              <w:t>交通噪声</w:t>
            </w:r>
          </w:p>
          <w:p>
            <w:pPr>
              <w:pStyle w:val="17"/>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项目运营</w:t>
            </w:r>
            <w:r>
              <w:rPr>
                <w:rFonts w:hint="eastAsia" w:ascii="Times New Roman" w:hAnsi="Times New Roman" w:cs="Times New Roman"/>
                <w:color w:val="auto"/>
                <w:sz w:val="24"/>
                <w:szCs w:val="24"/>
                <w:highlight w:val="none"/>
                <w:lang w:eastAsia="zh-CN"/>
              </w:rPr>
              <w:t>期间</w:t>
            </w:r>
            <w:r>
              <w:rPr>
                <w:rFonts w:hint="default" w:ascii="Times New Roman" w:hAnsi="Times New Roman" w:eastAsia="宋体" w:cs="Times New Roman"/>
                <w:color w:val="auto"/>
                <w:sz w:val="24"/>
                <w:szCs w:val="24"/>
                <w:highlight w:val="none"/>
                <w:lang w:eastAsia="zh-CN"/>
              </w:rPr>
              <w:t>，车辆产生的噪声值在</w:t>
            </w:r>
            <w:r>
              <w:rPr>
                <w:rFonts w:hint="default" w:ascii="Times New Roman" w:hAnsi="Times New Roman" w:eastAsia="宋体" w:cs="Times New Roman"/>
                <w:color w:val="auto"/>
                <w:sz w:val="24"/>
                <w:szCs w:val="24"/>
                <w:highlight w:val="none"/>
                <w:lang w:val="en-US" w:eastAsia="zh-CN"/>
              </w:rPr>
              <w:t>75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90</w:t>
            </w:r>
            <w:r>
              <w:rPr>
                <w:rFonts w:hint="default" w:ascii="Times New Roman" w:hAnsi="Times New Roman" w:eastAsia="宋体" w:cs="Times New Roman"/>
                <w:color w:val="auto"/>
                <w:sz w:val="24"/>
                <w:szCs w:val="24"/>
                <w:highlight w:val="none"/>
                <w:lang w:eastAsia="zh-CN"/>
              </w:rPr>
              <w:t>dB（A）之间，属于间歇性噪声，</w:t>
            </w:r>
            <w:r>
              <w:rPr>
                <w:rFonts w:hint="default" w:ascii="Times New Roman" w:hAnsi="Times New Roman" w:eastAsia="宋体" w:cs="Times New Roman"/>
                <w:color w:val="auto"/>
                <w:sz w:val="24"/>
                <w:highlight w:val="none"/>
                <w:lang w:val="zh-CN"/>
              </w:rPr>
              <w:t>会对周围环境造成一定影响。因车辆在项目区内为低速行驶状态，通过加强管理、禁止鸣笛等措施后，交通噪声对周围环境的影响是可以接受的。</w:t>
            </w:r>
          </w:p>
          <w:p>
            <w:pPr>
              <w:pStyle w:val="17"/>
              <w:keepNext w:val="0"/>
              <w:keepLines w:val="0"/>
              <w:pageBreakBefore w:val="0"/>
              <w:widowControl w:val="0"/>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bCs/>
                <w:color w:val="auto"/>
                <w:sz w:val="24"/>
                <w:szCs w:val="24"/>
                <w:highlight w:val="none"/>
                <w:lang w:val="en-US" w:eastAsia="zh-CN"/>
              </w:rPr>
              <w:t>2、固定噪声源</w:t>
            </w:r>
          </w:p>
          <w:p>
            <w:pPr>
              <w:adjustRightInd w:val="0"/>
              <w:snapToGrid w:val="0"/>
              <w:spacing w:line="348" w:lineRule="auto"/>
              <w:ind w:firstLine="480" w:firstLineChars="200"/>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color w:val="auto"/>
                <w:sz w:val="24"/>
                <w:highlight w:val="none"/>
                <w:lang w:val="zh-CN" w:bidi="ar"/>
              </w:rPr>
              <w:t>项目主要噪声源</w:t>
            </w:r>
            <w:r>
              <w:rPr>
                <w:rFonts w:hint="default" w:ascii="Times New Roman" w:hAnsi="Times New Roman" w:eastAsia="宋体" w:cs="Times New Roman"/>
                <w:color w:val="auto"/>
                <w:sz w:val="24"/>
                <w:highlight w:val="none"/>
                <w:lang w:bidi="ar"/>
              </w:rPr>
              <w:t>为</w:t>
            </w:r>
            <w:r>
              <w:rPr>
                <w:rFonts w:hint="default" w:ascii="Times New Roman" w:hAnsi="Times New Roman" w:eastAsia="宋体" w:cs="Times New Roman"/>
                <w:color w:val="auto"/>
                <w:sz w:val="24"/>
                <w:highlight w:val="none"/>
                <w:lang w:val="zh-CN" w:bidi="ar"/>
              </w:rPr>
              <w:t>机械设备</w:t>
            </w:r>
            <w:r>
              <w:rPr>
                <w:rFonts w:hint="default" w:ascii="Times New Roman" w:hAnsi="Times New Roman" w:eastAsia="宋体" w:cs="Times New Roman"/>
                <w:color w:val="auto"/>
                <w:sz w:val="24"/>
                <w:highlight w:val="none"/>
                <w:lang w:bidi="ar"/>
              </w:rPr>
              <w:t>噪声</w:t>
            </w:r>
            <w:r>
              <w:rPr>
                <w:rFonts w:hint="default" w:ascii="Times New Roman" w:hAnsi="Times New Roman" w:eastAsia="宋体" w:cs="Times New Roman"/>
                <w:color w:val="auto"/>
                <w:sz w:val="24"/>
                <w:highlight w:val="none"/>
                <w:lang w:val="zh-CN" w:bidi="ar"/>
              </w:rPr>
              <w:t>。各类机械噪声值在75～</w:t>
            </w:r>
            <w:r>
              <w:rPr>
                <w:rFonts w:hint="default" w:ascii="Times New Roman" w:hAnsi="Times New Roman" w:eastAsia="宋体" w:cs="Times New Roman"/>
                <w:color w:val="auto"/>
                <w:sz w:val="24"/>
                <w:highlight w:val="none"/>
                <w:lang w:val="en-US" w:eastAsia="zh-CN" w:bidi="ar"/>
              </w:rPr>
              <w:t>9</w:t>
            </w:r>
            <w:r>
              <w:rPr>
                <w:rFonts w:hint="default" w:ascii="Times New Roman" w:hAnsi="Times New Roman" w:eastAsia="宋体" w:cs="Times New Roman"/>
                <w:color w:val="auto"/>
                <w:sz w:val="24"/>
                <w:highlight w:val="none"/>
                <w:lang w:val="zh-CN" w:bidi="ar"/>
              </w:rPr>
              <w:t>5dB（A）之间。项目优先选用低噪声设备，采取厂房隔声、基础减振、安装消声器</w:t>
            </w:r>
            <w:r>
              <w:rPr>
                <w:rFonts w:hint="default" w:ascii="Times New Roman" w:hAnsi="Times New Roman" w:eastAsia="宋体" w:cs="Times New Roman"/>
                <w:color w:val="auto"/>
                <w:sz w:val="24"/>
                <w:highlight w:val="none"/>
                <w:lang w:val="en-US" w:eastAsia="zh-CN" w:bidi="ar"/>
              </w:rPr>
              <w:t>及</w:t>
            </w:r>
            <w:r>
              <w:rPr>
                <w:rFonts w:hint="default" w:ascii="Times New Roman" w:hAnsi="Times New Roman" w:eastAsia="宋体" w:cs="Times New Roman"/>
                <w:color w:val="auto"/>
                <w:sz w:val="24"/>
                <w:highlight w:val="none"/>
              </w:rPr>
              <w:t>加强对生产设备的管理和维护</w:t>
            </w:r>
            <w:r>
              <w:rPr>
                <w:rFonts w:hint="default" w:ascii="Times New Roman" w:hAnsi="Times New Roman" w:eastAsia="宋体" w:cs="Times New Roman"/>
                <w:color w:val="auto"/>
                <w:sz w:val="24"/>
                <w:highlight w:val="none"/>
                <w:lang w:val="zh-CN" w:bidi="ar"/>
              </w:rPr>
              <w:t>等措施。噪声在传播过程中容易衰减，且易受厂房、墙体、植被的吸收和阻隔。</w:t>
            </w:r>
            <w:r>
              <w:rPr>
                <w:rFonts w:hint="default" w:ascii="Times New Roman" w:hAnsi="Times New Roman" w:eastAsia="宋体" w:cs="Times New Roman"/>
                <w:color w:val="auto"/>
                <w:sz w:val="24"/>
                <w:highlight w:val="none"/>
                <w:lang w:eastAsia="zh-CN"/>
              </w:rPr>
              <w:t>具体</w:t>
            </w:r>
            <w:r>
              <w:rPr>
                <w:rFonts w:hint="default" w:ascii="Times New Roman" w:hAnsi="Times New Roman" w:eastAsia="宋体" w:cs="Times New Roman"/>
                <w:color w:val="auto"/>
                <w:sz w:val="24"/>
                <w:highlight w:val="none"/>
              </w:rPr>
              <w:t>噪声源强见表</w:t>
            </w:r>
            <w:r>
              <w:rPr>
                <w:rFonts w:hint="default" w:ascii="Times New Roman" w:hAnsi="Times New Roman" w:eastAsia="宋体" w:cs="Times New Roman"/>
                <w:color w:val="auto"/>
                <w:sz w:val="24"/>
                <w:highlight w:val="none"/>
                <w:lang w:val="en-US" w:eastAsia="zh-CN"/>
              </w:rPr>
              <w:t>4-16</w:t>
            </w:r>
            <w:r>
              <w:rPr>
                <w:rFonts w:hint="default" w:ascii="Times New Roman" w:hAnsi="Times New Roman" w:eastAsia="宋体" w:cs="Times New Roman"/>
                <w:color w:val="auto"/>
                <w:sz w:val="24"/>
                <w:highlight w:val="none"/>
              </w:rPr>
              <w:t>。</w:t>
            </w:r>
          </w:p>
        </w:tc>
      </w:tr>
    </w:tbl>
    <w:p>
      <w:pPr>
        <w:adjustRightInd w:val="0"/>
        <w:snapToGrid w:val="0"/>
        <w:spacing w:line="360" w:lineRule="auto"/>
        <w:rPr>
          <w:rFonts w:hint="default" w:ascii="Times New Roman" w:hAnsi="Times New Roman" w:eastAsia="宋体" w:cs="Times New Roman"/>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5"/>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 xml:space="preserve">16 </w:t>
      </w:r>
      <w:r>
        <w:rPr>
          <w:rFonts w:hint="default" w:ascii="Times New Roman" w:hAnsi="Times New Roman" w:eastAsia="宋体" w:cs="Times New Roman"/>
          <w:b/>
          <w:bCs/>
          <w:color w:val="auto"/>
          <w:sz w:val="21"/>
          <w:szCs w:val="21"/>
          <w:highlight w:val="none"/>
        </w:rPr>
        <w:t xml:space="preserve">  工业企业噪声源强调查清单（室内声源）</w:t>
      </w:r>
    </w:p>
    <w:tbl>
      <w:tblPr>
        <w:tblStyle w:val="26"/>
        <w:tblpPr w:leftFromText="180" w:rightFromText="180" w:vertAnchor="text" w:horzAnchor="page" w:tblpXSpec="center" w:tblpY="323"/>
        <w:tblOverlap w:val="never"/>
        <w:tblW w:w="50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64"/>
        <w:gridCol w:w="854"/>
        <w:gridCol w:w="710"/>
        <w:gridCol w:w="661"/>
        <w:gridCol w:w="484"/>
        <w:gridCol w:w="645"/>
        <w:gridCol w:w="500"/>
        <w:gridCol w:w="498"/>
        <w:gridCol w:w="471"/>
        <w:gridCol w:w="471"/>
        <w:gridCol w:w="471"/>
        <w:gridCol w:w="497"/>
        <w:gridCol w:w="466"/>
        <w:gridCol w:w="466"/>
        <w:gridCol w:w="466"/>
        <w:gridCol w:w="487"/>
        <w:gridCol w:w="439"/>
        <w:gridCol w:w="447"/>
        <w:gridCol w:w="447"/>
        <w:gridCol w:w="447"/>
        <w:gridCol w:w="471"/>
        <w:gridCol w:w="479"/>
        <w:gridCol w:w="479"/>
        <w:gridCol w:w="479"/>
        <w:gridCol w:w="479"/>
        <w:gridCol w:w="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jc w:val="center"/>
        </w:trPr>
        <w:tc>
          <w:tcPr>
            <w:tcW w:w="135"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bookmarkStart w:id="54" w:name="PT_6"/>
            <w:r>
              <w:rPr>
                <w:rFonts w:hint="default" w:ascii="Times New Roman" w:hAnsi="Times New Roman" w:eastAsia="宋体" w:cs="Times New Roman"/>
                <w:b/>
                <w:color w:val="auto"/>
                <w:sz w:val="21"/>
                <w:szCs w:val="21"/>
                <w:highlight w:val="none"/>
              </w:rPr>
              <w:t>序号</w:t>
            </w:r>
          </w:p>
        </w:tc>
        <w:tc>
          <w:tcPr>
            <w:tcW w:w="318"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建筑物名称</w:t>
            </w:r>
          </w:p>
        </w:tc>
        <w:tc>
          <w:tcPr>
            <w:tcW w:w="265"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声源名称</w:t>
            </w:r>
          </w:p>
        </w:tc>
        <w:tc>
          <w:tcPr>
            <w:tcW w:w="246"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声源源强</w:t>
            </w:r>
          </w:p>
        </w:tc>
        <w:tc>
          <w:tcPr>
            <w:tcW w:w="180"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声源控制措施</w:t>
            </w:r>
          </w:p>
        </w:tc>
        <w:tc>
          <w:tcPr>
            <w:tcW w:w="613"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空间相对位置/m</w:t>
            </w:r>
          </w:p>
        </w:tc>
        <w:tc>
          <w:tcPr>
            <w:tcW w:w="713"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距室内边界距离/m</w:t>
            </w:r>
          </w:p>
        </w:tc>
        <w:tc>
          <w:tcPr>
            <w:tcW w:w="703"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rPr>
              <w:t>室内边界声级/dB</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A</w:t>
            </w:r>
            <w:r>
              <w:rPr>
                <w:rFonts w:hint="default" w:ascii="Times New Roman" w:hAnsi="Times New Roman" w:eastAsia="宋体" w:cs="Times New Roman"/>
                <w:b/>
                <w:color w:val="auto"/>
                <w:sz w:val="21"/>
                <w:szCs w:val="21"/>
                <w:highlight w:val="none"/>
                <w:lang w:eastAsia="zh-CN"/>
              </w:rPr>
              <w:t>）</w:t>
            </w:r>
          </w:p>
        </w:tc>
        <w:tc>
          <w:tcPr>
            <w:tcW w:w="163"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运行时段</w:t>
            </w:r>
          </w:p>
        </w:tc>
        <w:tc>
          <w:tcPr>
            <w:tcW w:w="676"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rPr>
              <w:t>建筑物插入损失 / dB</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A</w:t>
            </w:r>
            <w:bookmarkStart w:id="55" w:name="PT_10"/>
            <w:bookmarkEnd w:id="55"/>
            <w:r>
              <w:rPr>
                <w:rFonts w:hint="default" w:ascii="Times New Roman" w:hAnsi="Times New Roman" w:eastAsia="宋体" w:cs="Times New Roman"/>
                <w:b/>
                <w:color w:val="auto"/>
                <w:sz w:val="21"/>
                <w:szCs w:val="21"/>
                <w:highlight w:val="none"/>
                <w:lang w:eastAsia="zh-CN"/>
              </w:rPr>
              <w:t>）</w:t>
            </w:r>
          </w:p>
        </w:tc>
        <w:tc>
          <w:tcPr>
            <w:tcW w:w="981" w:type="pct"/>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rPr>
              <w:t>建筑物外噪声声压级/dB</w:t>
            </w:r>
            <w:r>
              <w:rPr>
                <w:rFonts w:hint="default" w:ascii="Times New Roman" w:hAnsi="Times New Roman" w:eastAsia="宋体" w:cs="Times New Roman"/>
                <w:b/>
                <w:bCs w:val="0"/>
                <w:color w:val="auto"/>
                <w:sz w:val="21"/>
                <w:szCs w:val="21"/>
                <w:highlight w:val="none"/>
                <w:lang w:eastAsia="zh-CN"/>
              </w:rPr>
              <w:t>（</w:t>
            </w:r>
            <w:r>
              <w:rPr>
                <w:rFonts w:hint="default" w:ascii="Times New Roman" w:hAnsi="Times New Roman" w:eastAsia="宋体" w:cs="Times New Roman"/>
                <w:b/>
                <w:bCs w:val="0"/>
                <w:color w:val="auto"/>
                <w:sz w:val="21"/>
                <w:szCs w:val="21"/>
                <w:highlight w:val="none"/>
              </w:rPr>
              <w:t>A</w:t>
            </w:r>
            <w:r>
              <w:rPr>
                <w:rFonts w:hint="default" w:ascii="Times New Roman" w:hAnsi="Times New Roman" w:eastAsia="宋体" w:cs="Times New Roman"/>
                <w:b/>
                <w:bCs w:val="0"/>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35"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318"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265"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24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声功率级/dB</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eastAsia="zh-CN"/>
              </w:rPr>
              <w:t>）</w:t>
            </w:r>
          </w:p>
        </w:tc>
        <w:tc>
          <w:tcPr>
            <w:tcW w:w="180"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24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18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18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18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18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163"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26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31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茂源纸厂-声屏障</w:t>
            </w:r>
          </w:p>
        </w:tc>
        <w:tc>
          <w:tcPr>
            <w:tcW w:w="26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吹膜机SJ45-1</w:t>
            </w:r>
          </w:p>
        </w:tc>
        <w:tc>
          <w:tcPr>
            <w:tcW w:w="24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82</w:t>
            </w:r>
          </w:p>
        </w:tc>
        <w:tc>
          <w:tcPr>
            <w:tcW w:w="180" w:type="pct"/>
            <w:vMerge w:val="restar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eastAsia="zh-CN"/>
              </w:rPr>
              <w:t>消声</w:t>
            </w:r>
            <w:r>
              <w:rPr>
                <w:rFonts w:hint="default" w:ascii="Times New Roman" w:hAnsi="Times New Roman" w:eastAsia="宋体" w:cs="Times New Roman"/>
                <w:bCs/>
                <w:color w:val="auto"/>
                <w:sz w:val="21"/>
                <w:szCs w:val="21"/>
                <w:highlight w:val="none"/>
              </w:rPr>
              <w:t>减振</w:t>
            </w:r>
            <w:r>
              <w:rPr>
                <w:rFonts w:hint="default" w:ascii="Times New Roman" w:hAnsi="Times New Roman" w:eastAsia="宋体" w:cs="Times New Roman"/>
                <w:bCs/>
                <w:color w:val="auto"/>
                <w:sz w:val="21"/>
                <w:szCs w:val="21"/>
                <w:highlight w:val="none"/>
                <w:lang w:eastAsia="zh-CN"/>
              </w:rPr>
              <w:t>装置</w:t>
            </w:r>
            <w:r>
              <w:rPr>
                <w:rFonts w:hint="default" w:ascii="Times New Roman" w:hAnsi="Times New Roman" w:eastAsia="宋体" w:cs="Times New Roman"/>
                <w:bCs/>
                <w:color w:val="auto"/>
                <w:sz w:val="21"/>
                <w:szCs w:val="21"/>
                <w:highlight w:val="none"/>
              </w:rPr>
              <w:t>、厂房隔声、距离衰减</w:t>
            </w:r>
          </w:p>
        </w:tc>
        <w:tc>
          <w:tcPr>
            <w:tcW w:w="24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c>
          <w:tcPr>
            <w:tcW w:w="18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9.2</w:t>
            </w:r>
          </w:p>
        </w:tc>
        <w:tc>
          <w:tcPr>
            <w:tcW w:w="18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47.9</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26.7</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8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48.2</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66.0</w:t>
            </w:r>
          </w:p>
        </w:tc>
        <w:tc>
          <w:tcPr>
            <w:tcW w:w="18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6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39.9</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39.9</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39.9</w:t>
            </w:r>
          </w:p>
        </w:tc>
        <w:tc>
          <w:tcPr>
            <w:tcW w:w="26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31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茂源纸厂-声屏障</w:t>
            </w:r>
          </w:p>
        </w:tc>
        <w:tc>
          <w:tcPr>
            <w:tcW w:w="26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吹膜机SJ45-2</w:t>
            </w:r>
          </w:p>
        </w:tc>
        <w:tc>
          <w:tcPr>
            <w:tcW w:w="24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82</w:t>
            </w:r>
          </w:p>
        </w:tc>
        <w:tc>
          <w:tcPr>
            <w:tcW w:w="180"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24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-26.9</w:t>
            </w:r>
          </w:p>
        </w:tc>
        <w:tc>
          <w:tcPr>
            <w:tcW w:w="18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5.4</w:t>
            </w:r>
          </w:p>
        </w:tc>
        <w:tc>
          <w:tcPr>
            <w:tcW w:w="18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27.1</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17.4</w:t>
            </w:r>
          </w:p>
        </w:tc>
        <w:tc>
          <w:tcPr>
            <w:tcW w:w="18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8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6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39.9</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39.9</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39.9</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39.9</w:t>
            </w:r>
          </w:p>
        </w:tc>
        <w:tc>
          <w:tcPr>
            <w:tcW w:w="26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31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茂源纸厂-声屏障</w:t>
            </w:r>
          </w:p>
        </w:tc>
        <w:tc>
          <w:tcPr>
            <w:tcW w:w="26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吹膜机SJ45-3</w:t>
            </w:r>
          </w:p>
        </w:tc>
        <w:tc>
          <w:tcPr>
            <w:tcW w:w="24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82</w:t>
            </w:r>
          </w:p>
        </w:tc>
        <w:tc>
          <w:tcPr>
            <w:tcW w:w="180"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24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-18.9</w:t>
            </w:r>
          </w:p>
        </w:tc>
        <w:tc>
          <w:tcPr>
            <w:tcW w:w="18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18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29.9</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27.2</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26.4</w:t>
            </w:r>
          </w:p>
        </w:tc>
        <w:tc>
          <w:tcPr>
            <w:tcW w:w="18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47.5</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8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6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39.9</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39.9</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39.9</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39.9</w:t>
            </w:r>
          </w:p>
        </w:tc>
        <w:tc>
          <w:tcPr>
            <w:tcW w:w="26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31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茂源纸厂-声屏障</w:t>
            </w:r>
          </w:p>
        </w:tc>
        <w:tc>
          <w:tcPr>
            <w:tcW w:w="26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双层吹膜机SJ120-1</w:t>
            </w:r>
          </w:p>
        </w:tc>
        <w:tc>
          <w:tcPr>
            <w:tcW w:w="24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80"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24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-11.3</w:t>
            </w:r>
          </w:p>
        </w:tc>
        <w:tc>
          <w:tcPr>
            <w:tcW w:w="18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w:t>
            </w:r>
          </w:p>
        </w:tc>
        <w:tc>
          <w:tcPr>
            <w:tcW w:w="18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21.3</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27.2</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35.0</w:t>
            </w:r>
          </w:p>
        </w:tc>
        <w:tc>
          <w:tcPr>
            <w:tcW w:w="18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47.5</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68.9</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68.9</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68.9</w:t>
            </w:r>
          </w:p>
        </w:tc>
        <w:tc>
          <w:tcPr>
            <w:tcW w:w="18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68.9</w:t>
            </w:r>
          </w:p>
        </w:tc>
        <w:tc>
          <w:tcPr>
            <w:tcW w:w="16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42.9</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42.9</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42.9</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42.9</w:t>
            </w:r>
          </w:p>
        </w:tc>
        <w:tc>
          <w:tcPr>
            <w:tcW w:w="26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31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茂源纸厂-声屏障</w:t>
            </w:r>
          </w:p>
        </w:tc>
        <w:tc>
          <w:tcPr>
            <w:tcW w:w="26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双层吹膜机SJ120-2</w:t>
            </w:r>
          </w:p>
        </w:tc>
        <w:tc>
          <w:tcPr>
            <w:tcW w:w="24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80"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24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8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w:t>
            </w:r>
          </w:p>
        </w:tc>
        <w:tc>
          <w:tcPr>
            <w:tcW w:w="18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13.1</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27.2</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43.2</w:t>
            </w:r>
          </w:p>
        </w:tc>
        <w:tc>
          <w:tcPr>
            <w:tcW w:w="18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47.3</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68.9</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68.9</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68.9</w:t>
            </w:r>
          </w:p>
        </w:tc>
        <w:tc>
          <w:tcPr>
            <w:tcW w:w="18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68.9</w:t>
            </w:r>
          </w:p>
        </w:tc>
        <w:tc>
          <w:tcPr>
            <w:tcW w:w="16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42.9</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42.9</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42.9</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42.9</w:t>
            </w:r>
          </w:p>
        </w:tc>
        <w:tc>
          <w:tcPr>
            <w:tcW w:w="26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3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31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茂源纸厂-声屏障</w:t>
            </w:r>
          </w:p>
        </w:tc>
        <w:tc>
          <w:tcPr>
            <w:tcW w:w="26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吹膜机SJ65-1</w:t>
            </w:r>
          </w:p>
        </w:tc>
        <w:tc>
          <w:tcPr>
            <w:tcW w:w="24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82</w:t>
            </w:r>
          </w:p>
        </w:tc>
        <w:tc>
          <w:tcPr>
            <w:tcW w:w="180"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24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w:t>
            </w:r>
          </w:p>
        </w:tc>
        <w:tc>
          <w:tcPr>
            <w:tcW w:w="18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-34.5</w:t>
            </w:r>
          </w:p>
        </w:tc>
        <w:tc>
          <w:tcPr>
            <w:tcW w:w="18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55.2</w:t>
            </w:r>
          </w:p>
        </w:tc>
        <w:tc>
          <w:tcPr>
            <w:tcW w:w="18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73.0</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67.7</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70.1</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8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6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41.7</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44.1</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39.9</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39.9</w:t>
            </w:r>
          </w:p>
        </w:tc>
        <w:tc>
          <w:tcPr>
            <w:tcW w:w="26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3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31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茂源纸厂-声屏障</w:t>
            </w:r>
          </w:p>
        </w:tc>
        <w:tc>
          <w:tcPr>
            <w:tcW w:w="26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吹膜机SJ65-2</w:t>
            </w:r>
          </w:p>
        </w:tc>
        <w:tc>
          <w:tcPr>
            <w:tcW w:w="24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82</w:t>
            </w:r>
          </w:p>
        </w:tc>
        <w:tc>
          <w:tcPr>
            <w:tcW w:w="180"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24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-9.4</w:t>
            </w:r>
          </w:p>
        </w:tc>
        <w:tc>
          <w:tcPr>
            <w:tcW w:w="18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-32.6</w:t>
            </w:r>
          </w:p>
        </w:tc>
        <w:tc>
          <w:tcPr>
            <w:tcW w:w="18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51.4</w:t>
            </w:r>
          </w:p>
        </w:tc>
        <w:tc>
          <w:tcPr>
            <w:tcW w:w="18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72.8</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66.2</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69.4</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8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6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40.2</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43.4</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39.9</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39.9</w:t>
            </w:r>
          </w:p>
        </w:tc>
        <w:tc>
          <w:tcPr>
            <w:tcW w:w="26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31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茂源纸厂-声屏障</w:t>
            </w:r>
          </w:p>
        </w:tc>
        <w:tc>
          <w:tcPr>
            <w:tcW w:w="26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吹膜机SJ65-3</w:t>
            </w:r>
          </w:p>
        </w:tc>
        <w:tc>
          <w:tcPr>
            <w:tcW w:w="24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82</w:t>
            </w:r>
          </w:p>
        </w:tc>
        <w:tc>
          <w:tcPr>
            <w:tcW w:w="180"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24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-12.9</w:t>
            </w:r>
          </w:p>
        </w:tc>
        <w:tc>
          <w:tcPr>
            <w:tcW w:w="18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18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10.2</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47.4</w:t>
            </w:r>
          </w:p>
        </w:tc>
        <w:tc>
          <w:tcPr>
            <w:tcW w:w="18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72.8</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66.0</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69.4</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8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6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43.4</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39.9</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39.9</w:t>
            </w:r>
          </w:p>
        </w:tc>
        <w:tc>
          <w:tcPr>
            <w:tcW w:w="26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3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31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茂源纸厂-声屏障</w:t>
            </w:r>
          </w:p>
        </w:tc>
        <w:tc>
          <w:tcPr>
            <w:tcW w:w="26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三层吹膜机SJ90-1</w:t>
            </w:r>
          </w:p>
        </w:tc>
        <w:tc>
          <w:tcPr>
            <w:tcW w:w="24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88</w:t>
            </w:r>
          </w:p>
        </w:tc>
        <w:tc>
          <w:tcPr>
            <w:tcW w:w="180"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24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-16.2</w:t>
            </w:r>
          </w:p>
        </w:tc>
        <w:tc>
          <w:tcPr>
            <w:tcW w:w="18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-28.8</w:t>
            </w:r>
          </w:p>
        </w:tc>
        <w:tc>
          <w:tcPr>
            <w:tcW w:w="18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14.0</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43.6</w:t>
            </w:r>
          </w:p>
        </w:tc>
        <w:tc>
          <w:tcPr>
            <w:tcW w:w="18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72.7</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71.9</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74.9</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71.9</w:t>
            </w:r>
          </w:p>
        </w:tc>
        <w:tc>
          <w:tcPr>
            <w:tcW w:w="18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71.9</w:t>
            </w:r>
          </w:p>
        </w:tc>
        <w:tc>
          <w:tcPr>
            <w:tcW w:w="16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45.9</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48.9</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45.9</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45.9</w:t>
            </w:r>
          </w:p>
        </w:tc>
        <w:tc>
          <w:tcPr>
            <w:tcW w:w="26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31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茂源纸厂-声屏障</w:t>
            </w:r>
          </w:p>
        </w:tc>
        <w:tc>
          <w:tcPr>
            <w:tcW w:w="26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三层吹膜机SJ90-2</w:t>
            </w:r>
          </w:p>
        </w:tc>
        <w:tc>
          <w:tcPr>
            <w:tcW w:w="24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88</w:t>
            </w:r>
          </w:p>
        </w:tc>
        <w:tc>
          <w:tcPr>
            <w:tcW w:w="180"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24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-19.4</w:t>
            </w:r>
          </w:p>
        </w:tc>
        <w:tc>
          <w:tcPr>
            <w:tcW w:w="18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-27.2</w:t>
            </w:r>
          </w:p>
        </w:tc>
        <w:tc>
          <w:tcPr>
            <w:tcW w:w="18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17.6</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40.1</w:t>
            </w:r>
          </w:p>
        </w:tc>
        <w:tc>
          <w:tcPr>
            <w:tcW w:w="18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72.8</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71.9</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75.1</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71.9</w:t>
            </w:r>
          </w:p>
        </w:tc>
        <w:tc>
          <w:tcPr>
            <w:tcW w:w="18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71.9</w:t>
            </w:r>
          </w:p>
        </w:tc>
        <w:tc>
          <w:tcPr>
            <w:tcW w:w="16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45.9</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49.1</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45.9</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45.9</w:t>
            </w:r>
          </w:p>
        </w:tc>
        <w:tc>
          <w:tcPr>
            <w:tcW w:w="26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31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茂源纸厂-声屏障</w:t>
            </w:r>
          </w:p>
        </w:tc>
        <w:tc>
          <w:tcPr>
            <w:tcW w:w="26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双层吹膜机SJ65-1</w:t>
            </w:r>
          </w:p>
        </w:tc>
        <w:tc>
          <w:tcPr>
            <w:tcW w:w="24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80"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24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-26.9</w:t>
            </w:r>
          </w:p>
        </w:tc>
        <w:tc>
          <w:tcPr>
            <w:tcW w:w="18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-23.2</w:t>
            </w:r>
          </w:p>
        </w:tc>
        <w:tc>
          <w:tcPr>
            <w:tcW w:w="18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26.1</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31.6</w:t>
            </w:r>
          </w:p>
        </w:tc>
        <w:tc>
          <w:tcPr>
            <w:tcW w:w="18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72.9</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68.9</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72.1</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68.9</w:t>
            </w:r>
          </w:p>
        </w:tc>
        <w:tc>
          <w:tcPr>
            <w:tcW w:w="18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68.9</w:t>
            </w:r>
          </w:p>
        </w:tc>
        <w:tc>
          <w:tcPr>
            <w:tcW w:w="16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42.9</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46.1</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42.9</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42.9</w:t>
            </w:r>
          </w:p>
        </w:tc>
        <w:tc>
          <w:tcPr>
            <w:tcW w:w="26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31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茂源纸厂-声屏障</w:t>
            </w:r>
          </w:p>
        </w:tc>
        <w:tc>
          <w:tcPr>
            <w:tcW w:w="26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双层吹膜机SJ65-2</w:t>
            </w:r>
          </w:p>
        </w:tc>
        <w:tc>
          <w:tcPr>
            <w:tcW w:w="24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80"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24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-30.4</w:t>
            </w:r>
          </w:p>
        </w:tc>
        <w:tc>
          <w:tcPr>
            <w:tcW w:w="18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w:t>
            </w:r>
          </w:p>
        </w:tc>
        <w:tc>
          <w:tcPr>
            <w:tcW w:w="18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30.2</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27.4</w:t>
            </w:r>
          </w:p>
        </w:tc>
        <w:tc>
          <w:tcPr>
            <w:tcW w:w="18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72.6</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68.9</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71.3</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68.9</w:t>
            </w:r>
          </w:p>
        </w:tc>
        <w:tc>
          <w:tcPr>
            <w:tcW w:w="18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68.9</w:t>
            </w:r>
          </w:p>
        </w:tc>
        <w:tc>
          <w:tcPr>
            <w:tcW w:w="16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42.9</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45.3</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42.9</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42.9</w:t>
            </w:r>
          </w:p>
        </w:tc>
        <w:tc>
          <w:tcPr>
            <w:tcW w:w="26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3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31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茂源纸厂-声屏障</w:t>
            </w:r>
          </w:p>
        </w:tc>
        <w:tc>
          <w:tcPr>
            <w:tcW w:w="26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双层吹膜机SJ65-3</w:t>
            </w:r>
          </w:p>
        </w:tc>
        <w:tc>
          <w:tcPr>
            <w:tcW w:w="24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80"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24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w:t>
            </w:r>
          </w:p>
        </w:tc>
        <w:tc>
          <w:tcPr>
            <w:tcW w:w="18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-14.3</w:t>
            </w:r>
          </w:p>
        </w:tc>
        <w:tc>
          <w:tcPr>
            <w:tcW w:w="18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22.5</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51.2</w:t>
            </w:r>
          </w:p>
        </w:tc>
        <w:tc>
          <w:tcPr>
            <w:tcW w:w="18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51.9</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69.3</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68.9</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68.9</w:t>
            </w:r>
          </w:p>
        </w:tc>
        <w:tc>
          <w:tcPr>
            <w:tcW w:w="18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68.9</w:t>
            </w:r>
          </w:p>
        </w:tc>
        <w:tc>
          <w:tcPr>
            <w:tcW w:w="16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43.3</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42.9</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42.9</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42.9</w:t>
            </w:r>
          </w:p>
        </w:tc>
        <w:tc>
          <w:tcPr>
            <w:tcW w:w="26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3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31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茂源纸厂-声屏障</w:t>
            </w:r>
          </w:p>
        </w:tc>
        <w:tc>
          <w:tcPr>
            <w:tcW w:w="26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三层吹膜机SJ150-1</w:t>
            </w:r>
          </w:p>
        </w:tc>
        <w:tc>
          <w:tcPr>
            <w:tcW w:w="24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88</w:t>
            </w:r>
          </w:p>
        </w:tc>
        <w:tc>
          <w:tcPr>
            <w:tcW w:w="180"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24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-47.1</w:t>
            </w:r>
          </w:p>
        </w:tc>
        <w:tc>
          <w:tcPr>
            <w:tcW w:w="18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-12.1</w:t>
            </w:r>
          </w:p>
        </w:tc>
        <w:tc>
          <w:tcPr>
            <w:tcW w:w="18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49.1</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8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72.7</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71.9</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74.3</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72.0</w:t>
            </w:r>
          </w:p>
        </w:tc>
        <w:tc>
          <w:tcPr>
            <w:tcW w:w="18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71.9</w:t>
            </w:r>
          </w:p>
        </w:tc>
        <w:tc>
          <w:tcPr>
            <w:tcW w:w="16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45.9</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48.3</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46.0</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45.9</w:t>
            </w:r>
          </w:p>
        </w:tc>
        <w:tc>
          <w:tcPr>
            <w:tcW w:w="26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3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1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茂源纸厂-声屏障</w:t>
            </w:r>
          </w:p>
        </w:tc>
        <w:tc>
          <w:tcPr>
            <w:tcW w:w="26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三层吹膜机SJ150-2</w:t>
            </w:r>
          </w:p>
        </w:tc>
        <w:tc>
          <w:tcPr>
            <w:tcW w:w="24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88</w:t>
            </w:r>
          </w:p>
        </w:tc>
        <w:tc>
          <w:tcPr>
            <w:tcW w:w="180"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24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-20.7</w:t>
            </w:r>
          </w:p>
        </w:tc>
        <w:tc>
          <w:tcPr>
            <w:tcW w:w="18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w:t>
            </w:r>
          </w:p>
        </w:tc>
        <w:tc>
          <w:tcPr>
            <w:tcW w:w="18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29.7</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22.8</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26.8</w:t>
            </w:r>
          </w:p>
        </w:tc>
        <w:tc>
          <w:tcPr>
            <w:tcW w:w="18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51.9</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71.9</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71.9</w:t>
            </w:r>
          </w:p>
        </w:tc>
        <w:tc>
          <w:tcPr>
            <w:tcW w:w="17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71.9</w:t>
            </w:r>
          </w:p>
        </w:tc>
        <w:tc>
          <w:tcPr>
            <w:tcW w:w="18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71.9</w:t>
            </w:r>
          </w:p>
        </w:tc>
        <w:tc>
          <w:tcPr>
            <w:tcW w:w="16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6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7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45.9</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45.9</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45.9</w:t>
            </w:r>
          </w:p>
        </w:tc>
        <w:tc>
          <w:tcPr>
            <w:tcW w:w="17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45.9</w:t>
            </w:r>
          </w:p>
        </w:tc>
        <w:tc>
          <w:tcPr>
            <w:tcW w:w="26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bookmarkEnd w:id="54"/>
    </w:tbl>
    <w:p>
      <w:pPr>
        <w:pStyle w:val="37"/>
        <w:rPr>
          <w:rFonts w:hint="default" w:ascii="Times New Roman" w:hAnsi="Times New Roman" w:eastAsia="宋体" w:cs="Times New Roman"/>
          <w:b/>
          <w:bCs/>
          <w:color w:val="auto"/>
          <w:sz w:val="21"/>
          <w:szCs w:val="21"/>
          <w:highlight w:val="none"/>
        </w:rPr>
      </w:pPr>
    </w:p>
    <w:p>
      <w:pPr>
        <w:pStyle w:val="37"/>
        <w:rPr>
          <w:rFonts w:hint="default" w:ascii="Times New Roman" w:hAnsi="Times New Roman" w:eastAsia="宋体" w:cs="Times New Roman"/>
          <w:b/>
          <w:bCs/>
          <w:color w:val="auto"/>
          <w:sz w:val="21"/>
          <w:szCs w:val="21"/>
          <w:highlight w:val="none"/>
        </w:rPr>
      </w:pPr>
    </w:p>
    <w:p>
      <w:pPr>
        <w:pStyle w:val="37"/>
        <w:rPr>
          <w:rFonts w:hint="default" w:ascii="Times New Roman" w:hAnsi="Times New Roman" w:eastAsia="宋体" w:cs="Times New Roman"/>
          <w:color w:val="auto"/>
          <w:highlight w:val="none"/>
        </w:rPr>
      </w:pPr>
    </w:p>
    <w:p>
      <w:pPr>
        <w:pStyle w:val="37"/>
        <w:rPr>
          <w:rFonts w:hint="default" w:ascii="Times New Roman" w:hAnsi="Times New Roman" w:eastAsia="宋体" w:cs="Times New Roman"/>
          <w:color w:val="auto"/>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8"/>
        <w:gridCol w:w="86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8" w:type="dxa"/>
            <w:tcMar>
              <w:left w:w="28" w:type="dxa"/>
              <w:right w:w="28" w:type="dxa"/>
            </w:tcMar>
            <w:vAlign w:val="center"/>
          </w:tcPr>
          <w:p>
            <w:pPr>
              <w:adjustRightInd w:val="0"/>
              <w:snapToGrid w:val="0"/>
              <w:jc w:val="center"/>
              <w:rPr>
                <w:rFonts w:hint="default" w:ascii="Times New Roman" w:hAnsi="Times New Roman" w:eastAsia="宋体" w:cs="Times New Roman"/>
                <w:bCs/>
                <w:color w:val="auto"/>
                <w:sz w:val="24"/>
                <w:szCs w:val="24"/>
                <w:highlight w:val="none"/>
              </w:rPr>
            </w:pPr>
            <w:bookmarkStart w:id="56" w:name="_Toc4859"/>
            <w:r>
              <w:rPr>
                <w:rFonts w:hint="default" w:ascii="Times New Roman" w:hAnsi="Times New Roman" w:eastAsia="宋体" w:cs="Times New Roman"/>
                <w:bCs/>
                <w:color w:val="auto"/>
                <w:sz w:val="24"/>
                <w:szCs w:val="24"/>
                <w:highlight w:val="none"/>
              </w:rPr>
              <w:t>运营</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措施</w:t>
            </w:r>
          </w:p>
        </w:tc>
        <w:tc>
          <w:tcPr>
            <w:tcW w:w="8623" w:type="dxa"/>
            <w:vAlign w:val="top"/>
          </w:tcPr>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表中坐标以厂界中心（</w:t>
            </w:r>
            <w:r>
              <w:rPr>
                <w:rFonts w:hint="default" w:ascii="Times New Roman" w:hAnsi="Times New Roman" w:eastAsia="宋体" w:cs="Times New Roman"/>
                <w:color w:val="auto"/>
                <w:sz w:val="24"/>
                <w:szCs w:val="24"/>
                <w:highlight w:val="none"/>
                <w:u w:val="none"/>
                <w:lang w:val="en-US" w:eastAsia="zh-CN"/>
              </w:rPr>
              <w:t>103</w:t>
            </w:r>
            <w:r>
              <w:rPr>
                <w:rFonts w:hint="default" w:ascii="Times New Roman" w:hAnsi="Times New Roman" w:eastAsia="宋体" w:cs="Times New Roman"/>
                <w:color w:val="auto"/>
                <w:sz w:val="24"/>
                <w:szCs w:val="24"/>
                <w:highlight w:val="none"/>
                <w:u w:val="none"/>
              </w:rPr>
              <w:t>度</w:t>
            </w:r>
            <w:r>
              <w:rPr>
                <w:rFonts w:hint="default" w:ascii="Times New Roman" w:hAnsi="Times New Roman" w:eastAsia="宋体" w:cs="Times New Roman"/>
                <w:color w:val="auto"/>
                <w:sz w:val="24"/>
                <w:szCs w:val="24"/>
                <w:highlight w:val="none"/>
                <w:u w:val="none"/>
                <w:lang w:val="en-US" w:eastAsia="zh-CN"/>
              </w:rPr>
              <w:t>12</w:t>
            </w:r>
            <w:r>
              <w:rPr>
                <w:rFonts w:hint="default" w:ascii="Times New Roman" w:hAnsi="Times New Roman" w:eastAsia="宋体" w:cs="Times New Roman"/>
                <w:color w:val="auto"/>
                <w:sz w:val="24"/>
                <w:szCs w:val="24"/>
                <w:highlight w:val="none"/>
                <w:u w:val="none"/>
              </w:rPr>
              <w:t>分</w:t>
            </w:r>
            <w:r>
              <w:rPr>
                <w:rFonts w:hint="default" w:ascii="Times New Roman" w:hAnsi="Times New Roman" w:eastAsia="宋体" w:cs="Times New Roman"/>
                <w:color w:val="auto"/>
                <w:sz w:val="24"/>
                <w:szCs w:val="24"/>
                <w:highlight w:val="none"/>
                <w:u w:val="none"/>
                <w:lang w:val="en-US" w:eastAsia="zh-CN"/>
              </w:rPr>
              <w:t>46.303</w:t>
            </w:r>
            <w:r>
              <w:rPr>
                <w:rFonts w:hint="default" w:ascii="Times New Roman" w:hAnsi="Times New Roman" w:eastAsia="宋体" w:cs="Times New Roman"/>
                <w:color w:val="auto"/>
                <w:sz w:val="24"/>
                <w:szCs w:val="24"/>
                <w:highlight w:val="none"/>
                <w:u w:val="none"/>
              </w:rPr>
              <w:t>秒，</w:t>
            </w:r>
            <w:r>
              <w:rPr>
                <w:rFonts w:hint="default" w:ascii="Times New Roman" w:hAnsi="Times New Roman" w:eastAsia="宋体" w:cs="Times New Roman"/>
                <w:color w:val="auto"/>
                <w:sz w:val="24"/>
                <w:szCs w:val="24"/>
                <w:highlight w:val="none"/>
                <w:u w:val="none"/>
                <w:lang w:val="en-US" w:eastAsia="zh-CN"/>
              </w:rPr>
              <w:t>25</w:t>
            </w:r>
            <w:r>
              <w:rPr>
                <w:rFonts w:hint="default" w:ascii="Times New Roman" w:hAnsi="Times New Roman" w:eastAsia="宋体" w:cs="Times New Roman"/>
                <w:color w:val="auto"/>
                <w:sz w:val="24"/>
                <w:szCs w:val="24"/>
                <w:highlight w:val="none"/>
                <w:u w:val="none"/>
              </w:rPr>
              <w:t>度</w:t>
            </w:r>
            <w:r>
              <w:rPr>
                <w:rFonts w:hint="default" w:ascii="Times New Roman" w:hAnsi="Times New Roman" w:eastAsia="宋体" w:cs="Times New Roman"/>
                <w:color w:val="auto"/>
                <w:sz w:val="24"/>
                <w:szCs w:val="24"/>
                <w:highlight w:val="none"/>
                <w:u w:val="none"/>
                <w:lang w:val="en-US" w:eastAsia="zh-CN"/>
              </w:rPr>
              <w:t>35</w:t>
            </w:r>
            <w:r>
              <w:rPr>
                <w:rFonts w:hint="default" w:ascii="Times New Roman" w:hAnsi="Times New Roman" w:eastAsia="宋体" w:cs="Times New Roman"/>
                <w:color w:val="auto"/>
                <w:sz w:val="24"/>
                <w:szCs w:val="24"/>
                <w:highlight w:val="none"/>
                <w:u w:val="none"/>
              </w:rPr>
              <w:t>分</w:t>
            </w:r>
            <w:r>
              <w:rPr>
                <w:rFonts w:hint="default" w:ascii="Times New Roman" w:hAnsi="Times New Roman" w:eastAsia="宋体" w:cs="Times New Roman"/>
                <w:color w:val="auto"/>
                <w:sz w:val="24"/>
                <w:szCs w:val="24"/>
                <w:highlight w:val="none"/>
                <w:u w:val="none"/>
                <w:lang w:val="en-US" w:eastAsia="zh-CN"/>
              </w:rPr>
              <w:t>15.503</w:t>
            </w:r>
            <w:r>
              <w:rPr>
                <w:rFonts w:hint="default" w:ascii="Times New Roman" w:hAnsi="Times New Roman" w:eastAsia="宋体" w:cs="Times New Roman"/>
                <w:color w:val="auto"/>
                <w:sz w:val="24"/>
                <w:szCs w:val="24"/>
                <w:highlight w:val="none"/>
                <w:u w:val="none"/>
              </w:rPr>
              <w:t>秒</w:t>
            </w:r>
            <w:r>
              <w:rPr>
                <w:rFonts w:hint="default" w:ascii="Times New Roman" w:hAnsi="Times New Roman" w:eastAsia="宋体" w:cs="Times New Roman"/>
                <w:color w:val="auto"/>
                <w:sz w:val="24"/>
                <w:highlight w:val="none"/>
                <w:lang w:val="en-US" w:eastAsia="zh-CN"/>
              </w:rPr>
              <w:t>）为坐标原点，正东向为X轴正方向，正北向为Y轴正方向。</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（2）预测范围、点位与评价因子</w:t>
            </w:r>
          </w:p>
          <w:p>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①噪声预测范围为：厂界外1m。</w:t>
            </w:r>
          </w:p>
          <w:p>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②预测点位：厂界噪声，在东、南、西、北厂界各设置一个。</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③</w:t>
            </w:r>
            <w:r>
              <w:rPr>
                <w:rFonts w:hint="default" w:ascii="Times New Roman" w:hAnsi="Times New Roman" w:eastAsia="宋体" w:cs="Times New Roman"/>
                <w:color w:val="auto"/>
                <w:sz w:val="24"/>
                <w:highlight w:val="none"/>
              </w:rPr>
              <w:t>厂界噪声预测因子：昼夜等效连续A声级。</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④</w:t>
            </w:r>
            <w:r>
              <w:rPr>
                <w:rFonts w:hint="default" w:ascii="Times New Roman" w:hAnsi="Times New Roman" w:eastAsia="宋体" w:cs="Times New Roman"/>
                <w:color w:val="auto"/>
                <w:sz w:val="24"/>
                <w:highlight w:val="none"/>
              </w:rPr>
              <w:t>基础数据</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项目噪声环境影响预测基础数据见表4-</w:t>
            </w:r>
            <w:r>
              <w:rPr>
                <w:rFonts w:hint="default" w:ascii="Times New Roman" w:hAnsi="Times New Roman" w:eastAsia="宋体" w:cs="Times New Roman"/>
                <w:color w:val="auto"/>
                <w:sz w:val="24"/>
                <w:highlight w:val="none"/>
                <w:lang w:val="en-US" w:eastAsia="zh-CN"/>
              </w:rPr>
              <w:t>17</w:t>
            </w:r>
            <w:r>
              <w:rPr>
                <w:rFonts w:hint="default" w:ascii="Times New Roman" w:hAnsi="Times New Roman" w:eastAsia="宋体" w:cs="Times New Roman"/>
                <w:color w:val="auto"/>
                <w:sz w:val="24"/>
                <w:highlight w:val="none"/>
              </w:rPr>
              <w:t>。</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17</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项目噪声环境影响预测基础数据表</w:t>
            </w:r>
          </w:p>
          <w:tbl>
            <w:tblPr>
              <w:tblStyle w:val="26"/>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40"/>
              <w:gridCol w:w="2755"/>
              <w:gridCol w:w="2102"/>
              <w:gridCol w:w="210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58" w:type="pct"/>
                  <w:noWrap w:val="0"/>
                  <w:vAlign w:val="center"/>
                </w:tcPr>
                <w:p>
                  <w:pPr>
                    <w:jc w:val="center"/>
                    <w:rPr>
                      <w:rFonts w:hint="default" w:ascii="Times New Roman" w:hAnsi="Times New Roman" w:eastAsia="宋体" w:cs="Times New Roman"/>
                      <w:b/>
                      <w:bCs w:val="0"/>
                      <w:color w:val="auto"/>
                      <w:szCs w:val="21"/>
                      <w:highlight w:val="none"/>
                    </w:rPr>
                  </w:pPr>
                  <w:bookmarkStart w:id="57" w:name="PT_4"/>
                  <w:r>
                    <w:rPr>
                      <w:rFonts w:hint="default" w:ascii="Times New Roman" w:hAnsi="Times New Roman" w:eastAsia="宋体" w:cs="Times New Roman"/>
                      <w:b/>
                      <w:bCs w:val="0"/>
                      <w:color w:val="auto"/>
                      <w:szCs w:val="21"/>
                      <w:highlight w:val="none"/>
                    </w:rPr>
                    <w:t>序号</w:t>
                  </w:r>
                </w:p>
              </w:tc>
              <w:tc>
                <w:tcPr>
                  <w:tcW w:w="1639" w:type="pct"/>
                  <w:noWrap w:val="0"/>
                  <w:vAlign w:val="center"/>
                </w:tcPr>
                <w:p>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名称</w:t>
                  </w:r>
                </w:p>
              </w:tc>
              <w:tc>
                <w:tcPr>
                  <w:tcW w:w="1251" w:type="pct"/>
                  <w:noWrap w:val="0"/>
                  <w:vAlign w:val="center"/>
                </w:tcPr>
                <w:p>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单位</w:t>
                  </w:r>
                </w:p>
              </w:tc>
              <w:tc>
                <w:tcPr>
                  <w:tcW w:w="1251" w:type="pct"/>
                  <w:noWrap w:val="0"/>
                  <w:vAlign w:val="center"/>
                </w:tcPr>
                <w:p>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数据</w:t>
                  </w:r>
                </w:p>
                <w:bookmarkEnd w:id="57"/>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58"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tc>
              <w:tc>
                <w:tcPr>
                  <w:tcW w:w="1639"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年平均风速</w:t>
                  </w:r>
                </w:p>
              </w:tc>
              <w:tc>
                <w:tcPr>
                  <w:tcW w:w="1251"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m/s</w:t>
                  </w:r>
                </w:p>
              </w:tc>
              <w:tc>
                <w:tcPr>
                  <w:tcW w:w="1251" w:type="pct"/>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58"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w:t>
                  </w:r>
                </w:p>
              </w:tc>
              <w:tc>
                <w:tcPr>
                  <w:tcW w:w="1639"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主导风向</w:t>
                  </w:r>
                </w:p>
              </w:tc>
              <w:tc>
                <w:tcPr>
                  <w:tcW w:w="1251"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1251"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西南风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58"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3</w:t>
                  </w:r>
                </w:p>
              </w:tc>
              <w:tc>
                <w:tcPr>
                  <w:tcW w:w="1639"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年平均气温</w:t>
                  </w:r>
                </w:p>
              </w:tc>
              <w:tc>
                <w:tcPr>
                  <w:tcW w:w="1251"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1251" w:type="pct"/>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14.4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58"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4</w:t>
                  </w:r>
                </w:p>
              </w:tc>
              <w:tc>
                <w:tcPr>
                  <w:tcW w:w="1639"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年平均相对湿度</w:t>
                  </w:r>
                </w:p>
              </w:tc>
              <w:tc>
                <w:tcPr>
                  <w:tcW w:w="1251"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1251" w:type="pct"/>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58"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5</w:t>
                  </w:r>
                </w:p>
              </w:tc>
              <w:tc>
                <w:tcPr>
                  <w:tcW w:w="1639"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大气压强</w:t>
                  </w:r>
                </w:p>
              </w:tc>
              <w:tc>
                <w:tcPr>
                  <w:tcW w:w="1251"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atm</w:t>
                  </w:r>
                </w:p>
              </w:tc>
              <w:tc>
                <w:tcPr>
                  <w:tcW w:w="1251"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tc>
            </w:tr>
          </w:tbl>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声源和预测点间的地形、高差、障碍物、树林、灌木等的分布情况以及地面覆盖情况（如草地、水面、水泥地面、土质地面等）根据现场踏勘、项目总平图等，并结合卫星图片地理信息数据确定，数据精度为10m。</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（3）声环境影响预测</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①</w:t>
            </w:r>
            <w:r>
              <w:rPr>
                <w:rFonts w:hint="default" w:ascii="Times New Roman" w:hAnsi="Times New Roman" w:eastAsia="宋体" w:cs="Times New Roman"/>
                <w:b w:val="0"/>
                <w:bCs w:val="0"/>
                <w:color w:val="auto"/>
                <w:sz w:val="24"/>
                <w:szCs w:val="24"/>
                <w:highlight w:val="none"/>
              </w:rPr>
              <w:t>建筑物插入损失</w:t>
            </w:r>
            <w:r>
              <w:rPr>
                <w:rFonts w:hint="default" w:ascii="Times New Roman" w:hAnsi="Times New Roman" w:eastAsia="宋体" w:cs="Times New Roman"/>
                <w:b w:val="0"/>
                <w:bCs w:val="0"/>
                <w:color w:val="auto"/>
                <w:sz w:val="24"/>
                <w:szCs w:val="24"/>
                <w:highlight w:val="none"/>
                <w:lang w:val="en-US" w:eastAsia="zh-CN"/>
              </w:rPr>
              <w:t>计算</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根据</w:t>
            </w:r>
            <w:r>
              <w:rPr>
                <w:rFonts w:hint="default" w:ascii="Times New Roman" w:hAnsi="Times New Roman" w:eastAsia="宋体" w:cs="Times New Roman"/>
                <w:color w:val="auto"/>
                <w:kern w:val="0"/>
                <w:sz w:val="24"/>
                <w:highlight w:val="none"/>
                <w:lang w:bidi="ar"/>
              </w:rPr>
              <w:t>《环境影响评价技术导则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sz w:val="24"/>
                <w:highlight w:val="none"/>
                <w:lang w:eastAsia="zh-CN"/>
              </w:rPr>
              <w:t>附录</w:t>
            </w:r>
            <w:r>
              <w:rPr>
                <w:rFonts w:hint="default" w:ascii="Times New Roman" w:hAnsi="Times New Roman" w:eastAsia="宋体" w:cs="Times New Roman"/>
                <w:color w:val="auto"/>
                <w:sz w:val="24"/>
                <w:highlight w:val="none"/>
                <w:lang w:val="en-US" w:eastAsia="zh-CN"/>
              </w:rPr>
              <w:t>B可知，</w:t>
            </w:r>
            <w:r>
              <w:rPr>
                <w:rFonts w:hint="default" w:ascii="Times New Roman" w:hAnsi="Times New Roman" w:eastAsia="宋体" w:cs="Times New Roman"/>
                <w:color w:val="auto"/>
                <w:sz w:val="24"/>
                <w:highlight w:val="none"/>
              </w:rPr>
              <w:t>室内声源可采用等效室外声源声功率级法进行计算。设靠近开口处（或窗户）室内、室外某倍频带的声压级分别为L</w:t>
            </w:r>
            <w:r>
              <w:rPr>
                <w:rFonts w:hint="default" w:ascii="Times New Roman" w:hAnsi="Times New Roman" w:eastAsia="宋体" w:cs="Times New Roman"/>
                <w:color w:val="auto"/>
                <w:sz w:val="24"/>
                <w:highlight w:val="none"/>
                <w:vertAlign w:val="subscript"/>
              </w:rPr>
              <w:t>P1</w:t>
            </w:r>
            <w:r>
              <w:rPr>
                <w:rFonts w:hint="default" w:ascii="Times New Roman" w:hAnsi="Times New Roman" w:eastAsia="宋体" w:cs="Times New Roman"/>
                <w:color w:val="auto"/>
                <w:sz w:val="24"/>
                <w:highlight w:val="none"/>
              </w:rPr>
              <w:t>和L</w:t>
            </w:r>
            <w:r>
              <w:rPr>
                <w:rFonts w:hint="default" w:ascii="Times New Roman" w:hAnsi="Times New Roman" w:eastAsia="宋体" w:cs="Times New Roman"/>
                <w:color w:val="auto"/>
                <w:sz w:val="24"/>
                <w:highlight w:val="none"/>
                <w:vertAlign w:val="subscript"/>
              </w:rPr>
              <w:t>P2</w:t>
            </w:r>
            <w:r>
              <w:rPr>
                <w:rFonts w:hint="default" w:ascii="Times New Roman" w:hAnsi="Times New Roman" w:eastAsia="宋体" w:cs="Times New Roman"/>
                <w:color w:val="auto"/>
                <w:sz w:val="24"/>
                <w:highlight w:val="none"/>
              </w:rPr>
              <w:t>。若声源所在室内声场为近似扩散声场，则室外的倍频带声压级可按以下公式近似求出：</w:t>
            </w:r>
          </w:p>
          <w:p>
            <w:pPr>
              <w:snapToGrid w:val="0"/>
              <w:spacing w:line="360" w:lineRule="auto"/>
              <w:ind w:firstLine="480" w:firstLineChars="20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P2</w:t>
            </w: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P1</w:t>
            </w:r>
            <w:r>
              <w:rPr>
                <w:rFonts w:hint="default" w:ascii="Times New Roman" w:hAnsi="Times New Roman" w:eastAsia="宋体" w:cs="Times New Roman"/>
                <w:color w:val="auto"/>
                <w:sz w:val="24"/>
                <w:highlight w:val="none"/>
              </w:rPr>
              <w:t>-（TL+6）</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式中：TL—隔墙（或窗户）倍频带的隔声量，dB。</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综上可知，建筑物插入损失等于建筑物隔音量</w:t>
            </w:r>
            <w:r>
              <w:rPr>
                <w:rFonts w:hint="default" w:ascii="Times New Roman" w:hAnsi="Times New Roman" w:eastAsia="宋体" w:cs="Times New Roman"/>
                <w:color w:val="auto"/>
                <w:sz w:val="24"/>
                <w:szCs w:val="24"/>
                <w:highlight w:val="none"/>
                <w:lang w:val="en-US" w:eastAsia="zh-CN"/>
              </w:rPr>
              <w:t>+6。本项目高噪声设备安装消声减振装置，根据</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不同厚度墙壁和常用板材的隔声量汇表</w:t>
            </w:r>
            <w:r>
              <w:rPr>
                <w:rFonts w:hint="default" w:ascii="Times New Roman" w:hAnsi="Times New Roman" w:eastAsia="宋体" w:cs="Times New Roman"/>
                <w:color w:val="auto"/>
                <w:kern w:val="0"/>
                <w:sz w:val="24"/>
                <w:highlight w:val="none"/>
                <w:lang w:bidi="ar"/>
              </w:rPr>
              <w:t>》</w:t>
            </w:r>
            <w:r>
              <w:rPr>
                <w:rFonts w:hint="default" w:ascii="Times New Roman" w:hAnsi="Times New Roman" w:eastAsia="宋体" w:cs="Times New Roman"/>
                <w:color w:val="auto"/>
                <w:kern w:val="0"/>
                <w:sz w:val="24"/>
                <w:highlight w:val="none"/>
                <w:lang w:val="en-US" w:eastAsia="zh-CN" w:bidi="ar"/>
              </w:rPr>
              <w:t>可知，单层板平均隔声量为20</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本项目生产厂房为单层钢结构厂房，因此本项目建筑物隔音量选取20</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），则建筑物插入损失即为</w:t>
            </w:r>
            <w:r>
              <w:rPr>
                <w:rFonts w:hint="default" w:ascii="Times New Roman" w:hAnsi="Times New Roman" w:eastAsia="宋体" w:cs="Times New Roman"/>
                <w:color w:val="auto"/>
                <w:sz w:val="24"/>
                <w:highlight w:val="none"/>
                <w:lang w:val="en-US" w:eastAsia="zh-CN"/>
              </w:rPr>
              <w:t>26</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rPr>
              <w:t>预测方法</w:t>
            </w:r>
          </w:p>
          <w:p>
            <w:pPr>
              <w:widowControl/>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lang w:bidi="ar"/>
              </w:rPr>
              <w:t>噪声传播过程中有三个要素：即声源、传播途径和接受者。根据项目采取的治理措施及降噪效果，采用《环境影响评价技术导则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推荐的工业噪声预测模式，本评价只考虑几何发散引起的衰减量来预测项目对厂界的贡献点的影响。</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kern w:val="0"/>
                <w:sz w:val="24"/>
                <w:highlight w:val="none"/>
                <w:lang w:bidi="ar"/>
              </w:rPr>
              <w:t>预测方法为：依据各噪声源与各预测点的距离计算出各噪声设备产生的噪声对各预测点的影响值，并根据能量合成法叠加各噪声设备对各预测点的噪声贡献值，来预测分析本项目</w:t>
            </w:r>
            <w:r>
              <w:rPr>
                <w:rFonts w:hint="default" w:ascii="Times New Roman" w:hAnsi="Times New Roman" w:eastAsia="宋体" w:cs="Times New Roman"/>
                <w:color w:val="auto"/>
                <w:kern w:val="0"/>
                <w:sz w:val="24"/>
                <w:highlight w:val="none"/>
                <w:lang w:eastAsia="zh-CN" w:bidi="ar"/>
              </w:rPr>
              <w:t>运营期</w:t>
            </w:r>
            <w:r>
              <w:rPr>
                <w:rFonts w:hint="default" w:ascii="Times New Roman" w:hAnsi="Times New Roman" w:eastAsia="宋体" w:cs="Times New Roman"/>
                <w:color w:val="auto"/>
                <w:kern w:val="0"/>
                <w:sz w:val="24"/>
                <w:highlight w:val="none"/>
                <w:lang w:bidi="ar"/>
              </w:rPr>
              <w:t>对厂界及周围声环境的影响。</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③</w:t>
            </w:r>
            <w:r>
              <w:rPr>
                <w:rFonts w:hint="default" w:ascii="Times New Roman" w:hAnsi="Times New Roman" w:eastAsia="宋体" w:cs="Times New Roman"/>
                <w:color w:val="auto"/>
                <w:sz w:val="24"/>
                <w:highlight w:val="none"/>
              </w:rPr>
              <w:t>预测模式</w:t>
            </w:r>
          </w:p>
          <w:p>
            <w:pPr>
              <w:widowControl/>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采用《环境影响评价技术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中的噪声预测模式预测本项目的主要噪声设备对周围声环境的影响。预测模式如下：</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A、</w:t>
            </w:r>
            <w:r>
              <w:rPr>
                <w:rFonts w:hint="default" w:ascii="Times New Roman" w:hAnsi="Times New Roman" w:eastAsia="宋体" w:cs="Times New Roman"/>
                <w:color w:val="auto"/>
                <w:highlight w:val="none"/>
              </w:rPr>
              <w:t>本项目只考虑几何发散衰减，公式按照：</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L</w:t>
            </w:r>
            <w:r>
              <w:rPr>
                <w:rFonts w:hint="default" w:ascii="Times New Roman" w:hAnsi="Times New Roman" w:eastAsia="宋体" w:cs="Times New Roman"/>
                <w:color w:val="auto"/>
                <w:highlight w:val="none"/>
                <w:vertAlign w:val="subscript"/>
              </w:rPr>
              <w:t>A</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r</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=L</w:t>
            </w:r>
            <w:r>
              <w:rPr>
                <w:rFonts w:hint="default" w:ascii="Times New Roman" w:hAnsi="Times New Roman" w:eastAsia="宋体" w:cs="Times New Roman"/>
                <w:color w:val="auto"/>
                <w:highlight w:val="none"/>
                <w:vertAlign w:val="subscript"/>
              </w:rPr>
              <w:t>A</w:t>
            </w:r>
            <w:r>
              <w:rPr>
                <w:rFonts w:hint="default" w:ascii="Times New Roman" w:hAnsi="Times New Roman" w:eastAsia="宋体" w:cs="Times New Roman"/>
                <w:color w:val="auto"/>
                <w:highlight w:val="none"/>
              </w:rPr>
              <w:t>（r</w:t>
            </w:r>
            <w:r>
              <w:rPr>
                <w:rFonts w:hint="default" w:ascii="Times New Roman" w:hAnsi="Times New Roman" w:eastAsia="宋体" w:cs="Times New Roman"/>
                <w:color w:val="auto"/>
                <w:highlight w:val="none"/>
                <w:vertAlign w:val="subscript"/>
              </w:rPr>
              <w:t>0</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vertAlign w:val="subscript"/>
              </w:rPr>
              <w:t>div</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——距声源r处的A声级，dB（A）；</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——参考位置r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处的A声级，dB（A）；</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vertAlign w:val="subscript"/>
              </w:rPr>
              <w:t>div</w:t>
            </w:r>
            <w:r>
              <w:rPr>
                <w:rFonts w:hint="default" w:ascii="Times New Roman" w:hAnsi="Times New Roman" w:eastAsia="宋体" w:cs="Times New Roman"/>
                <w:color w:val="auto"/>
                <w:highlight w:val="none"/>
              </w:rPr>
              <w:t>——几何发散引起的衰减，dB；</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B、</w:t>
            </w:r>
            <w:r>
              <w:rPr>
                <w:rFonts w:hint="default" w:ascii="Times New Roman" w:hAnsi="Times New Roman" w:eastAsia="宋体" w:cs="Times New Roman"/>
                <w:color w:val="auto"/>
                <w:highlight w:val="none"/>
              </w:rPr>
              <w:t>声源的几何发散衰减公式：</w:t>
            </w:r>
          </w:p>
          <w:p>
            <w:pPr>
              <w:pStyle w:val="16"/>
              <w:keepNext w:val="0"/>
              <w:keepLines w:val="0"/>
              <w:pageBreakBefore w:val="0"/>
              <w:kinsoku/>
              <w:wordWrap/>
              <w:overflowPunct/>
              <w:topLinePunct w:val="0"/>
              <w:bidi w:val="0"/>
              <w:spacing w:after="0" w:line="360" w:lineRule="auto"/>
              <w:ind w:left="0" w:leftChars="0" w:right="0" w:right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vertAlign w:val="subscript"/>
              </w:rPr>
              <w:t>div</w:t>
            </w:r>
            <w:r>
              <w:rPr>
                <w:rFonts w:hint="default" w:ascii="Times New Roman" w:hAnsi="Times New Roman" w:eastAsia="宋体" w:cs="Times New Roman"/>
                <w:color w:val="auto"/>
                <w:sz w:val="24"/>
                <w:highlight w:val="none"/>
              </w:rPr>
              <w:t>=20lg（r/r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式中：A</w:t>
            </w:r>
            <w:r>
              <w:rPr>
                <w:rFonts w:hint="default" w:ascii="Times New Roman" w:hAnsi="Times New Roman" w:eastAsia="宋体" w:cs="Times New Roman"/>
                <w:color w:val="auto"/>
                <w:sz w:val="24"/>
                <w:highlight w:val="none"/>
                <w:vertAlign w:val="subscript"/>
              </w:rPr>
              <w:t>div</w:t>
            </w:r>
            <w:r>
              <w:rPr>
                <w:rFonts w:hint="default" w:ascii="Times New Roman" w:hAnsi="Times New Roman" w:eastAsia="宋体" w:cs="Times New Roman"/>
                <w:color w:val="auto"/>
                <w:sz w:val="24"/>
                <w:highlight w:val="none"/>
              </w:rPr>
              <w:t>——几何发散引起的衰减，dB；</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r——预测点距声源的距离；</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——参考位置距声源的距离；</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C、</w:t>
            </w:r>
            <w:r>
              <w:rPr>
                <w:rFonts w:hint="default" w:ascii="Times New Roman" w:hAnsi="Times New Roman" w:eastAsia="宋体" w:cs="Times New Roman"/>
                <w:color w:val="auto"/>
                <w:highlight w:val="none"/>
              </w:rPr>
              <w:t>工业企业噪声计算公式：</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34"/>
                <w:sz w:val="24"/>
                <w:highlight w:val="none"/>
              </w:rPr>
              <w:object>
                <v:shape id="_x0000_i1032" o:spt="75" type="#_x0000_t75" style="height:40pt;width:203pt;" o:ole="t" filled="f" o:preferrelative="t" stroked="f" coordsize="21600,21600">
                  <v:path/>
                  <v:fill on="f" focussize="0,0"/>
                  <v:stroke on="f"/>
                  <v:imagedata r:id="rId36" o:title=""/>
                  <o:lock v:ext="edit" aspectratio="t"/>
                  <w10:wrap type="none"/>
                  <w10:anchorlock/>
                </v:shape>
                <o:OLEObject Type="Embed" ProgID="Equation.KSEE3" ShapeID="_x0000_i1032" DrawAspect="Content" ObjectID="_1468075732" r:id="rId35">
                  <o:LockedField>false</o:LockedField>
                </o:OLEObject>
              </w:objec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rPr>
              <w:t>eqg</w:t>
            </w:r>
            <w:r>
              <w:rPr>
                <w:rFonts w:hint="default" w:ascii="Times New Roman" w:hAnsi="Times New Roman" w:eastAsia="宋体" w:cs="Times New Roman"/>
                <w:color w:val="auto"/>
                <w:sz w:val="24"/>
                <w:highlight w:val="none"/>
              </w:rPr>
              <w:t>——建设项目声源在预测点产生的噪声贡献值，dB；</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T——用于计算等效声级的时间，s；</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N——室外声源个数；</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w:t>
            </w:r>
            <w:r>
              <w:rPr>
                <w:rFonts w:hint="default" w:ascii="Times New Roman" w:hAnsi="Times New Roman" w:eastAsia="宋体" w:cs="Times New Roman"/>
                <w:color w:val="auto"/>
                <w:highlight w:val="none"/>
                <w:vertAlign w:val="subscript"/>
              </w:rPr>
              <w:t>i</w:t>
            </w:r>
            <w:r>
              <w:rPr>
                <w:rFonts w:hint="default" w:ascii="Times New Roman" w:hAnsi="Times New Roman" w:eastAsia="宋体" w:cs="Times New Roman"/>
                <w:color w:val="auto"/>
                <w:highlight w:val="none"/>
              </w:rPr>
              <w:t>——在T时间内i声源工作时间，s；</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M——等效室外声源个数；</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highlight w:val="none"/>
              </w:rPr>
              <w:t>tj——在T时间内j声</w:t>
            </w:r>
            <w:r>
              <w:rPr>
                <w:rFonts w:hint="default" w:ascii="Times New Roman" w:hAnsi="Times New Roman" w:eastAsia="宋体" w:cs="Times New Roman"/>
                <w:color w:val="auto"/>
                <w:sz w:val="24"/>
                <w:highlight w:val="none"/>
              </w:rPr>
              <w:t>源工作时间，s。</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③预测结果</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color w:val="auto"/>
                <w:kern w:val="0"/>
                <w:sz w:val="24"/>
                <w:highlight w:val="none"/>
                <w:lang w:bidi="ar"/>
              </w:rPr>
              <w:t>本次环评厂界噪声预测采用环保小智噪声助手预测软件预测，通过预测模型计算，项目厂界噪声预测结果与达标分析见表4-</w:t>
            </w:r>
            <w:r>
              <w:rPr>
                <w:rFonts w:hint="default" w:ascii="Times New Roman" w:hAnsi="Times New Roman" w:eastAsia="宋体" w:cs="Times New Roman"/>
                <w:color w:val="auto"/>
                <w:kern w:val="0"/>
                <w:sz w:val="24"/>
                <w:highlight w:val="none"/>
                <w:lang w:val="en-US" w:eastAsia="zh-CN" w:bidi="ar"/>
              </w:rPr>
              <w:t>18</w:t>
            </w:r>
            <w:r>
              <w:rPr>
                <w:rFonts w:hint="default" w:ascii="Times New Roman" w:hAnsi="Times New Roman" w:eastAsia="宋体" w:cs="Times New Roman"/>
                <w:color w:val="auto"/>
                <w:kern w:val="0"/>
                <w:sz w:val="24"/>
                <w:highlight w:val="none"/>
                <w:lang w:bidi="ar"/>
              </w:rPr>
              <w:t>。</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 xml:space="preserve">18 </w:t>
            </w:r>
            <w:r>
              <w:rPr>
                <w:rFonts w:hint="default" w:ascii="Times New Roman" w:hAnsi="Times New Roman" w:eastAsia="宋体" w:cs="Times New Roman"/>
                <w:b/>
                <w:bCs/>
                <w:color w:val="auto"/>
                <w:sz w:val="21"/>
                <w:szCs w:val="21"/>
                <w:highlight w:val="none"/>
              </w:rPr>
              <w:t xml:space="preserve">  厂界噪声预测结果与达标分析表</w:t>
            </w:r>
            <w:bookmarkStart w:id="58" w:name="PT_7"/>
          </w:p>
          <w:tbl>
            <w:tblPr>
              <w:tblStyle w:val="26"/>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01"/>
              <w:gridCol w:w="803"/>
              <w:gridCol w:w="803"/>
              <w:gridCol w:w="803"/>
              <w:gridCol w:w="993"/>
              <w:gridCol w:w="1417"/>
              <w:gridCol w:w="1418"/>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预测方位</w:t>
                  </w:r>
                </w:p>
              </w:tc>
              <w:tc>
                <w:tcPr>
                  <w:tcW w:w="2409" w:type="dxa"/>
                  <w:gridSpan w:val="3"/>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lang w:val="en-US" w:eastAsia="zh-CN"/>
                    </w:rPr>
                    <w:t>最大值点</w:t>
                  </w:r>
                  <w:r>
                    <w:rPr>
                      <w:rFonts w:hint="default" w:ascii="Times New Roman" w:hAnsi="Times New Roman" w:eastAsia="宋体" w:cs="Times New Roman"/>
                      <w:b/>
                      <w:color w:val="auto"/>
                      <w:sz w:val="21"/>
                      <w:szCs w:val="21"/>
                      <w:highlight w:val="none"/>
                    </w:rPr>
                    <w:t>空间相对位置/m</w:t>
                  </w:r>
                </w:p>
              </w:tc>
              <w:tc>
                <w:tcPr>
                  <w:tcW w:w="993"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时段</w:t>
                  </w:r>
                </w:p>
              </w:tc>
              <w:tc>
                <w:tcPr>
                  <w:tcW w:w="1417"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贡献值（dB</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A</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w:t>
                  </w:r>
                </w:p>
              </w:tc>
              <w:tc>
                <w:tcPr>
                  <w:tcW w:w="1418"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标准限值（dB</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A</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w:t>
                  </w:r>
                </w:p>
              </w:tc>
              <w:tc>
                <w:tcPr>
                  <w:tcW w:w="1188"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vMerge w:val="continue"/>
                  <w:shd w:val="clear" w:color="auto" w:fill="auto"/>
                  <w:vAlign w:val="center"/>
                </w:tcPr>
                <w:p>
                  <w:pPr>
                    <w:jc w:val="center"/>
                    <w:rPr>
                      <w:rFonts w:hint="default" w:ascii="Times New Roman" w:hAnsi="Times New Roman" w:eastAsia="宋体" w:cs="Times New Roman"/>
                      <w:color w:val="auto"/>
                      <w:sz w:val="21"/>
                      <w:szCs w:val="21"/>
                      <w:highlight w:val="none"/>
                    </w:rPr>
                  </w:pP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993" w:type="dxa"/>
                  <w:vMerge w:val="continue"/>
                  <w:shd w:val="clear" w:color="auto" w:fill="auto"/>
                  <w:vAlign w:val="center"/>
                </w:tcPr>
                <w:p>
                  <w:pPr>
                    <w:jc w:val="center"/>
                    <w:rPr>
                      <w:rFonts w:hint="default" w:ascii="Times New Roman" w:hAnsi="Times New Roman" w:eastAsia="宋体" w:cs="Times New Roman"/>
                      <w:color w:val="auto"/>
                      <w:sz w:val="21"/>
                      <w:szCs w:val="21"/>
                      <w:highlight w:val="none"/>
                    </w:rPr>
                  </w:pPr>
                </w:p>
              </w:tc>
              <w:tc>
                <w:tcPr>
                  <w:tcW w:w="1417" w:type="dxa"/>
                  <w:vMerge w:val="continue"/>
                  <w:shd w:val="clear" w:color="auto" w:fill="auto"/>
                  <w:vAlign w:val="center"/>
                </w:tcPr>
                <w:p>
                  <w:pPr>
                    <w:jc w:val="center"/>
                    <w:rPr>
                      <w:rFonts w:hint="default" w:ascii="Times New Roman" w:hAnsi="Times New Roman" w:eastAsia="宋体" w:cs="Times New Roman"/>
                      <w:color w:val="auto"/>
                      <w:sz w:val="21"/>
                      <w:szCs w:val="21"/>
                      <w:highlight w:val="none"/>
                    </w:rPr>
                  </w:pPr>
                </w:p>
              </w:tc>
              <w:tc>
                <w:tcPr>
                  <w:tcW w:w="1418" w:type="dxa"/>
                  <w:vMerge w:val="continue"/>
                  <w:shd w:val="clear" w:color="auto" w:fill="auto"/>
                  <w:vAlign w:val="center"/>
                </w:tcPr>
                <w:p>
                  <w:pPr>
                    <w:jc w:val="center"/>
                    <w:rPr>
                      <w:rFonts w:hint="default" w:ascii="Times New Roman" w:hAnsi="Times New Roman" w:eastAsia="宋体" w:cs="Times New Roman"/>
                      <w:color w:val="auto"/>
                      <w:sz w:val="21"/>
                      <w:szCs w:val="21"/>
                      <w:highlight w:val="none"/>
                    </w:rPr>
                  </w:pPr>
                </w:p>
              </w:tc>
              <w:tc>
                <w:tcPr>
                  <w:tcW w:w="1188" w:type="dxa"/>
                  <w:vMerge w:val="continue"/>
                  <w:shd w:val="clear" w:color="auto" w:fill="auto"/>
                  <w:vAlign w:val="center"/>
                </w:tcPr>
                <w:p>
                  <w:pPr>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东侧</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33.2</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-32.5</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993"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1417"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52.4</w:t>
                  </w:r>
                </w:p>
              </w:tc>
              <w:tc>
                <w:tcPr>
                  <w:tcW w:w="1418"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1188"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南侧</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-31.6</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-36.7</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993"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1417"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63.2</w:t>
                  </w:r>
                </w:p>
              </w:tc>
              <w:tc>
                <w:tcPr>
                  <w:tcW w:w="1418"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w:t>
                  </w:r>
                  <w:r>
                    <w:rPr>
                      <w:rFonts w:hint="default" w:ascii="Times New Roman" w:hAnsi="Times New Roman" w:eastAsia="宋体" w:cs="Times New Roman"/>
                      <w:color w:val="auto"/>
                      <w:sz w:val="21"/>
                      <w:szCs w:val="21"/>
                      <w:highlight w:val="none"/>
                      <w:lang w:val="en-US" w:eastAsia="zh-CN"/>
                    </w:rPr>
                    <w:t>5</w:t>
                  </w:r>
                </w:p>
              </w:tc>
              <w:tc>
                <w:tcPr>
                  <w:tcW w:w="1188"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西侧</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-36.8</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-33.7</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993"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1417"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63.1</w:t>
                  </w:r>
                </w:p>
              </w:tc>
              <w:tc>
                <w:tcPr>
                  <w:tcW w:w="1418"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w:t>
                  </w:r>
                  <w:r>
                    <w:rPr>
                      <w:rFonts w:hint="default" w:ascii="Times New Roman" w:hAnsi="Times New Roman" w:eastAsia="宋体" w:cs="Times New Roman"/>
                      <w:color w:val="auto"/>
                      <w:sz w:val="21"/>
                      <w:szCs w:val="21"/>
                      <w:highlight w:val="none"/>
                      <w:lang w:val="en-US" w:eastAsia="zh-CN"/>
                    </w:rPr>
                    <w:t>5</w:t>
                  </w:r>
                </w:p>
              </w:tc>
              <w:tc>
                <w:tcPr>
                  <w:tcW w:w="1188"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北侧</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-36.7</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35.4</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993"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1417"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w:t>
                  </w:r>
                </w:p>
              </w:tc>
              <w:tc>
                <w:tcPr>
                  <w:tcW w:w="1418"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w:t>
                  </w:r>
                  <w:r>
                    <w:rPr>
                      <w:rFonts w:hint="default" w:ascii="Times New Roman" w:hAnsi="Times New Roman" w:eastAsia="宋体" w:cs="Times New Roman"/>
                      <w:color w:val="auto"/>
                      <w:sz w:val="21"/>
                      <w:szCs w:val="21"/>
                      <w:highlight w:val="none"/>
                      <w:lang w:val="en-US" w:eastAsia="zh-CN"/>
                    </w:rPr>
                    <w:t>5</w:t>
                  </w:r>
                </w:p>
              </w:tc>
              <w:tc>
                <w:tcPr>
                  <w:tcW w:w="1188"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526" w:type="dxa"/>
                  <w:gridSpan w:val="8"/>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Cs w:val="21"/>
                      <w:highlight w:val="none"/>
                    </w:rPr>
                    <w:t>注：</w:t>
                  </w:r>
                  <w:r>
                    <w:rPr>
                      <w:rFonts w:hint="default" w:ascii="Times New Roman" w:hAnsi="Times New Roman" w:eastAsia="宋体" w:cs="Times New Roman"/>
                      <w:bCs/>
                      <w:color w:val="auto"/>
                      <w:sz w:val="21"/>
                      <w:szCs w:val="21"/>
                      <w:highlight w:val="none"/>
                    </w:rPr>
                    <w:t>表中坐标以</w:t>
                  </w:r>
                  <w:r>
                    <w:rPr>
                      <w:rFonts w:hint="default" w:ascii="Times New Roman" w:hAnsi="Times New Roman" w:eastAsia="宋体" w:cs="Times New Roman"/>
                      <w:bCs/>
                      <w:color w:val="auto"/>
                      <w:sz w:val="21"/>
                      <w:szCs w:val="21"/>
                      <w:highlight w:val="none"/>
                      <w:lang w:val="en-US" w:eastAsia="zh-CN"/>
                    </w:rPr>
                    <w:t>厂界中心（</w:t>
                  </w:r>
                  <w:r>
                    <w:rPr>
                      <w:rFonts w:hint="default" w:ascii="Times New Roman" w:hAnsi="Times New Roman" w:eastAsia="宋体" w:cs="Times New Roman"/>
                      <w:color w:val="auto"/>
                      <w:sz w:val="21"/>
                      <w:szCs w:val="21"/>
                      <w:highlight w:val="none"/>
                      <w:u w:val="none"/>
                      <w:lang w:val="en-US" w:eastAsia="zh-CN"/>
                    </w:rPr>
                    <w:t>103</w:t>
                  </w:r>
                  <w:r>
                    <w:rPr>
                      <w:rFonts w:hint="default" w:ascii="Times New Roman" w:hAnsi="Times New Roman" w:eastAsia="宋体" w:cs="Times New Roman"/>
                      <w:color w:val="auto"/>
                      <w:sz w:val="21"/>
                      <w:szCs w:val="21"/>
                      <w:highlight w:val="none"/>
                      <w:u w:val="none"/>
                    </w:rPr>
                    <w:t>度</w:t>
                  </w:r>
                  <w:r>
                    <w:rPr>
                      <w:rFonts w:hint="default" w:ascii="Times New Roman" w:hAnsi="Times New Roman" w:eastAsia="宋体" w:cs="Times New Roman"/>
                      <w:color w:val="auto"/>
                      <w:sz w:val="21"/>
                      <w:szCs w:val="21"/>
                      <w:highlight w:val="none"/>
                      <w:u w:val="none"/>
                      <w:lang w:val="en-US" w:eastAsia="zh-CN"/>
                    </w:rPr>
                    <w:t>12</w:t>
                  </w:r>
                  <w:r>
                    <w:rPr>
                      <w:rFonts w:hint="default" w:ascii="Times New Roman" w:hAnsi="Times New Roman" w:eastAsia="宋体" w:cs="Times New Roman"/>
                      <w:color w:val="auto"/>
                      <w:sz w:val="21"/>
                      <w:szCs w:val="21"/>
                      <w:highlight w:val="none"/>
                      <w:u w:val="none"/>
                    </w:rPr>
                    <w:t>分</w:t>
                  </w:r>
                  <w:r>
                    <w:rPr>
                      <w:rFonts w:hint="default" w:ascii="Times New Roman" w:hAnsi="Times New Roman" w:eastAsia="宋体" w:cs="Times New Roman"/>
                      <w:color w:val="auto"/>
                      <w:sz w:val="21"/>
                      <w:szCs w:val="21"/>
                      <w:highlight w:val="none"/>
                      <w:u w:val="none"/>
                      <w:lang w:val="en-US" w:eastAsia="zh-CN"/>
                    </w:rPr>
                    <w:t>46.303</w:t>
                  </w:r>
                  <w:r>
                    <w:rPr>
                      <w:rFonts w:hint="default" w:ascii="Times New Roman" w:hAnsi="Times New Roman" w:eastAsia="宋体" w:cs="Times New Roman"/>
                      <w:color w:val="auto"/>
                      <w:sz w:val="21"/>
                      <w:szCs w:val="21"/>
                      <w:highlight w:val="none"/>
                      <w:u w:val="none"/>
                    </w:rPr>
                    <w:t>秒，</w:t>
                  </w:r>
                  <w:r>
                    <w:rPr>
                      <w:rFonts w:hint="default" w:ascii="Times New Roman" w:hAnsi="Times New Roman" w:eastAsia="宋体" w:cs="Times New Roman"/>
                      <w:color w:val="auto"/>
                      <w:sz w:val="21"/>
                      <w:szCs w:val="21"/>
                      <w:highlight w:val="none"/>
                      <w:u w:val="none"/>
                      <w:lang w:val="en-US" w:eastAsia="zh-CN"/>
                    </w:rPr>
                    <w:t>25</w:t>
                  </w:r>
                  <w:r>
                    <w:rPr>
                      <w:rFonts w:hint="default" w:ascii="Times New Roman" w:hAnsi="Times New Roman" w:eastAsia="宋体" w:cs="Times New Roman"/>
                      <w:color w:val="auto"/>
                      <w:sz w:val="21"/>
                      <w:szCs w:val="21"/>
                      <w:highlight w:val="none"/>
                      <w:u w:val="none"/>
                    </w:rPr>
                    <w:t>度</w:t>
                  </w:r>
                  <w:r>
                    <w:rPr>
                      <w:rFonts w:hint="default" w:ascii="Times New Roman" w:hAnsi="Times New Roman" w:eastAsia="宋体" w:cs="Times New Roman"/>
                      <w:color w:val="auto"/>
                      <w:sz w:val="21"/>
                      <w:szCs w:val="21"/>
                      <w:highlight w:val="none"/>
                      <w:u w:val="none"/>
                      <w:lang w:val="en-US" w:eastAsia="zh-CN"/>
                    </w:rPr>
                    <w:t>35</w:t>
                  </w:r>
                  <w:r>
                    <w:rPr>
                      <w:rFonts w:hint="default" w:ascii="Times New Roman" w:hAnsi="Times New Roman" w:eastAsia="宋体" w:cs="Times New Roman"/>
                      <w:color w:val="auto"/>
                      <w:sz w:val="21"/>
                      <w:szCs w:val="21"/>
                      <w:highlight w:val="none"/>
                      <w:u w:val="none"/>
                    </w:rPr>
                    <w:t>分</w:t>
                  </w:r>
                  <w:r>
                    <w:rPr>
                      <w:rFonts w:hint="default" w:ascii="Times New Roman" w:hAnsi="Times New Roman" w:eastAsia="宋体" w:cs="Times New Roman"/>
                      <w:color w:val="auto"/>
                      <w:sz w:val="21"/>
                      <w:szCs w:val="21"/>
                      <w:highlight w:val="none"/>
                      <w:u w:val="none"/>
                      <w:lang w:val="en-US" w:eastAsia="zh-CN"/>
                    </w:rPr>
                    <w:t>15.503</w:t>
                  </w:r>
                  <w:r>
                    <w:rPr>
                      <w:rFonts w:hint="default" w:ascii="Times New Roman" w:hAnsi="Times New Roman" w:eastAsia="宋体" w:cs="Times New Roman"/>
                      <w:color w:val="auto"/>
                      <w:sz w:val="21"/>
                      <w:szCs w:val="21"/>
                      <w:highlight w:val="none"/>
                      <w:u w:val="none"/>
                    </w:rPr>
                    <w:t>秒</w:t>
                  </w:r>
                  <w:r>
                    <w:rPr>
                      <w:rFonts w:hint="default" w:ascii="Times New Roman" w:hAnsi="Times New Roman" w:eastAsia="宋体" w:cs="Times New Roman"/>
                      <w:bCs/>
                      <w:color w:val="auto"/>
                      <w:sz w:val="21"/>
                      <w:szCs w:val="21"/>
                      <w:highlight w:val="none"/>
                      <w:lang w:val="en-US" w:eastAsia="zh-CN"/>
                    </w:rPr>
                    <w:t>）为坐标原点</w:t>
                  </w:r>
                  <w:r>
                    <w:rPr>
                      <w:rFonts w:hint="default" w:ascii="Times New Roman" w:hAnsi="Times New Roman" w:eastAsia="宋体" w:cs="Times New Roman"/>
                      <w:bCs/>
                      <w:color w:val="auto"/>
                      <w:sz w:val="21"/>
                      <w:szCs w:val="21"/>
                      <w:highlight w:val="none"/>
                    </w:rPr>
                    <w:t>，正东向为X轴正方向，正北向为Y轴正方向。</w:t>
                  </w:r>
                </w:p>
              </w:tc>
            </w:tr>
            <w:bookmarkEnd w:id="58"/>
          </w:tbl>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本项目运营时段为6：00—22：00，</w:t>
            </w:r>
            <w:r>
              <w:rPr>
                <w:rFonts w:hint="default" w:ascii="Times New Roman" w:hAnsi="Times New Roman" w:eastAsia="宋体" w:cs="Times New Roman"/>
                <w:color w:val="auto"/>
                <w:sz w:val="24"/>
                <w:szCs w:val="24"/>
                <w:highlight w:val="none"/>
              </w:rPr>
              <w:t>夜间不生产</w:t>
            </w:r>
            <w:r>
              <w:rPr>
                <w:rFonts w:hint="default" w:ascii="Times New Roman" w:hAnsi="Times New Roman" w:eastAsia="宋体" w:cs="Times New Roman"/>
                <w:color w:val="auto"/>
                <w:sz w:val="24"/>
                <w:szCs w:val="24"/>
                <w:highlight w:val="none"/>
                <w:lang w:val="en-US" w:eastAsia="zh-CN"/>
              </w:rPr>
              <w:t>，由上</w:t>
            </w:r>
            <w:r>
              <w:rPr>
                <w:rFonts w:hint="default" w:ascii="Times New Roman" w:hAnsi="Times New Roman" w:eastAsia="宋体" w:cs="Times New Roman"/>
                <w:color w:val="auto"/>
                <w:sz w:val="24"/>
                <w:szCs w:val="24"/>
                <w:highlight w:val="none"/>
              </w:rPr>
              <w:t>表预测结果一览表可以得知</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北、西、南厂界</w:t>
            </w:r>
            <w:r>
              <w:rPr>
                <w:rFonts w:hint="default" w:ascii="Times New Roman" w:hAnsi="Times New Roman" w:eastAsia="宋体" w:cs="Times New Roman"/>
                <w:color w:val="auto"/>
                <w:sz w:val="24"/>
                <w:szCs w:val="24"/>
                <w:highlight w:val="none"/>
              </w:rPr>
              <w:t>噪声</w:t>
            </w:r>
            <w:r>
              <w:rPr>
                <w:rFonts w:hint="default" w:ascii="Times New Roman" w:hAnsi="Times New Roman" w:eastAsia="宋体" w:cs="Times New Roman"/>
                <w:color w:val="auto"/>
                <w:sz w:val="24"/>
                <w:szCs w:val="24"/>
                <w:highlight w:val="none"/>
                <w:lang w:val="en-US" w:eastAsia="zh-CN"/>
              </w:rPr>
              <w:t>均可满足</w:t>
            </w:r>
            <w:r>
              <w:rPr>
                <w:rFonts w:hint="default" w:ascii="Times New Roman" w:hAnsi="Times New Roman" w:eastAsia="宋体" w:cs="Times New Roman"/>
                <w:color w:val="auto"/>
                <w:sz w:val="24"/>
                <w:szCs w:val="24"/>
                <w:highlight w:val="none"/>
              </w:rPr>
              <w:t>《工业企业厂界环境噪声排放标准》（GB12348-2008）3类要求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临1号路一侧</w:t>
            </w:r>
            <w:r>
              <w:rPr>
                <w:rFonts w:hint="default" w:ascii="Times New Roman" w:hAnsi="Times New Roman" w:eastAsia="宋体"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rPr>
              <w:t>m范围内</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东厂界</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噪声</w:t>
            </w:r>
            <w:r>
              <w:rPr>
                <w:rFonts w:hint="default" w:ascii="Times New Roman" w:hAnsi="Times New Roman" w:eastAsia="宋体" w:cs="Times New Roman"/>
                <w:color w:val="auto"/>
                <w:sz w:val="24"/>
                <w:szCs w:val="24"/>
                <w:highlight w:val="none"/>
                <w:lang w:val="en-US" w:eastAsia="zh-CN"/>
              </w:rPr>
              <w:t>可满足</w:t>
            </w:r>
            <w:r>
              <w:rPr>
                <w:rFonts w:hint="default" w:ascii="Times New Roman" w:hAnsi="Times New Roman" w:eastAsia="宋体" w:cs="Times New Roman"/>
                <w:color w:val="auto"/>
                <w:sz w:val="24"/>
                <w:szCs w:val="24"/>
                <w:highlight w:val="none"/>
              </w:rPr>
              <w:t>《工业企业厂界环境噪声排放标准》（GB12348-2008）</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类</w:t>
            </w:r>
            <w:r>
              <w:rPr>
                <w:rFonts w:hint="default" w:ascii="Times New Roman" w:hAnsi="Times New Roman" w:eastAsia="宋体" w:cs="Times New Roman"/>
                <w:color w:val="auto"/>
                <w:sz w:val="24"/>
                <w:szCs w:val="24"/>
                <w:highlight w:val="none"/>
                <w:lang w:val="en-US" w:eastAsia="zh-CN"/>
              </w:rPr>
              <w:t>标准</w:t>
            </w:r>
            <w:r>
              <w:rPr>
                <w:rFonts w:hint="default" w:ascii="Times New Roman" w:hAnsi="Times New Roman" w:eastAsia="宋体" w:cs="Times New Roman"/>
                <w:color w:val="auto"/>
                <w:sz w:val="24"/>
                <w:szCs w:val="24"/>
                <w:highlight w:val="none"/>
              </w:rPr>
              <w:t>要求。</w:t>
            </w:r>
          </w:p>
          <w:p>
            <w:pPr>
              <w:pStyle w:val="17"/>
              <w:adjustRightInd w:val="0"/>
              <w:snapToGrid w:val="0"/>
              <w:spacing w:line="360" w:lineRule="auto"/>
              <w:ind w:firstLine="482" w:firstLineChars="200"/>
              <w:rPr>
                <w:rFonts w:hint="default" w:ascii="Times New Roman" w:hAnsi="Times New Roman" w:eastAsia="宋体" w:cs="Times New Roman"/>
                <w:b/>
                <w:color w:val="auto"/>
                <w:sz w:val="24"/>
                <w:szCs w:val="28"/>
                <w:highlight w:val="none"/>
                <w:lang w:val="en-US"/>
              </w:rPr>
            </w:pPr>
            <w:r>
              <w:rPr>
                <w:rFonts w:hint="default" w:ascii="Times New Roman" w:hAnsi="Times New Roman" w:eastAsia="宋体" w:cs="Times New Roman"/>
                <w:b/>
                <w:bCs/>
                <w:color w:val="auto"/>
                <w:sz w:val="24"/>
                <w:szCs w:val="24"/>
                <w:highlight w:val="none"/>
                <w:lang w:val="en-US" w:eastAsia="zh-CN"/>
              </w:rPr>
              <w:t>3、控制措施</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sz w:val="24"/>
                <w:highlight w:val="none"/>
                <w:lang w:val="zh-CN"/>
              </w:rPr>
              <w:t>为减小运营期噪声对周边环境的影响，本环评提出如下措施：</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val="en-US" w:eastAsia="zh-CN"/>
              </w:rPr>
              <w:t>①选用低噪声生产设备；</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val="en-US" w:eastAsia="zh-CN"/>
              </w:rPr>
              <w:t>②运营过程中应加强主要产噪设备的保养、检修，保证设备处于良好的运转状态，减少机械振动和摩擦产生的噪声，防止共振。</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color w:val="auto"/>
                <w:kern w:val="0"/>
                <w:sz w:val="24"/>
                <w:highlight w:val="none"/>
                <w:lang w:val="en-US" w:eastAsia="zh-CN"/>
              </w:rPr>
              <w:t>③高噪声设备安装减震垫进行基础减振，风管设软连接，对设备进行有效地减震、隔声处理。</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④</w:t>
            </w:r>
            <w:r>
              <w:rPr>
                <w:rFonts w:hint="default" w:ascii="Times New Roman" w:hAnsi="Times New Roman" w:eastAsia="宋体" w:cs="Times New Roman"/>
                <w:color w:val="auto"/>
                <w:sz w:val="24"/>
                <w:highlight w:val="none"/>
              </w:rPr>
              <w:t>对操作员工影响加强个人防护意识，工作人员应佩戴防噪用品，如防声耳塞或耳罩等。</w:t>
            </w:r>
          </w:p>
          <w:p>
            <w:pPr>
              <w:pStyle w:val="49"/>
              <w:adjustRightInd w:val="0"/>
              <w:snapToGrid w:val="0"/>
              <w:spacing w:line="360" w:lineRule="auto"/>
              <w:ind w:firstLine="480" w:firstLineChars="200"/>
              <w:jc w:val="both"/>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color w:val="auto"/>
                <w:sz w:val="24"/>
                <w:highlight w:val="none"/>
                <w:lang w:val="en-US" w:eastAsia="zh-CN"/>
              </w:rPr>
              <w:t>⑤</w:t>
            </w:r>
            <w:r>
              <w:rPr>
                <w:rFonts w:hint="default" w:ascii="Times New Roman" w:hAnsi="Times New Roman" w:eastAsia="宋体" w:cs="Times New Roman"/>
                <w:color w:val="auto"/>
                <w:sz w:val="24"/>
                <w:highlight w:val="none"/>
              </w:rPr>
              <w:t>加强管理培训，确保工人文明操作，装卸货物时轻拿轻放，避免因野蛮操作产生的突发性噪声；</w:t>
            </w:r>
            <w:r>
              <w:rPr>
                <w:rFonts w:hint="default" w:ascii="Times New Roman" w:hAnsi="Times New Roman" w:eastAsia="宋体" w:cs="Times New Roman"/>
                <w:color w:val="auto"/>
                <w:sz w:val="24"/>
                <w:highlight w:val="none"/>
                <w:lang w:val="zh-CN"/>
              </w:rPr>
              <w:t>以上处理措施在各行业噪声防治中广泛应用，处理效果好。</w:t>
            </w:r>
          </w:p>
          <w:p>
            <w:pPr>
              <w:pStyle w:val="49"/>
              <w:adjustRightInd w:val="0"/>
              <w:snapToGrid w:val="0"/>
              <w:spacing w:line="360" w:lineRule="auto"/>
              <w:ind w:firstLine="482" w:firstLineChars="200"/>
              <w:jc w:val="both"/>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、监测要求</w:t>
            </w:r>
          </w:p>
          <w:p>
            <w:pPr>
              <w:pStyle w:val="49"/>
              <w:adjustRightInd w:val="0"/>
              <w:snapToGrid w:val="0"/>
              <w:spacing w:line="360" w:lineRule="auto"/>
              <w:ind w:firstLine="480" w:firstLineChars="200"/>
              <w:jc w:val="both"/>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highlight w:val="none"/>
              </w:rPr>
              <w:t>《排污单位自行监测技术指南 橡胶和塑料制品》（HJ1207-2021）</w:t>
            </w:r>
            <w:r>
              <w:rPr>
                <w:rFonts w:hint="default" w:ascii="Times New Roman" w:hAnsi="Times New Roman" w:eastAsia="宋体" w:cs="Times New Roman"/>
                <w:color w:val="auto"/>
                <w:sz w:val="24"/>
                <w:szCs w:val="24"/>
                <w:highlight w:val="none"/>
                <w:lang w:val="en-US" w:eastAsia="zh-CN"/>
              </w:rPr>
              <w:t>可知，本项目</w:t>
            </w:r>
            <w:r>
              <w:rPr>
                <w:rFonts w:hint="default" w:ascii="Times New Roman" w:hAnsi="Times New Roman" w:eastAsia="宋体" w:cs="Times New Roman"/>
                <w:color w:val="auto"/>
                <w:sz w:val="24"/>
                <w:highlight w:val="none"/>
              </w:rPr>
              <w:t>监测要求详见下表。</w:t>
            </w:r>
          </w:p>
          <w:p>
            <w:pPr>
              <w:pStyle w:val="49"/>
              <w:adjustRightInd w:val="0"/>
              <w:snapToGrid w:val="0"/>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Cs w:val="21"/>
                <w:highlight w:val="none"/>
              </w:rPr>
              <w:t>表4-</w:t>
            </w:r>
            <w:r>
              <w:rPr>
                <w:rFonts w:hint="default" w:ascii="Times New Roman" w:hAnsi="Times New Roman" w:eastAsia="宋体" w:cs="Times New Roman"/>
                <w:b/>
                <w:bCs/>
                <w:color w:val="auto"/>
                <w:szCs w:val="21"/>
                <w:highlight w:val="none"/>
                <w:lang w:val="en-US" w:eastAsia="zh-CN"/>
              </w:rPr>
              <w:t>19</w:t>
            </w:r>
            <w:r>
              <w:rPr>
                <w:rFonts w:hint="default" w:ascii="Times New Roman" w:hAnsi="Times New Roman" w:eastAsia="宋体" w:cs="Times New Roman"/>
                <w:b/>
                <w:bCs/>
                <w:color w:val="auto"/>
                <w:szCs w:val="21"/>
                <w:highlight w:val="none"/>
              </w:rPr>
              <w:t xml:space="preserve">   噪声监测计划一览表</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8"/>
              <w:gridCol w:w="2798"/>
              <w:gridCol w:w="2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Align w:val="center"/>
                </w:tcPr>
                <w:p>
                  <w:pPr>
                    <w:pStyle w:val="49"/>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监测点位</w:t>
                  </w:r>
                </w:p>
              </w:tc>
              <w:tc>
                <w:tcPr>
                  <w:tcW w:w="1666" w:type="pct"/>
                  <w:vAlign w:val="center"/>
                </w:tcPr>
                <w:p>
                  <w:pPr>
                    <w:pStyle w:val="49"/>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监测项目</w:t>
                  </w:r>
                </w:p>
              </w:tc>
              <w:tc>
                <w:tcPr>
                  <w:tcW w:w="1666" w:type="pct"/>
                  <w:vAlign w:val="center"/>
                </w:tcPr>
                <w:p>
                  <w:pPr>
                    <w:pStyle w:val="49"/>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时间、频次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沿项目区厂界东、南、西、</w:t>
                  </w:r>
                </w:p>
                <w:p>
                  <w:pPr>
                    <w:pStyle w:val="49"/>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北界外1m 处布点监测</w:t>
                  </w:r>
                </w:p>
              </w:tc>
              <w:tc>
                <w:tcPr>
                  <w:tcW w:w="1666" w:type="pct"/>
                  <w:vAlign w:val="center"/>
                </w:tcPr>
                <w:p>
                  <w:pPr>
                    <w:pStyle w:val="49"/>
                    <w:adjustRightInd w:val="0"/>
                    <w:snapToGrid w:val="0"/>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等效声级Leq</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 xml:space="preserve">dB </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A</w:t>
                  </w:r>
                  <w:r>
                    <w:rPr>
                      <w:rFonts w:hint="default" w:ascii="Times New Roman" w:hAnsi="Times New Roman" w:eastAsia="宋体" w:cs="Times New Roman"/>
                      <w:color w:val="auto"/>
                      <w:szCs w:val="21"/>
                      <w:highlight w:val="none"/>
                      <w:lang w:eastAsia="zh-CN"/>
                    </w:rPr>
                    <w:t>））</w:t>
                  </w:r>
                </w:p>
              </w:tc>
              <w:tc>
                <w:tcPr>
                  <w:tcW w:w="1666" w:type="pct"/>
                  <w:vAlign w:val="center"/>
                </w:tcPr>
                <w:p>
                  <w:pPr>
                    <w:pStyle w:val="49"/>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1次/季度</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四</w:t>
            </w:r>
            <w:r>
              <w:rPr>
                <w:rFonts w:hint="default" w:ascii="Times New Roman" w:hAnsi="Times New Roman" w:eastAsia="宋体" w:cs="Times New Roman"/>
                <w:b/>
                <w:color w:val="auto"/>
                <w:sz w:val="24"/>
                <w:szCs w:val="24"/>
                <w:highlight w:val="none"/>
              </w:rPr>
              <w:t>、固体废弃物</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项目运营期产生的固体废物主要为一般工业固废、生活固废和</w:t>
            </w:r>
            <w:r>
              <w:rPr>
                <w:rFonts w:hint="default" w:ascii="Times New Roman" w:hAnsi="Times New Roman" w:eastAsia="宋体" w:cs="Times New Roman"/>
                <w:color w:val="auto"/>
                <w:sz w:val="24"/>
                <w:szCs w:val="24"/>
                <w:highlight w:val="none"/>
                <w:lang w:eastAsia="zh-CN"/>
              </w:rPr>
              <w:t>危险废物</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1、一般工业固体废物</w:t>
            </w:r>
          </w:p>
          <w:p>
            <w:pPr>
              <w:keepNext w:val="0"/>
              <w:keepLines w:val="0"/>
              <w:pageBreakBefore w:val="0"/>
              <w:widowControl w:val="0"/>
              <w:kinsoku/>
              <w:wordWrap/>
              <w:overflowPunct/>
              <w:topLinePunct w:val="0"/>
              <w:autoSpaceDE/>
              <w:autoSpaceDN/>
              <w:bidi w:val="0"/>
              <w:adjustRightIn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color w:val="auto"/>
                <w:sz w:val="24"/>
                <w:szCs w:val="24"/>
                <w:highlight w:val="none"/>
              </w:rPr>
              <w:t>废包装材料</w:t>
            </w:r>
          </w:p>
          <w:p>
            <w:pPr>
              <w:keepNext w:val="0"/>
              <w:keepLines w:val="0"/>
              <w:pageBreakBefore w:val="0"/>
              <w:widowControl w:val="0"/>
              <w:kinsoku/>
              <w:wordWrap/>
              <w:overflowPunct/>
              <w:topLinePunct w:val="0"/>
              <w:autoSpaceDE/>
              <w:autoSpaceDN/>
              <w:bidi w:val="0"/>
              <w:adjustRightIn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项目原辅料拆包及包装工序会产生废包装材料，产生量约为3.2t/a，统一收集后暂存于一般固废暂存区，</w:t>
            </w:r>
            <w:r>
              <w:rPr>
                <w:rFonts w:hint="default" w:ascii="Times New Roman" w:hAnsi="Times New Roman" w:eastAsia="宋体" w:cs="Times New Roman"/>
                <w:b w:val="0"/>
                <w:bCs w:val="0"/>
                <w:color w:val="auto"/>
                <w:sz w:val="24"/>
                <w:szCs w:val="24"/>
                <w:highlight w:val="none"/>
                <w:lang w:val="en-US" w:eastAsia="zh-CN"/>
              </w:rPr>
              <w:t>定期外售</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废边角料</w:t>
            </w:r>
          </w:p>
          <w:p>
            <w:pPr>
              <w:pStyle w:val="2"/>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项目生产过程会产生</w:t>
            </w:r>
            <w:r>
              <w:rPr>
                <w:rFonts w:hint="default" w:ascii="Times New Roman" w:hAnsi="Times New Roman" w:eastAsia="宋体" w:cs="Times New Roman"/>
                <w:color w:val="auto"/>
                <w:sz w:val="24"/>
                <w:szCs w:val="24"/>
                <w:highlight w:val="none"/>
                <w:lang w:eastAsia="zh-CN"/>
              </w:rPr>
              <w:t>废边角料，</w:t>
            </w:r>
            <w:r>
              <w:rPr>
                <w:rFonts w:hint="default" w:ascii="Times New Roman" w:hAnsi="Times New Roman" w:eastAsia="宋体" w:cs="Times New Roman"/>
                <w:b w:val="0"/>
                <w:bCs w:val="0"/>
                <w:color w:val="auto"/>
                <w:sz w:val="24"/>
                <w:szCs w:val="24"/>
                <w:highlight w:val="none"/>
                <w:lang w:eastAsia="zh-CN"/>
              </w:rPr>
              <w:t>吹膜过程产生吹膜废料，均为一般固体废物，产生量约为</w:t>
            </w:r>
            <w:r>
              <w:rPr>
                <w:rFonts w:hint="default" w:ascii="Times New Roman" w:hAnsi="Times New Roman" w:eastAsia="宋体" w:cs="Times New Roman"/>
                <w:b w:val="0"/>
                <w:bCs w:val="0"/>
                <w:color w:val="auto"/>
                <w:sz w:val="24"/>
                <w:szCs w:val="24"/>
                <w:highlight w:val="none"/>
                <w:lang w:val="en-US" w:eastAsia="zh-CN"/>
              </w:rPr>
              <w:t>4.6t/a，统一收集后暂存于一般固废暂存区，定期外售。</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（3）不合格品</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项目检验过程会有不合格品，产生量约为3.4t/a，统一收集后暂存于一般固废暂存区，定期外售。</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2、生活固废</w:t>
            </w:r>
          </w:p>
          <w:p>
            <w:pPr>
              <w:pStyle w:val="77"/>
              <w:keepNext w:val="0"/>
              <w:keepLines w:val="0"/>
              <w:pageBreakBefore w:val="0"/>
              <w:widowControl w:val="0"/>
              <w:numPr>
                <w:ilvl w:val="0"/>
                <w:numId w:val="0"/>
              </w:numPr>
              <w:tabs>
                <w:tab w:val="left" w:pos="1189"/>
              </w:tabs>
              <w:kinsoku/>
              <w:wordWrap/>
              <w:overflowPunct/>
              <w:topLinePunct w:val="0"/>
              <w:autoSpaceDE w:val="0"/>
              <w:autoSpaceDN w:val="0"/>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生活垃圾</w:t>
            </w:r>
          </w:p>
          <w:p>
            <w:pPr>
              <w:pStyle w:val="77"/>
              <w:keepNext w:val="0"/>
              <w:keepLines w:val="0"/>
              <w:pageBreakBefore w:val="0"/>
              <w:widowControl w:val="0"/>
              <w:kinsoku/>
              <w:wordWrap/>
              <w:overflowPunct/>
              <w:topLinePunct w:val="0"/>
              <w:autoSpaceDE w:val="0"/>
              <w:autoSpaceDN w:val="0"/>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本</w:t>
            </w:r>
            <w:r>
              <w:rPr>
                <w:rFonts w:hint="default" w:ascii="Times New Roman" w:hAnsi="Times New Roman" w:eastAsia="宋体" w:cs="Times New Roman"/>
                <w:b w:val="0"/>
                <w:bCs w:val="0"/>
                <w:color w:val="auto"/>
                <w:sz w:val="24"/>
                <w:szCs w:val="24"/>
                <w:highlight w:val="none"/>
              </w:rPr>
              <w:t>项目工作人员数量为</w:t>
            </w:r>
            <w:r>
              <w:rPr>
                <w:rFonts w:hint="default" w:ascii="Times New Roman" w:hAnsi="Times New Roman" w:eastAsia="宋体" w:cs="Times New Roman"/>
                <w:b w:val="0"/>
                <w:bCs w:val="0"/>
                <w:color w:val="auto"/>
                <w:sz w:val="24"/>
                <w:szCs w:val="24"/>
                <w:highlight w:val="none"/>
                <w:lang w:val="en-US" w:eastAsia="zh-CN"/>
              </w:rPr>
              <w:t>20人</w:t>
            </w:r>
            <w:r>
              <w:rPr>
                <w:rFonts w:hint="default" w:ascii="Times New Roman" w:hAnsi="Times New Roman" w:eastAsia="宋体" w:cs="Times New Roman"/>
                <w:b w:val="0"/>
                <w:bCs w:val="0"/>
                <w:color w:val="auto"/>
                <w:sz w:val="24"/>
                <w:szCs w:val="24"/>
                <w:highlight w:val="none"/>
              </w:rPr>
              <w:t>，根据城镇生活源产排污系数手册，</w:t>
            </w:r>
            <w:r>
              <w:rPr>
                <w:rFonts w:hint="default" w:ascii="Times New Roman" w:hAnsi="Times New Roman" w:eastAsia="宋体" w:cs="Times New Roman"/>
                <w:b w:val="0"/>
                <w:bCs w:val="0"/>
                <w:color w:val="auto"/>
                <w:sz w:val="24"/>
                <w:szCs w:val="24"/>
                <w:highlight w:val="none"/>
                <w:lang w:eastAsia="zh-CN"/>
              </w:rPr>
              <w:t>食宿</w:t>
            </w:r>
            <w:r>
              <w:rPr>
                <w:rFonts w:hint="default" w:ascii="Times New Roman" w:hAnsi="Times New Roman" w:eastAsia="宋体" w:cs="Times New Roman"/>
                <w:b w:val="0"/>
                <w:bCs w:val="0"/>
                <w:color w:val="auto"/>
                <w:sz w:val="24"/>
                <w:szCs w:val="24"/>
                <w:highlight w:val="none"/>
              </w:rPr>
              <w:t>工作人员生活垃圾产生量按1kg/d·人计算，则员工生活垃圾的产生量为</w:t>
            </w:r>
            <w:r>
              <w:rPr>
                <w:rFonts w:hint="default" w:ascii="Times New Roman" w:hAnsi="Times New Roman" w:eastAsia="宋体" w:cs="Times New Roman"/>
                <w:b w:val="0"/>
                <w:bCs w:val="0"/>
                <w:color w:val="auto"/>
                <w:sz w:val="24"/>
                <w:szCs w:val="24"/>
                <w:highlight w:val="none"/>
                <w:lang w:val="en-US" w:eastAsia="zh-CN"/>
              </w:rPr>
              <w:t>20</w:t>
            </w:r>
            <w:r>
              <w:rPr>
                <w:rFonts w:hint="default" w:ascii="Times New Roman" w:hAnsi="Times New Roman" w:eastAsia="宋体" w:cs="Times New Roman"/>
                <w:b w:val="0"/>
                <w:bCs w:val="0"/>
                <w:color w:val="auto"/>
                <w:sz w:val="24"/>
                <w:szCs w:val="24"/>
                <w:highlight w:val="none"/>
              </w:rPr>
              <w:t>kg/d，</w:t>
            </w:r>
            <w:r>
              <w:rPr>
                <w:rFonts w:hint="default" w:ascii="Times New Roman" w:hAnsi="Times New Roman" w:eastAsia="宋体" w:cs="Times New Roman"/>
                <w:b w:val="0"/>
                <w:bCs w:val="0"/>
                <w:color w:val="auto"/>
                <w:sz w:val="24"/>
                <w:szCs w:val="24"/>
                <w:highlight w:val="none"/>
                <w:lang w:val="en-US" w:eastAsia="zh-CN"/>
              </w:rPr>
              <w:t>6</w:t>
            </w:r>
            <w:r>
              <w:rPr>
                <w:rFonts w:hint="default" w:ascii="Times New Roman" w:hAnsi="Times New Roman" w:eastAsia="宋体" w:cs="Times New Roman"/>
                <w:b w:val="0"/>
                <w:bCs w:val="0"/>
                <w:color w:val="auto"/>
                <w:sz w:val="24"/>
                <w:szCs w:val="24"/>
                <w:highlight w:val="none"/>
              </w:rPr>
              <w:t>t/a。</w:t>
            </w:r>
            <w:r>
              <w:rPr>
                <w:rFonts w:hint="default" w:ascii="Times New Roman" w:hAnsi="Times New Roman" w:eastAsia="宋体" w:cs="Times New Roman"/>
                <w:b w:val="0"/>
                <w:bCs w:val="0"/>
                <w:color w:val="auto"/>
                <w:kern w:val="0"/>
                <w:sz w:val="24"/>
                <w:szCs w:val="24"/>
                <w:highlight w:val="none"/>
              </w:rPr>
              <w:t>生活垃圾</w:t>
            </w:r>
            <w:r>
              <w:rPr>
                <w:rFonts w:hint="default" w:ascii="Times New Roman" w:hAnsi="Times New Roman" w:eastAsia="宋体" w:cs="Times New Roman"/>
                <w:b w:val="0"/>
                <w:bCs w:val="0"/>
                <w:color w:val="auto"/>
                <w:kern w:val="0"/>
                <w:sz w:val="24"/>
                <w:szCs w:val="24"/>
                <w:highlight w:val="none"/>
                <w:lang w:eastAsia="zh-CN"/>
              </w:rPr>
              <w:t>由项目区工作人员</w:t>
            </w:r>
            <w:r>
              <w:rPr>
                <w:rFonts w:hint="default" w:ascii="Times New Roman" w:hAnsi="Times New Roman" w:eastAsia="宋体" w:cs="Times New Roman"/>
                <w:b w:val="0"/>
                <w:bCs w:val="0"/>
                <w:color w:val="auto"/>
                <w:sz w:val="24"/>
                <w:szCs w:val="24"/>
                <w:highlight w:val="none"/>
              </w:rPr>
              <w:t>使用</w:t>
            </w:r>
            <w:r>
              <w:rPr>
                <w:rFonts w:hint="default" w:ascii="Times New Roman" w:hAnsi="Times New Roman" w:eastAsia="宋体" w:cs="Times New Roman"/>
                <w:b w:val="0"/>
                <w:bCs w:val="0"/>
                <w:color w:val="auto"/>
                <w:sz w:val="24"/>
                <w:szCs w:val="24"/>
                <w:highlight w:val="none"/>
                <w:lang w:eastAsia="zh-CN"/>
              </w:rPr>
              <w:t>带盖</w:t>
            </w:r>
            <w:r>
              <w:rPr>
                <w:rFonts w:hint="default" w:ascii="Times New Roman" w:hAnsi="Times New Roman" w:eastAsia="宋体" w:cs="Times New Roman"/>
                <w:b w:val="0"/>
                <w:bCs w:val="0"/>
                <w:color w:val="auto"/>
                <w:sz w:val="24"/>
                <w:szCs w:val="24"/>
                <w:highlight w:val="none"/>
              </w:rPr>
              <w:t>式生活垃圾收</w:t>
            </w:r>
            <w:r>
              <w:rPr>
                <w:rFonts w:hint="default" w:ascii="Times New Roman" w:hAnsi="Times New Roman" w:eastAsia="宋体" w:cs="Times New Roman"/>
                <w:b w:val="0"/>
                <w:bCs w:val="0"/>
                <w:color w:val="auto"/>
                <w:kern w:val="2"/>
                <w:sz w:val="24"/>
                <w:szCs w:val="24"/>
                <w:highlight w:val="none"/>
              </w:rPr>
              <w:t>集桶</w:t>
            </w:r>
            <w:r>
              <w:rPr>
                <w:rFonts w:hint="default" w:ascii="Times New Roman" w:hAnsi="Times New Roman" w:eastAsia="宋体" w:cs="Times New Roman"/>
                <w:b w:val="0"/>
                <w:bCs w:val="0"/>
                <w:color w:val="auto"/>
                <w:kern w:val="0"/>
                <w:sz w:val="24"/>
                <w:szCs w:val="24"/>
                <w:highlight w:val="none"/>
                <w:lang w:eastAsia="zh-CN"/>
              </w:rPr>
              <w:t>统一</w:t>
            </w:r>
            <w:r>
              <w:rPr>
                <w:rFonts w:hint="default" w:ascii="Times New Roman" w:hAnsi="Times New Roman" w:eastAsia="宋体" w:cs="Times New Roman"/>
                <w:b w:val="0"/>
                <w:bCs w:val="0"/>
                <w:color w:val="auto"/>
                <w:kern w:val="0"/>
                <w:sz w:val="24"/>
                <w:szCs w:val="24"/>
                <w:highlight w:val="none"/>
              </w:rPr>
              <w:t>收集后</w:t>
            </w:r>
            <w:r>
              <w:rPr>
                <w:rFonts w:hint="default" w:ascii="Times New Roman" w:hAnsi="Times New Roman" w:eastAsia="宋体" w:cs="Times New Roman"/>
                <w:b w:val="0"/>
                <w:bCs w:val="0"/>
                <w:color w:val="auto"/>
                <w:kern w:val="0"/>
                <w:sz w:val="24"/>
                <w:szCs w:val="24"/>
                <w:highlight w:val="none"/>
                <w:lang w:eastAsia="zh-CN"/>
              </w:rPr>
              <w:t>由当地</w:t>
            </w:r>
            <w:r>
              <w:rPr>
                <w:rFonts w:hint="default" w:ascii="Times New Roman" w:hAnsi="Times New Roman" w:eastAsia="宋体" w:cs="Times New Roman"/>
                <w:b w:val="0"/>
                <w:bCs w:val="0"/>
                <w:color w:val="auto"/>
                <w:kern w:val="0"/>
                <w:sz w:val="24"/>
                <w:szCs w:val="24"/>
                <w:highlight w:val="none"/>
              </w:rPr>
              <w:t>环卫部门</w:t>
            </w:r>
            <w:r>
              <w:rPr>
                <w:rFonts w:hint="default" w:ascii="Times New Roman" w:hAnsi="Times New Roman" w:eastAsia="宋体" w:cs="Times New Roman"/>
                <w:b w:val="0"/>
                <w:bCs w:val="0"/>
                <w:color w:val="auto"/>
                <w:kern w:val="0"/>
                <w:sz w:val="24"/>
                <w:szCs w:val="24"/>
                <w:highlight w:val="none"/>
                <w:lang w:eastAsia="zh-CN"/>
              </w:rPr>
              <w:t>定期</w:t>
            </w:r>
            <w:r>
              <w:rPr>
                <w:rFonts w:hint="default" w:ascii="Times New Roman" w:hAnsi="Times New Roman" w:eastAsia="宋体" w:cs="Times New Roman"/>
                <w:b w:val="0"/>
                <w:bCs w:val="0"/>
                <w:color w:val="auto"/>
                <w:sz w:val="24"/>
                <w:szCs w:val="24"/>
                <w:highlight w:val="none"/>
              </w:rPr>
              <w:t>清运</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处置</w:t>
            </w:r>
            <w:r>
              <w:rPr>
                <w:rFonts w:hint="default" w:ascii="Times New Roman" w:hAnsi="Times New Roman" w:eastAsia="宋体" w:cs="Times New Roman"/>
                <w:b w:val="0"/>
                <w:bCs w:val="0"/>
                <w:color w:val="auto"/>
                <w:kern w:val="0"/>
                <w:sz w:val="24"/>
                <w:szCs w:val="24"/>
                <w:highlight w:val="none"/>
              </w:rPr>
              <w:t>。</w:t>
            </w:r>
          </w:p>
          <w:p>
            <w:pPr>
              <w:pStyle w:val="77"/>
              <w:keepNext w:val="0"/>
              <w:keepLines w:val="0"/>
              <w:pageBreakBefore w:val="0"/>
              <w:numPr>
                <w:ilvl w:val="0"/>
                <w:numId w:val="0"/>
              </w:numPr>
              <w:tabs>
                <w:tab w:val="left" w:pos="1189"/>
              </w:tabs>
              <w:kinsoku/>
              <w:wordWrap/>
              <w:overflowPunct/>
              <w:topLinePunct w:val="0"/>
              <w:autoSpaceDE w:val="0"/>
              <w:autoSpaceDN w:val="0"/>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餐厨垃圾</w:t>
            </w:r>
          </w:p>
          <w:p>
            <w:pPr>
              <w:pStyle w:val="56"/>
              <w:keepNext w:val="0"/>
              <w:keepLines w:val="0"/>
              <w:pageBreakBefore w:val="0"/>
              <w:kinsoku/>
              <w:wordWrap/>
              <w:overflowPunct/>
              <w:topLinePunct w:val="0"/>
              <w:autoSpaceDE/>
              <w:autoSpaceDN/>
              <w:bidi w:val="0"/>
              <w:snapToGrid w:val="0"/>
              <w:spacing w:line="360" w:lineRule="auto"/>
              <w:ind w:leftChars="0" w:firstLine="480" w:firstLineChars="200"/>
              <w:textAlignment w:val="auto"/>
              <w:outlineLvl w:val="9"/>
              <w:rPr>
                <w:rFonts w:hint="default" w:ascii="Times New Roman" w:hAnsi="Times New Roman" w:eastAsia="宋体" w:cs="Times New Roman"/>
                <w:b w:val="0"/>
                <w:bCs w:val="0"/>
                <w:color w:val="auto"/>
                <w:kern w:val="2"/>
                <w:sz w:val="24"/>
                <w:szCs w:val="24"/>
                <w:highlight w:val="none"/>
                <w:lang w:eastAsia="zh-CN"/>
              </w:rPr>
            </w:pPr>
            <w:r>
              <w:rPr>
                <w:rFonts w:hint="default" w:ascii="Times New Roman" w:hAnsi="Times New Roman" w:eastAsia="宋体" w:cs="Times New Roman"/>
                <w:b w:val="0"/>
                <w:bCs w:val="0"/>
                <w:color w:val="auto"/>
                <w:sz w:val="24"/>
                <w:szCs w:val="24"/>
                <w:highlight w:val="none"/>
              </w:rPr>
              <w:t>食堂餐厨垃圾主要为食品加工过程中产生的剩饭剩菜及</w:t>
            </w:r>
            <w:r>
              <w:rPr>
                <w:rFonts w:hint="default" w:ascii="Times New Roman" w:hAnsi="Times New Roman" w:eastAsia="宋体" w:cs="Times New Roman"/>
                <w:b w:val="0"/>
                <w:bCs w:val="0"/>
                <w:color w:val="auto"/>
                <w:sz w:val="24"/>
                <w:szCs w:val="24"/>
                <w:highlight w:val="none"/>
                <w:lang w:eastAsia="zh-CN"/>
              </w:rPr>
              <w:t>隔油池废油</w:t>
            </w:r>
            <w:r>
              <w:rPr>
                <w:rFonts w:hint="default" w:ascii="Times New Roman" w:hAnsi="Times New Roman" w:eastAsia="宋体" w:cs="Times New Roman"/>
                <w:b w:val="0"/>
                <w:bCs w:val="0"/>
                <w:color w:val="auto"/>
                <w:sz w:val="24"/>
                <w:szCs w:val="24"/>
                <w:highlight w:val="none"/>
              </w:rPr>
              <w:t>，根据相关经验数据，餐厨垃圾以平均0.3kg/人次•d计，食堂就餐人数</w:t>
            </w:r>
            <w:r>
              <w:rPr>
                <w:rFonts w:hint="default" w:ascii="Times New Roman" w:hAnsi="Times New Roman" w:eastAsia="宋体" w:cs="Times New Roman"/>
                <w:b w:val="0"/>
                <w:bCs w:val="0"/>
                <w:color w:val="auto"/>
                <w:sz w:val="24"/>
                <w:szCs w:val="24"/>
                <w:highlight w:val="none"/>
                <w:lang w:val="en-US" w:eastAsia="zh-CN"/>
              </w:rPr>
              <w:t>20</w:t>
            </w:r>
            <w:r>
              <w:rPr>
                <w:rFonts w:hint="default" w:ascii="Times New Roman" w:hAnsi="Times New Roman" w:eastAsia="宋体" w:cs="Times New Roman"/>
                <w:b w:val="0"/>
                <w:bCs w:val="0"/>
                <w:color w:val="auto"/>
                <w:sz w:val="24"/>
                <w:szCs w:val="24"/>
                <w:highlight w:val="none"/>
              </w:rPr>
              <w:t>人/d，则产生餐厨垃圾为</w:t>
            </w:r>
            <w:r>
              <w:rPr>
                <w:rFonts w:hint="default" w:ascii="Times New Roman" w:hAnsi="Times New Roman" w:eastAsia="宋体" w:cs="Times New Roman"/>
                <w:b w:val="0"/>
                <w:bCs w:val="0"/>
                <w:color w:val="auto"/>
                <w:sz w:val="24"/>
                <w:szCs w:val="24"/>
                <w:highlight w:val="none"/>
                <w:lang w:val="en-US" w:eastAsia="zh-CN"/>
              </w:rPr>
              <w:t>6</w:t>
            </w:r>
            <w:r>
              <w:rPr>
                <w:rFonts w:hint="default" w:ascii="Times New Roman" w:hAnsi="Times New Roman" w:eastAsia="宋体" w:cs="Times New Roman"/>
                <w:b w:val="0"/>
                <w:bCs w:val="0"/>
                <w:color w:val="auto"/>
                <w:sz w:val="24"/>
                <w:szCs w:val="24"/>
                <w:highlight w:val="none"/>
              </w:rPr>
              <w:t>kg/d，</w:t>
            </w:r>
            <w:r>
              <w:rPr>
                <w:rFonts w:hint="default" w:ascii="Times New Roman" w:hAnsi="Times New Roman" w:eastAsia="宋体" w:cs="Times New Roman"/>
                <w:b w:val="0"/>
                <w:bCs w:val="0"/>
                <w:color w:val="auto"/>
                <w:sz w:val="24"/>
                <w:szCs w:val="24"/>
                <w:highlight w:val="none"/>
                <w:lang w:val="en-US" w:eastAsia="zh-CN"/>
              </w:rPr>
              <w:t>1.8</w:t>
            </w:r>
            <w:r>
              <w:rPr>
                <w:rFonts w:hint="default" w:ascii="Times New Roman" w:hAnsi="Times New Roman" w:eastAsia="宋体" w:cs="Times New Roman"/>
                <w:b w:val="0"/>
                <w:bCs w:val="0"/>
                <w:color w:val="auto"/>
                <w:sz w:val="24"/>
                <w:szCs w:val="24"/>
                <w:highlight w:val="none"/>
              </w:rPr>
              <w:t>t/a。食堂餐厨垃圾通过加盖塑料桶收集后</w:t>
            </w:r>
            <w:r>
              <w:rPr>
                <w:rFonts w:hint="default" w:ascii="Times New Roman" w:hAnsi="Times New Roman" w:eastAsia="宋体" w:cs="Times New Roman"/>
                <w:b w:val="0"/>
                <w:bCs w:val="0"/>
                <w:color w:val="auto"/>
                <w:sz w:val="24"/>
                <w:szCs w:val="24"/>
                <w:highlight w:val="none"/>
                <w:lang w:eastAsia="zh-CN"/>
              </w:rPr>
              <w:t>由有资质的单位定期清运、处置</w:t>
            </w:r>
            <w:r>
              <w:rPr>
                <w:rFonts w:hint="default" w:ascii="Times New Roman" w:hAnsi="Times New Roman" w:eastAsia="宋体" w:cs="Times New Roman"/>
                <w:b w:val="0"/>
                <w:bCs w:val="0"/>
                <w:color w:val="auto"/>
                <w:sz w:val="24"/>
                <w:szCs w:val="24"/>
                <w:highlight w:val="none"/>
              </w:rPr>
              <w:t>。</w:t>
            </w:r>
          </w:p>
          <w:p>
            <w:pPr>
              <w:pStyle w:val="77"/>
              <w:keepNext w:val="0"/>
              <w:keepLines w:val="0"/>
              <w:pageBreakBefore w:val="0"/>
              <w:numPr>
                <w:ilvl w:val="0"/>
                <w:numId w:val="0"/>
              </w:numPr>
              <w:tabs>
                <w:tab w:val="left" w:pos="1189"/>
              </w:tabs>
              <w:kinsoku/>
              <w:wordWrap/>
              <w:overflowPunct/>
              <w:topLinePunct w:val="0"/>
              <w:autoSpaceDE w:val="0"/>
              <w:autoSpaceDN w:val="0"/>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化粪池</w:t>
            </w:r>
            <w:r>
              <w:rPr>
                <w:rFonts w:hint="default" w:ascii="Times New Roman" w:hAnsi="Times New Roman" w:eastAsia="宋体" w:cs="Times New Roman"/>
                <w:b w:val="0"/>
                <w:bCs w:val="0"/>
                <w:color w:val="auto"/>
                <w:sz w:val="24"/>
                <w:szCs w:val="24"/>
                <w:highlight w:val="none"/>
                <w:lang w:eastAsia="zh-CN"/>
              </w:rPr>
              <w:t>、一体化污水处理站</w:t>
            </w:r>
            <w:r>
              <w:rPr>
                <w:rFonts w:hint="default" w:ascii="Times New Roman" w:hAnsi="Times New Roman" w:eastAsia="宋体" w:cs="Times New Roman"/>
                <w:b w:val="0"/>
                <w:bCs w:val="0"/>
                <w:color w:val="auto"/>
                <w:sz w:val="24"/>
                <w:szCs w:val="24"/>
                <w:highlight w:val="none"/>
              </w:rPr>
              <w:t>污泥</w:t>
            </w:r>
          </w:p>
          <w:p>
            <w:pPr>
              <w:pStyle w:val="77"/>
              <w:keepNext w:val="0"/>
              <w:keepLines w:val="0"/>
              <w:pageBreakBefore w:val="0"/>
              <w:kinsoku/>
              <w:wordWrap/>
              <w:overflowPunct/>
              <w:topLinePunct w:val="0"/>
              <w:autoSpaceDE w:val="0"/>
              <w:autoSpaceDN w:val="0"/>
              <w:bidi w:val="0"/>
              <w:adjustRightInd/>
              <w:spacing w:beforeLines="0" w:afterLines="0" w:line="360" w:lineRule="auto"/>
              <w:ind w:left="0" w:leftChars="0" w:right="0" w:firstLine="460" w:firstLineChars="20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pacing w:val="-5"/>
                <w:sz w:val="24"/>
                <w:szCs w:val="24"/>
                <w:highlight w:val="none"/>
              </w:rPr>
              <w:t>化粪池</w:t>
            </w:r>
            <w:r>
              <w:rPr>
                <w:rFonts w:hint="default" w:ascii="Times New Roman" w:hAnsi="Times New Roman" w:eastAsia="宋体" w:cs="Times New Roman"/>
                <w:b w:val="0"/>
                <w:bCs w:val="0"/>
                <w:color w:val="auto"/>
                <w:spacing w:val="-5"/>
                <w:sz w:val="24"/>
                <w:szCs w:val="24"/>
                <w:highlight w:val="none"/>
                <w:lang w:eastAsia="zh-CN"/>
              </w:rPr>
              <w:t>及一体化污水处理站</w:t>
            </w:r>
            <w:r>
              <w:rPr>
                <w:rFonts w:hint="default" w:ascii="Times New Roman" w:hAnsi="Times New Roman" w:eastAsia="宋体" w:cs="Times New Roman"/>
                <w:b w:val="0"/>
                <w:bCs w:val="0"/>
                <w:color w:val="auto"/>
                <w:spacing w:val="-5"/>
                <w:sz w:val="24"/>
                <w:szCs w:val="24"/>
                <w:highlight w:val="none"/>
              </w:rPr>
              <w:t>污泥产生量根据《室外排水设计规范》提供的数据，按每人每日</w:t>
            </w:r>
            <w:r>
              <w:rPr>
                <w:rFonts w:hint="default" w:ascii="Times New Roman" w:hAnsi="Times New Roman" w:eastAsia="宋体" w:cs="Times New Roman"/>
                <w:b w:val="0"/>
                <w:bCs w:val="0"/>
                <w:color w:val="auto"/>
                <w:sz w:val="24"/>
                <w:szCs w:val="24"/>
                <w:highlight w:val="none"/>
              </w:rPr>
              <w:t>初级沉淀池污泥（干）产生量14~27g，本次计算取20g，污泥含水率</w:t>
            </w:r>
            <w:r>
              <w:rPr>
                <w:rFonts w:hint="default" w:ascii="Times New Roman" w:hAnsi="Times New Roman" w:eastAsia="宋体" w:cs="Times New Roman"/>
                <w:b w:val="0"/>
                <w:bCs w:val="0"/>
                <w:color w:val="auto"/>
                <w:spacing w:val="-1"/>
                <w:sz w:val="24"/>
                <w:szCs w:val="24"/>
                <w:highlight w:val="none"/>
              </w:rPr>
              <w:t>大概在</w:t>
            </w:r>
            <w:r>
              <w:rPr>
                <w:rFonts w:hint="default" w:ascii="Times New Roman" w:hAnsi="Times New Roman" w:eastAsia="宋体" w:cs="Times New Roman"/>
                <w:b w:val="0"/>
                <w:bCs w:val="0"/>
                <w:color w:val="auto"/>
                <w:sz w:val="24"/>
                <w:szCs w:val="24"/>
                <w:highlight w:val="none"/>
              </w:rPr>
              <w:t>90％左右，项目工作人员为</w:t>
            </w:r>
            <w:r>
              <w:rPr>
                <w:rFonts w:hint="default" w:ascii="Times New Roman" w:hAnsi="Times New Roman" w:eastAsia="宋体" w:cs="Times New Roman"/>
                <w:b w:val="0"/>
                <w:bCs w:val="0"/>
                <w:color w:val="auto"/>
                <w:sz w:val="24"/>
                <w:szCs w:val="24"/>
                <w:highlight w:val="none"/>
                <w:lang w:val="en-US" w:eastAsia="zh-CN"/>
              </w:rPr>
              <w:t>20</w:t>
            </w:r>
            <w:r>
              <w:rPr>
                <w:rFonts w:hint="default" w:ascii="Times New Roman" w:hAnsi="Times New Roman" w:eastAsia="宋体" w:cs="Times New Roman"/>
                <w:b w:val="0"/>
                <w:bCs w:val="0"/>
                <w:color w:val="auto"/>
                <w:sz w:val="24"/>
                <w:szCs w:val="24"/>
                <w:highlight w:val="none"/>
              </w:rPr>
              <w:t>人，则化粪池</w:t>
            </w:r>
            <w:r>
              <w:rPr>
                <w:rFonts w:hint="default" w:ascii="Times New Roman" w:hAnsi="Times New Roman" w:eastAsia="宋体" w:cs="Times New Roman"/>
                <w:b w:val="0"/>
                <w:bCs w:val="0"/>
                <w:color w:val="auto"/>
                <w:spacing w:val="-5"/>
                <w:sz w:val="24"/>
                <w:szCs w:val="24"/>
                <w:highlight w:val="none"/>
                <w:lang w:eastAsia="zh-CN"/>
              </w:rPr>
              <w:t>及一体化污水处理站污泥</w:t>
            </w:r>
            <w:r>
              <w:rPr>
                <w:rFonts w:hint="default" w:ascii="Times New Roman" w:hAnsi="Times New Roman" w:eastAsia="宋体" w:cs="Times New Roman"/>
                <w:b w:val="0"/>
                <w:bCs w:val="0"/>
                <w:color w:val="auto"/>
                <w:sz w:val="24"/>
                <w:szCs w:val="24"/>
                <w:highlight w:val="none"/>
              </w:rPr>
              <w:t>的产生量约</w:t>
            </w:r>
            <w:r>
              <w:rPr>
                <w:rFonts w:hint="default" w:ascii="Times New Roman" w:hAnsi="Times New Roman" w:eastAsia="宋体" w:cs="Times New Roman"/>
                <w:b w:val="0"/>
                <w:bCs w:val="0"/>
                <w:color w:val="auto"/>
                <w:sz w:val="24"/>
                <w:szCs w:val="24"/>
                <w:highlight w:val="none"/>
                <w:lang w:val="en-US" w:eastAsia="zh-CN"/>
              </w:rPr>
              <w:t>0.4</w:t>
            </w:r>
            <w:r>
              <w:rPr>
                <w:rFonts w:hint="default" w:ascii="Times New Roman" w:hAnsi="Times New Roman" w:eastAsia="宋体" w:cs="Times New Roman"/>
                <w:b w:val="0"/>
                <w:bCs w:val="0"/>
                <w:color w:val="auto"/>
                <w:spacing w:val="-3"/>
                <w:sz w:val="24"/>
                <w:szCs w:val="24"/>
                <w:highlight w:val="none"/>
              </w:rPr>
              <w:t>kg/d，</w:t>
            </w:r>
            <w:r>
              <w:rPr>
                <w:rFonts w:hint="default" w:ascii="Times New Roman" w:hAnsi="Times New Roman" w:eastAsia="宋体" w:cs="Times New Roman"/>
                <w:b w:val="0"/>
                <w:bCs w:val="0"/>
                <w:color w:val="auto"/>
                <w:spacing w:val="-3"/>
                <w:sz w:val="24"/>
                <w:szCs w:val="24"/>
                <w:highlight w:val="none"/>
                <w:lang w:val="en-US" w:eastAsia="zh-CN"/>
              </w:rPr>
              <w:t>0.12</w:t>
            </w:r>
            <w:r>
              <w:rPr>
                <w:rFonts w:hint="default" w:ascii="Times New Roman" w:hAnsi="Times New Roman" w:eastAsia="宋体" w:cs="Times New Roman"/>
                <w:b w:val="0"/>
                <w:bCs w:val="0"/>
                <w:color w:val="auto"/>
                <w:sz w:val="24"/>
                <w:szCs w:val="24"/>
                <w:highlight w:val="none"/>
              </w:rPr>
              <w:t>t/a，委托环卫部门定期清掏清运处置。</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3、危险废物</w:t>
            </w:r>
          </w:p>
          <w:p>
            <w:pPr>
              <w:keepNext w:val="0"/>
              <w:keepLines w:val="0"/>
              <w:pageBreakBefore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（1）废气处理过程产生的废活性炭</w:t>
            </w:r>
          </w:p>
          <w:p>
            <w:pPr>
              <w:pStyle w:val="99"/>
              <w:keepNext w:val="0"/>
              <w:keepLines w:val="0"/>
              <w:pageBreakBefore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项目吹膜废气采用1套“UV光氧催化+三级活性</w:t>
            </w:r>
            <w:r>
              <w:rPr>
                <w:rFonts w:hint="default" w:ascii="Times New Roman" w:hAnsi="Times New Roman" w:eastAsia="宋体" w:cs="Times New Roman"/>
                <w:color w:val="auto"/>
                <w:sz w:val="24"/>
                <w:szCs w:val="24"/>
                <w:highlight w:val="none"/>
                <w:lang w:val="en-US" w:eastAsia="zh-CN"/>
              </w:rPr>
              <w:t>炭吸附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装置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运营</w:t>
            </w:r>
            <w:r>
              <w:rPr>
                <w:rFonts w:hint="default" w:ascii="Times New Roman" w:hAnsi="Times New Roman" w:eastAsia="宋体" w:cs="Times New Roman"/>
                <w:color w:val="auto"/>
                <w:sz w:val="24"/>
                <w:szCs w:val="24"/>
                <w:highlight w:val="none"/>
              </w:rPr>
              <w:t>过程中会产生</w:t>
            </w:r>
            <w:r>
              <w:rPr>
                <w:rFonts w:hint="default" w:ascii="Times New Roman" w:hAnsi="Times New Roman" w:eastAsia="宋体" w:cs="Times New Roman"/>
                <w:b w:val="0"/>
                <w:bCs w:val="0"/>
                <w:color w:val="auto"/>
                <w:sz w:val="24"/>
                <w:szCs w:val="24"/>
                <w:highlight w:val="none"/>
                <w:lang w:val="en-US" w:eastAsia="zh-CN"/>
              </w:rPr>
              <w:t>废活性炭。</w:t>
            </w:r>
            <w:r>
              <w:rPr>
                <w:rFonts w:hint="default" w:ascii="Times New Roman" w:hAnsi="Times New Roman" w:eastAsia="宋体" w:cs="Times New Roman"/>
                <w:color w:val="auto"/>
                <w:sz w:val="24"/>
                <w:szCs w:val="24"/>
                <w:highlight w:val="none"/>
                <w:lang w:bidi="en-US"/>
              </w:rPr>
              <w:t>本项目使用</w:t>
            </w:r>
            <w:r>
              <w:rPr>
                <w:rFonts w:hint="default" w:ascii="Times New Roman" w:hAnsi="Times New Roman" w:eastAsia="宋体" w:cs="Times New Roman"/>
                <w:color w:val="auto"/>
                <w:sz w:val="24"/>
                <w:szCs w:val="24"/>
                <w:highlight w:val="none"/>
              </w:rPr>
              <w:t>活性炭处理设施对</w:t>
            </w:r>
            <w:r>
              <w:rPr>
                <w:rFonts w:hint="default" w:ascii="Times New Roman" w:hAnsi="Times New Roman" w:eastAsia="宋体" w:cs="Times New Roman"/>
                <w:bCs/>
                <w:color w:val="auto"/>
                <w:sz w:val="24"/>
                <w:szCs w:val="24"/>
                <w:highlight w:val="none"/>
              </w:rPr>
              <w:t>有组织</w:t>
            </w:r>
            <w:r>
              <w:rPr>
                <w:rFonts w:hint="default" w:ascii="Times New Roman" w:hAnsi="Times New Roman" w:eastAsia="宋体" w:cs="Times New Roman"/>
                <w:bCs/>
                <w:color w:val="auto"/>
                <w:sz w:val="24"/>
                <w:szCs w:val="24"/>
                <w:highlight w:val="none"/>
                <w:lang w:val="en-US" w:eastAsia="zh-CN"/>
              </w:rPr>
              <w:t>废气</w:t>
            </w:r>
            <w:r>
              <w:rPr>
                <w:rFonts w:hint="default" w:ascii="Times New Roman" w:hAnsi="Times New Roman" w:eastAsia="宋体" w:cs="Times New Roman"/>
                <w:bCs/>
                <w:color w:val="auto"/>
                <w:sz w:val="24"/>
                <w:szCs w:val="24"/>
                <w:highlight w:val="none"/>
              </w:rPr>
              <w:t>进行吸附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rPr>
              <w:t>活性炭</w:t>
            </w:r>
            <w:r>
              <w:rPr>
                <w:rFonts w:hint="default" w:ascii="Times New Roman" w:hAnsi="Times New Roman" w:eastAsia="宋体" w:cs="Times New Roman"/>
                <w:color w:val="auto"/>
                <w:kern w:val="0"/>
                <w:sz w:val="24"/>
                <w:szCs w:val="24"/>
                <w:highlight w:val="none"/>
                <w:lang w:val="en-US" w:eastAsia="zh-CN"/>
              </w:rPr>
              <w:t>重复</w:t>
            </w:r>
            <w:r>
              <w:rPr>
                <w:rFonts w:hint="default" w:ascii="Times New Roman" w:hAnsi="Times New Roman" w:eastAsia="宋体" w:cs="Times New Roman"/>
                <w:color w:val="auto"/>
                <w:kern w:val="0"/>
                <w:sz w:val="24"/>
                <w:szCs w:val="24"/>
                <w:highlight w:val="none"/>
              </w:rPr>
              <w:t>使用一段时间后会失效，</w:t>
            </w:r>
            <w:r>
              <w:rPr>
                <w:rFonts w:hint="default" w:ascii="Times New Roman" w:hAnsi="Times New Roman" w:eastAsia="宋体" w:cs="Times New Roman"/>
                <w:color w:val="auto"/>
                <w:sz w:val="24"/>
                <w:szCs w:val="24"/>
                <w:highlight w:val="none"/>
              </w:rPr>
              <w:t>参考陆良杰、王京刚在《化工环保》2007年05期发表的《挥发性有机物的物化性质与活性炭饱和吸附量的相关性研究》，活性炭对</w:t>
            </w:r>
            <w:r>
              <w:rPr>
                <w:rFonts w:hint="default" w:ascii="Times New Roman" w:hAnsi="Times New Roman" w:eastAsia="宋体" w:cs="Times New Roman"/>
                <w:color w:val="auto"/>
                <w:sz w:val="24"/>
                <w:szCs w:val="24"/>
                <w:highlight w:val="none"/>
                <w:lang w:eastAsia="zh-CN"/>
              </w:rPr>
              <w:t>挥发性有机废气</w:t>
            </w:r>
            <w:r>
              <w:rPr>
                <w:rFonts w:hint="default" w:ascii="Times New Roman" w:hAnsi="Times New Roman" w:eastAsia="宋体" w:cs="Times New Roman"/>
                <w:color w:val="auto"/>
                <w:sz w:val="24"/>
                <w:szCs w:val="24"/>
                <w:highlight w:val="none"/>
              </w:rPr>
              <w:t>的饱和吸附量为280mg/g，项目共设置</w:t>
            </w:r>
            <w:r>
              <w:rPr>
                <w:rFonts w:hint="default" w:ascii="Times New Roman" w:hAnsi="Times New Roman" w:eastAsia="宋体" w:cs="Times New Roman"/>
                <w:color w:val="auto"/>
                <w:sz w:val="24"/>
                <w:szCs w:val="24"/>
                <w:highlight w:val="none"/>
                <w:lang w:val="en-US" w:eastAsia="zh-CN"/>
              </w:rPr>
              <w:t>1套</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rPr>
              <w:t>UV光氧催化+</w:t>
            </w:r>
            <w:r>
              <w:rPr>
                <w:rFonts w:hint="default" w:ascii="Times New Roman" w:hAnsi="Times New Roman" w:eastAsia="宋体" w:cs="Times New Roman"/>
                <w:color w:val="auto"/>
                <w:sz w:val="24"/>
                <w:szCs w:val="24"/>
                <w:highlight w:val="none"/>
                <w:lang w:val="en-US" w:eastAsia="zh-CN"/>
              </w:rPr>
              <w:t>三级活性炭吸附</w:t>
            </w:r>
            <w:r>
              <w:rPr>
                <w:rFonts w:hint="default" w:ascii="Times New Roman" w:hAnsi="Times New Roman" w:eastAsia="宋体" w:cs="Times New Roman"/>
                <w:color w:val="auto"/>
                <w:sz w:val="24"/>
                <w:szCs w:val="24"/>
                <w:highlight w:val="none"/>
              </w:rPr>
              <w:t>”装置，吸附</w:t>
            </w:r>
            <w:r>
              <w:rPr>
                <w:rFonts w:hint="default" w:ascii="Times New Roman" w:hAnsi="Times New Roman" w:eastAsia="宋体" w:cs="Times New Roman"/>
                <w:color w:val="auto"/>
                <w:sz w:val="24"/>
                <w:szCs w:val="24"/>
                <w:highlight w:val="none"/>
                <w:lang w:eastAsia="zh-CN"/>
              </w:rPr>
              <w:t>挥发性有机废气</w:t>
            </w:r>
            <w:r>
              <w:rPr>
                <w:rFonts w:hint="default" w:ascii="Times New Roman" w:hAnsi="Times New Roman" w:eastAsia="宋体" w:cs="Times New Roman"/>
                <w:color w:val="auto"/>
                <w:sz w:val="24"/>
                <w:szCs w:val="24"/>
                <w:highlight w:val="none"/>
                <w:lang w:val="en-US" w:eastAsia="zh-CN"/>
              </w:rPr>
              <w:t>总</w:t>
            </w:r>
            <w:r>
              <w:rPr>
                <w:rFonts w:hint="default" w:ascii="Times New Roman" w:hAnsi="Times New Roman" w:eastAsia="宋体" w:cs="Times New Roman"/>
                <w:color w:val="auto"/>
                <w:sz w:val="24"/>
                <w:szCs w:val="24"/>
                <w:highlight w:val="none"/>
              </w:rPr>
              <w:t>量为</w:t>
            </w:r>
            <w:r>
              <w:rPr>
                <w:rFonts w:hint="default" w:ascii="Times New Roman" w:hAnsi="Times New Roman" w:eastAsia="宋体" w:cs="Times New Roman"/>
                <w:color w:val="auto"/>
                <w:sz w:val="24"/>
                <w:szCs w:val="24"/>
                <w:highlight w:val="none"/>
                <w:lang w:val="en-US" w:eastAsia="zh-CN"/>
              </w:rPr>
              <w:t>7.8</w:t>
            </w:r>
            <w:r>
              <w:rPr>
                <w:rFonts w:hint="default" w:ascii="Times New Roman" w:hAnsi="Times New Roman" w:eastAsia="宋体" w:cs="Times New Roman"/>
                <w:color w:val="auto"/>
                <w:sz w:val="24"/>
                <w:szCs w:val="24"/>
                <w:highlight w:val="none"/>
              </w:rPr>
              <w:t>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其中</w:t>
            </w:r>
            <w:r>
              <w:rPr>
                <w:rFonts w:hint="default" w:ascii="Times New Roman" w:hAnsi="Times New Roman" w:eastAsia="宋体" w:cs="Times New Roman"/>
                <w:color w:val="auto"/>
                <w:sz w:val="24"/>
              </w:rPr>
              <w:t>UV光氧催化</w:t>
            </w:r>
            <w:r>
              <w:rPr>
                <w:rFonts w:hint="default" w:ascii="Times New Roman" w:hAnsi="Times New Roman" w:eastAsia="宋体" w:cs="Times New Roman"/>
                <w:color w:val="auto"/>
                <w:sz w:val="24"/>
                <w:lang w:val="en-US" w:eastAsia="zh-CN"/>
              </w:rPr>
              <w:t>处理的有机废气量约为1.3t，三级活性炭处理的有机废气量约为6.5t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，则活性炭用量为</w:t>
            </w:r>
            <w:r>
              <w:rPr>
                <w:rFonts w:hint="default" w:ascii="Times New Roman" w:hAnsi="Times New Roman" w:eastAsia="宋体" w:cs="Times New Roman"/>
                <w:color w:val="auto"/>
                <w:sz w:val="24"/>
                <w:szCs w:val="24"/>
                <w:highlight w:val="none"/>
                <w:lang w:val="en-US" w:eastAsia="zh-CN"/>
              </w:rPr>
              <w:t>23.21</w:t>
            </w:r>
            <w:r>
              <w:rPr>
                <w:rFonts w:hint="default" w:ascii="Times New Roman" w:hAnsi="Times New Roman" w:eastAsia="宋体" w:cs="Times New Roman"/>
                <w:color w:val="auto"/>
                <w:sz w:val="24"/>
                <w:szCs w:val="24"/>
                <w:highlight w:val="none"/>
              </w:rPr>
              <w:t>t/a，废活性炭产生量为</w:t>
            </w:r>
            <w:r>
              <w:rPr>
                <w:rFonts w:hint="default" w:ascii="Times New Roman" w:hAnsi="Times New Roman" w:eastAsia="宋体" w:cs="Times New Roman"/>
                <w:color w:val="auto"/>
                <w:sz w:val="24"/>
                <w:szCs w:val="24"/>
                <w:highlight w:val="none"/>
                <w:lang w:val="en-US" w:eastAsia="zh-CN"/>
              </w:rPr>
              <w:t>29.71</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lang w:val="en-US" w:eastAsia="zh-CN"/>
              </w:rPr>
              <w:t>本项目三级活性炭装置活性炭填充量约900kg，则项目活性炭每年需更换26次，本次环评提出约12天更换一次。同时，为保证活性炭对有机废气的吸附效率，环评提出项目运营期采购的活性炭碘值不低于800。</w:t>
            </w:r>
          </w:p>
          <w:p>
            <w:pPr>
              <w:pStyle w:val="99"/>
              <w:keepNext w:val="0"/>
              <w:keepLines w:val="0"/>
              <w:pageBreakBefore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color w:val="auto"/>
                <w:sz w:val="24"/>
                <w:szCs w:val="24"/>
                <w:highlight w:val="none"/>
                <w:lang w:bidi="ar"/>
              </w:rPr>
              <w:t>根据《国家危险废物名录》</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2021年版</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，废活性炭属于</w:t>
            </w:r>
            <w:r>
              <w:rPr>
                <w:rFonts w:hint="default" w:ascii="Times New Roman" w:hAnsi="Times New Roman" w:eastAsia="宋体" w:cs="Times New Roman"/>
                <w:color w:val="auto"/>
                <w:sz w:val="24"/>
                <w:szCs w:val="24"/>
                <w:highlight w:val="none"/>
                <w:lang w:eastAsia="zh-CN"/>
              </w:rPr>
              <w:t>HW49其他废物</w:t>
            </w:r>
            <w:r>
              <w:rPr>
                <w:rFonts w:hint="default" w:ascii="Times New Roman" w:hAnsi="Times New Roman" w:eastAsia="宋体" w:cs="Times New Roman"/>
                <w:color w:val="auto"/>
                <w:sz w:val="24"/>
                <w:szCs w:val="24"/>
                <w:highlight w:val="none"/>
                <w:lang w:val="en-US" w:eastAsia="zh-CN"/>
              </w:rPr>
              <w:t>类</w:t>
            </w:r>
            <w:r>
              <w:rPr>
                <w:rFonts w:hint="default" w:ascii="Times New Roman" w:hAnsi="Times New Roman" w:eastAsia="宋体" w:cs="Times New Roman"/>
                <w:color w:val="auto"/>
                <w:sz w:val="24"/>
                <w:szCs w:val="24"/>
                <w:highlight w:val="none"/>
              </w:rPr>
              <w:t>危险废物，危废代码为</w:t>
            </w:r>
            <w:r>
              <w:rPr>
                <w:rFonts w:hint="default" w:ascii="Times New Roman" w:hAnsi="Times New Roman" w:eastAsia="宋体" w:cs="Times New Roman"/>
                <w:bCs/>
                <w:color w:val="auto"/>
                <w:kern w:val="0"/>
                <w:sz w:val="24"/>
                <w:szCs w:val="24"/>
                <w:highlight w:val="none"/>
              </w:rPr>
              <w:t>900-0</w:t>
            </w:r>
            <w:r>
              <w:rPr>
                <w:rFonts w:hint="default" w:ascii="Times New Roman" w:hAnsi="Times New Roman" w:eastAsia="宋体" w:cs="Times New Roman"/>
                <w:bCs/>
                <w:color w:val="auto"/>
                <w:kern w:val="0"/>
                <w:sz w:val="24"/>
                <w:szCs w:val="24"/>
                <w:highlight w:val="none"/>
                <w:lang w:val="en-US" w:eastAsia="zh-CN"/>
              </w:rPr>
              <w:t>39</w:t>
            </w:r>
            <w:r>
              <w:rPr>
                <w:rFonts w:hint="default" w:ascii="Times New Roman" w:hAnsi="Times New Roman" w:eastAsia="宋体" w:cs="Times New Roman"/>
                <w:bCs/>
                <w:color w:val="auto"/>
                <w:kern w:val="0"/>
                <w:sz w:val="24"/>
                <w:szCs w:val="24"/>
                <w:highlight w:val="none"/>
              </w:rPr>
              <w:t>-</w:t>
            </w:r>
            <w:r>
              <w:rPr>
                <w:rFonts w:hint="default" w:ascii="Times New Roman" w:hAnsi="Times New Roman" w:eastAsia="宋体" w:cs="Times New Roman"/>
                <w:bCs/>
                <w:color w:val="auto"/>
                <w:kern w:val="0"/>
                <w:sz w:val="24"/>
                <w:szCs w:val="24"/>
                <w:highlight w:val="none"/>
                <w:lang w:val="en-US" w:eastAsia="zh-CN"/>
              </w:rPr>
              <w:t>4</w:t>
            </w:r>
            <w:r>
              <w:rPr>
                <w:rFonts w:hint="default" w:ascii="Times New Roman" w:hAnsi="Times New Roman" w:eastAsia="宋体" w:cs="Times New Roman"/>
                <w:bCs/>
                <w:color w:val="auto"/>
                <w:kern w:val="0"/>
                <w:sz w:val="24"/>
                <w:szCs w:val="24"/>
                <w:highlight w:val="none"/>
              </w:rPr>
              <w:t>9</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废活性炭收集暂存于危废暂存间后，委托资质单位</w:t>
            </w:r>
            <w:r>
              <w:rPr>
                <w:rFonts w:hint="default" w:ascii="Times New Roman" w:hAnsi="Times New Roman" w:eastAsia="宋体" w:cs="Times New Roman"/>
                <w:color w:val="auto"/>
                <w:sz w:val="24"/>
                <w:szCs w:val="24"/>
                <w:highlight w:val="none"/>
                <w:lang w:eastAsia="zh-CN"/>
              </w:rPr>
              <w:t>清运处置</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autoSpaceDE/>
              <w:autoSpaceDN/>
              <w:bidi w:val="0"/>
              <w:adjustRightInd/>
              <w:spacing w:line="360" w:lineRule="auto"/>
              <w:ind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UV灯管</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本项目</w:t>
            </w:r>
            <w:r>
              <w:rPr>
                <w:rFonts w:hint="default" w:ascii="Times New Roman" w:hAnsi="Times New Roman" w:eastAsia="宋体" w:cs="Times New Roman"/>
                <w:bCs/>
                <w:color w:val="auto"/>
                <w:kern w:val="0"/>
                <w:sz w:val="24"/>
                <w:lang w:eastAsia="zh-CN"/>
              </w:rPr>
              <w:t>设置</w:t>
            </w:r>
            <w:r>
              <w:rPr>
                <w:rFonts w:hint="default" w:ascii="Times New Roman" w:hAnsi="Times New Roman" w:eastAsia="宋体" w:cs="Times New Roman"/>
                <w:color w:val="auto"/>
                <w:sz w:val="24"/>
              </w:rPr>
              <w:t>1套光氧催化废气处理系统</w:t>
            </w:r>
            <w:r>
              <w:rPr>
                <w:rFonts w:hint="default" w:ascii="Times New Roman" w:hAnsi="Times New Roman" w:eastAsia="宋体" w:cs="Times New Roman"/>
                <w:bCs/>
                <w:color w:val="auto"/>
                <w:kern w:val="0"/>
                <w:sz w:val="24"/>
              </w:rPr>
              <w:t>对生产</w:t>
            </w:r>
            <w:r>
              <w:rPr>
                <w:rFonts w:hint="default" w:ascii="Times New Roman" w:hAnsi="Times New Roman" w:eastAsia="宋体" w:cs="Times New Roman"/>
                <w:bCs/>
                <w:color w:val="auto"/>
                <w:kern w:val="0"/>
                <w:sz w:val="24"/>
                <w:lang w:eastAsia="zh-CN"/>
              </w:rPr>
              <w:t>过程有机废气</w:t>
            </w:r>
            <w:r>
              <w:rPr>
                <w:rFonts w:hint="default" w:ascii="Times New Roman" w:hAnsi="Times New Roman" w:eastAsia="宋体" w:cs="Times New Roman"/>
                <w:bCs/>
                <w:color w:val="auto"/>
                <w:kern w:val="0"/>
                <w:sz w:val="24"/>
              </w:rPr>
              <w:t>进行处理，此过程将产生废UV灯管，UV光解装置灯管使用寿命约为2</w:t>
            </w:r>
            <w:r>
              <w:rPr>
                <w:rFonts w:hint="default" w:ascii="Times New Roman" w:hAnsi="Times New Roman" w:eastAsia="宋体" w:cs="Times New Roman"/>
                <w:bCs/>
                <w:color w:val="auto"/>
                <w:kern w:val="0"/>
                <w:sz w:val="24"/>
                <w:lang w:val="en-US" w:eastAsia="zh-CN"/>
              </w:rPr>
              <w:t>4</w:t>
            </w:r>
            <w:r>
              <w:rPr>
                <w:rFonts w:hint="default" w:ascii="Times New Roman" w:hAnsi="Times New Roman" w:eastAsia="宋体" w:cs="Times New Roman"/>
                <w:bCs/>
                <w:color w:val="auto"/>
                <w:kern w:val="0"/>
                <w:sz w:val="24"/>
              </w:rPr>
              <w:t>00h，本项目每年工作时间为</w:t>
            </w:r>
            <w:r>
              <w:rPr>
                <w:rFonts w:hint="default" w:ascii="Times New Roman" w:hAnsi="Times New Roman" w:eastAsia="宋体" w:cs="Times New Roman"/>
                <w:bCs/>
                <w:color w:val="auto"/>
                <w:kern w:val="0"/>
                <w:sz w:val="24"/>
                <w:lang w:val="en-US" w:eastAsia="zh-CN"/>
              </w:rPr>
              <w:t>4800</w:t>
            </w:r>
            <w:r>
              <w:rPr>
                <w:rFonts w:hint="default" w:ascii="Times New Roman" w:hAnsi="Times New Roman" w:eastAsia="宋体" w:cs="Times New Roman"/>
                <w:bCs/>
                <w:color w:val="auto"/>
                <w:kern w:val="0"/>
                <w:sz w:val="24"/>
              </w:rPr>
              <w:t>h，则1套UV光氧催化废气净化处理装置每年大约需更换</w:t>
            </w:r>
            <w:r>
              <w:rPr>
                <w:rFonts w:hint="default" w:ascii="Times New Roman" w:hAnsi="Times New Roman" w:eastAsia="宋体" w:cs="Times New Roman"/>
                <w:bCs/>
                <w:color w:val="auto"/>
                <w:kern w:val="0"/>
                <w:sz w:val="24"/>
                <w:lang w:val="en-US" w:eastAsia="zh-CN"/>
              </w:rPr>
              <w:t>2</w:t>
            </w:r>
            <w:r>
              <w:rPr>
                <w:rFonts w:hint="default" w:ascii="Times New Roman" w:hAnsi="Times New Roman" w:eastAsia="宋体" w:cs="Times New Roman"/>
                <w:bCs/>
                <w:color w:val="auto"/>
                <w:kern w:val="0"/>
                <w:sz w:val="24"/>
              </w:rPr>
              <w:t>次灯管，每个灯管重约0.001t，</w:t>
            </w:r>
            <w:r>
              <w:rPr>
                <w:rFonts w:hint="default" w:ascii="Times New Roman" w:hAnsi="Times New Roman" w:eastAsia="宋体" w:cs="Times New Roman"/>
                <w:bCs/>
                <w:color w:val="auto"/>
                <w:kern w:val="0"/>
                <w:sz w:val="24"/>
                <w:lang w:eastAsia="zh-CN"/>
              </w:rPr>
              <w:t>每次更换</w:t>
            </w:r>
            <w:r>
              <w:rPr>
                <w:rFonts w:hint="default" w:ascii="Times New Roman" w:hAnsi="Times New Roman" w:eastAsia="宋体" w:cs="Times New Roman"/>
                <w:bCs/>
                <w:color w:val="auto"/>
                <w:kern w:val="0"/>
                <w:sz w:val="24"/>
                <w:lang w:val="en-US" w:eastAsia="zh-CN"/>
              </w:rPr>
              <w:t>10根，</w:t>
            </w:r>
            <w:r>
              <w:rPr>
                <w:rFonts w:hint="default" w:ascii="Times New Roman" w:hAnsi="Times New Roman" w:eastAsia="宋体" w:cs="Times New Roman"/>
                <w:bCs/>
                <w:color w:val="auto"/>
                <w:kern w:val="0"/>
                <w:sz w:val="24"/>
              </w:rPr>
              <w:t>即本项目废UV灯管产生量约为</w:t>
            </w:r>
            <w:r>
              <w:rPr>
                <w:rFonts w:hint="default" w:ascii="Times New Roman" w:hAnsi="Times New Roman" w:eastAsia="宋体" w:cs="Times New Roman"/>
                <w:bCs/>
                <w:color w:val="auto"/>
                <w:kern w:val="0"/>
                <w:sz w:val="24"/>
                <w:lang w:val="en-US" w:eastAsia="zh-CN"/>
              </w:rPr>
              <w:t>0.02</w:t>
            </w:r>
            <w:r>
              <w:rPr>
                <w:rFonts w:hint="default" w:ascii="Times New Roman" w:hAnsi="Times New Roman" w:eastAsia="宋体" w:cs="Times New Roman"/>
                <w:bCs/>
                <w:color w:val="auto"/>
                <w:kern w:val="0"/>
                <w:sz w:val="24"/>
              </w:rPr>
              <w:t>t/a。</w:t>
            </w:r>
          </w:p>
          <w:p>
            <w:pPr>
              <w:keepNext w:val="0"/>
              <w:keepLines w:val="0"/>
              <w:pageBreakBefore w:val="0"/>
              <w:kinsoku/>
              <w:wordWrap/>
              <w:overflowPunct/>
              <w:topLinePunct w:val="0"/>
              <w:autoSpaceDE/>
              <w:autoSpaceDN/>
              <w:bidi w:val="0"/>
              <w:adjustRightInd/>
              <w:spacing w:line="360" w:lineRule="auto"/>
              <w:ind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rPr>
              <w:t>根据《国家危险废物名录》</w:t>
            </w:r>
            <w:r>
              <w:rPr>
                <w:rFonts w:hint="default" w:ascii="Times New Roman" w:hAnsi="Times New Roman" w:eastAsia="宋体" w:cs="Times New Roman"/>
                <w:bCs/>
                <w:color w:val="auto"/>
                <w:kern w:val="0"/>
                <w:sz w:val="24"/>
                <w:szCs w:val="24"/>
              </w:rPr>
              <w:t>（</w:t>
            </w:r>
            <w:r>
              <w:rPr>
                <w:rFonts w:hint="default" w:ascii="Times New Roman" w:hAnsi="Times New Roman" w:eastAsia="宋体" w:cs="Times New Roman"/>
                <w:bCs/>
                <w:color w:val="auto"/>
                <w:kern w:val="0"/>
                <w:sz w:val="24"/>
                <w:szCs w:val="24"/>
                <w:lang w:val="en-US" w:eastAsia="zh-CN"/>
              </w:rPr>
              <w:t>2021</w:t>
            </w:r>
            <w:r>
              <w:rPr>
                <w:rFonts w:hint="default" w:ascii="Times New Roman" w:hAnsi="Times New Roman" w:eastAsia="宋体" w:cs="Times New Roman"/>
                <w:bCs/>
                <w:color w:val="auto"/>
                <w:kern w:val="0"/>
                <w:sz w:val="24"/>
                <w:szCs w:val="24"/>
              </w:rPr>
              <w:t>版）</w:t>
            </w:r>
            <w:r>
              <w:rPr>
                <w:rFonts w:hint="default" w:ascii="Times New Roman" w:hAnsi="Times New Roman" w:eastAsia="宋体" w:cs="Times New Roman"/>
                <w:color w:val="auto"/>
                <w:sz w:val="24"/>
                <w:szCs w:val="24"/>
              </w:rPr>
              <w:t>，</w:t>
            </w:r>
            <w:r>
              <w:rPr>
                <w:rFonts w:hint="default" w:ascii="Times New Roman" w:hAnsi="Times New Roman" w:eastAsia="宋体" w:cs="Times New Roman"/>
                <w:bCs/>
                <w:color w:val="auto"/>
                <w:kern w:val="0"/>
                <w:sz w:val="24"/>
              </w:rPr>
              <w:t>废</w:t>
            </w:r>
            <w:r>
              <w:rPr>
                <w:rFonts w:hint="default" w:ascii="Times New Roman" w:hAnsi="Times New Roman" w:eastAsia="宋体" w:cs="Times New Roman"/>
                <w:bCs/>
                <w:color w:val="auto"/>
                <w:kern w:val="0"/>
                <w:sz w:val="24"/>
                <w:lang w:val="en-US" w:eastAsia="zh-CN"/>
              </w:rPr>
              <w:t>UV</w:t>
            </w:r>
            <w:r>
              <w:rPr>
                <w:rFonts w:hint="default" w:ascii="Times New Roman" w:hAnsi="Times New Roman" w:eastAsia="宋体" w:cs="Times New Roman"/>
                <w:bCs/>
                <w:color w:val="auto"/>
                <w:kern w:val="0"/>
                <w:sz w:val="24"/>
              </w:rPr>
              <w:t>灯管</w:t>
            </w:r>
            <w:r>
              <w:rPr>
                <w:rFonts w:hint="default" w:ascii="Times New Roman" w:hAnsi="Times New Roman" w:eastAsia="宋体" w:cs="Times New Roman"/>
                <w:color w:val="auto"/>
                <w:sz w:val="24"/>
                <w:szCs w:val="24"/>
              </w:rPr>
              <w:t>属于</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Cs/>
                <w:color w:val="auto"/>
                <w:kern w:val="0"/>
                <w:sz w:val="24"/>
                <w:szCs w:val="24"/>
                <w:highlight w:val="none"/>
              </w:rPr>
              <w:t>HW</w:t>
            </w:r>
            <w:r>
              <w:rPr>
                <w:rFonts w:hint="default" w:ascii="Times New Roman" w:hAnsi="Times New Roman" w:eastAsia="宋体" w:cs="Times New Roman"/>
                <w:bCs/>
                <w:color w:val="auto"/>
                <w:kern w:val="0"/>
                <w:sz w:val="24"/>
                <w:szCs w:val="24"/>
                <w:highlight w:val="none"/>
                <w:lang w:val="en-US" w:eastAsia="zh-CN"/>
              </w:rPr>
              <w:t>29</w:t>
            </w:r>
            <w:r>
              <w:rPr>
                <w:rFonts w:hint="default" w:ascii="Times New Roman" w:hAnsi="Times New Roman" w:eastAsia="宋体" w:cs="Times New Roman"/>
                <w:bCs/>
                <w:color w:val="auto"/>
                <w:kern w:val="0"/>
                <w:sz w:val="24"/>
              </w:rPr>
              <w:t>含汞类废物</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中的“</w:t>
            </w:r>
            <w:r>
              <w:rPr>
                <w:rFonts w:hint="default" w:ascii="Times New Roman" w:hAnsi="Times New Roman" w:eastAsia="宋体" w:cs="Times New Roman"/>
                <w:bCs/>
                <w:color w:val="auto"/>
                <w:kern w:val="0"/>
                <w:sz w:val="24"/>
              </w:rPr>
              <w:t>900-023-29</w:t>
            </w:r>
            <w:r>
              <w:rPr>
                <w:rFonts w:hint="default" w:ascii="Times New Roman" w:hAnsi="Times New Roman" w:eastAsia="宋体" w:cs="Times New Roman"/>
                <w:bCs/>
                <w:color w:val="auto"/>
                <w:kern w:val="0"/>
                <w:sz w:val="24"/>
                <w:lang w:val="en-US" w:eastAsia="zh-CN"/>
              </w:rPr>
              <w:t xml:space="preserve"> </w:t>
            </w:r>
            <w:r>
              <w:rPr>
                <w:rFonts w:hint="default" w:ascii="Times New Roman" w:hAnsi="Times New Roman" w:eastAsia="宋体" w:cs="Times New Roman"/>
                <w:color w:val="auto"/>
                <w:sz w:val="24"/>
                <w:szCs w:val="24"/>
                <w:lang w:val="zh-CN"/>
              </w:rPr>
              <w:t>生产、销售及使用过程中产生的废含汞荧光灯管及其他废含汞电光源</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bCs/>
                <w:color w:val="auto"/>
                <w:kern w:val="0"/>
                <w:sz w:val="24"/>
                <w:szCs w:val="24"/>
                <w:lang w:val="en-US" w:eastAsia="zh-CN"/>
              </w:rPr>
              <w:t>类危险废物</w:t>
            </w:r>
            <w:r>
              <w:rPr>
                <w:rFonts w:hint="default" w:ascii="Times New Roman" w:hAnsi="Times New Roman" w:eastAsia="宋体" w:cs="Times New Roman"/>
                <w:bCs/>
                <w:color w:val="auto"/>
                <w:kern w:val="0"/>
                <w:sz w:val="24"/>
                <w:szCs w:val="24"/>
              </w:rPr>
              <w:t>。</w:t>
            </w:r>
            <w:r>
              <w:rPr>
                <w:rFonts w:hint="default" w:ascii="Times New Roman" w:hAnsi="Times New Roman" w:eastAsia="宋体" w:cs="Times New Roman"/>
                <w:bCs/>
                <w:color w:val="auto"/>
                <w:kern w:val="0"/>
                <w:sz w:val="24"/>
                <w:szCs w:val="24"/>
                <w:lang w:val="en-US" w:eastAsia="zh-CN"/>
              </w:rPr>
              <w:t>废UV灯管</w:t>
            </w:r>
            <w:r>
              <w:rPr>
                <w:rFonts w:hint="default" w:ascii="Times New Roman" w:hAnsi="Times New Roman" w:eastAsia="宋体" w:cs="Times New Roman"/>
                <w:color w:val="auto"/>
                <w:sz w:val="24"/>
                <w:szCs w:val="24"/>
                <w:lang w:eastAsia="zh-CN"/>
              </w:rPr>
              <w:t>统一收集后暂存于危废暂存间内，委托有资质的单位定期清运处置</w:t>
            </w:r>
            <w:r>
              <w:rPr>
                <w:rFonts w:hint="default" w:ascii="Times New Roman" w:hAnsi="Times New Roman" w:eastAsia="宋体" w:cs="Times New Roman"/>
                <w:color w:val="auto"/>
                <w:kern w:val="0"/>
                <w:sz w:val="24"/>
                <w:szCs w:val="24"/>
                <w:lang w:eastAsia="zh-CN"/>
              </w:rPr>
              <w:t>。</w:t>
            </w:r>
          </w:p>
          <w:p>
            <w:pPr>
              <w:keepNext w:val="0"/>
              <w:keepLines w:val="0"/>
              <w:pageBreakBefore w:val="0"/>
              <w:kinsoku/>
              <w:wordWrap/>
              <w:overflowPunct/>
              <w:topLinePunct w:val="0"/>
              <w:autoSpaceDE/>
              <w:autoSpaceDN/>
              <w:bidi w:val="0"/>
              <w:adjustRightInd/>
              <w:spacing w:line="360" w:lineRule="auto"/>
              <w:ind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机修废物</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bCs/>
                <w:color w:val="auto"/>
                <w:sz w:val="24"/>
                <w:szCs w:val="24"/>
                <w:highlight w:val="none"/>
              </w:rPr>
              <w:t>建设单位提供资料，项目区内的机械设备需定期进行维修保养，该过程会产生废机油及</w:t>
            </w:r>
            <w:r>
              <w:rPr>
                <w:rFonts w:hint="default" w:ascii="Times New Roman" w:hAnsi="Times New Roman" w:eastAsia="宋体" w:cs="Times New Roman"/>
                <w:color w:val="auto"/>
                <w:sz w:val="24"/>
                <w:szCs w:val="24"/>
                <w:highlight w:val="none"/>
              </w:rPr>
              <w:t>工作人员工作使用的废弃手套、毛巾等，</w:t>
            </w:r>
            <w:r>
              <w:rPr>
                <w:rFonts w:hint="default" w:ascii="Times New Roman" w:hAnsi="Times New Roman" w:eastAsia="宋体" w:cs="Times New Roman"/>
                <w:bCs/>
                <w:color w:val="auto"/>
                <w:sz w:val="24"/>
                <w:szCs w:val="24"/>
                <w:highlight w:val="none"/>
              </w:rPr>
              <w:t>废机油产生</w:t>
            </w:r>
            <w:r>
              <w:rPr>
                <w:rFonts w:hint="default" w:ascii="Times New Roman" w:hAnsi="Times New Roman" w:eastAsia="宋体" w:cs="Times New Roman"/>
                <w:bCs/>
                <w:color w:val="auto"/>
                <w:sz w:val="24"/>
                <w:szCs w:val="24"/>
                <w:highlight w:val="none"/>
                <w:lang w:eastAsia="zh-CN"/>
              </w:rPr>
              <w:t>量</w:t>
            </w:r>
            <w:r>
              <w:rPr>
                <w:rFonts w:hint="default" w:ascii="Times New Roman" w:hAnsi="Times New Roman" w:eastAsia="宋体" w:cs="Times New Roman"/>
                <w:color w:val="auto"/>
                <w:sz w:val="24"/>
                <w:szCs w:val="24"/>
                <w:highlight w:val="none"/>
              </w:rPr>
              <w:t>约为0.3t/a，废弃的含油抹布、劳保用品等</w:t>
            </w:r>
            <w:r>
              <w:rPr>
                <w:rFonts w:hint="default" w:ascii="Times New Roman" w:hAnsi="Times New Roman" w:eastAsia="宋体" w:cs="Times New Roman"/>
                <w:bCs/>
                <w:color w:val="auto"/>
                <w:sz w:val="24"/>
                <w:szCs w:val="24"/>
                <w:highlight w:val="none"/>
              </w:rPr>
              <w:t>产生</w:t>
            </w:r>
            <w:r>
              <w:rPr>
                <w:rFonts w:hint="default" w:ascii="Times New Roman" w:hAnsi="Times New Roman" w:eastAsia="宋体" w:cs="Times New Roman"/>
                <w:color w:val="auto"/>
                <w:sz w:val="24"/>
                <w:szCs w:val="24"/>
                <w:highlight w:val="none"/>
              </w:rPr>
              <w:t>约为0.5t/a。</w:t>
            </w:r>
            <w:r>
              <w:rPr>
                <w:rStyle w:val="92"/>
                <w:rFonts w:hint="default" w:ascii="Times New Roman" w:hAnsi="Times New Roman" w:eastAsia="宋体" w:cs="Times New Roman"/>
                <w:color w:val="auto"/>
                <w:spacing w:val="0"/>
                <w:sz w:val="24"/>
                <w:szCs w:val="24"/>
                <w:highlight w:val="none"/>
              </w:rPr>
              <w:t>根据</w:t>
            </w:r>
            <w:r>
              <w:rPr>
                <w:rFonts w:hint="default" w:ascii="Times New Roman" w:hAnsi="Times New Roman" w:eastAsia="宋体" w:cs="Times New Roman"/>
                <w:color w:val="auto"/>
                <w:sz w:val="24"/>
                <w:szCs w:val="24"/>
                <w:highlight w:val="none"/>
              </w:rPr>
              <w:t>《国家危险废物名录》（</w:t>
            </w:r>
            <w:r>
              <w:rPr>
                <w:rFonts w:hint="default" w:ascii="Times New Roman" w:hAnsi="Times New Roman" w:eastAsia="宋体" w:cs="Times New Roman"/>
                <w:color w:val="auto"/>
                <w:sz w:val="24"/>
                <w:szCs w:val="24"/>
                <w:highlight w:val="none"/>
                <w:lang w:val="en-US" w:eastAsia="zh-CN"/>
              </w:rPr>
              <w:t>2021</w:t>
            </w:r>
            <w:r>
              <w:rPr>
                <w:rFonts w:hint="default" w:ascii="Times New Roman" w:hAnsi="Times New Roman" w:eastAsia="宋体" w:cs="Times New Roman"/>
                <w:color w:val="auto"/>
                <w:sz w:val="24"/>
                <w:szCs w:val="24"/>
                <w:highlight w:val="none"/>
              </w:rPr>
              <w:t>版）</w:t>
            </w:r>
            <w:r>
              <w:rPr>
                <w:rFonts w:hint="default" w:ascii="Times New Roman" w:hAnsi="Times New Roman" w:eastAsia="宋体" w:cs="Times New Roman"/>
                <w:color w:val="auto"/>
                <w:sz w:val="24"/>
                <w:szCs w:val="24"/>
                <w:highlight w:val="none"/>
                <w:lang w:eastAsia="zh-CN"/>
              </w:rPr>
              <w:t>，废机油</w:t>
            </w:r>
            <w:r>
              <w:rPr>
                <w:rFonts w:hint="default" w:ascii="Times New Roman" w:hAnsi="Times New Roman" w:eastAsia="宋体" w:cs="Times New Roman"/>
                <w:color w:val="auto"/>
                <w:sz w:val="24"/>
                <w:szCs w:val="24"/>
                <w:highlight w:val="none"/>
                <w:lang w:bidi="ar"/>
              </w:rPr>
              <w:t>属于</w:t>
            </w:r>
            <w:r>
              <w:rPr>
                <w:rFonts w:hint="default" w:ascii="Times New Roman" w:hAnsi="Times New Roman" w:eastAsia="宋体" w:cs="Times New Roman"/>
                <w:color w:val="auto"/>
                <w:sz w:val="24"/>
                <w:szCs w:val="24"/>
                <w:highlight w:val="none"/>
                <w:lang w:eastAsia="zh-CN"/>
              </w:rPr>
              <w:t>HW</w:t>
            </w:r>
            <w:r>
              <w:rPr>
                <w:rFonts w:hint="default" w:ascii="Times New Roman" w:hAnsi="Times New Roman" w:eastAsia="宋体" w:cs="Times New Roman"/>
                <w:color w:val="auto"/>
                <w:sz w:val="24"/>
                <w:szCs w:val="24"/>
                <w:highlight w:val="none"/>
                <w:lang w:val="en-US" w:eastAsia="zh-CN"/>
              </w:rPr>
              <w:t>08废矿物油与含矿物油废物类</w:t>
            </w:r>
            <w:r>
              <w:rPr>
                <w:rFonts w:hint="default" w:ascii="Times New Roman" w:hAnsi="Times New Roman" w:eastAsia="宋体" w:cs="Times New Roman"/>
                <w:color w:val="auto"/>
                <w:sz w:val="24"/>
                <w:szCs w:val="24"/>
                <w:highlight w:val="none"/>
              </w:rPr>
              <w:t>危险废物，危废代码为</w:t>
            </w:r>
            <w:r>
              <w:rPr>
                <w:rFonts w:hint="default" w:ascii="Times New Roman" w:hAnsi="Times New Roman" w:eastAsia="宋体" w:cs="Times New Roman"/>
                <w:bCs/>
                <w:color w:val="auto"/>
                <w:kern w:val="0"/>
                <w:sz w:val="24"/>
                <w:szCs w:val="24"/>
                <w:highlight w:val="none"/>
              </w:rPr>
              <w:t>900-</w:t>
            </w:r>
            <w:r>
              <w:rPr>
                <w:rFonts w:hint="default" w:ascii="Times New Roman" w:hAnsi="Times New Roman" w:eastAsia="宋体" w:cs="Times New Roman"/>
                <w:bCs/>
                <w:color w:val="auto"/>
                <w:kern w:val="0"/>
                <w:sz w:val="24"/>
                <w:szCs w:val="24"/>
                <w:highlight w:val="none"/>
                <w:lang w:val="en-US" w:eastAsia="zh-CN"/>
              </w:rPr>
              <w:t>214</w:t>
            </w:r>
            <w:r>
              <w:rPr>
                <w:rFonts w:hint="default" w:ascii="Times New Roman" w:hAnsi="Times New Roman" w:eastAsia="宋体" w:cs="Times New Roman"/>
                <w:bCs/>
                <w:color w:val="auto"/>
                <w:kern w:val="0"/>
                <w:sz w:val="24"/>
                <w:szCs w:val="24"/>
                <w:highlight w:val="none"/>
              </w:rPr>
              <w:t>-</w:t>
            </w:r>
            <w:r>
              <w:rPr>
                <w:rFonts w:hint="default" w:ascii="Times New Roman" w:hAnsi="Times New Roman" w:eastAsia="宋体" w:cs="Times New Roman"/>
                <w:bCs/>
                <w:color w:val="auto"/>
                <w:kern w:val="0"/>
                <w:sz w:val="24"/>
                <w:szCs w:val="24"/>
                <w:highlight w:val="none"/>
                <w:lang w:val="en-US" w:eastAsia="zh-CN"/>
              </w:rPr>
              <w:t>08；</w:t>
            </w:r>
            <w:r>
              <w:rPr>
                <w:rFonts w:hint="default" w:ascii="Times New Roman" w:hAnsi="Times New Roman" w:eastAsia="宋体" w:cs="Times New Roman"/>
                <w:color w:val="auto"/>
                <w:sz w:val="24"/>
                <w:szCs w:val="24"/>
                <w:highlight w:val="none"/>
              </w:rPr>
              <w:t>废弃的含油抹布、劳保用品</w:t>
            </w:r>
            <w:r>
              <w:rPr>
                <w:rFonts w:hint="default" w:ascii="Times New Roman" w:hAnsi="Times New Roman" w:eastAsia="宋体" w:cs="Times New Roman"/>
                <w:color w:val="auto"/>
                <w:sz w:val="24"/>
                <w:szCs w:val="24"/>
                <w:highlight w:val="none"/>
                <w:lang w:eastAsia="zh-CN"/>
              </w:rPr>
              <w:t>属于</w:t>
            </w:r>
            <w:r>
              <w:rPr>
                <w:rFonts w:hint="default" w:ascii="Times New Roman" w:hAnsi="Times New Roman" w:eastAsia="宋体" w:cs="Times New Roman"/>
                <w:color w:val="auto"/>
                <w:sz w:val="24"/>
                <w:szCs w:val="24"/>
                <w:highlight w:val="none"/>
              </w:rPr>
              <w:t>HW49其他废物</w:t>
            </w:r>
            <w:r>
              <w:rPr>
                <w:rFonts w:hint="default" w:ascii="Times New Roman" w:hAnsi="Times New Roman" w:eastAsia="宋体" w:cs="Times New Roman"/>
                <w:color w:val="auto"/>
                <w:sz w:val="24"/>
                <w:szCs w:val="24"/>
                <w:highlight w:val="none"/>
                <w:lang w:val="en-US" w:eastAsia="zh-CN"/>
              </w:rPr>
              <w:t>类</w:t>
            </w:r>
            <w:r>
              <w:rPr>
                <w:rFonts w:hint="default" w:ascii="Times New Roman" w:hAnsi="Times New Roman" w:eastAsia="宋体" w:cs="Times New Roman"/>
                <w:color w:val="auto"/>
                <w:sz w:val="24"/>
                <w:szCs w:val="24"/>
                <w:highlight w:val="none"/>
              </w:rPr>
              <w:t>危险废物，危废代码为900-041-49</w:t>
            </w:r>
            <w:r>
              <w:rPr>
                <w:rStyle w:val="92"/>
                <w:rFonts w:hint="default" w:ascii="Times New Roman" w:hAnsi="Times New Roman" w:eastAsia="宋体" w:cs="Times New Roman"/>
                <w:color w:val="auto"/>
                <w:spacing w:val="0"/>
                <w:sz w:val="24"/>
                <w:szCs w:val="24"/>
                <w:highlight w:val="none"/>
              </w:rPr>
              <w:t>。</w:t>
            </w:r>
          </w:p>
          <w:p>
            <w:pPr>
              <w:pStyle w:val="56"/>
              <w:keepNext w:val="0"/>
              <w:keepLines w:val="0"/>
              <w:pageBreakBefore w:val="0"/>
              <w:kinsoku/>
              <w:wordWrap/>
              <w:overflowPunct/>
              <w:topLinePunct w:val="0"/>
              <w:autoSpaceDE/>
              <w:autoSpaceDN/>
              <w:bidi w:val="0"/>
              <w:adjustRightInd/>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原</w:t>
            </w:r>
            <w:r>
              <w:rPr>
                <w:rFonts w:hint="default" w:ascii="Times New Roman" w:hAnsi="Times New Roman" w:eastAsia="宋体" w:cs="Times New Roman"/>
                <w:color w:val="auto"/>
                <w:sz w:val="24"/>
                <w:szCs w:val="24"/>
                <w:highlight w:val="none"/>
              </w:rPr>
              <w:t>项目区内</w:t>
            </w:r>
            <w:r>
              <w:rPr>
                <w:rFonts w:hint="default" w:ascii="Times New Roman" w:hAnsi="Times New Roman" w:eastAsia="宋体" w:cs="Times New Roman"/>
                <w:color w:val="auto"/>
                <w:sz w:val="24"/>
                <w:szCs w:val="24"/>
                <w:highlight w:val="none"/>
                <w:lang w:val="en-US" w:eastAsia="zh-CN"/>
              </w:rPr>
              <w:t>已</w:t>
            </w:r>
            <w:r>
              <w:rPr>
                <w:rFonts w:hint="default" w:ascii="Times New Roman" w:hAnsi="Times New Roman" w:eastAsia="宋体" w:cs="Times New Roman"/>
                <w:color w:val="auto"/>
                <w:sz w:val="24"/>
                <w:szCs w:val="24"/>
                <w:highlight w:val="none"/>
              </w:rPr>
              <w:t>设置</w:t>
            </w:r>
            <w:r>
              <w:rPr>
                <w:rFonts w:hint="default" w:ascii="Times New Roman" w:hAnsi="Times New Roman" w:eastAsia="宋体" w:cs="Times New Roman"/>
                <w:color w:val="auto"/>
                <w:sz w:val="24"/>
                <w:szCs w:val="24"/>
                <w:highlight w:val="none"/>
                <w:lang w:val="en-US" w:eastAsia="zh-CN"/>
              </w:rPr>
              <w:t>了1间面积约为10m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危废暂存间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危险废物暂存间地面</w:t>
            </w:r>
            <w:r>
              <w:rPr>
                <w:rFonts w:hint="default" w:ascii="Times New Roman" w:hAnsi="Times New Roman" w:eastAsia="宋体" w:cs="Times New Roman"/>
                <w:color w:val="auto"/>
                <w:sz w:val="24"/>
                <w:szCs w:val="24"/>
                <w:highlight w:val="none"/>
                <w:lang w:val="en-US" w:eastAsia="zh-CN"/>
              </w:rPr>
              <w:t>和四周墙裙脚</w:t>
            </w:r>
            <w:r>
              <w:rPr>
                <w:rFonts w:hint="default" w:ascii="Times New Roman" w:hAnsi="Times New Roman" w:eastAsia="宋体" w:cs="Times New Roman"/>
                <w:color w:val="auto"/>
                <w:sz w:val="24"/>
                <w:szCs w:val="24"/>
                <w:highlight w:val="none"/>
                <w:lang w:val="zh-CN"/>
              </w:rPr>
              <w:t>采用“</w:t>
            </w:r>
            <w:r>
              <w:rPr>
                <w:rFonts w:hint="default" w:ascii="Times New Roman" w:hAnsi="Times New Roman" w:eastAsia="宋体" w:cs="Times New Roman"/>
                <w:color w:val="auto"/>
                <w:sz w:val="24"/>
                <w:szCs w:val="24"/>
                <w:highlight w:val="none"/>
                <w:lang w:val="en-US" w:eastAsia="zh-CN"/>
              </w:rPr>
              <w:t>抗渗混凝土</w:t>
            </w:r>
            <w:r>
              <w:rPr>
                <w:rFonts w:hint="default" w:ascii="Times New Roman" w:hAnsi="Times New Roman" w:eastAsia="宋体" w:cs="Times New Roman"/>
                <w:color w:val="auto"/>
                <w:sz w:val="24"/>
                <w:szCs w:val="24"/>
                <w:highlight w:val="none"/>
                <w:lang w:val="zh-CN"/>
              </w:rPr>
              <w:t>+2mm厚HDPE+环氧树脂”</w:t>
            </w:r>
            <w:r>
              <w:rPr>
                <w:rFonts w:hint="default" w:ascii="Times New Roman" w:hAnsi="Times New Roman" w:eastAsia="宋体" w:cs="Times New Roman"/>
                <w:color w:val="auto"/>
                <w:sz w:val="24"/>
                <w:szCs w:val="24"/>
                <w:highlight w:val="none"/>
                <w:lang w:val="en-US" w:eastAsia="zh-CN"/>
              </w:rPr>
              <w:t>进行重点防渗处理</w:t>
            </w:r>
            <w:r>
              <w:rPr>
                <w:rFonts w:hint="default" w:ascii="Times New Roman" w:hAnsi="Times New Roman" w:eastAsia="宋体" w:cs="Times New Roman"/>
                <w:color w:val="auto"/>
                <w:sz w:val="24"/>
                <w:szCs w:val="24"/>
                <w:highlight w:val="none"/>
                <w:lang w:val="zh-CN"/>
              </w:rPr>
              <w:t>，渗透系数≤10</w:t>
            </w:r>
            <w:r>
              <w:rPr>
                <w:rFonts w:hint="default" w:ascii="Times New Roman" w:hAnsi="Times New Roman" w:eastAsia="宋体" w:cs="Times New Roman"/>
                <w:color w:val="auto"/>
                <w:sz w:val="24"/>
                <w:szCs w:val="24"/>
                <w:highlight w:val="none"/>
                <w:vertAlign w:val="superscript"/>
                <w:lang w:val="zh-CN"/>
              </w:rPr>
              <w:t>-10</w:t>
            </w:r>
            <w:r>
              <w:rPr>
                <w:rFonts w:hint="default" w:ascii="Times New Roman" w:hAnsi="Times New Roman" w:eastAsia="宋体" w:cs="Times New Roman"/>
                <w:color w:val="auto"/>
                <w:sz w:val="24"/>
                <w:szCs w:val="24"/>
                <w:highlight w:val="none"/>
                <w:lang w:val="zh-CN"/>
              </w:rPr>
              <w:t>cm/s</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并按照要求设置规范的标识标牌，同时内设</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个专用危废收集容器，</w:t>
            </w:r>
            <w:r>
              <w:rPr>
                <w:rFonts w:hint="default" w:ascii="Times New Roman" w:hAnsi="Times New Roman" w:eastAsia="宋体" w:cs="Times New Roman"/>
                <w:color w:val="auto"/>
                <w:sz w:val="24"/>
                <w:szCs w:val="24"/>
                <w:highlight w:val="none"/>
                <w:lang w:val="en-US" w:eastAsia="zh-CN"/>
              </w:rPr>
              <w:t>将项目区内所有危险废物收集后分区暂存于</w:t>
            </w:r>
            <w:r>
              <w:rPr>
                <w:rFonts w:hint="default" w:ascii="Times New Roman" w:hAnsi="Times New Roman" w:eastAsia="宋体" w:cs="Times New Roman"/>
                <w:color w:val="auto"/>
                <w:sz w:val="24"/>
                <w:szCs w:val="24"/>
                <w:highlight w:val="none"/>
              </w:rPr>
              <w:t>危废暂存间内，最终委托有资质的单位定期清运、处置。</w:t>
            </w:r>
          </w:p>
          <w:p>
            <w:pPr>
              <w:pStyle w:val="24"/>
              <w:keepNext w:val="0"/>
              <w:keepLines w:val="0"/>
              <w:pageBreakBefore w:val="0"/>
              <w:widowControl w:val="0"/>
              <w:kinsoku/>
              <w:wordWrap/>
              <w:overflowPunct/>
              <w:topLinePunct w:val="0"/>
              <w:autoSpaceDE/>
              <w:autoSpaceDN/>
              <w:bidi w:val="0"/>
              <w:snapToGrid w:val="0"/>
              <w:spacing w:after="0" w:line="356" w:lineRule="auto"/>
              <w:ind w:left="0" w:leftChars="0" w:right="0" w:rightChars="0" w:firstLine="480" w:firstLineChars="200"/>
              <w:jc w:val="both"/>
              <w:textAlignment w:val="auto"/>
              <w:rPr>
                <w:rFonts w:hint="default" w:ascii="Times New Roman" w:hAnsi="Times New Roman" w:eastAsia="宋体" w:cs="Times New Roman"/>
                <w:b w:val="0"/>
                <w:bCs/>
                <w:color w:val="auto"/>
                <w:kern w:val="0"/>
                <w:sz w:val="24"/>
                <w:szCs w:val="24"/>
                <w:highlight w:val="none"/>
              </w:rPr>
            </w:pPr>
            <w:r>
              <w:rPr>
                <w:rFonts w:hint="default" w:ascii="Times New Roman" w:hAnsi="Times New Roman" w:eastAsia="宋体" w:cs="Times New Roman"/>
                <w:b w:val="0"/>
                <w:bCs/>
                <w:color w:val="auto"/>
                <w:kern w:val="0"/>
                <w:sz w:val="24"/>
                <w:szCs w:val="24"/>
                <w:highlight w:val="none"/>
              </w:rPr>
              <w:t>企业严格按照</w:t>
            </w:r>
            <w:r>
              <w:rPr>
                <w:rFonts w:hint="default" w:ascii="Times New Roman" w:hAnsi="Times New Roman" w:eastAsia="宋体" w:cs="Times New Roman"/>
                <w:color w:val="auto"/>
                <w:sz w:val="24"/>
                <w:szCs w:val="24"/>
                <w:highlight w:val="none"/>
              </w:rPr>
              <w:t>《危险废物贮存污染控制标准》（GB 18597-20</w:t>
            </w:r>
            <w:r>
              <w:rPr>
                <w:rFonts w:hint="default"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 w:val="0"/>
                <w:bCs/>
                <w:color w:val="auto"/>
                <w:kern w:val="0"/>
                <w:sz w:val="24"/>
                <w:szCs w:val="24"/>
                <w:highlight w:val="none"/>
              </w:rPr>
              <w:t>建设危险废物暂存间，将危险废物分类转入容器内，并粘贴危险废物标签，并做好</w:t>
            </w:r>
            <w:r>
              <w:rPr>
                <w:rFonts w:hint="eastAsia" w:cs="Times New Roman"/>
                <w:b w:val="0"/>
                <w:bCs/>
                <w:color w:val="auto"/>
                <w:kern w:val="0"/>
                <w:sz w:val="24"/>
                <w:szCs w:val="24"/>
                <w:highlight w:val="none"/>
                <w:lang w:eastAsia="zh-CN"/>
              </w:rPr>
              <w:t>相应的记录</w:t>
            </w:r>
            <w:r>
              <w:rPr>
                <w:rFonts w:hint="default" w:ascii="Times New Roman" w:hAnsi="Times New Roman" w:eastAsia="宋体" w:cs="Times New Roman"/>
                <w:b w:val="0"/>
                <w:bCs/>
                <w:color w:val="auto"/>
                <w:kern w:val="0"/>
                <w:sz w:val="24"/>
                <w:szCs w:val="24"/>
                <w:highlight w:val="none"/>
              </w:rPr>
              <w:t>。对相应的暂存场建设基础防渗设施、防风、防雨、防晒并配备照明设施等，并与厂区内其它生产单元、办公生活区严格区分、单独隔离。对危险废物的转移处理须严格按照</w:t>
            </w:r>
            <w:r>
              <w:rPr>
                <w:rFonts w:hint="default" w:ascii="Times New Roman" w:hAnsi="Times New Roman" w:eastAsia="宋体" w:cs="Times New Roman"/>
                <w:b w:val="0"/>
                <w:bCs/>
                <w:color w:val="auto"/>
                <w:kern w:val="0"/>
                <w:sz w:val="24"/>
                <w:szCs w:val="24"/>
                <w:highlight w:val="none"/>
                <w:lang w:val="en-US" w:eastAsia="zh-CN"/>
              </w:rPr>
              <w:t>生态环境部</w:t>
            </w:r>
            <w:r>
              <w:rPr>
                <w:rFonts w:hint="default" w:ascii="Times New Roman" w:hAnsi="Times New Roman" w:eastAsia="宋体" w:cs="Times New Roman"/>
                <w:b w:val="0"/>
                <w:bCs/>
                <w:color w:val="auto"/>
                <w:kern w:val="0"/>
                <w:sz w:val="24"/>
                <w:szCs w:val="24"/>
                <w:highlight w:val="none"/>
              </w:rPr>
              <w:t>《危险废物转移管理办法》</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lang w:val="en-US" w:eastAsia="zh-CN"/>
              </w:rPr>
              <w:t>部令 第23号</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rPr>
              <w:t>执行。</w:t>
            </w:r>
          </w:p>
          <w:p>
            <w:pPr>
              <w:widowControl/>
              <w:shd w:val="clear" w:color="auto" w:fill="auto"/>
              <w:spacing w:line="348"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zh-CN"/>
              </w:rPr>
              <w:t>项目所涉及的危险废物的危险特性见表</w:t>
            </w:r>
            <w:r>
              <w:rPr>
                <w:rFonts w:hint="default" w:ascii="Times New Roman" w:hAnsi="Times New Roman" w:eastAsia="宋体" w:cs="Times New Roman"/>
                <w:color w:val="auto"/>
                <w:sz w:val="24"/>
                <w:highlight w:val="none"/>
                <w:lang w:val="en-US" w:eastAsia="zh-CN"/>
              </w:rPr>
              <w:t>4-20</w:t>
            </w:r>
            <w:r>
              <w:rPr>
                <w:rFonts w:hint="default" w:ascii="Times New Roman" w:hAnsi="Times New Roman" w:eastAsia="宋体" w:cs="Times New Roman"/>
                <w:color w:val="auto"/>
                <w:sz w:val="24"/>
                <w:highlight w:val="none"/>
              </w:rPr>
              <w:t>。</w:t>
            </w:r>
          </w:p>
          <w:p>
            <w:pPr>
              <w:pStyle w:val="9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 xml:space="preserve">4-20 </w:t>
            </w:r>
            <w:r>
              <w:rPr>
                <w:rFonts w:hint="default" w:ascii="Times New Roman" w:hAnsi="Times New Roman" w:eastAsia="宋体" w:cs="Times New Roman"/>
                <w:color w:val="auto"/>
                <w:sz w:val="21"/>
                <w:szCs w:val="21"/>
                <w:highlight w:val="none"/>
              </w:rPr>
              <w:t xml:space="preserve">  国家危险废物名录（</w:t>
            </w:r>
            <w:r>
              <w:rPr>
                <w:rFonts w:hint="default" w:ascii="Times New Roman" w:hAnsi="Times New Roman" w:eastAsia="宋体" w:cs="Times New Roman"/>
                <w:color w:val="auto"/>
                <w:sz w:val="21"/>
                <w:szCs w:val="21"/>
                <w:highlight w:val="none"/>
                <w:lang w:val="en-US" w:eastAsia="zh-CN"/>
              </w:rPr>
              <w:t>2021</w:t>
            </w:r>
            <w:r>
              <w:rPr>
                <w:rFonts w:hint="default" w:ascii="Times New Roman" w:hAnsi="Times New Roman" w:eastAsia="宋体" w:cs="Times New Roman"/>
                <w:color w:val="auto"/>
                <w:sz w:val="21"/>
                <w:szCs w:val="21"/>
                <w:highlight w:val="none"/>
              </w:rPr>
              <w:t>年）（摘抄）</w:t>
            </w:r>
          </w:p>
          <w:tbl>
            <w:tblPr>
              <w:tblStyle w:val="26"/>
              <w:tblW w:w="85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3"/>
              <w:gridCol w:w="1330"/>
              <w:gridCol w:w="900"/>
              <w:gridCol w:w="900"/>
              <w:gridCol w:w="3546"/>
              <w:gridCol w:w="7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093"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133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废物类别</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行业来源</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废物代码</w:t>
                  </w:r>
                </w:p>
              </w:tc>
              <w:tc>
                <w:tcPr>
                  <w:tcW w:w="3546"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w:t>
                  </w:r>
                </w:p>
              </w:tc>
              <w:tc>
                <w:tcPr>
                  <w:tcW w:w="748"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危险特性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97" w:hRule="atLeast"/>
                <w:jc w:val="center"/>
              </w:trPr>
              <w:tc>
                <w:tcPr>
                  <w:tcW w:w="1093"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废活性炭</w:t>
                  </w:r>
                </w:p>
              </w:tc>
              <w:tc>
                <w:tcPr>
                  <w:tcW w:w="133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HW49其他废物</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非特定行业</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rPr>
                    <w:t>900-0</w:t>
                  </w:r>
                  <w:r>
                    <w:rPr>
                      <w:rFonts w:hint="default" w:ascii="Times New Roman" w:hAnsi="Times New Roman" w:eastAsia="宋体" w:cs="Times New Roman"/>
                      <w:bCs/>
                      <w:color w:val="auto"/>
                      <w:kern w:val="0"/>
                      <w:sz w:val="21"/>
                      <w:szCs w:val="21"/>
                      <w:highlight w:val="none"/>
                      <w:lang w:val="en-US" w:eastAsia="zh-CN"/>
                    </w:rPr>
                    <w:t>39</w:t>
                  </w:r>
                  <w:r>
                    <w:rPr>
                      <w:rFonts w:hint="default" w:ascii="Times New Roman" w:hAnsi="Times New Roman" w:eastAsia="宋体" w:cs="Times New Roman"/>
                      <w:bCs/>
                      <w:color w:val="auto"/>
                      <w:kern w:val="0"/>
                      <w:sz w:val="21"/>
                      <w:szCs w:val="21"/>
                      <w:highlight w:val="none"/>
                    </w:rPr>
                    <w:t>-</w:t>
                  </w:r>
                  <w:r>
                    <w:rPr>
                      <w:rFonts w:hint="default" w:ascii="Times New Roman" w:hAnsi="Times New Roman" w:eastAsia="宋体" w:cs="Times New Roman"/>
                      <w:bCs/>
                      <w:color w:val="auto"/>
                      <w:kern w:val="0"/>
                      <w:sz w:val="21"/>
                      <w:szCs w:val="21"/>
                      <w:highlight w:val="none"/>
                      <w:lang w:val="en-US" w:eastAsia="zh-CN"/>
                    </w:rPr>
                    <w:t>4</w:t>
                  </w:r>
                  <w:r>
                    <w:rPr>
                      <w:rFonts w:hint="default" w:ascii="Times New Roman" w:hAnsi="Times New Roman" w:eastAsia="宋体" w:cs="Times New Roman"/>
                      <w:bCs/>
                      <w:color w:val="auto"/>
                      <w:kern w:val="0"/>
                      <w:sz w:val="21"/>
                      <w:szCs w:val="21"/>
                      <w:highlight w:val="none"/>
                    </w:rPr>
                    <w:t>9</w:t>
                  </w:r>
                </w:p>
              </w:tc>
              <w:tc>
                <w:tcPr>
                  <w:tcW w:w="3546"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烟气、VOCs治理过程（不包括餐饮行业油烟治理过程）产生的废活性炭</w:t>
                  </w:r>
                </w:p>
              </w:tc>
              <w:tc>
                <w:tcPr>
                  <w:tcW w:w="748"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97" w:hRule="atLeast"/>
                <w:jc w:val="center"/>
              </w:trPr>
              <w:tc>
                <w:tcPr>
                  <w:tcW w:w="1093"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废UV灯管</w:t>
                  </w:r>
                </w:p>
              </w:tc>
              <w:tc>
                <w:tcPr>
                  <w:tcW w:w="1330" w:type="dxa"/>
                  <w:tcBorders>
                    <w:tl2br w:val="nil"/>
                    <w:tr2bl w:val="nil"/>
                  </w:tcBorders>
                  <w:noWrap w:val="0"/>
                  <w:vAlign w:val="center"/>
                </w:tcPr>
                <w:p>
                  <w:pPr>
                    <w:pStyle w:val="95"/>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kern w:val="0"/>
                      <w:sz w:val="21"/>
                      <w:szCs w:val="21"/>
                      <w:highlight w:val="none"/>
                    </w:rPr>
                    <w:t>HW29含汞类废物</w:t>
                  </w:r>
                </w:p>
              </w:tc>
              <w:tc>
                <w:tcPr>
                  <w:tcW w:w="900" w:type="dxa"/>
                  <w:tcBorders>
                    <w:tl2br w:val="nil"/>
                    <w:tr2bl w:val="nil"/>
                  </w:tcBorders>
                  <w:noWrap w:val="0"/>
                  <w:vAlign w:val="center"/>
                </w:tcPr>
                <w:p>
                  <w:pPr>
                    <w:pStyle w:val="95"/>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非特定行业</w:t>
                  </w:r>
                </w:p>
              </w:tc>
              <w:tc>
                <w:tcPr>
                  <w:tcW w:w="900" w:type="dxa"/>
                  <w:tcBorders>
                    <w:tl2br w:val="nil"/>
                    <w:tr2bl w:val="nil"/>
                  </w:tcBorders>
                  <w:noWrap w:val="0"/>
                  <w:vAlign w:val="center"/>
                </w:tcPr>
                <w:p>
                  <w:pPr>
                    <w:pStyle w:val="95"/>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900-023-29</w:t>
                  </w:r>
                </w:p>
              </w:tc>
              <w:tc>
                <w:tcPr>
                  <w:tcW w:w="3546" w:type="dxa"/>
                  <w:tcBorders>
                    <w:tl2br w:val="nil"/>
                    <w:tr2bl w:val="nil"/>
                  </w:tcBorders>
                  <w:noWrap w:val="0"/>
                  <w:vAlign w:val="center"/>
                </w:tcPr>
                <w:p>
                  <w:pPr>
                    <w:pStyle w:val="95"/>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rPr>
                    <w:t>生产、销售及使用过程中产生的废含汞荧光灯管及其他废含汞电光源</w:t>
                  </w:r>
                </w:p>
              </w:tc>
              <w:tc>
                <w:tcPr>
                  <w:tcW w:w="748" w:type="dxa"/>
                  <w:tcBorders>
                    <w:tl2br w:val="nil"/>
                    <w:tr2bl w:val="nil"/>
                  </w:tcBorders>
                  <w:noWrap w:val="0"/>
                  <w:vAlign w:val="center"/>
                </w:tcPr>
                <w:p>
                  <w:pPr>
                    <w:pStyle w:val="95"/>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093"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废机油</w:t>
                  </w:r>
                </w:p>
              </w:tc>
              <w:tc>
                <w:tcPr>
                  <w:tcW w:w="133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HW08废矿物油</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非特定行业</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900-2</w:t>
                  </w:r>
                  <w:r>
                    <w:rPr>
                      <w:rFonts w:hint="default" w:ascii="Times New Roman" w:hAnsi="Times New Roman" w:eastAsia="宋体"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lang w:eastAsia="zh-CN"/>
                    </w:rPr>
                    <w:t>-08</w:t>
                  </w:r>
                </w:p>
              </w:tc>
              <w:tc>
                <w:tcPr>
                  <w:tcW w:w="3546"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zh-CN" w:eastAsia="zh-CN"/>
                    </w:rPr>
                    <w:t>车辆、轮船及其它机械维修过程中产生的废发动机油、制动器油、自动变速器油、齿轮油等废润滑油</w:t>
                  </w:r>
                </w:p>
              </w:tc>
              <w:tc>
                <w:tcPr>
                  <w:tcW w:w="748"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093"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废弃的含油抹布、劳保用品</w:t>
                  </w:r>
                </w:p>
              </w:tc>
              <w:tc>
                <w:tcPr>
                  <w:tcW w:w="133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HW49其他废物</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非特定行业</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900-041-49</w:t>
                  </w:r>
                </w:p>
              </w:tc>
              <w:tc>
                <w:tcPr>
                  <w:tcW w:w="3546" w:type="dxa"/>
                  <w:tcBorders>
                    <w:tl2br w:val="nil"/>
                    <w:tr2bl w:val="nil"/>
                  </w:tcBorders>
                  <w:noWrap w:val="0"/>
                  <w:vAlign w:val="center"/>
                </w:tcPr>
                <w:p>
                  <w:pPr>
                    <w:spacing w:beforeLines="0" w:afterLines="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含有或沾染毒性、感染性危险废物的废弃包装物、容器、过滤吸附介质</w:t>
                  </w:r>
                </w:p>
              </w:tc>
              <w:tc>
                <w:tcPr>
                  <w:tcW w:w="748"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T/In</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综上分析，项目在严格落实环评提出的各项固体废弃物收集、储存设施确实实施的情况下，一般固体废弃物的储存处置能够达到《一般工业固体废物贮存</w:t>
            </w:r>
            <w:r>
              <w:rPr>
                <w:rFonts w:hint="default" w:ascii="Times New Roman" w:hAnsi="Times New Roman" w:eastAsia="宋体" w:cs="Times New Roman"/>
                <w:color w:val="auto"/>
                <w:sz w:val="24"/>
                <w:szCs w:val="24"/>
                <w:highlight w:val="none"/>
                <w:lang w:val="en-US" w:eastAsia="zh-CN"/>
              </w:rPr>
              <w:t>和填埋</w:t>
            </w:r>
            <w:r>
              <w:rPr>
                <w:rFonts w:hint="default" w:ascii="Times New Roman" w:hAnsi="Times New Roman" w:eastAsia="宋体" w:cs="Times New Roman"/>
                <w:color w:val="auto"/>
                <w:sz w:val="24"/>
                <w:szCs w:val="24"/>
                <w:highlight w:val="none"/>
              </w:rPr>
              <w:t>污染控制标准》（GB18599-20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，项目所产生的危险废物能够满足《危险废物贮存污染控制标准》（GB 18597-20</w:t>
            </w:r>
            <w:r>
              <w:rPr>
                <w:rFonts w:hint="default"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，项目所产生的固体废弃物能够得到合理、有效的处置，各固体废弃物去向明确，处置率达到100%，对环境的影响较小。</w:t>
            </w:r>
          </w:p>
          <w:p>
            <w:pPr>
              <w:pStyle w:val="4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bCs w:val="0"/>
                <w:color w:val="auto"/>
                <w:sz w:val="21"/>
                <w:szCs w:val="21"/>
                <w:highlight w:val="none"/>
                <w:lang w:val="en-US" w:eastAsia="zh-CN"/>
              </w:rPr>
            </w:pPr>
            <w:r>
              <w:rPr>
                <w:rStyle w:val="46"/>
                <w:rFonts w:hint="default" w:ascii="Times New Roman" w:hAnsi="Times New Roman" w:eastAsia="宋体" w:cs="Times New Roman"/>
                <w:b/>
                <w:bCs w:val="0"/>
                <w:color w:val="auto"/>
                <w:sz w:val="21"/>
                <w:szCs w:val="21"/>
                <w:highlight w:val="none"/>
                <w:lang w:val="en-US" w:eastAsia="zh-CN"/>
              </w:rPr>
              <w:t>表4-21   本项目固体废弃物处置情况</w:t>
            </w:r>
          </w:p>
          <w:tbl>
            <w:tblPr>
              <w:tblStyle w:val="27"/>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
              <w:gridCol w:w="571"/>
              <w:gridCol w:w="691"/>
              <w:gridCol w:w="7"/>
              <w:gridCol w:w="535"/>
              <w:gridCol w:w="50"/>
              <w:gridCol w:w="416"/>
              <w:gridCol w:w="664"/>
              <w:gridCol w:w="584"/>
              <w:gridCol w:w="637"/>
              <w:gridCol w:w="810"/>
              <w:gridCol w:w="725"/>
              <w:gridCol w:w="98"/>
              <w:gridCol w:w="627"/>
              <w:gridCol w:w="849"/>
              <w:gridCol w:w="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2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产污环节</w:t>
                  </w:r>
                </w:p>
              </w:tc>
              <w:tc>
                <w:tcPr>
                  <w:tcW w:w="41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原辅料拆包及包装工序</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eastAsia="zh-CN"/>
                    </w:rPr>
                    <w:t>吹膜</w:t>
                  </w:r>
                </w:p>
              </w:tc>
              <w:tc>
                <w:tcPr>
                  <w:tcW w:w="27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检验</w:t>
                  </w:r>
                </w:p>
              </w:tc>
              <w:tc>
                <w:tcPr>
                  <w:tcW w:w="3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日常生活</w:t>
                  </w:r>
                </w:p>
              </w:tc>
              <w:tc>
                <w:tcPr>
                  <w:tcW w:w="3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食堂</w:t>
                  </w:r>
                </w:p>
              </w:tc>
              <w:tc>
                <w:tcPr>
                  <w:tcW w:w="3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隔油池</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化粪池、一体化污水处理站</w:t>
                  </w:r>
                </w:p>
              </w:tc>
              <w:tc>
                <w:tcPr>
                  <w:tcW w:w="86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废气处理</w:t>
                  </w:r>
                </w:p>
              </w:tc>
              <w:tc>
                <w:tcPr>
                  <w:tcW w:w="99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机修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名称</w:t>
                  </w:r>
                </w:p>
              </w:tc>
              <w:tc>
                <w:tcPr>
                  <w:tcW w:w="41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废包装材料</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废边角料</w:t>
                  </w:r>
                </w:p>
              </w:tc>
              <w:tc>
                <w:tcPr>
                  <w:tcW w:w="27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不合格品</w:t>
                  </w:r>
                </w:p>
              </w:tc>
              <w:tc>
                <w:tcPr>
                  <w:tcW w:w="3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生活垃圾</w:t>
                  </w:r>
                </w:p>
              </w:tc>
              <w:tc>
                <w:tcPr>
                  <w:tcW w:w="3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食堂泔水</w:t>
                  </w:r>
                </w:p>
              </w:tc>
              <w:tc>
                <w:tcPr>
                  <w:tcW w:w="3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废油脂</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污泥</w:t>
                  </w:r>
                </w:p>
              </w:tc>
              <w:tc>
                <w:tcPr>
                  <w:tcW w:w="49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废活性炭</w:t>
                  </w:r>
                </w:p>
              </w:tc>
              <w:tc>
                <w:tcPr>
                  <w:tcW w:w="3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废UV灯管</w:t>
                  </w:r>
                </w:p>
              </w:tc>
              <w:tc>
                <w:tcPr>
                  <w:tcW w:w="5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含油废劳保用品</w:t>
                  </w:r>
                </w:p>
              </w:tc>
              <w:tc>
                <w:tcPr>
                  <w:tcW w:w="4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属性</w:t>
                  </w: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属性</w:t>
                  </w:r>
                </w:p>
              </w:tc>
              <w:tc>
                <w:tcPr>
                  <w:tcW w:w="1013"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一般工业固废</w:t>
                  </w:r>
                </w:p>
              </w:tc>
              <w:tc>
                <w:tcPr>
                  <w:tcW w:w="3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w:t>
                  </w:r>
                </w:p>
              </w:tc>
              <w:tc>
                <w:tcPr>
                  <w:tcW w:w="3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w:t>
                  </w:r>
                </w:p>
              </w:tc>
              <w:tc>
                <w:tcPr>
                  <w:tcW w:w="3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w:t>
                  </w:r>
                </w:p>
              </w:tc>
              <w:tc>
                <w:tcPr>
                  <w:tcW w:w="49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危险废物</w:t>
                  </w:r>
                </w:p>
              </w:tc>
              <w:tc>
                <w:tcPr>
                  <w:tcW w:w="3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危险废物</w:t>
                  </w:r>
                </w:p>
              </w:tc>
              <w:tc>
                <w:tcPr>
                  <w:tcW w:w="5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危险废物</w:t>
                  </w:r>
                </w:p>
              </w:tc>
              <w:tc>
                <w:tcPr>
                  <w:tcW w:w="4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危险废物代码</w:t>
                  </w:r>
                </w:p>
              </w:tc>
              <w:tc>
                <w:tcPr>
                  <w:tcW w:w="41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27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9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eastAsia="zh-CN"/>
                    </w:rPr>
                    <w:t>HW49，</w:t>
                  </w:r>
                  <w:r>
                    <w:rPr>
                      <w:rFonts w:hint="default" w:ascii="Times New Roman" w:hAnsi="Times New Roman" w:eastAsia="宋体" w:cs="Times New Roman"/>
                      <w:bCs/>
                      <w:color w:val="auto"/>
                      <w:kern w:val="0"/>
                      <w:sz w:val="18"/>
                      <w:szCs w:val="18"/>
                      <w:highlight w:val="none"/>
                    </w:rPr>
                    <w:t>900-0</w:t>
                  </w:r>
                  <w:r>
                    <w:rPr>
                      <w:rFonts w:hint="default" w:ascii="Times New Roman" w:hAnsi="Times New Roman" w:eastAsia="宋体" w:cs="Times New Roman"/>
                      <w:bCs/>
                      <w:color w:val="auto"/>
                      <w:kern w:val="0"/>
                      <w:sz w:val="18"/>
                      <w:szCs w:val="18"/>
                      <w:highlight w:val="none"/>
                      <w:lang w:val="en-US" w:eastAsia="zh-CN"/>
                    </w:rPr>
                    <w:t>39</w:t>
                  </w:r>
                  <w:r>
                    <w:rPr>
                      <w:rFonts w:hint="default" w:ascii="Times New Roman" w:hAnsi="Times New Roman" w:eastAsia="宋体" w:cs="Times New Roman"/>
                      <w:bCs/>
                      <w:color w:val="auto"/>
                      <w:kern w:val="0"/>
                      <w:sz w:val="18"/>
                      <w:szCs w:val="18"/>
                      <w:highlight w:val="none"/>
                    </w:rPr>
                    <w:t>-</w:t>
                  </w:r>
                  <w:r>
                    <w:rPr>
                      <w:rFonts w:hint="default" w:ascii="Times New Roman" w:hAnsi="Times New Roman" w:eastAsia="宋体" w:cs="Times New Roman"/>
                      <w:bCs/>
                      <w:color w:val="auto"/>
                      <w:kern w:val="0"/>
                      <w:sz w:val="18"/>
                      <w:szCs w:val="18"/>
                      <w:highlight w:val="none"/>
                      <w:lang w:val="en-US" w:eastAsia="zh-CN"/>
                    </w:rPr>
                    <w:t>4</w:t>
                  </w:r>
                  <w:r>
                    <w:rPr>
                      <w:rFonts w:hint="default" w:ascii="Times New Roman" w:hAnsi="Times New Roman" w:eastAsia="宋体" w:cs="Times New Roman"/>
                      <w:bCs/>
                      <w:color w:val="auto"/>
                      <w:kern w:val="0"/>
                      <w:sz w:val="18"/>
                      <w:szCs w:val="18"/>
                      <w:highlight w:val="none"/>
                    </w:rPr>
                    <w:t>9</w:t>
                  </w:r>
                </w:p>
              </w:tc>
              <w:tc>
                <w:tcPr>
                  <w:tcW w:w="3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bCs w:val="0"/>
                      <w:color w:val="auto"/>
                      <w:kern w:val="2"/>
                      <w:sz w:val="18"/>
                      <w:szCs w:val="18"/>
                      <w:highlight w:val="none"/>
                    </w:rPr>
                    <w:t>HW29</w:t>
                  </w:r>
                  <w:r>
                    <w:rPr>
                      <w:rFonts w:hint="default" w:ascii="Times New Roman" w:hAnsi="Times New Roman" w:eastAsia="宋体" w:cs="Times New Roman"/>
                      <w:bCs w:val="0"/>
                      <w:color w:val="auto"/>
                      <w:kern w:val="2"/>
                      <w:sz w:val="18"/>
                      <w:szCs w:val="18"/>
                      <w:highlight w:val="none"/>
                      <w:lang w:eastAsia="zh-CN"/>
                    </w:rPr>
                    <w:t>，</w:t>
                  </w:r>
                  <w:r>
                    <w:rPr>
                      <w:rFonts w:hint="default" w:ascii="Times New Roman" w:hAnsi="Times New Roman" w:eastAsia="宋体" w:cs="Times New Roman"/>
                      <w:bCs w:val="0"/>
                      <w:color w:val="auto"/>
                      <w:kern w:val="2"/>
                      <w:sz w:val="18"/>
                      <w:szCs w:val="18"/>
                      <w:highlight w:val="none"/>
                    </w:rPr>
                    <w:t>900-023-29</w:t>
                  </w:r>
                </w:p>
              </w:tc>
              <w:tc>
                <w:tcPr>
                  <w:tcW w:w="5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HW08</w:t>
                  </w:r>
                  <w:r>
                    <w:rPr>
                      <w:rFonts w:hint="default" w:ascii="Times New Roman" w:hAnsi="Times New Roman" w:eastAsia="宋体" w:cs="Times New Roman"/>
                      <w:color w:val="auto"/>
                      <w:sz w:val="18"/>
                      <w:szCs w:val="18"/>
                      <w:highlight w:val="none"/>
                      <w:lang w:eastAsia="zh-CN"/>
                    </w:rPr>
                    <w:t>，900-2</w:t>
                  </w:r>
                  <w:r>
                    <w:rPr>
                      <w:rFonts w:hint="default" w:ascii="Times New Roman" w:hAnsi="Times New Roman" w:eastAsia="宋体" w:cs="Times New Roman"/>
                      <w:color w:val="auto"/>
                      <w:sz w:val="18"/>
                      <w:szCs w:val="18"/>
                      <w:highlight w:val="none"/>
                      <w:lang w:val="en-US" w:eastAsia="zh-CN"/>
                    </w:rPr>
                    <w:t>14</w:t>
                  </w:r>
                  <w:r>
                    <w:rPr>
                      <w:rFonts w:hint="default" w:ascii="Times New Roman" w:hAnsi="Times New Roman" w:eastAsia="宋体" w:cs="Times New Roman"/>
                      <w:color w:val="auto"/>
                      <w:sz w:val="18"/>
                      <w:szCs w:val="18"/>
                      <w:highlight w:val="none"/>
                      <w:lang w:eastAsia="zh-CN"/>
                    </w:rPr>
                    <w:t>-08</w:t>
                  </w:r>
                </w:p>
              </w:tc>
              <w:tc>
                <w:tcPr>
                  <w:tcW w:w="4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HW49</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900-041-49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主要有毒有害物质名称</w:t>
                  </w:r>
                </w:p>
              </w:tc>
              <w:tc>
                <w:tcPr>
                  <w:tcW w:w="41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27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9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有机废气</w:t>
                  </w:r>
                </w:p>
              </w:tc>
              <w:tc>
                <w:tcPr>
                  <w:tcW w:w="3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有机废气</w:t>
                  </w:r>
                </w:p>
              </w:tc>
              <w:tc>
                <w:tcPr>
                  <w:tcW w:w="5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废矿物油</w:t>
                  </w:r>
                </w:p>
              </w:tc>
              <w:tc>
                <w:tcPr>
                  <w:tcW w:w="4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物理性状</w:t>
                  </w:r>
                </w:p>
              </w:tc>
              <w:tc>
                <w:tcPr>
                  <w:tcW w:w="41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27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3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3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3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油状</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49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固废</w:t>
                  </w:r>
                </w:p>
              </w:tc>
              <w:tc>
                <w:tcPr>
                  <w:tcW w:w="3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固废</w:t>
                  </w:r>
                </w:p>
              </w:tc>
              <w:tc>
                <w:tcPr>
                  <w:tcW w:w="5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4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油状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环境危险特性</w:t>
                  </w:r>
                </w:p>
              </w:tc>
              <w:tc>
                <w:tcPr>
                  <w:tcW w:w="41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27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9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T</w:t>
                  </w:r>
                </w:p>
              </w:tc>
              <w:tc>
                <w:tcPr>
                  <w:tcW w:w="3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T</w:t>
                  </w:r>
                </w:p>
              </w:tc>
              <w:tc>
                <w:tcPr>
                  <w:tcW w:w="5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T</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I</w:t>
                  </w:r>
                </w:p>
              </w:tc>
              <w:tc>
                <w:tcPr>
                  <w:tcW w:w="4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52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年度产生量（t/a）</w:t>
                  </w:r>
                </w:p>
              </w:tc>
              <w:tc>
                <w:tcPr>
                  <w:tcW w:w="41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3.2</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4.6</w:t>
                  </w:r>
                </w:p>
              </w:tc>
              <w:tc>
                <w:tcPr>
                  <w:tcW w:w="27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3.4</w:t>
                  </w:r>
                </w:p>
              </w:tc>
              <w:tc>
                <w:tcPr>
                  <w:tcW w:w="3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w:t>
                  </w:r>
                </w:p>
              </w:tc>
              <w:tc>
                <w:tcPr>
                  <w:tcW w:w="72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1.8</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0.12</w:t>
                  </w:r>
                </w:p>
              </w:tc>
              <w:tc>
                <w:tcPr>
                  <w:tcW w:w="49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29.71</w:t>
                  </w:r>
                </w:p>
              </w:tc>
              <w:tc>
                <w:tcPr>
                  <w:tcW w:w="3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0.02</w:t>
                  </w:r>
                </w:p>
              </w:tc>
              <w:tc>
                <w:tcPr>
                  <w:tcW w:w="5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0.5</w:t>
                  </w:r>
                </w:p>
              </w:tc>
              <w:tc>
                <w:tcPr>
                  <w:tcW w:w="4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贮存方式</w:t>
                  </w:r>
                </w:p>
              </w:tc>
              <w:tc>
                <w:tcPr>
                  <w:tcW w:w="1013"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一般固废暂存区</w:t>
                  </w:r>
                </w:p>
              </w:tc>
              <w:tc>
                <w:tcPr>
                  <w:tcW w:w="3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生活垃圾桶</w:t>
                  </w:r>
                </w:p>
              </w:tc>
              <w:tc>
                <w:tcPr>
                  <w:tcW w:w="3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泔水桶</w:t>
                  </w:r>
                </w:p>
              </w:tc>
              <w:tc>
                <w:tcPr>
                  <w:tcW w:w="3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废油桶</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收集桶</w:t>
                  </w:r>
                </w:p>
              </w:tc>
              <w:tc>
                <w:tcPr>
                  <w:tcW w:w="1855"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危废收集桶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利用处置方式和去向</w:t>
                  </w:r>
                </w:p>
              </w:tc>
              <w:tc>
                <w:tcPr>
                  <w:tcW w:w="1013"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统一收集后暂存于一般固废暂存区，定期外售。</w:t>
                  </w:r>
                </w:p>
              </w:tc>
              <w:tc>
                <w:tcPr>
                  <w:tcW w:w="3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zh-CN" w:eastAsia="zh-CN"/>
                    </w:rPr>
                    <w:t>委托环卫部门清运处置。</w:t>
                  </w:r>
                </w:p>
              </w:tc>
              <w:tc>
                <w:tcPr>
                  <w:tcW w:w="72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zh-CN" w:eastAsia="zh-CN"/>
                    </w:rPr>
                    <w:t>委托有资质</w:t>
                  </w:r>
                  <w:r>
                    <w:rPr>
                      <w:rFonts w:hint="default" w:ascii="Times New Roman" w:hAnsi="Times New Roman" w:eastAsia="宋体" w:cs="Times New Roman"/>
                      <w:color w:val="auto"/>
                      <w:sz w:val="18"/>
                      <w:szCs w:val="18"/>
                      <w:highlight w:val="none"/>
                      <w:lang w:val="en-US" w:eastAsia="zh-CN"/>
                    </w:rPr>
                    <w:t>的</w:t>
                  </w:r>
                  <w:r>
                    <w:rPr>
                      <w:rFonts w:hint="default" w:ascii="Times New Roman" w:hAnsi="Times New Roman" w:eastAsia="宋体" w:cs="Times New Roman"/>
                      <w:color w:val="auto"/>
                      <w:sz w:val="18"/>
                      <w:szCs w:val="18"/>
                      <w:highlight w:val="none"/>
                      <w:lang w:val="zh-CN" w:eastAsia="zh-CN"/>
                    </w:rPr>
                    <w:t>单位进行处置。</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zh-CN" w:eastAsia="zh-CN"/>
                    </w:rPr>
                  </w:pPr>
                  <w:r>
                    <w:rPr>
                      <w:rFonts w:hint="default" w:ascii="Times New Roman" w:hAnsi="Times New Roman" w:eastAsia="宋体" w:cs="Times New Roman"/>
                      <w:color w:val="auto"/>
                      <w:sz w:val="18"/>
                      <w:szCs w:val="18"/>
                      <w:highlight w:val="none"/>
                      <w:lang w:val="zh-CN" w:eastAsia="zh-CN"/>
                    </w:rPr>
                    <w:t>委托环卫部门定期清运处置。</w:t>
                  </w:r>
                </w:p>
              </w:tc>
              <w:tc>
                <w:tcPr>
                  <w:tcW w:w="1855"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zh-CN" w:eastAsia="zh-CN"/>
                    </w:rPr>
                  </w:pPr>
                  <w:r>
                    <w:rPr>
                      <w:rFonts w:hint="default" w:ascii="Times New Roman" w:hAnsi="Times New Roman" w:eastAsia="宋体" w:cs="Times New Roman"/>
                      <w:color w:val="auto"/>
                      <w:sz w:val="18"/>
                      <w:szCs w:val="18"/>
                      <w:highlight w:val="none"/>
                      <w:lang w:val="zh-CN" w:eastAsia="zh-CN"/>
                    </w:rPr>
                    <w:t>委托有资质单位进行处置。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利用或处置量（t/a）</w:t>
                  </w:r>
                </w:p>
              </w:tc>
              <w:tc>
                <w:tcPr>
                  <w:tcW w:w="4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3.2</w:t>
                  </w:r>
                </w:p>
              </w:tc>
              <w:tc>
                <w:tcPr>
                  <w:tcW w:w="35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4.6</w:t>
                  </w:r>
                </w:p>
              </w:tc>
              <w:tc>
                <w:tcPr>
                  <w:tcW w:w="2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3.4</w:t>
                  </w:r>
                </w:p>
              </w:tc>
              <w:tc>
                <w:tcPr>
                  <w:tcW w:w="3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w:t>
                  </w:r>
                </w:p>
              </w:tc>
              <w:tc>
                <w:tcPr>
                  <w:tcW w:w="72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1.8</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0.12</w:t>
                  </w:r>
                </w:p>
              </w:tc>
              <w:tc>
                <w:tcPr>
                  <w:tcW w:w="4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29.71</w:t>
                  </w:r>
                </w:p>
              </w:tc>
              <w:tc>
                <w:tcPr>
                  <w:tcW w:w="43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0.02</w:t>
                  </w:r>
                </w:p>
              </w:tc>
              <w:tc>
                <w:tcPr>
                  <w:tcW w:w="5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0.5</w:t>
                  </w:r>
                </w:p>
              </w:tc>
              <w:tc>
                <w:tcPr>
                  <w:tcW w:w="4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环境管理要求</w:t>
                  </w:r>
                </w:p>
              </w:tc>
              <w:tc>
                <w:tcPr>
                  <w:tcW w:w="4476" w:type="pct"/>
                  <w:gridSpan w:val="1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100%处置</w:t>
                  </w:r>
                </w:p>
              </w:tc>
            </w:tr>
          </w:tbl>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righ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危废间建设：</w:t>
            </w:r>
          </w:p>
          <w:p>
            <w:pPr>
              <w:pStyle w:val="77"/>
              <w:keepNext w:val="0"/>
              <w:keepLines w:val="0"/>
              <w:pageBreakBefore w:val="0"/>
              <w:widowControl w:val="0"/>
              <w:numPr>
                <w:ilvl w:val="0"/>
                <w:numId w:val="0"/>
              </w:numPr>
              <w:tabs>
                <w:tab w:val="left" w:pos="1189"/>
              </w:tabs>
              <w:kinsoku/>
              <w:wordWrap/>
              <w:overflowPunct/>
              <w:topLinePunct w:val="0"/>
              <w:autoSpaceDE/>
              <w:autoSpaceDN/>
              <w:bidi w:val="0"/>
              <w:adjustRightInd/>
              <w:snapToGrid/>
              <w:spacing w:beforeLines="0" w:afterLines="0" w:line="360" w:lineRule="auto"/>
              <w:ind w:leftChars="200" w:right="0" w:rightChars="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防渗标准</w:t>
            </w:r>
            <w:r>
              <w:rPr>
                <w:rFonts w:hint="default" w:ascii="Times New Roman" w:hAnsi="Times New Roman" w:eastAsia="宋体" w:cs="Times New Roman"/>
                <w:color w:val="auto"/>
                <w:sz w:val="24"/>
                <w:szCs w:val="24"/>
                <w:highlight w:val="none"/>
                <w:lang w:val="en-US" w:eastAsia="zh-CN"/>
              </w:rPr>
              <w:t>及措施</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right="0" w:firstLine="448" w:firstLineChars="200"/>
              <w:jc w:val="both"/>
              <w:textAlignment w:val="auto"/>
              <w:rPr>
                <w:rFonts w:hint="default" w:ascii="Times New Roman" w:hAnsi="Times New Roman" w:eastAsia="宋体" w:cs="Times New Roman"/>
                <w:color w:val="auto"/>
                <w:spacing w:val="-3"/>
                <w:sz w:val="24"/>
                <w:szCs w:val="24"/>
                <w:highlight w:val="none"/>
                <w:lang w:val="en-US" w:eastAsia="zh-CN"/>
              </w:rPr>
            </w:pPr>
            <w:r>
              <w:rPr>
                <w:rFonts w:hint="default" w:ascii="Times New Roman" w:hAnsi="Times New Roman" w:eastAsia="宋体" w:cs="Times New Roman"/>
                <w:color w:val="auto"/>
                <w:spacing w:val="-8"/>
                <w:sz w:val="24"/>
                <w:szCs w:val="24"/>
                <w:highlight w:val="none"/>
              </w:rPr>
              <w:t>根据《危险废物贮存污染控制标准》</w:t>
            </w:r>
            <w:r>
              <w:rPr>
                <w:rFonts w:hint="default" w:ascii="Times New Roman" w:hAnsi="Times New Roman" w:eastAsia="宋体" w:cs="Times New Roman"/>
                <w:color w:val="auto"/>
                <w:sz w:val="24"/>
                <w:szCs w:val="24"/>
                <w:highlight w:val="none"/>
              </w:rPr>
              <w:t xml:space="preserve">（GB </w:t>
            </w:r>
            <w:r>
              <w:rPr>
                <w:rFonts w:hint="default" w:ascii="Times New Roman" w:hAnsi="Times New Roman" w:eastAsia="宋体" w:cs="Times New Roman"/>
                <w:color w:val="auto"/>
                <w:spacing w:val="-3"/>
                <w:sz w:val="24"/>
                <w:szCs w:val="24"/>
                <w:highlight w:val="none"/>
              </w:rPr>
              <w:t>18597-20</w:t>
            </w:r>
            <w:r>
              <w:rPr>
                <w:rFonts w:hint="default" w:ascii="Times New Roman" w:hAnsi="Times New Roman" w:eastAsia="宋体" w:cs="Times New Roman"/>
                <w:color w:val="auto"/>
                <w:spacing w:val="-3"/>
                <w:sz w:val="24"/>
                <w:szCs w:val="24"/>
                <w:highlight w:val="none"/>
                <w:lang w:val="en-US" w:eastAsia="zh-CN"/>
              </w:rPr>
              <w:t>23</w:t>
            </w:r>
            <w:r>
              <w:rPr>
                <w:rFonts w:hint="default" w:ascii="Times New Roman" w:hAnsi="Times New Roman" w:eastAsia="宋体" w:cs="Times New Roman"/>
                <w:color w:val="auto"/>
                <w:spacing w:val="-3"/>
                <w:sz w:val="24"/>
                <w:szCs w:val="24"/>
                <w:highlight w:val="none"/>
              </w:rPr>
              <w:t>）</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z w:val="24"/>
                <w:szCs w:val="24"/>
                <w:highlight w:val="none"/>
              </w:rPr>
              <w:t>危险废物暂存间地面</w:t>
            </w:r>
            <w:r>
              <w:rPr>
                <w:rFonts w:hint="default" w:ascii="Times New Roman" w:hAnsi="Times New Roman" w:eastAsia="宋体" w:cs="Times New Roman"/>
                <w:color w:val="auto"/>
                <w:sz w:val="24"/>
                <w:szCs w:val="24"/>
                <w:highlight w:val="none"/>
                <w:lang w:val="en-US" w:eastAsia="zh-CN"/>
              </w:rPr>
              <w:t>和四周墙裙脚</w:t>
            </w:r>
            <w:r>
              <w:rPr>
                <w:rFonts w:hint="default" w:ascii="Times New Roman" w:hAnsi="Times New Roman" w:eastAsia="宋体" w:cs="Times New Roman"/>
                <w:color w:val="auto"/>
                <w:sz w:val="24"/>
                <w:szCs w:val="24"/>
                <w:highlight w:val="none"/>
                <w:lang w:val="zh-CN"/>
              </w:rPr>
              <w:t>采用“</w:t>
            </w:r>
            <w:r>
              <w:rPr>
                <w:rFonts w:hint="default" w:ascii="Times New Roman" w:hAnsi="Times New Roman" w:eastAsia="宋体" w:cs="Times New Roman"/>
                <w:color w:val="auto"/>
                <w:sz w:val="24"/>
                <w:szCs w:val="24"/>
                <w:highlight w:val="none"/>
                <w:lang w:val="en-US" w:eastAsia="zh-CN"/>
              </w:rPr>
              <w:t>抗渗混凝土</w:t>
            </w:r>
            <w:r>
              <w:rPr>
                <w:rFonts w:hint="default" w:ascii="Times New Roman" w:hAnsi="Times New Roman" w:eastAsia="宋体" w:cs="Times New Roman"/>
                <w:color w:val="auto"/>
                <w:sz w:val="24"/>
                <w:szCs w:val="24"/>
                <w:highlight w:val="none"/>
                <w:lang w:val="zh-CN"/>
              </w:rPr>
              <w:t>+2mm厚HDPE+环氧树脂”</w:t>
            </w:r>
            <w:r>
              <w:rPr>
                <w:rFonts w:hint="default" w:ascii="Times New Roman" w:hAnsi="Times New Roman" w:eastAsia="宋体" w:cs="Times New Roman"/>
                <w:color w:val="auto"/>
                <w:sz w:val="24"/>
                <w:szCs w:val="24"/>
                <w:highlight w:val="none"/>
                <w:lang w:val="en-US" w:eastAsia="zh-CN"/>
              </w:rPr>
              <w:t>进行重点防渗处理</w:t>
            </w:r>
            <w:r>
              <w:rPr>
                <w:rFonts w:hint="default" w:ascii="Times New Roman" w:hAnsi="Times New Roman" w:eastAsia="宋体" w:cs="Times New Roman"/>
                <w:color w:val="auto"/>
                <w:sz w:val="24"/>
                <w:szCs w:val="24"/>
                <w:highlight w:val="none"/>
                <w:lang w:val="zh-CN"/>
              </w:rPr>
              <w:t>，渗透系数≤10</w:t>
            </w:r>
            <w:r>
              <w:rPr>
                <w:rFonts w:hint="default" w:ascii="Times New Roman" w:hAnsi="Times New Roman" w:eastAsia="宋体" w:cs="Times New Roman"/>
                <w:color w:val="auto"/>
                <w:sz w:val="24"/>
                <w:szCs w:val="24"/>
                <w:highlight w:val="none"/>
                <w:vertAlign w:val="superscript"/>
                <w:lang w:val="zh-CN"/>
              </w:rPr>
              <w:t>-10</w:t>
            </w:r>
            <w:r>
              <w:rPr>
                <w:rFonts w:hint="default" w:ascii="Times New Roman" w:hAnsi="Times New Roman" w:eastAsia="宋体" w:cs="Times New Roman"/>
                <w:color w:val="auto"/>
                <w:sz w:val="24"/>
                <w:szCs w:val="24"/>
                <w:highlight w:val="none"/>
                <w:lang w:val="zh-CN"/>
              </w:rPr>
              <w:t>cm/s</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并按照要求设置规范的标识标牌</w:t>
            </w:r>
            <w:r>
              <w:rPr>
                <w:rFonts w:hint="default" w:ascii="Times New Roman" w:hAnsi="Times New Roman" w:eastAsia="宋体" w:cs="Times New Roman"/>
                <w:color w:val="auto"/>
                <w:sz w:val="24"/>
                <w:szCs w:val="24"/>
                <w:highlight w:val="none"/>
                <w:lang w:eastAsia="zh-CN"/>
              </w:rPr>
              <w:t>。</w:t>
            </w:r>
          </w:p>
          <w:p>
            <w:pPr>
              <w:pStyle w:val="77"/>
              <w:keepNext w:val="0"/>
              <w:keepLines w:val="0"/>
              <w:pageBreakBefore w:val="0"/>
              <w:widowControl w:val="0"/>
              <w:numPr>
                <w:ilvl w:val="0"/>
                <w:numId w:val="0"/>
              </w:numPr>
              <w:tabs>
                <w:tab w:val="left" w:pos="118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暂存</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对于危险废物委托有资质</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单位处置。应按</w:t>
            </w:r>
            <w:r>
              <w:rPr>
                <w:rFonts w:hint="default" w:ascii="Times New Roman" w:hAnsi="Times New Roman" w:eastAsia="宋体" w:cs="Times New Roman"/>
                <w:color w:val="auto"/>
                <w:spacing w:val="0"/>
                <w:sz w:val="24"/>
                <w:szCs w:val="24"/>
                <w:highlight w:val="none"/>
              </w:rPr>
              <w:t>《危险废物贮存污染控制标准》</w:t>
            </w:r>
            <w:r>
              <w:rPr>
                <w:rFonts w:hint="default" w:ascii="Times New Roman" w:hAnsi="Times New Roman" w:eastAsia="宋体" w:cs="Times New Roman"/>
                <w:color w:val="auto"/>
                <w:sz w:val="24"/>
                <w:szCs w:val="24"/>
                <w:highlight w:val="none"/>
              </w:rPr>
              <w:t xml:space="preserve">（GB </w:t>
            </w:r>
            <w:r>
              <w:rPr>
                <w:rFonts w:hint="default" w:ascii="Times New Roman" w:hAnsi="Times New Roman" w:eastAsia="宋体" w:cs="Times New Roman"/>
                <w:color w:val="auto"/>
                <w:spacing w:val="0"/>
                <w:sz w:val="24"/>
                <w:szCs w:val="24"/>
                <w:highlight w:val="none"/>
              </w:rPr>
              <w:t>18597-20</w:t>
            </w:r>
            <w:r>
              <w:rPr>
                <w:rFonts w:hint="default" w:ascii="Times New Roman" w:hAnsi="Times New Roman" w:eastAsia="宋体" w:cs="Times New Roman"/>
                <w:color w:val="auto"/>
                <w:spacing w:val="0"/>
                <w:sz w:val="24"/>
                <w:szCs w:val="24"/>
                <w:highlight w:val="none"/>
                <w:lang w:val="en-US" w:eastAsia="zh-CN"/>
              </w:rPr>
              <w:t>23</w:t>
            </w:r>
            <w:r>
              <w:rPr>
                <w:rFonts w:hint="default" w:ascii="Times New Roman" w:hAnsi="Times New Roman" w:eastAsia="宋体" w:cs="Times New Roman"/>
                <w:color w:val="auto"/>
                <w:spacing w:val="0"/>
                <w:sz w:val="24"/>
                <w:szCs w:val="24"/>
                <w:highlight w:val="none"/>
              </w:rPr>
              <w:t>）</w:t>
            </w:r>
            <w:r>
              <w:rPr>
                <w:rFonts w:hint="default" w:ascii="Times New Roman" w:hAnsi="Times New Roman" w:eastAsia="宋体" w:cs="Times New Roman"/>
                <w:color w:val="auto"/>
                <w:sz w:val="24"/>
                <w:szCs w:val="24"/>
                <w:highlight w:val="none"/>
              </w:rPr>
              <w:t>要求设置暂存场地，并要求做到以下几点：</w:t>
            </w:r>
          </w:p>
          <w:p>
            <w:pPr>
              <w:pStyle w:val="77"/>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①贮存设施应根据危险废物的形态、物理化学性质、包装形式和污染物迁移途径，采取必要的防风、防晒、防雨、防漏、防渗、防腐以及其他环境污染防治措施，不应露天堆放危险废物。</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②贮存设施应根据危险废物的类别、数量、形态、物理化学性质和污染防治等要求设置必要的贮存分区，避免不相容的危险废物接触、混合。</w:t>
            </w:r>
          </w:p>
          <w:p>
            <w:pPr>
              <w:pStyle w:val="77"/>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③贮存设施或贮存分区内地面、墙面裙脚、堵截泄漏的围堰、接触危险废物的隔板和墙体等应采用坚固的材料建造，表面无裂缝。</w:t>
            </w:r>
          </w:p>
          <w:p>
            <w:pPr>
              <w:pStyle w:val="77"/>
              <w:keepNext w:val="0"/>
              <w:keepLines w:val="0"/>
              <w:pageBreakBefore w:val="0"/>
              <w:widowControl/>
              <w:kinsoku/>
              <w:wordWrap/>
              <w:overflowPunct/>
              <w:topLinePunct w:val="0"/>
              <w:autoSpaceDE/>
              <w:autoSpaceDN/>
              <w:bidi w:val="0"/>
              <w:adjustRightInd/>
              <w:snapToGrid/>
              <w:spacing w:beforeLines="-2147483648" w:afterLines="-2147483648"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m厚黏土层（渗透系数不大于10</w:t>
            </w:r>
            <w:r>
              <w:rPr>
                <w:rFonts w:hint="default" w:ascii="Times New Roman" w:hAnsi="Times New Roman" w:eastAsia="宋体" w:cs="Times New Roman"/>
                <w:color w:val="auto"/>
                <w:sz w:val="24"/>
                <w:szCs w:val="24"/>
                <w:highlight w:val="none"/>
                <w:vertAlign w:val="superscript"/>
              </w:rPr>
              <w:t>-7</w:t>
            </w:r>
            <w:r>
              <w:rPr>
                <w:rFonts w:hint="default" w:ascii="Times New Roman" w:hAnsi="Times New Roman" w:eastAsia="宋体" w:cs="Times New Roman"/>
                <w:color w:val="auto"/>
                <w:sz w:val="24"/>
                <w:szCs w:val="24"/>
                <w:highlight w:val="none"/>
              </w:rPr>
              <w:t>cm/s），或至少2mm厚高密度聚乙烯膜等人工防渗材料（渗透系数不大于10</w:t>
            </w:r>
            <w:r>
              <w:rPr>
                <w:rFonts w:hint="default" w:ascii="Times New Roman" w:hAnsi="Times New Roman" w:eastAsia="宋体" w:cs="Times New Roman"/>
                <w:color w:val="auto"/>
                <w:sz w:val="24"/>
                <w:szCs w:val="24"/>
                <w:highlight w:val="none"/>
                <w:vertAlign w:val="superscript"/>
              </w:rPr>
              <w:t>-10</w:t>
            </w:r>
            <w:r>
              <w:rPr>
                <w:rFonts w:hint="default" w:ascii="Times New Roman" w:hAnsi="Times New Roman" w:eastAsia="宋体" w:cs="Times New Roman"/>
                <w:color w:val="auto"/>
                <w:sz w:val="24"/>
                <w:szCs w:val="24"/>
                <w:highlight w:val="none"/>
              </w:rPr>
              <w:t>cm/s），或其他防渗性能等效的材料。</w:t>
            </w:r>
          </w:p>
          <w:p>
            <w:pPr>
              <w:pStyle w:val="77"/>
              <w:keepNext w:val="0"/>
              <w:keepLines w:val="0"/>
              <w:pageBreakBefore w:val="0"/>
              <w:widowControl/>
              <w:kinsoku/>
              <w:wordWrap/>
              <w:overflowPunct/>
              <w:topLinePunct w:val="0"/>
              <w:autoSpaceDE/>
              <w:autoSpaceDN/>
              <w:bidi w:val="0"/>
              <w:adjustRightInd/>
              <w:snapToGrid/>
              <w:spacing w:beforeLines="-2147483648" w:afterLines="-2147483648"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⑤同一贮存设施宜采用相同的防渗、防腐工艺（包括防渗、防腐结构或材料），防渗、防腐材料应覆盖所有可能与废物及其渗滤液、渗漏液等接触的构筑物表面；采用不同防渗、防腐工艺应分别建设贮存分区。</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⑥</w:t>
            </w:r>
            <w:r>
              <w:rPr>
                <w:rFonts w:hint="default" w:ascii="Times New Roman" w:hAnsi="Times New Roman" w:eastAsia="宋体" w:cs="Times New Roman"/>
                <w:color w:val="auto"/>
                <w:sz w:val="24"/>
                <w:szCs w:val="24"/>
                <w:highlight w:val="none"/>
              </w:rPr>
              <w:t>贮存设施应采取技术和管理措施防止无关人员进入。</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危废转移</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危废转移</w:t>
            </w:r>
            <w:r>
              <w:rPr>
                <w:rFonts w:hint="default" w:ascii="Times New Roman" w:hAnsi="Times New Roman" w:eastAsia="宋体" w:cs="Times New Roman"/>
                <w:color w:val="auto"/>
                <w:spacing w:val="-5"/>
                <w:sz w:val="24"/>
                <w:szCs w:val="24"/>
                <w:highlight w:val="none"/>
                <w:lang w:val="en-US" w:eastAsia="zh-CN"/>
              </w:rPr>
              <w:t>过程</w:t>
            </w:r>
            <w:r>
              <w:rPr>
                <w:rFonts w:hint="default" w:ascii="Times New Roman" w:hAnsi="Times New Roman" w:eastAsia="宋体" w:cs="Times New Roman"/>
                <w:color w:val="auto"/>
                <w:spacing w:val="-5"/>
                <w:sz w:val="24"/>
                <w:szCs w:val="24"/>
                <w:highlight w:val="none"/>
              </w:rPr>
              <w:t>应当严格遵守</w:t>
            </w:r>
            <w:r>
              <w:rPr>
                <w:rFonts w:hint="default" w:ascii="Times New Roman" w:hAnsi="Times New Roman" w:eastAsia="宋体" w:cs="Times New Roman"/>
                <w:color w:val="auto"/>
                <w:spacing w:val="-5"/>
                <w:sz w:val="24"/>
                <w:szCs w:val="24"/>
                <w:highlight w:val="none"/>
                <w:lang w:eastAsia="zh-CN"/>
              </w:rPr>
              <w:t>《危险废物转移管理办法》（</w:t>
            </w:r>
            <w:r>
              <w:rPr>
                <w:rFonts w:hint="default" w:ascii="Times New Roman" w:hAnsi="Times New Roman" w:eastAsia="宋体" w:cs="Times New Roman"/>
                <w:i w:val="0"/>
                <w:iCs w:val="0"/>
                <w:caps w:val="0"/>
                <w:color w:val="auto"/>
                <w:spacing w:val="-5"/>
                <w:sz w:val="24"/>
                <w:szCs w:val="24"/>
                <w:highlight w:val="none"/>
                <w:shd w:val="clear" w:fill="auto"/>
              </w:rPr>
              <w:t>部令 第23号</w:t>
            </w:r>
            <w:r>
              <w:rPr>
                <w:rFonts w:hint="default"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rPr>
              <w:t>、《危险废</w:t>
            </w:r>
            <w:r>
              <w:rPr>
                <w:rFonts w:hint="default" w:ascii="Times New Roman" w:hAnsi="Times New Roman" w:eastAsia="宋体" w:cs="Times New Roman"/>
                <w:color w:val="auto"/>
                <w:sz w:val="24"/>
                <w:szCs w:val="24"/>
                <w:highlight w:val="none"/>
              </w:rPr>
              <w:t>物收集贮存运输技术规范</w:t>
            </w:r>
            <w:r>
              <w:rPr>
                <w:rFonts w:hint="default" w:ascii="Times New Roman" w:hAnsi="Times New Roman" w:eastAsia="宋体" w:cs="Times New Roman"/>
                <w:color w:val="auto"/>
                <w:spacing w:val="-5"/>
                <w:sz w:val="24"/>
                <w:szCs w:val="24"/>
                <w:highlight w:val="none"/>
              </w:rPr>
              <w:t>》</w:t>
            </w:r>
            <w:r>
              <w:rPr>
                <w:rFonts w:hint="default" w:ascii="Times New Roman" w:hAnsi="Times New Roman" w:eastAsia="宋体" w:cs="Times New Roman"/>
                <w:color w:val="auto"/>
                <w:sz w:val="24"/>
                <w:szCs w:val="24"/>
                <w:highlight w:val="none"/>
              </w:rPr>
              <w:t>（HJ 2025-2012）相关要求，确保危险废物得到安全处置：</w:t>
            </w:r>
          </w:p>
          <w:p>
            <w:pPr>
              <w:pStyle w:val="77"/>
              <w:keepNext w:val="0"/>
              <w:keepLines w:val="0"/>
              <w:pageBreakBefore w:val="0"/>
              <w:widowControl w:val="0"/>
              <w:numPr>
                <w:ilvl w:val="0"/>
                <w:numId w:val="0"/>
              </w:numPr>
              <w:tabs>
                <w:tab w:val="left" w:pos="953"/>
              </w:tabs>
              <w:kinsoku/>
              <w:wordWrap/>
              <w:overflowPunct/>
              <w:topLinePunct w:val="0"/>
              <w:autoSpaceDE/>
              <w:autoSpaceDN/>
              <w:bidi w:val="0"/>
              <w:adjustRightInd/>
              <w:snapToGrid/>
              <w:spacing w:beforeLines="0" w:afterLines="0" w:line="360" w:lineRule="auto"/>
              <w:ind w:leftChars="0" w:right="0" w:righ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做好危险废物转移手续，按照</w:t>
            </w:r>
            <w:r>
              <w:rPr>
                <w:rFonts w:hint="default" w:ascii="Times New Roman" w:hAnsi="Times New Roman" w:eastAsia="宋体" w:cs="Times New Roman"/>
                <w:color w:val="auto"/>
                <w:spacing w:val="-5"/>
                <w:sz w:val="24"/>
                <w:szCs w:val="24"/>
                <w:highlight w:val="none"/>
                <w:lang w:eastAsia="zh-CN"/>
              </w:rPr>
              <w:t>《危险废物转移管理办法》（</w:t>
            </w:r>
            <w:r>
              <w:rPr>
                <w:rFonts w:hint="default" w:ascii="Times New Roman" w:hAnsi="Times New Roman" w:eastAsia="宋体" w:cs="Times New Roman"/>
                <w:i w:val="0"/>
                <w:iCs w:val="0"/>
                <w:caps w:val="0"/>
                <w:color w:val="auto"/>
                <w:spacing w:val="-5"/>
                <w:sz w:val="24"/>
                <w:szCs w:val="24"/>
                <w:highlight w:val="none"/>
                <w:shd w:val="clear"/>
              </w:rPr>
              <w:t>部令 第23号</w:t>
            </w:r>
            <w:r>
              <w:rPr>
                <w:rFonts w:hint="default"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z w:val="24"/>
                <w:szCs w:val="24"/>
                <w:highlight w:val="none"/>
              </w:rPr>
              <w:t>要求进行。建</w:t>
            </w:r>
            <w:r>
              <w:rPr>
                <w:rFonts w:hint="default" w:ascii="Times New Roman" w:hAnsi="Times New Roman" w:eastAsia="宋体" w:cs="Times New Roman"/>
                <w:color w:val="auto"/>
                <w:spacing w:val="-4"/>
                <w:sz w:val="24"/>
                <w:szCs w:val="24"/>
                <w:highlight w:val="none"/>
              </w:rPr>
              <w:t>设单位在转移危险废物前，须按照国家有关规定报批危险废物转移计划；经批准后，产生</w:t>
            </w:r>
            <w:r>
              <w:rPr>
                <w:rFonts w:hint="default" w:ascii="Times New Roman" w:hAnsi="Times New Roman" w:eastAsia="宋体" w:cs="Times New Roman"/>
                <w:color w:val="auto"/>
                <w:spacing w:val="-3"/>
                <w:sz w:val="24"/>
                <w:szCs w:val="24"/>
                <w:highlight w:val="none"/>
              </w:rPr>
              <w:t>单位应当向移出地环境保护行政主管部门申请领取联单。危险废物产生单位应当如实填写</w:t>
            </w:r>
            <w:r>
              <w:rPr>
                <w:rFonts w:hint="default" w:ascii="Times New Roman" w:hAnsi="Times New Roman" w:eastAsia="宋体" w:cs="Times New Roman"/>
                <w:color w:val="auto"/>
                <w:spacing w:val="-5"/>
                <w:sz w:val="24"/>
                <w:szCs w:val="24"/>
                <w:highlight w:val="none"/>
              </w:rPr>
              <w:t>联单中产生单位栏目，并加盖公章，经交付危险废物运输单位核实验收签字后，将联单第</w:t>
            </w:r>
            <w:r>
              <w:rPr>
                <w:rFonts w:hint="default" w:ascii="Times New Roman" w:hAnsi="Times New Roman" w:eastAsia="宋体" w:cs="Times New Roman"/>
                <w:color w:val="auto"/>
                <w:spacing w:val="-4"/>
                <w:sz w:val="24"/>
                <w:szCs w:val="24"/>
                <w:highlight w:val="none"/>
              </w:rPr>
              <w:t>一联副联自留存档，将联单第二联交移出地环境保护行政主管部门，联单第一联正联及其</w:t>
            </w:r>
            <w:r>
              <w:rPr>
                <w:rFonts w:hint="default" w:ascii="Times New Roman" w:hAnsi="Times New Roman" w:eastAsia="宋体" w:cs="Times New Roman"/>
                <w:color w:val="auto"/>
                <w:sz w:val="24"/>
                <w:szCs w:val="24"/>
                <w:highlight w:val="none"/>
              </w:rPr>
              <w:t>余各联交付运输单位随危险废物转移运行。</w:t>
            </w:r>
          </w:p>
          <w:p>
            <w:pPr>
              <w:pStyle w:val="77"/>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危险废物运输由持有危险废物经营许可证的单位按照其许可证的经营范围组织实施，承担危险废物运输单位应获得交通运输部门颁发的危险货物运输资质；</w:t>
            </w:r>
          </w:p>
          <w:p>
            <w:pPr>
              <w:pStyle w:val="77"/>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危险废物在运输途中若发生被盗、丢失、流散、</w:t>
            </w:r>
            <w:r>
              <w:rPr>
                <w:rFonts w:hint="default" w:ascii="Times New Roman" w:hAnsi="Times New Roman" w:eastAsia="宋体" w:cs="Times New Roman"/>
                <w:color w:val="auto"/>
                <w:sz w:val="24"/>
                <w:szCs w:val="24"/>
                <w:highlight w:val="none"/>
                <w:lang w:eastAsia="zh-CN"/>
              </w:rPr>
              <w:t>泄漏</w:t>
            </w:r>
            <w:r>
              <w:rPr>
                <w:rFonts w:hint="default" w:ascii="Times New Roman" w:hAnsi="Times New Roman" w:eastAsia="宋体" w:cs="Times New Roman"/>
                <w:color w:val="auto"/>
                <w:sz w:val="24"/>
                <w:szCs w:val="24"/>
                <w:highlight w:val="none"/>
              </w:rPr>
              <w:t>等情况时，公司及押运人员必须立即向当地环保部门、公安部门报告，并采取一切可能的警示措施。</w:t>
            </w:r>
          </w:p>
          <w:p>
            <w:pPr>
              <w:pStyle w:val="14"/>
              <w:keepNext w:val="0"/>
              <w:keepLines w:val="0"/>
              <w:pageBreakBefore w:val="0"/>
              <w:kinsoku/>
              <w:wordWrap/>
              <w:overflowPunct/>
              <w:topLinePunct w:val="0"/>
              <w:autoSpaceDE/>
              <w:autoSpaceDN/>
              <w:bidi w:val="0"/>
              <w:adjustRightInd/>
              <w:spacing w:before="0" w:after="0"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一旦发生废弃物泄漏事故，公司和废弃物处置单位都应积极协助有关部门采取必</w:t>
            </w:r>
            <w:r>
              <w:rPr>
                <w:rFonts w:hint="default" w:ascii="Times New Roman" w:hAnsi="Times New Roman" w:eastAsia="宋体" w:cs="Times New Roman"/>
                <w:color w:val="auto"/>
                <w:spacing w:val="-1"/>
                <w:sz w:val="24"/>
                <w:szCs w:val="24"/>
                <w:highlight w:val="none"/>
              </w:rPr>
              <w:t>要的安全措施，减少事故损失，防止事故蔓延、扩大；针对事故对人体、动植物、土壤、</w:t>
            </w:r>
            <w:r>
              <w:rPr>
                <w:rFonts w:hint="default" w:ascii="Times New Roman" w:hAnsi="Times New Roman" w:eastAsia="宋体" w:cs="Times New Roman"/>
                <w:color w:val="auto"/>
                <w:spacing w:val="-6"/>
                <w:sz w:val="24"/>
                <w:szCs w:val="24"/>
                <w:highlight w:val="none"/>
              </w:rPr>
              <w:t>水源、空气造成的现实危害和可能产生的危害，应迅速采取封闭、隔离、洗消等措施，并对事故造成的危害进行监测、处置，符合国家环境保护标准。</w:t>
            </w:r>
          </w:p>
          <w:p>
            <w:pPr>
              <w:pStyle w:val="4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sz w:val="24"/>
                <w:szCs w:val="24"/>
                <w:highlight w:val="none"/>
              </w:rPr>
              <w:t>在采取上述措施的前提下，项目运营期固体废物均能得到及时、妥善的处理和处置，不会对周围环境造成大的影响。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lang w:val="en-US"/>
              </w:rPr>
            </w:pPr>
            <w:r>
              <w:rPr>
                <w:rFonts w:hint="default" w:ascii="Times New Roman" w:hAnsi="Times New Roman" w:eastAsia="宋体" w:cs="Times New Roman"/>
                <w:b/>
                <w:color w:val="auto"/>
                <w:sz w:val="24"/>
                <w:szCs w:val="24"/>
                <w:highlight w:val="none"/>
                <w:lang w:val="en-US" w:eastAsia="zh-CN"/>
              </w:rPr>
              <w:t>五</w:t>
            </w:r>
            <w:r>
              <w:rPr>
                <w:rFonts w:hint="default" w:ascii="Times New Roman" w:hAnsi="Times New Roman" w:eastAsia="宋体" w:cs="Times New Roman"/>
                <w:b/>
                <w:color w:val="auto"/>
                <w:sz w:val="24"/>
                <w:szCs w:val="24"/>
                <w:highlight w:val="none"/>
              </w:rPr>
              <w:t>、土壤</w:t>
            </w: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lang w:val="en-US" w:eastAsia="zh-CN"/>
              </w:rPr>
              <w:t>地下水</w:t>
            </w:r>
            <w:r>
              <w:rPr>
                <w:rFonts w:hint="default" w:ascii="Times New Roman" w:hAnsi="Times New Roman" w:eastAsia="宋体" w:cs="Times New Roman"/>
                <w:b/>
                <w:color w:val="auto"/>
                <w:sz w:val="24"/>
                <w:szCs w:val="24"/>
                <w:highlight w:val="none"/>
              </w:rPr>
              <w:t>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zh-CN"/>
              </w:rPr>
              <w:t>污染源分析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本项目正常工况下，不会产生地下水、土壤污染，只有在事故状态下，项目内暂存的废矿物油可能会发生</w:t>
            </w:r>
            <w:r>
              <w:rPr>
                <w:rFonts w:hint="default" w:ascii="Times New Roman" w:hAnsi="Times New Roman" w:eastAsia="宋体" w:cs="Times New Roman"/>
                <w:color w:val="auto"/>
                <w:sz w:val="24"/>
                <w:szCs w:val="24"/>
                <w:highlight w:val="none"/>
                <w:lang w:val="en-US" w:eastAsia="zh-CN"/>
              </w:rPr>
              <w:t>泄漏</w:t>
            </w:r>
            <w:r>
              <w:rPr>
                <w:rFonts w:hint="default" w:ascii="Times New Roman" w:hAnsi="Times New Roman" w:eastAsia="宋体" w:cs="Times New Roman"/>
                <w:color w:val="auto"/>
                <w:sz w:val="24"/>
                <w:szCs w:val="24"/>
                <w:highlight w:val="none"/>
                <w:lang w:val="zh-CN"/>
              </w:rPr>
              <w:t>等情况，可能对周边土壤造成污染，长时间</w:t>
            </w:r>
            <w:r>
              <w:rPr>
                <w:rFonts w:hint="default" w:ascii="Times New Roman" w:hAnsi="Times New Roman" w:eastAsia="宋体" w:cs="Times New Roman"/>
                <w:color w:val="auto"/>
                <w:sz w:val="24"/>
                <w:szCs w:val="24"/>
                <w:highlight w:val="none"/>
                <w:lang w:val="en-US" w:eastAsia="zh-CN"/>
              </w:rPr>
              <w:t>泄漏</w:t>
            </w:r>
            <w:r>
              <w:rPr>
                <w:rFonts w:hint="default" w:ascii="Times New Roman" w:hAnsi="Times New Roman" w:eastAsia="宋体" w:cs="Times New Roman"/>
                <w:color w:val="auto"/>
                <w:sz w:val="24"/>
                <w:szCs w:val="24"/>
                <w:highlight w:val="none"/>
                <w:lang w:val="zh-CN"/>
              </w:rPr>
              <w:t>可能深入地下对地下水造成污染。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zh-CN"/>
              </w:rPr>
              <w:t>污染物类型和污染途径识别</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fldChar w:fldCharType="begin"/>
            </w:r>
            <w:r>
              <w:rPr>
                <w:rFonts w:hint="default" w:ascii="Times New Roman" w:hAnsi="Times New Roman" w:eastAsia="宋体" w:cs="Times New Roman"/>
                <w:color w:val="auto"/>
                <w:sz w:val="24"/>
                <w:szCs w:val="24"/>
                <w:highlight w:val="none"/>
                <w:lang w:val="zh-CN"/>
              </w:rPr>
              <w:instrText xml:space="preserve"> = 1 \* GB3 \* MERGEFORMAT </w:instrText>
            </w:r>
            <w:r>
              <w:rPr>
                <w:rFonts w:hint="default" w:ascii="Times New Roman" w:hAnsi="Times New Roman" w:eastAsia="宋体" w:cs="Times New Roman"/>
                <w:color w:val="auto"/>
                <w:sz w:val="24"/>
                <w:szCs w:val="24"/>
                <w:highlight w:val="none"/>
                <w:lang w:val="zh-CN"/>
              </w:rPr>
              <w:fldChar w:fldCharType="separate"/>
            </w:r>
            <w:r>
              <w:rPr>
                <w:rFonts w:hint="default" w:ascii="Times New Roman" w:hAnsi="Times New Roman" w:eastAsia="宋体" w:cs="Times New Roman"/>
                <w:color w:val="auto"/>
                <w:sz w:val="24"/>
                <w:szCs w:val="24"/>
                <w:highlight w:val="none"/>
                <w:lang w:val="zh-CN"/>
              </w:rPr>
              <w:t>①</w:t>
            </w:r>
            <w:r>
              <w:rPr>
                <w:rFonts w:hint="default" w:ascii="Times New Roman" w:hAnsi="Times New Roman" w:eastAsia="宋体" w:cs="Times New Roman"/>
                <w:color w:val="auto"/>
                <w:sz w:val="24"/>
                <w:szCs w:val="24"/>
                <w:highlight w:val="none"/>
                <w:lang w:val="zh-CN"/>
              </w:rPr>
              <w:fldChar w:fldCharType="end"/>
            </w:r>
            <w:r>
              <w:rPr>
                <w:rFonts w:hint="default" w:ascii="Times New Roman" w:hAnsi="Times New Roman" w:eastAsia="宋体" w:cs="Times New Roman"/>
                <w:color w:val="auto"/>
                <w:sz w:val="24"/>
                <w:szCs w:val="24"/>
                <w:highlight w:val="none"/>
                <w:lang w:val="zh-CN"/>
              </w:rPr>
              <w:t>土壤、</w:t>
            </w:r>
            <w:r>
              <w:rPr>
                <w:rFonts w:hint="default" w:ascii="Times New Roman" w:hAnsi="Times New Roman" w:eastAsia="宋体" w:cs="Times New Roman"/>
                <w:color w:val="auto"/>
                <w:sz w:val="24"/>
                <w:szCs w:val="24"/>
                <w:highlight w:val="none"/>
                <w:lang w:val="en-US" w:eastAsia="zh-CN"/>
              </w:rPr>
              <w:t>地下水</w:t>
            </w:r>
            <w:r>
              <w:rPr>
                <w:rFonts w:hint="default" w:ascii="Times New Roman" w:hAnsi="Times New Roman" w:eastAsia="宋体" w:cs="Times New Roman"/>
                <w:color w:val="auto"/>
                <w:sz w:val="24"/>
                <w:szCs w:val="24"/>
                <w:highlight w:val="none"/>
                <w:lang w:val="zh-CN"/>
              </w:rPr>
              <w:t>环境影响类型与影响途径识别</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本项目对周边</w:t>
            </w:r>
            <w:r>
              <w:rPr>
                <w:rFonts w:hint="default" w:ascii="Times New Roman" w:hAnsi="Times New Roman" w:eastAsia="宋体" w:cs="Times New Roman"/>
                <w:color w:val="auto"/>
                <w:sz w:val="24"/>
                <w:szCs w:val="24"/>
                <w:highlight w:val="none"/>
                <w:lang w:val="en-US" w:eastAsia="zh-CN"/>
              </w:rPr>
              <w:t>地下水、</w:t>
            </w:r>
            <w:r>
              <w:rPr>
                <w:rFonts w:hint="default" w:ascii="Times New Roman" w:hAnsi="Times New Roman" w:eastAsia="宋体" w:cs="Times New Roman"/>
                <w:color w:val="auto"/>
                <w:sz w:val="24"/>
                <w:szCs w:val="24"/>
                <w:highlight w:val="none"/>
                <w:lang w:val="zh-CN"/>
              </w:rPr>
              <w:t>土壤环境影响的类型与影响途径见表4-</w:t>
            </w:r>
            <w:r>
              <w:rPr>
                <w:rFonts w:hint="default"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lang w:val="zh-CN"/>
              </w:rPr>
              <w:t>。</w:t>
            </w:r>
          </w:p>
          <w:p>
            <w:pPr>
              <w:pStyle w:val="4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bCs w:val="0"/>
                <w:color w:val="auto"/>
                <w:sz w:val="21"/>
                <w:szCs w:val="21"/>
                <w:highlight w:val="none"/>
                <w:lang w:val="en-US" w:eastAsia="zh-CN"/>
              </w:rPr>
            </w:pPr>
            <w:r>
              <w:rPr>
                <w:rStyle w:val="46"/>
                <w:rFonts w:hint="default" w:ascii="Times New Roman" w:hAnsi="Times New Roman" w:eastAsia="宋体" w:cs="Times New Roman"/>
                <w:b/>
                <w:bCs w:val="0"/>
                <w:color w:val="auto"/>
                <w:sz w:val="21"/>
                <w:szCs w:val="21"/>
                <w:highlight w:val="none"/>
                <w:lang w:val="en-US" w:eastAsia="zh-CN"/>
              </w:rPr>
              <w:t>表4-22   项目土壤、地下水环境影响类型与影响途径识别表</w:t>
            </w:r>
          </w:p>
          <w:tbl>
            <w:tblPr>
              <w:tblStyle w:val="27"/>
              <w:tblW w:w="8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1484"/>
              <w:gridCol w:w="1724"/>
              <w:gridCol w:w="1760"/>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Merge w:val="restart"/>
                  <w:vAlign w:val="center"/>
                </w:tcPr>
                <w:p>
                  <w:pPr>
                    <w:pStyle w:val="4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bCs w:val="0"/>
                      <w:color w:val="auto"/>
                      <w:sz w:val="21"/>
                      <w:szCs w:val="21"/>
                      <w:highlight w:val="none"/>
                      <w:vertAlign w:val="baseline"/>
                      <w:lang w:val="en-US" w:eastAsia="zh-CN"/>
                    </w:rPr>
                  </w:pPr>
                  <w:r>
                    <w:rPr>
                      <w:rStyle w:val="46"/>
                      <w:rFonts w:hint="default" w:ascii="Times New Roman" w:hAnsi="Times New Roman" w:eastAsia="宋体" w:cs="Times New Roman"/>
                      <w:b/>
                      <w:bCs w:val="0"/>
                      <w:color w:val="auto"/>
                      <w:sz w:val="21"/>
                      <w:szCs w:val="21"/>
                      <w:highlight w:val="none"/>
                      <w:vertAlign w:val="baseline"/>
                      <w:lang w:val="en-US" w:eastAsia="zh-CN"/>
                    </w:rPr>
                    <w:t>时段</w:t>
                  </w:r>
                </w:p>
              </w:tc>
              <w:tc>
                <w:tcPr>
                  <w:tcW w:w="6525" w:type="dxa"/>
                  <w:gridSpan w:val="4"/>
                  <w:vAlign w:val="center"/>
                </w:tcPr>
                <w:p>
                  <w:pPr>
                    <w:pStyle w:val="4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bCs w:val="0"/>
                      <w:color w:val="auto"/>
                      <w:sz w:val="21"/>
                      <w:szCs w:val="21"/>
                      <w:highlight w:val="none"/>
                      <w:vertAlign w:val="baseline"/>
                      <w:lang w:val="en-US" w:eastAsia="zh-CN"/>
                    </w:rPr>
                  </w:pPr>
                  <w:r>
                    <w:rPr>
                      <w:rStyle w:val="46"/>
                      <w:rFonts w:hint="default" w:ascii="Times New Roman" w:hAnsi="Times New Roman" w:eastAsia="宋体" w:cs="Times New Roman"/>
                      <w:b/>
                      <w:bCs w:val="0"/>
                      <w:color w:val="auto"/>
                      <w:sz w:val="21"/>
                      <w:szCs w:val="21"/>
                      <w:highlight w:val="none"/>
                      <w:vertAlign w:val="baseline"/>
                      <w:lang w:val="en-US" w:eastAsia="zh-CN"/>
                    </w:rPr>
                    <w:t>污染影响类型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Merge w:val="continue"/>
                  <w:vAlign w:val="center"/>
                </w:tcPr>
                <w:p>
                  <w:pPr>
                    <w:pStyle w:val="4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val="0"/>
                      <w:bCs/>
                      <w:color w:val="auto"/>
                      <w:sz w:val="21"/>
                      <w:szCs w:val="21"/>
                      <w:highlight w:val="none"/>
                      <w:vertAlign w:val="baseline"/>
                      <w:lang w:val="en-US" w:eastAsia="zh-CN"/>
                    </w:rPr>
                  </w:pPr>
                </w:p>
              </w:tc>
              <w:tc>
                <w:tcPr>
                  <w:tcW w:w="1484" w:type="dxa"/>
                  <w:vAlign w:val="center"/>
                </w:tcPr>
                <w:p>
                  <w:pPr>
                    <w:pStyle w:val="4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val="0"/>
                      <w:bCs/>
                      <w:color w:val="auto"/>
                      <w:sz w:val="21"/>
                      <w:szCs w:val="21"/>
                      <w:highlight w:val="none"/>
                      <w:vertAlign w:val="baseline"/>
                      <w:lang w:val="en-US" w:eastAsia="zh-CN"/>
                    </w:rPr>
                  </w:pPr>
                  <w:r>
                    <w:rPr>
                      <w:rStyle w:val="46"/>
                      <w:rFonts w:hint="default" w:ascii="Times New Roman" w:hAnsi="Times New Roman" w:eastAsia="宋体" w:cs="Times New Roman"/>
                      <w:b w:val="0"/>
                      <w:bCs/>
                      <w:color w:val="auto"/>
                      <w:sz w:val="21"/>
                      <w:szCs w:val="21"/>
                      <w:highlight w:val="none"/>
                      <w:vertAlign w:val="baseline"/>
                      <w:lang w:val="en-US" w:eastAsia="zh-CN"/>
                    </w:rPr>
                    <w:t>大气沉降</w:t>
                  </w:r>
                </w:p>
              </w:tc>
              <w:tc>
                <w:tcPr>
                  <w:tcW w:w="1724" w:type="dxa"/>
                  <w:vAlign w:val="center"/>
                </w:tcPr>
                <w:p>
                  <w:pPr>
                    <w:pStyle w:val="4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val="0"/>
                      <w:bCs/>
                      <w:color w:val="auto"/>
                      <w:sz w:val="21"/>
                      <w:szCs w:val="21"/>
                      <w:highlight w:val="none"/>
                      <w:vertAlign w:val="baseline"/>
                      <w:lang w:val="en-US" w:eastAsia="zh-CN"/>
                    </w:rPr>
                  </w:pPr>
                  <w:r>
                    <w:rPr>
                      <w:rStyle w:val="46"/>
                      <w:rFonts w:hint="default" w:ascii="Times New Roman" w:hAnsi="Times New Roman" w:eastAsia="宋体" w:cs="Times New Roman"/>
                      <w:b w:val="0"/>
                      <w:bCs/>
                      <w:color w:val="auto"/>
                      <w:sz w:val="21"/>
                      <w:szCs w:val="21"/>
                      <w:highlight w:val="none"/>
                      <w:vertAlign w:val="baseline"/>
                      <w:lang w:val="en-US" w:eastAsia="zh-CN"/>
                    </w:rPr>
                    <w:t>地面漫流</w:t>
                  </w:r>
                </w:p>
              </w:tc>
              <w:tc>
                <w:tcPr>
                  <w:tcW w:w="1760" w:type="dxa"/>
                  <w:vAlign w:val="center"/>
                </w:tcPr>
                <w:p>
                  <w:pPr>
                    <w:pStyle w:val="4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val="0"/>
                      <w:bCs/>
                      <w:color w:val="auto"/>
                      <w:sz w:val="21"/>
                      <w:szCs w:val="21"/>
                      <w:highlight w:val="none"/>
                      <w:vertAlign w:val="baseline"/>
                      <w:lang w:val="en-US" w:eastAsia="zh-CN"/>
                    </w:rPr>
                  </w:pPr>
                  <w:r>
                    <w:rPr>
                      <w:rStyle w:val="46"/>
                      <w:rFonts w:hint="default" w:ascii="Times New Roman" w:hAnsi="Times New Roman" w:eastAsia="宋体" w:cs="Times New Roman"/>
                      <w:b w:val="0"/>
                      <w:bCs/>
                      <w:color w:val="auto"/>
                      <w:sz w:val="21"/>
                      <w:szCs w:val="21"/>
                      <w:highlight w:val="none"/>
                      <w:vertAlign w:val="baseline"/>
                      <w:lang w:val="en-US" w:eastAsia="zh-CN"/>
                    </w:rPr>
                    <w:t>垂直入渗</w:t>
                  </w:r>
                </w:p>
              </w:tc>
              <w:tc>
                <w:tcPr>
                  <w:tcW w:w="1557" w:type="dxa"/>
                  <w:vAlign w:val="center"/>
                </w:tcPr>
                <w:p>
                  <w:pPr>
                    <w:pStyle w:val="4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val="0"/>
                      <w:bCs/>
                      <w:color w:val="auto"/>
                      <w:sz w:val="21"/>
                      <w:szCs w:val="21"/>
                      <w:highlight w:val="none"/>
                      <w:vertAlign w:val="baseline"/>
                      <w:lang w:val="en-US" w:eastAsia="zh-CN"/>
                    </w:rPr>
                  </w:pPr>
                  <w:r>
                    <w:rPr>
                      <w:rStyle w:val="46"/>
                      <w:rFonts w:hint="default" w:ascii="Times New Roman" w:hAnsi="Times New Roman" w:eastAsia="宋体" w:cs="Times New Roman"/>
                      <w:b w:val="0"/>
                      <w:bCs/>
                      <w:color w:val="auto"/>
                      <w:sz w:val="21"/>
                      <w:szCs w:val="21"/>
                      <w:highlight w:val="none"/>
                      <w:vertAlign w:val="baseline"/>
                      <w:lang w:val="en-US"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Align w:val="center"/>
                </w:tcPr>
                <w:p>
                  <w:pPr>
                    <w:pStyle w:val="4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val="0"/>
                      <w:bCs/>
                      <w:color w:val="auto"/>
                      <w:sz w:val="21"/>
                      <w:szCs w:val="21"/>
                      <w:highlight w:val="none"/>
                      <w:vertAlign w:val="baseline"/>
                      <w:lang w:val="en-US" w:eastAsia="zh-CN"/>
                    </w:rPr>
                  </w:pPr>
                  <w:r>
                    <w:rPr>
                      <w:rStyle w:val="46"/>
                      <w:rFonts w:hint="default" w:ascii="Times New Roman" w:hAnsi="Times New Roman" w:eastAsia="宋体" w:cs="Times New Roman"/>
                      <w:b w:val="0"/>
                      <w:bCs/>
                      <w:color w:val="auto"/>
                      <w:sz w:val="21"/>
                      <w:szCs w:val="21"/>
                      <w:highlight w:val="none"/>
                      <w:vertAlign w:val="baseline"/>
                      <w:lang w:val="en-US" w:eastAsia="zh-CN"/>
                    </w:rPr>
                    <w:t>运营期</w:t>
                  </w:r>
                </w:p>
              </w:tc>
              <w:tc>
                <w:tcPr>
                  <w:tcW w:w="1484" w:type="dxa"/>
                  <w:vAlign w:val="center"/>
                </w:tcPr>
                <w:p>
                  <w:pPr>
                    <w:pStyle w:val="4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val="0"/>
                      <w:bCs/>
                      <w:color w:val="auto"/>
                      <w:sz w:val="21"/>
                      <w:szCs w:val="21"/>
                      <w:highlight w:val="none"/>
                      <w:vertAlign w:val="baseline"/>
                      <w:lang w:val="en-US" w:eastAsia="zh-CN"/>
                    </w:rPr>
                  </w:pPr>
                  <w:r>
                    <w:rPr>
                      <w:rStyle w:val="46"/>
                      <w:rFonts w:hint="default" w:ascii="Times New Roman" w:hAnsi="Times New Roman" w:eastAsia="宋体" w:cs="Times New Roman"/>
                      <w:b w:val="0"/>
                      <w:bCs/>
                      <w:color w:val="auto"/>
                      <w:sz w:val="21"/>
                      <w:szCs w:val="21"/>
                      <w:highlight w:val="none"/>
                      <w:vertAlign w:val="baseline"/>
                      <w:lang w:val="en-US" w:eastAsia="zh-CN"/>
                    </w:rPr>
                    <w:t>/</w:t>
                  </w:r>
                </w:p>
              </w:tc>
              <w:tc>
                <w:tcPr>
                  <w:tcW w:w="1724" w:type="dxa"/>
                  <w:vAlign w:val="center"/>
                </w:tcPr>
                <w:p>
                  <w:pPr>
                    <w:pStyle w:val="4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val="0"/>
                      <w:bCs/>
                      <w:color w:val="auto"/>
                      <w:sz w:val="21"/>
                      <w:szCs w:val="21"/>
                      <w:highlight w:val="none"/>
                      <w:vertAlign w:val="baseline"/>
                      <w:lang w:val="en-US" w:eastAsia="zh-CN"/>
                    </w:rPr>
                  </w:pPr>
                  <w:r>
                    <w:rPr>
                      <w:rStyle w:val="46"/>
                      <w:rFonts w:hint="default" w:ascii="Times New Roman" w:hAnsi="Times New Roman" w:eastAsia="宋体" w:cs="Times New Roman"/>
                      <w:b w:val="0"/>
                      <w:bCs/>
                      <w:color w:val="auto"/>
                      <w:sz w:val="21"/>
                      <w:szCs w:val="21"/>
                      <w:highlight w:val="none"/>
                      <w:vertAlign w:val="baseline"/>
                      <w:lang w:val="en-US" w:eastAsia="zh-CN"/>
                    </w:rPr>
                    <w:t>/</w:t>
                  </w:r>
                </w:p>
              </w:tc>
              <w:tc>
                <w:tcPr>
                  <w:tcW w:w="1760" w:type="dxa"/>
                  <w:vAlign w:val="center"/>
                </w:tcPr>
                <w:p>
                  <w:pPr>
                    <w:pStyle w:val="4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val="0"/>
                      <w:bCs/>
                      <w:color w:val="auto"/>
                      <w:sz w:val="21"/>
                      <w:szCs w:val="21"/>
                      <w:highlight w:val="none"/>
                      <w:vertAlign w:val="baseline"/>
                      <w:lang w:val="en-US" w:eastAsia="zh-CN"/>
                    </w:rPr>
                  </w:pPr>
                  <w:r>
                    <w:rPr>
                      <w:rStyle w:val="46"/>
                      <w:rFonts w:hint="default" w:ascii="Times New Roman" w:hAnsi="Times New Roman" w:eastAsia="宋体" w:cs="Times New Roman"/>
                      <w:b w:val="0"/>
                      <w:bCs/>
                      <w:color w:val="auto"/>
                      <w:sz w:val="21"/>
                      <w:szCs w:val="21"/>
                      <w:highlight w:val="none"/>
                      <w:vertAlign w:val="baseline"/>
                      <w:lang w:val="en-US" w:eastAsia="zh-CN"/>
                    </w:rPr>
                    <w:t>√</w:t>
                  </w:r>
                </w:p>
              </w:tc>
              <w:tc>
                <w:tcPr>
                  <w:tcW w:w="1557" w:type="dxa"/>
                  <w:vAlign w:val="center"/>
                </w:tcPr>
                <w:p>
                  <w:pPr>
                    <w:pStyle w:val="4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val="0"/>
                      <w:bCs/>
                      <w:color w:val="auto"/>
                      <w:sz w:val="21"/>
                      <w:szCs w:val="21"/>
                      <w:highlight w:val="none"/>
                      <w:vertAlign w:val="baseline"/>
                      <w:lang w:val="en-US" w:eastAsia="zh-CN"/>
                    </w:rPr>
                  </w:pPr>
                  <w:r>
                    <w:rPr>
                      <w:rStyle w:val="46"/>
                      <w:rFonts w:hint="default" w:ascii="Times New Roman" w:hAnsi="Times New Roman" w:eastAsia="宋体" w:cs="Times New Roman"/>
                      <w:b w:val="0"/>
                      <w:bCs/>
                      <w:color w:val="auto"/>
                      <w:sz w:val="21"/>
                      <w:szCs w:val="21"/>
                      <w:highlight w:val="none"/>
                      <w:vertAlign w:val="baseli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fldChar w:fldCharType="begin"/>
            </w:r>
            <w:r>
              <w:rPr>
                <w:rFonts w:hint="default" w:ascii="Times New Roman" w:hAnsi="Times New Roman" w:eastAsia="宋体" w:cs="Times New Roman"/>
                <w:color w:val="auto"/>
                <w:sz w:val="24"/>
                <w:szCs w:val="24"/>
                <w:highlight w:val="none"/>
                <w:lang w:val="zh-CN"/>
              </w:rPr>
              <w:instrText xml:space="preserve"> = 2 \* GB3 \* MERGEFORMAT </w:instrText>
            </w:r>
            <w:r>
              <w:rPr>
                <w:rFonts w:hint="default" w:ascii="Times New Roman" w:hAnsi="Times New Roman" w:eastAsia="宋体" w:cs="Times New Roman"/>
                <w:color w:val="auto"/>
                <w:sz w:val="24"/>
                <w:szCs w:val="24"/>
                <w:highlight w:val="none"/>
                <w:lang w:val="zh-CN"/>
              </w:rPr>
              <w:fldChar w:fldCharType="separate"/>
            </w:r>
            <w:r>
              <w:rPr>
                <w:rFonts w:hint="default" w:ascii="Times New Roman" w:hAnsi="Times New Roman" w:eastAsia="宋体" w:cs="Times New Roman"/>
                <w:color w:val="auto"/>
                <w:sz w:val="24"/>
                <w:szCs w:val="24"/>
                <w:highlight w:val="none"/>
              </w:rPr>
              <w:t>②</w:t>
            </w:r>
            <w:r>
              <w:rPr>
                <w:rFonts w:hint="default" w:ascii="Times New Roman" w:hAnsi="Times New Roman" w:eastAsia="宋体" w:cs="Times New Roman"/>
                <w:color w:val="auto"/>
                <w:sz w:val="24"/>
                <w:szCs w:val="24"/>
                <w:highlight w:val="none"/>
                <w:lang w:val="zh-CN"/>
              </w:rPr>
              <w:fldChar w:fldCharType="end"/>
            </w:r>
            <w:r>
              <w:rPr>
                <w:rFonts w:hint="default" w:ascii="Times New Roman" w:hAnsi="Times New Roman" w:eastAsia="宋体" w:cs="Times New Roman"/>
                <w:color w:val="auto"/>
                <w:sz w:val="24"/>
                <w:szCs w:val="24"/>
                <w:highlight w:val="none"/>
                <w:lang w:val="zh-CN"/>
              </w:rPr>
              <w:t>土壤、</w:t>
            </w:r>
            <w:r>
              <w:rPr>
                <w:rFonts w:hint="default" w:ascii="Times New Roman" w:hAnsi="Times New Roman" w:eastAsia="宋体" w:cs="Times New Roman"/>
                <w:color w:val="auto"/>
                <w:sz w:val="24"/>
                <w:szCs w:val="24"/>
                <w:highlight w:val="none"/>
                <w:lang w:val="en-US" w:eastAsia="zh-CN"/>
              </w:rPr>
              <w:t>地下水</w:t>
            </w:r>
            <w:r>
              <w:rPr>
                <w:rFonts w:hint="default" w:ascii="Times New Roman" w:hAnsi="Times New Roman" w:eastAsia="宋体" w:cs="Times New Roman"/>
                <w:color w:val="auto"/>
                <w:sz w:val="24"/>
                <w:szCs w:val="24"/>
                <w:highlight w:val="none"/>
                <w:lang w:val="zh-CN"/>
              </w:rPr>
              <w:t>环境影响</w:t>
            </w:r>
            <w:r>
              <w:rPr>
                <w:rFonts w:hint="default" w:ascii="Times New Roman" w:hAnsi="Times New Roman" w:eastAsia="宋体" w:cs="Times New Roman"/>
                <w:color w:val="auto"/>
                <w:sz w:val="24"/>
                <w:szCs w:val="24"/>
                <w:highlight w:val="none"/>
                <w:lang w:val="en-US" w:eastAsia="zh-CN"/>
              </w:rPr>
              <w:t>源及影响因子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项目对</w:t>
            </w:r>
            <w:r>
              <w:rPr>
                <w:rFonts w:hint="default" w:ascii="Times New Roman" w:hAnsi="Times New Roman" w:eastAsia="宋体" w:cs="Times New Roman"/>
                <w:color w:val="auto"/>
                <w:sz w:val="24"/>
                <w:szCs w:val="24"/>
                <w:highlight w:val="none"/>
                <w:lang w:val="zh-CN"/>
              </w:rPr>
              <w:t>土壤、</w:t>
            </w:r>
            <w:r>
              <w:rPr>
                <w:rFonts w:hint="default" w:ascii="Times New Roman" w:hAnsi="Times New Roman" w:eastAsia="宋体" w:cs="Times New Roman"/>
                <w:color w:val="auto"/>
                <w:sz w:val="24"/>
                <w:szCs w:val="24"/>
                <w:highlight w:val="none"/>
                <w:lang w:val="en-US" w:eastAsia="zh-CN"/>
              </w:rPr>
              <w:t>地下水</w:t>
            </w:r>
            <w:r>
              <w:rPr>
                <w:rFonts w:hint="default" w:ascii="Times New Roman" w:hAnsi="Times New Roman" w:eastAsia="宋体" w:cs="Times New Roman"/>
                <w:color w:val="auto"/>
                <w:sz w:val="24"/>
                <w:szCs w:val="24"/>
                <w:highlight w:val="none"/>
                <w:lang w:val="zh-CN"/>
              </w:rPr>
              <w:t>环境</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val="zh-CN"/>
              </w:rPr>
              <w:t>影响</w:t>
            </w:r>
            <w:r>
              <w:rPr>
                <w:rFonts w:hint="default" w:ascii="Times New Roman" w:hAnsi="Times New Roman" w:eastAsia="宋体" w:cs="Times New Roman"/>
                <w:color w:val="auto"/>
                <w:sz w:val="24"/>
                <w:szCs w:val="24"/>
                <w:highlight w:val="none"/>
                <w:lang w:val="en-US" w:eastAsia="zh-CN"/>
              </w:rPr>
              <w:t>源及影响因子</w:t>
            </w:r>
            <w:r>
              <w:rPr>
                <w:rFonts w:hint="default" w:ascii="Times New Roman" w:hAnsi="Times New Roman" w:eastAsia="宋体" w:cs="Times New Roman"/>
                <w:color w:val="auto"/>
                <w:sz w:val="24"/>
                <w:szCs w:val="24"/>
                <w:highlight w:val="none"/>
                <w:lang w:val="zh-CN"/>
              </w:rPr>
              <w:t>见表4-</w:t>
            </w:r>
            <w:r>
              <w:rPr>
                <w:rFonts w:hint="default"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lang w:val="zh-CN"/>
              </w:rPr>
              <w:t>。</w:t>
            </w:r>
          </w:p>
          <w:p>
            <w:pPr>
              <w:pStyle w:val="4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bCs w:val="0"/>
                <w:color w:val="auto"/>
                <w:sz w:val="21"/>
                <w:szCs w:val="21"/>
                <w:highlight w:val="none"/>
                <w:lang w:val="en-US" w:eastAsia="zh-CN"/>
              </w:rPr>
            </w:pPr>
            <w:r>
              <w:rPr>
                <w:rStyle w:val="46"/>
                <w:rFonts w:hint="default" w:ascii="Times New Roman" w:hAnsi="Times New Roman" w:eastAsia="宋体" w:cs="Times New Roman"/>
                <w:b/>
                <w:bCs w:val="0"/>
                <w:color w:val="auto"/>
                <w:sz w:val="21"/>
                <w:szCs w:val="21"/>
                <w:highlight w:val="none"/>
                <w:lang w:val="en-US" w:eastAsia="zh-CN"/>
              </w:rPr>
              <w:t>表4-23   项目土壤、地下水环境影响源及影响因子识别表</w:t>
            </w:r>
          </w:p>
          <w:tbl>
            <w:tblPr>
              <w:tblStyle w:val="27"/>
              <w:tblW w:w="8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605"/>
              <w:gridCol w:w="1260"/>
              <w:gridCol w:w="1395"/>
              <w:gridCol w:w="2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56" w:type="dxa"/>
                  <w:vAlign w:val="center"/>
                </w:tcPr>
                <w:p>
                  <w:pPr>
                    <w:pStyle w:val="4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bCs w:val="0"/>
                      <w:color w:val="auto"/>
                      <w:sz w:val="21"/>
                      <w:szCs w:val="21"/>
                      <w:highlight w:val="none"/>
                      <w:vertAlign w:val="baseline"/>
                      <w:lang w:val="en-US" w:eastAsia="zh-CN"/>
                    </w:rPr>
                  </w:pPr>
                  <w:r>
                    <w:rPr>
                      <w:rStyle w:val="46"/>
                      <w:rFonts w:hint="default" w:ascii="Times New Roman" w:hAnsi="Times New Roman" w:eastAsia="宋体" w:cs="Times New Roman"/>
                      <w:b/>
                      <w:bCs w:val="0"/>
                      <w:color w:val="auto"/>
                      <w:sz w:val="21"/>
                      <w:szCs w:val="21"/>
                      <w:highlight w:val="none"/>
                      <w:vertAlign w:val="baseline"/>
                      <w:lang w:val="en-US" w:eastAsia="zh-CN"/>
                    </w:rPr>
                    <w:t>污染源</w:t>
                  </w:r>
                </w:p>
              </w:tc>
              <w:tc>
                <w:tcPr>
                  <w:tcW w:w="1605" w:type="dxa"/>
                  <w:vAlign w:val="center"/>
                </w:tcPr>
                <w:p>
                  <w:pPr>
                    <w:pStyle w:val="4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bCs w:val="0"/>
                      <w:color w:val="auto"/>
                      <w:sz w:val="21"/>
                      <w:szCs w:val="21"/>
                      <w:highlight w:val="none"/>
                      <w:vertAlign w:val="baseline"/>
                      <w:lang w:val="en-US" w:eastAsia="zh-CN"/>
                    </w:rPr>
                  </w:pPr>
                  <w:r>
                    <w:rPr>
                      <w:rStyle w:val="46"/>
                      <w:rFonts w:hint="default" w:ascii="Times New Roman" w:hAnsi="Times New Roman" w:eastAsia="宋体" w:cs="Times New Roman"/>
                      <w:b/>
                      <w:bCs w:val="0"/>
                      <w:color w:val="auto"/>
                      <w:sz w:val="21"/>
                      <w:szCs w:val="21"/>
                      <w:highlight w:val="none"/>
                      <w:vertAlign w:val="baseline"/>
                      <w:lang w:val="en-US" w:eastAsia="zh-CN"/>
                    </w:rPr>
                    <w:t>工艺流程/环节</w:t>
                  </w:r>
                </w:p>
              </w:tc>
              <w:tc>
                <w:tcPr>
                  <w:tcW w:w="1260" w:type="dxa"/>
                  <w:vAlign w:val="center"/>
                </w:tcPr>
                <w:p>
                  <w:pPr>
                    <w:pStyle w:val="4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bCs w:val="0"/>
                      <w:color w:val="auto"/>
                      <w:sz w:val="21"/>
                      <w:szCs w:val="21"/>
                      <w:highlight w:val="none"/>
                      <w:vertAlign w:val="baseline"/>
                      <w:lang w:val="en-US" w:eastAsia="zh-CN"/>
                    </w:rPr>
                  </w:pPr>
                  <w:r>
                    <w:rPr>
                      <w:rStyle w:val="46"/>
                      <w:rFonts w:hint="default" w:ascii="Times New Roman" w:hAnsi="Times New Roman" w:eastAsia="宋体" w:cs="Times New Roman"/>
                      <w:b/>
                      <w:bCs w:val="0"/>
                      <w:color w:val="auto"/>
                      <w:sz w:val="21"/>
                      <w:szCs w:val="21"/>
                      <w:highlight w:val="none"/>
                      <w:vertAlign w:val="baseline"/>
                      <w:lang w:val="en-US" w:eastAsia="zh-CN"/>
                    </w:rPr>
                    <w:t>污染途径</w:t>
                  </w:r>
                </w:p>
              </w:tc>
              <w:tc>
                <w:tcPr>
                  <w:tcW w:w="1395" w:type="dxa"/>
                  <w:vAlign w:val="center"/>
                </w:tcPr>
                <w:p>
                  <w:pPr>
                    <w:pStyle w:val="4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bCs w:val="0"/>
                      <w:color w:val="auto"/>
                      <w:sz w:val="21"/>
                      <w:szCs w:val="21"/>
                      <w:highlight w:val="none"/>
                      <w:vertAlign w:val="baseline"/>
                      <w:lang w:val="en-US" w:eastAsia="zh-CN"/>
                    </w:rPr>
                  </w:pPr>
                  <w:r>
                    <w:rPr>
                      <w:rStyle w:val="46"/>
                      <w:rFonts w:hint="default" w:ascii="Times New Roman" w:hAnsi="Times New Roman" w:eastAsia="宋体" w:cs="Times New Roman"/>
                      <w:b/>
                      <w:bCs w:val="0"/>
                      <w:color w:val="auto"/>
                      <w:sz w:val="21"/>
                      <w:szCs w:val="21"/>
                      <w:highlight w:val="none"/>
                      <w:vertAlign w:val="baseline"/>
                      <w:lang w:val="en-US" w:eastAsia="zh-CN"/>
                    </w:rPr>
                    <w:t>污染物</w:t>
                  </w:r>
                </w:p>
              </w:tc>
              <w:tc>
                <w:tcPr>
                  <w:tcW w:w="2779" w:type="dxa"/>
                  <w:vAlign w:val="center"/>
                </w:tcPr>
                <w:p>
                  <w:pPr>
                    <w:pStyle w:val="4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bCs w:val="0"/>
                      <w:color w:val="auto"/>
                      <w:sz w:val="21"/>
                      <w:szCs w:val="21"/>
                      <w:highlight w:val="none"/>
                      <w:vertAlign w:val="baseline"/>
                      <w:lang w:val="en-US" w:eastAsia="zh-CN"/>
                    </w:rPr>
                  </w:pPr>
                  <w:r>
                    <w:rPr>
                      <w:rStyle w:val="46"/>
                      <w:rFonts w:hint="default" w:ascii="Times New Roman" w:hAnsi="Times New Roman" w:eastAsia="宋体" w:cs="Times New Roman"/>
                      <w:b/>
                      <w:bCs w:val="0"/>
                      <w:color w:val="auto"/>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Align w:val="center"/>
                </w:tcPr>
                <w:p>
                  <w:pPr>
                    <w:pStyle w:val="4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val="0"/>
                      <w:bCs/>
                      <w:color w:val="auto"/>
                      <w:sz w:val="21"/>
                      <w:szCs w:val="21"/>
                      <w:highlight w:val="none"/>
                      <w:vertAlign w:val="baseline"/>
                      <w:lang w:val="en-US" w:eastAsia="zh-CN"/>
                    </w:rPr>
                  </w:pPr>
                  <w:r>
                    <w:rPr>
                      <w:rStyle w:val="46"/>
                      <w:rFonts w:hint="default" w:ascii="Times New Roman" w:hAnsi="Times New Roman" w:eastAsia="宋体" w:cs="Times New Roman"/>
                      <w:b w:val="0"/>
                      <w:bCs/>
                      <w:color w:val="auto"/>
                      <w:sz w:val="21"/>
                      <w:szCs w:val="21"/>
                      <w:highlight w:val="none"/>
                      <w:vertAlign w:val="baseline"/>
                      <w:lang w:val="en-US" w:eastAsia="zh-CN"/>
                    </w:rPr>
                    <w:t>危险废物暂存间</w:t>
                  </w:r>
                </w:p>
              </w:tc>
              <w:tc>
                <w:tcPr>
                  <w:tcW w:w="1605" w:type="dxa"/>
                  <w:vAlign w:val="center"/>
                </w:tcPr>
                <w:p>
                  <w:pPr>
                    <w:pStyle w:val="4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val="0"/>
                      <w:bCs/>
                      <w:color w:val="auto"/>
                      <w:sz w:val="21"/>
                      <w:szCs w:val="21"/>
                      <w:highlight w:val="none"/>
                      <w:vertAlign w:val="baseline"/>
                      <w:lang w:val="en-US" w:eastAsia="zh-CN"/>
                    </w:rPr>
                  </w:pPr>
                  <w:r>
                    <w:rPr>
                      <w:rStyle w:val="46"/>
                      <w:rFonts w:hint="default" w:ascii="Times New Roman" w:hAnsi="Times New Roman" w:eastAsia="宋体" w:cs="Times New Roman"/>
                      <w:b w:val="0"/>
                      <w:bCs/>
                      <w:color w:val="auto"/>
                      <w:sz w:val="21"/>
                      <w:szCs w:val="21"/>
                      <w:highlight w:val="none"/>
                      <w:vertAlign w:val="baseline"/>
                      <w:lang w:val="en-US" w:eastAsia="zh-CN"/>
                    </w:rPr>
                    <w:t>危险废物暂存</w:t>
                  </w:r>
                </w:p>
              </w:tc>
              <w:tc>
                <w:tcPr>
                  <w:tcW w:w="1260" w:type="dxa"/>
                  <w:vAlign w:val="center"/>
                </w:tcPr>
                <w:p>
                  <w:pPr>
                    <w:pStyle w:val="4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val="0"/>
                      <w:bCs/>
                      <w:color w:val="auto"/>
                      <w:sz w:val="21"/>
                      <w:szCs w:val="21"/>
                      <w:highlight w:val="none"/>
                      <w:vertAlign w:val="baseline"/>
                      <w:lang w:val="en-US" w:eastAsia="zh-CN"/>
                    </w:rPr>
                  </w:pPr>
                  <w:r>
                    <w:rPr>
                      <w:rStyle w:val="46"/>
                      <w:rFonts w:hint="default" w:ascii="Times New Roman" w:hAnsi="Times New Roman" w:eastAsia="宋体" w:cs="Times New Roman"/>
                      <w:b w:val="0"/>
                      <w:bCs/>
                      <w:color w:val="auto"/>
                      <w:sz w:val="21"/>
                      <w:szCs w:val="21"/>
                      <w:highlight w:val="none"/>
                      <w:vertAlign w:val="baseline"/>
                      <w:lang w:val="en-US" w:eastAsia="zh-CN"/>
                    </w:rPr>
                    <w:t>垂直入渗</w:t>
                  </w:r>
                </w:p>
              </w:tc>
              <w:tc>
                <w:tcPr>
                  <w:tcW w:w="1395" w:type="dxa"/>
                  <w:vAlign w:val="center"/>
                </w:tcPr>
                <w:p>
                  <w:pPr>
                    <w:pStyle w:val="4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废机油</w:t>
                  </w:r>
                </w:p>
              </w:tc>
              <w:tc>
                <w:tcPr>
                  <w:tcW w:w="2779" w:type="dxa"/>
                  <w:vAlign w:val="center"/>
                </w:tcPr>
                <w:p>
                  <w:pPr>
                    <w:pStyle w:val="4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val="0"/>
                      <w:bCs/>
                      <w:color w:val="auto"/>
                      <w:sz w:val="21"/>
                      <w:szCs w:val="21"/>
                      <w:highlight w:val="none"/>
                      <w:vertAlign w:val="baseline"/>
                      <w:lang w:val="en-US" w:eastAsia="zh-CN"/>
                    </w:rPr>
                  </w:pPr>
                  <w:r>
                    <w:rPr>
                      <w:rStyle w:val="46"/>
                      <w:rFonts w:hint="default" w:ascii="Times New Roman" w:hAnsi="Times New Roman" w:eastAsia="宋体" w:cs="Times New Roman"/>
                      <w:b w:val="0"/>
                      <w:bCs/>
                      <w:color w:val="auto"/>
                      <w:sz w:val="21"/>
                      <w:szCs w:val="21"/>
                      <w:highlight w:val="none"/>
                      <w:vertAlign w:val="baseline"/>
                      <w:lang w:val="en-US" w:eastAsia="zh-CN"/>
                    </w:rPr>
                    <w:t>危废收集容器损坏，废矿物油泄漏渗入土壤造成污染</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3、分区防控措施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highlight w:val="none"/>
                <w:lang w:val="zh-CN" w:eastAsia="zh-CN"/>
              </w:rPr>
              <w:t>根据以上分析，项目存在土壤、地下水污染源的</w:t>
            </w:r>
            <w:r>
              <w:rPr>
                <w:rFonts w:hint="default" w:ascii="Times New Roman" w:hAnsi="Times New Roman" w:eastAsia="宋体" w:cs="Times New Roman"/>
                <w:color w:val="auto"/>
                <w:sz w:val="24"/>
                <w:szCs w:val="24"/>
                <w:highlight w:val="none"/>
                <w:lang w:val="zh-CN" w:eastAsia="zh-CN"/>
              </w:rPr>
              <w:t>区域主要为</w:t>
            </w:r>
            <w:r>
              <w:rPr>
                <w:rFonts w:hint="default" w:ascii="Times New Roman" w:hAnsi="Times New Roman" w:eastAsia="宋体" w:cs="Times New Roman"/>
                <w:color w:val="auto"/>
                <w:sz w:val="24"/>
                <w:szCs w:val="24"/>
                <w:highlight w:val="none"/>
                <w:lang w:val="en-US" w:eastAsia="zh-CN"/>
              </w:rPr>
              <w:t>危险废物</w:t>
            </w:r>
            <w:r>
              <w:rPr>
                <w:rFonts w:hint="default" w:ascii="Times New Roman" w:hAnsi="Times New Roman" w:eastAsia="宋体" w:cs="Times New Roman"/>
                <w:color w:val="auto"/>
                <w:sz w:val="24"/>
                <w:szCs w:val="24"/>
                <w:highlight w:val="none"/>
                <w:lang w:val="zh-CN" w:eastAsia="zh-CN"/>
              </w:rPr>
              <w:t>暂存间，</w:t>
            </w:r>
            <w:r>
              <w:rPr>
                <w:rFonts w:hint="default" w:ascii="Times New Roman" w:hAnsi="Times New Roman" w:eastAsia="宋体" w:cs="Times New Roman"/>
                <w:color w:val="auto"/>
                <w:sz w:val="24"/>
                <w:highlight w:val="none"/>
                <w:lang w:val="zh-CN"/>
              </w:rPr>
              <w:t>因此提出厂内进行分区防渗措施，其中</w:t>
            </w:r>
            <w:r>
              <w:rPr>
                <w:rFonts w:hint="default" w:ascii="Times New Roman" w:hAnsi="Times New Roman" w:eastAsia="宋体" w:cs="Times New Roman"/>
                <w:color w:val="auto"/>
                <w:sz w:val="24"/>
                <w:highlight w:val="none"/>
              </w:rPr>
              <w:t>危险废物</w:t>
            </w:r>
            <w:r>
              <w:rPr>
                <w:rFonts w:hint="default" w:ascii="Times New Roman" w:hAnsi="Times New Roman" w:eastAsia="宋体" w:cs="Times New Roman"/>
                <w:color w:val="auto"/>
                <w:sz w:val="24"/>
                <w:highlight w:val="none"/>
                <w:lang w:val="zh-CN"/>
              </w:rPr>
              <w:t>暂存间为重点防渗区，采用“</w:t>
            </w:r>
            <w:r>
              <w:rPr>
                <w:rFonts w:hint="default" w:ascii="Times New Roman" w:hAnsi="Times New Roman" w:eastAsia="宋体" w:cs="Times New Roman"/>
                <w:color w:val="auto"/>
                <w:sz w:val="24"/>
                <w:szCs w:val="24"/>
                <w:highlight w:val="none"/>
              </w:rPr>
              <w:t>混凝土</w:t>
            </w:r>
            <w:r>
              <w:rPr>
                <w:rFonts w:hint="default" w:ascii="Times New Roman" w:hAnsi="Times New Roman" w:eastAsia="宋体" w:cs="Times New Roman"/>
                <w:color w:val="auto"/>
                <w:sz w:val="24"/>
                <w:highlight w:val="none"/>
                <w:lang w:val="zh-CN"/>
              </w:rPr>
              <w:t>+2mm厚HDPE+环氧树脂”</w:t>
            </w:r>
            <w:r>
              <w:rPr>
                <w:rFonts w:hint="default" w:ascii="Times New Roman" w:hAnsi="Times New Roman" w:eastAsia="宋体" w:cs="Times New Roman"/>
                <w:color w:val="auto"/>
                <w:sz w:val="24"/>
                <w:highlight w:val="none"/>
              </w:rPr>
              <w:t>进行重点防渗处理</w:t>
            </w:r>
            <w:r>
              <w:rPr>
                <w:rFonts w:hint="default" w:ascii="Times New Roman" w:hAnsi="Times New Roman" w:eastAsia="宋体" w:cs="Times New Roman"/>
                <w:color w:val="auto"/>
                <w:sz w:val="24"/>
                <w:highlight w:val="none"/>
                <w:lang w:val="zh-CN"/>
              </w:rPr>
              <w:t>，渗透系数≤10</w:t>
            </w:r>
            <w:r>
              <w:rPr>
                <w:rFonts w:hint="default" w:ascii="Times New Roman" w:hAnsi="Times New Roman" w:eastAsia="宋体" w:cs="Times New Roman"/>
                <w:color w:val="auto"/>
                <w:sz w:val="24"/>
                <w:highlight w:val="none"/>
                <w:vertAlign w:val="superscript"/>
                <w:lang w:val="zh-CN"/>
              </w:rPr>
              <w:t>-10</w:t>
            </w:r>
            <w:r>
              <w:rPr>
                <w:rFonts w:hint="default" w:ascii="Times New Roman" w:hAnsi="Times New Roman" w:eastAsia="宋体" w:cs="Times New Roman"/>
                <w:color w:val="auto"/>
                <w:sz w:val="24"/>
                <w:highlight w:val="none"/>
                <w:lang w:val="zh-CN"/>
              </w:rPr>
              <w:t>cm/s</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rPr>
              <w:t>危险废物</w:t>
            </w:r>
            <w:r>
              <w:rPr>
                <w:rFonts w:hint="default" w:ascii="Times New Roman" w:hAnsi="Times New Roman" w:eastAsia="宋体" w:cs="Times New Roman"/>
                <w:color w:val="auto"/>
                <w:sz w:val="24"/>
                <w:szCs w:val="24"/>
                <w:highlight w:val="none"/>
                <w:lang w:val="zh-CN"/>
              </w:rPr>
              <w:t>暂存间地面及</w:t>
            </w:r>
            <w:r>
              <w:rPr>
                <w:rFonts w:hint="default" w:ascii="Times New Roman" w:hAnsi="Times New Roman" w:eastAsia="宋体" w:cs="Times New Roman"/>
                <w:color w:val="auto"/>
                <w:sz w:val="24"/>
                <w:szCs w:val="24"/>
                <w:highlight w:val="none"/>
              </w:rPr>
              <w:t>四周墙裙脚应</w:t>
            </w:r>
            <w:r>
              <w:rPr>
                <w:rFonts w:hint="default" w:ascii="Times New Roman" w:hAnsi="Times New Roman" w:eastAsia="宋体" w:cs="Times New Roman"/>
                <w:color w:val="auto"/>
                <w:sz w:val="24"/>
                <w:szCs w:val="24"/>
                <w:highlight w:val="none"/>
                <w:lang w:val="zh-CN"/>
              </w:rPr>
              <w:t>按照</w:t>
            </w:r>
            <w:r>
              <w:rPr>
                <w:rStyle w:val="70"/>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sz w:val="24"/>
                <w:szCs w:val="24"/>
                <w:highlight w:val="none"/>
                <w:lang w:val="zh-CN"/>
              </w:rPr>
              <w:t>中要求</w:t>
            </w:r>
            <w:r>
              <w:rPr>
                <w:rFonts w:hint="default" w:ascii="Times New Roman" w:hAnsi="Times New Roman" w:eastAsia="宋体" w:cs="Times New Roman"/>
                <w:color w:val="auto"/>
                <w:sz w:val="24"/>
                <w:szCs w:val="24"/>
                <w:highlight w:val="none"/>
              </w:rPr>
              <w:t>进行重点防渗</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rPr>
              <w:t>并设危险废物备用储存容器，避免废矿物油泄漏污染土壤、地下水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zh-CN"/>
              </w:rPr>
              <w:t>化粪池、</w:t>
            </w:r>
            <w:r>
              <w:rPr>
                <w:rFonts w:hint="default" w:ascii="Times New Roman" w:hAnsi="Times New Roman" w:eastAsia="宋体" w:cs="Times New Roman"/>
                <w:color w:val="auto"/>
                <w:sz w:val="24"/>
                <w:szCs w:val="24"/>
                <w:highlight w:val="none"/>
                <w:lang w:val="en-US" w:eastAsia="zh-CN"/>
              </w:rPr>
              <w:t>隔油池</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污水处理设施、事故应急池、</w:t>
            </w:r>
            <w:r>
              <w:rPr>
                <w:rFonts w:hint="default" w:ascii="Times New Roman" w:hAnsi="Times New Roman" w:eastAsia="宋体" w:cs="Times New Roman"/>
                <w:color w:val="auto"/>
                <w:sz w:val="24"/>
                <w:szCs w:val="24"/>
                <w:highlight w:val="none"/>
                <w:lang w:val="zh-CN"/>
              </w:rPr>
              <w:t>一般固体废物暂存</w:t>
            </w:r>
            <w:r>
              <w:rPr>
                <w:rFonts w:hint="default" w:ascii="Times New Roman" w:hAnsi="Times New Roman" w:eastAsia="宋体" w:cs="Times New Roman"/>
                <w:color w:val="auto"/>
                <w:sz w:val="24"/>
                <w:szCs w:val="24"/>
                <w:highlight w:val="none"/>
                <w:lang w:val="en-US" w:eastAsia="zh-CN"/>
              </w:rPr>
              <w:t>区</w:t>
            </w:r>
            <w:r>
              <w:rPr>
                <w:rFonts w:hint="default" w:ascii="Times New Roman" w:hAnsi="Times New Roman" w:eastAsia="宋体" w:cs="Times New Roman"/>
                <w:color w:val="auto"/>
                <w:sz w:val="24"/>
                <w:szCs w:val="24"/>
                <w:highlight w:val="none"/>
                <w:vertAlign w:val="baseline"/>
                <w:lang w:val="en-US" w:eastAsia="zh-CN"/>
              </w:rPr>
              <w:t>进行一般防渗</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zh-CN"/>
              </w:rPr>
              <w:t>防渗技术要求达到等效黏土防渗层Mb≥1.5m，渗透系数≤10</w:t>
            </w:r>
            <w:r>
              <w:rPr>
                <w:rFonts w:hint="default" w:ascii="Times New Roman" w:hAnsi="Times New Roman" w:eastAsia="宋体" w:cs="Times New Roman"/>
                <w:color w:val="auto"/>
                <w:sz w:val="24"/>
                <w:szCs w:val="24"/>
                <w:highlight w:val="none"/>
                <w:vertAlign w:val="superscript"/>
                <w:lang w:val="zh-CN"/>
              </w:rPr>
              <w:t>-</w:t>
            </w:r>
            <w:r>
              <w:rPr>
                <w:rFonts w:hint="default" w:ascii="Times New Roman" w:hAnsi="Times New Roman" w:eastAsia="宋体" w:cs="Times New Roman"/>
                <w:color w:val="auto"/>
                <w:sz w:val="24"/>
                <w:szCs w:val="24"/>
                <w:highlight w:val="none"/>
                <w:vertAlign w:val="superscript"/>
                <w:lang w:val="en-US" w:eastAsia="zh-CN"/>
              </w:rPr>
              <w:t>7</w:t>
            </w:r>
            <w:r>
              <w:rPr>
                <w:rFonts w:hint="default" w:ascii="Times New Roman" w:hAnsi="Times New Roman" w:eastAsia="宋体" w:cs="Times New Roman"/>
                <w:color w:val="auto"/>
                <w:sz w:val="24"/>
                <w:szCs w:val="24"/>
                <w:highlight w:val="none"/>
                <w:lang w:val="zh-CN"/>
              </w:rPr>
              <w:t>cm/s。其余生产区、</w:t>
            </w:r>
            <w:r>
              <w:rPr>
                <w:rFonts w:hint="default" w:ascii="Times New Roman" w:hAnsi="Times New Roman" w:eastAsia="宋体" w:cs="Times New Roman"/>
                <w:color w:val="auto"/>
                <w:sz w:val="24"/>
                <w:szCs w:val="24"/>
                <w:highlight w:val="none"/>
              </w:rPr>
              <w:t>道路及</w:t>
            </w:r>
            <w:r>
              <w:rPr>
                <w:rFonts w:hint="default" w:ascii="Times New Roman" w:hAnsi="Times New Roman" w:eastAsia="宋体" w:cs="Times New Roman"/>
                <w:color w:val="auto"/>
                <w:sz w:val="24"/>
                <w:szCs w:val="24"/>
                <w:highlight w:val="none"/>
                <w:lang w:val="en-US" w:eastAsia="zh-CN"/>
              </w:rPr>
              <w:t>办公</w:t>
            </w:r>
            <w:r>
              <w:rPr>
                <w:rFonts w:hint="default" w:ascii="Times New Roman" w:hAnsi="Times New Roman" w:eastAsia="宋体" w:cs="Times New Roman"/>
                <w:color w:val="auto"/>
                <w:sz w:val="24"/>
                <w:szCs w:val="24"/>
                <w:highlight w:val="none"/>
              </w:rPr>
              <w:t>区域</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除绿化外</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zh-CN"/>
              </w:rPr>
              <w:t>进行一般</w:t>
            </w:r>
            <w:r>
              <w:rPr>
                <w:rFonts w:hint="default" w:ascii="Times New Roman" w:hAnsi="Times New Roman" w:eastAsia="宋体" w:cs="Times New Roman"/>
                <w:b w:val="0"/>
                <w:bCs w:val="0"/>
                <w:color w:val="auto"/>
                <w:sz w:val="24"/>
                <w:szCs w:val="24"/>
                <w:highlight w:val="none"/>
                <w:lang w:val="en-US" w:eastAsia="zh-CN"/>
              </w:rPr>
              <w:t>硬化处理，为简单防渗区。</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采取以上措施后可有效避免生产废水及危险废物对土壤及地下水的污染。</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六、生态环境</w:t>
            </w:r>
          </w:p>
          <w:p>
            <w:pPr>
              <w:pStyle w:val="17"/>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sz w:val="24"/>
                <w:highlight w:val="none"/>
                <w:lang w:val="en-US" w:eastAsia="zh-CN"/>
              </w:rPr>
              <w:t>本项目位于工业园区内，</w:t>
            </w:r>
            <w:r>
              <w:rPr>
                <w:rFonts w:hint="default" w:ascii="Times New Roman" w:hAnsi="Times New Roman" w:eastAsia="宋体" w:cs="Times New Roman"/>
                <w:color w:val="auto"/>
                <w:kern w:val="2"/>
                <w:sz w:val="24"/>
                <w:szCs w:val="24"/>
                <w:highlight w:val="none"/>
                <w:lang w:val="en-US" w:eastAsia="zh-CN" w:bidi="ar-SA"/>
              </w:rPr>
              <w:t>在原项目已建成厂房内建设</w:t>
            </w:r>
            <w:r>
              <w:rPr>
                <w:rFonts w:hint="default" w:ascii="Times New Roman" w:hAnsi="Times New Roman" w:eastAsia="宋体" w:cs="Times New Roman"/>
                <w:color w:val="auto"/>
                <w:sz w:val="24"/>
                <w:highlight w:val="none"/>
                <w:lang w:val="en-US" w:eastAsia="zh-CN"/>
              </w:rPr>
              <w:t>，场地均已硬化，无植被附着，项目建设期和运营期均不会对区域生态环境造成影响。</w:t>
            </w:r>
          </w:p>
          <w:p>
            <w:pPr>
              <w:spacing w:line="360" w:lineRule="auto"/>
              <w:ind w:firstLine="482"/>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七、风险分析措施</w:t>
            </w:r>
          </w:p>
          <w:p>
            <w:pPr>
              <w:keepNext w:val="0"/>
              <w:keepLines w:val="0"/>
              <w:pageBreakBefore w:val="0"/>
              <w:widowControl/>
              <w:kinsoku/>
              <w:wordWrap/>
              <w:overflowPunct/>
              <w:topLinePunct w:val="0"/>
              <w:autoSpaceDE/>
              <w:autoSpaceDN/>
              <w:bidi w:val="0"/>
              <w:adjustRightInd/>
              <w:snapToGrid/>
              <w:spacing w:line="360" w:lineRule="auto"/>
              <w:ind w:right="0" w:rightChars="0" w:firstLine="482" w:firstLineChars="200"/>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环境风险分析的目的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环境风险分析的目的是分析和预测建设项目存在的潜在危险、有害因素，建设项目建设和运行期间可能发生的突发性事件或事故</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一般不包括人为破坏及自然灾害</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，引起有毒有害和易燃易爆等物质泄漏，所造成的人身安全与环境影响和损害程度，提出合理可行的防范、应急与减缓措施，以使建设项目事故率、损失和环境影响达到可接受水平。</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、风险</w:t>
            </w:r>
            <w:r>
              <w:rPr>
                <w:rFonts w:hint="default" w:ascii="Times New Roman" w:hAnsi="Times New Roman" w:eastAsia="宋体" w:cs="Times New Roman"/>
                <w:b/>
                <w:bCs/>
                <w:color w:val="auto"/>
                <w:sz w:val="24"/>
                <w:szCs w:val="24"/>
                <w:highlight w:val="none"/>
                <w:lang w:val="en-US" w:eastAsia="zh-CN"/>
              </w:rPr>
              <w:t>识别</w:t>
            </w:r>
          </w:p>
          <w:p>
            <w:pPr>
              <w:pStyle w:val="77"/>
              <w:keepNext w:val="0"/>
              <w:keepLines w:val="0"/>
              <w:pageBreakBefore w:val="0"/>
              <w:widowControl w:val="0"/>
              <w:kinsoku/>
              <w:wordWrap/>
              <w:overflowPunct/>
              <w:topLinePunct w:val="0"/>
              <w:autoSpaceDE/>
              <w:autoSpaceDN/>
              <w:bidi w:val="0"/>
              <w:spacing w:beforeLines="0" w:afterLines="0" w:line="360" w:lineRule="auto"/>
              <w:ind w:left="0" w:right="0" w:firstLine="440" w:firstLineChars="200"/>
              <w:textAlignment w:val="auto"/>
              <w:rPr>
                <w:rFonts w:hint="default" w:ascii="Times New Roman" w:hAnsi="Times New Roman" w:eastAsia="宋体" w:cs="Times New Roman"/>
                <w:color w:val="auto"/>
                <w:spacing w:val="-10"/>
                <w:sz w:val="24"/>
                <w:highlight w:val="none"/>
                <w:lang w:eastAsia="zh-CN"/>
              </w:rPr>
            </w:pPr>
            <w:r>
              <w:rPr>
                <w:rFonts w:hint="default" w:ascii="Times New Roman" w:hAnsi="Times New Roman" w:eastAsia="宋体" w:cs="Times New Roman"/>
                <w:color w:val="auto"/>
                <w:spacing w:val="-10"/>
                <w:sz w:val="24"/>
                <w:highlight w:val="none"/>
                <w:lang w:eastAsia="zh-CN"/>
              </w:rPr>
              <w:t>（</w:t>
            </w:r>
            <w:r>
              <w:rPr>
                <w:rFonts w:hint="default" w:ascii="Times New Roman" w:hAnsi="Times New Roman" w:eastAsia="宋体" w:cs="Times New Roman"/>
                <w:color w:val="auto"/>
                <w:spacing w:val="-10"/>
                <w:sz w:val="24"/>
                <w:highlight w:val="none"/>
                <w:lang w:val="en-US" w:eastAsia="zh-CN"/>
              </w:rPr>
              <w:t>1</w:t>
            </w:r>
            <w:r>
              <w:rPr>
                <w:rFonts w:hint="default" w:ascii="Times New Roman" w:hAnsi="Times New Roman" w:eastAsia="宋体" w:cs="Times New Roman"/>
                <w:color w:val="auto"/>
                <w:spacing w:val="-10"/>
                <w:sz w:val="24"/>
                <w:highlight w:val="none"/>
                <w:lang w:eastAsia="zh-CN"/>
              </w:rPr>
              <w:t>）</w:t>
            </w:r>
            <w:r>
              <w:rPr>
                <w:rFonts w:hint="default" w:ascii="Times New Roman" w:hAnsi="Times New Roman" w:eastAsia="宋体" w:cs="Times New Roman"/>
                <w:color w:val="auto"/>
                <w:sz w:val="24"/>
                <w:highlight w:val="none"/>
              </w:rPr>
              <w:t>建设项目风险源调查</w:t>
            </w:r>
          </w:p>
          <w:p>
            <w:pPr>
              <w:pStyle w:val="77"/>
              <w:keepNext w:val="0"/>
              <w:keepLines w:val="0"/>
              <w:pageBreakBefore w:val="0"/>
              <w:widowControl w:val="0"/>
              <w:kinsoku/>
              <w:wordWrap/>
              <w:overflowPunct/>
              <w:topLinePunct w:val="0"/>
              <w:autoSpaceDE/>
              <w:autoSpaceDN/>
              <w:bidi w:val="0"/>
              <w:spacing w:beforeLines="0" w:afterLines="0" w:line="360" w:lineRule="auto"/>
              <w:ind w:left="0" w:right="0" w:firstLine="44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pacing w:val="-10"/>
                <w:sz w:val="24"/>
                <w:highlight w:val="none"/>
              </w:rPr>
              <w:t>根据《建设项目环境风险评价技术导则》</w:t>
            </w:r>
            <w:r>
              <w:rPr>
                <w:rFonts w:hint="default" w:ascii="Times New Roman" w:hAnsi="Times New Roman" w:eastAsia="宋体" w:cs="Times New Roman"/>
                <w:color w:val="auto"/>
                <w:spacing w:val="-4"/>
                <w:sz w:val="24"/>
                <w:highlight w:val="none"/>
              </w:rPr>
              <w:t>（HJ169-2018）</w:t>
            </w:r>
            <w:r>
              <w:rPr>
                <w:rFonts w:hint="default" w:ascii="Times New Roman" w:hAnsi="Times New Roman" w:eastAsia="宋体" w:cs="Times New Roman"/>
                <w:color w:val="auto"/>
                <w:spacing w:val="-19"/>
                <w:sz w:val="24"/>
                <w:highlight w:val="none"/>
              </w:rPr>
              <w:t xml:space="preserve">附录 </w:t>
            </w:r>
            <w:r>
              <w:rPr>
                <w:rFonts w:hint="default" w:ascii="Times New Roman" w:hAnsi="Times New Roman" w:eastAsia="宋体" w:cs="Times New Roman"/>
                <w:color w:val="auto"/>
                <w:sz w:val="24"/>
                <w:highlight w:val="none"/>
              </w:rPr>
              <w:t>B</w:t>
            </w:r>
            <w:r>
              <w:rPr>
                <w:rFonts w:hint="default" w:ascii="Times New Roman" w:hAnsi="Times New Roman" w:eastAsia="宋体" w:cs="Times New Roman"/>
                <w:color w:val="auto"/>
                <w:spacing w:val="4"/>
                <w:sz w:val="24"/>
                <w:highlight w:val="none"/>
              </w:rPr>
              <w:t xml:space="preserve"> </w:t>
            </w:r>
            <w:r>
              <w:rPr>
                <w:rFonts w:hint="default" w:ascii="Times New Roman" w:hAnsi="Times New Roman" w:eastAsia="宋体" w:cs="Times New Roman"/>
                <w:color w:val="auto"/>
                <w:spacing w:val="-7"/>
                <w:sz w:val="24"/>
                <w:highlight w:val="none"/>
              </w:rPr>
              <w:t>和《重大危险源辨识》</w:t>
            </w:r>
            <w:r>
              <w:rPr>
                <w:rFonts w:hint="default" w:ascii="Times New Roman" w:hAnsi="Times New Roman" w:eastAsia="宋体" w:cs="Times New Roman"/>
                <w:color w:val="auto"/>
                <w:sz w:val="24"/>
                <w:highlight w:val="none"/>
              </w:rPr>
              <w:t>（GB18218-2018），本项目风险物质为</w:t>
            </w:r>
            <w:r>
              <w:rPr>
                <w:rFonts w:hint="default" w:ascii="Times New Roman" w:hAnsi="Times New Roman" w:eastAsia="宋体" w:cs="Times New Roman"/>
                <w:color w:val="auto"/>
                <w:sz w:val="24"/>
                <w:highlight w:val="none"/>
                <w:lang w:val="en-US" w:eastAsia="zh-CN"/>
              </w:rPr>
              <w:t>废矿物油</w:t>
            </w:r>
            <w:r>
              <w:rPr>
                <w:rFonts w:hint="default" w:ascii="Times New Roman" w:hAnsi="Times New Roman" w:eastAsia="宋体" w:cs="Times New Roman"/>
                <w:color w:val="auto"/>
                <w:sz w:val="24"/>
                <w:highlight w:val="none"/>
              </w:rPr>
              <w:t>。其理化性质详见表</w:t>
            </w:r>
            <w:r>
              <w:rPr>
                <w:rFonts w:hint="default" w:ascii="Times New Roman" w:hAnsi="Times New Roman" w:eastAsia="宋体" w:cs="Times New Roman"/>
                <w:color w:val="auto"/>
                <w:sz w:val="24"/>
                <w:highlight w:val="none"/>
                <w:lang w:val="en-US" w:eastAsia="zh-CN"/>
              </w:rPr>
              <w:t>4-24</w:t>
            </w:r>
            <w:r>
              <w:rPr>
                <w:rFonts w:hint="default" w:ascii="Times New Roman" w:hAnsi="Times New Roman" w:eastAsia="宋体" w:cs="Times New Roman"/>
                <w:color w:val="auto"/>
                <w:sz w:val="24"/>
                <w:highlight w:val="none"/>
              </w:rPr>
              <w:t>。</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 xml:space="preserve">4-24 </w:t>
            </w:r>
            <w:r>
              <w:rPr>
                <w:rFonts w:hint="default" w:ascii="Times New Roman" w:hAnsi="Times New Roman" w:eastAsia="宋体" w:cs="Times New Roman"/>
                <w:b/>
                <w:color w:val="auto"/>
                <w:szCs w:val="21"/>
                <w:highlight w:val="none"/>
              </w:rPr>
              <w:t xml:space="preserve">  矿物油理化性质及危险特性表</w:t>
            </w:r>
          </w:p>
          <w:tbl>
            <w:tblPr>
              <w:tblStyle w:val="26"/>
              <w:tblW w:w="829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10"/>
              <w:gridCol w:w="789"/>
              <w:gridCol w:w="2455"/>
              <w:gridCol w:w="43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标识</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中文名：</w:t>
                  </w:r>
                  <w:r>
                    <w:rPr>
                      <w:rFonts w:hint="default" w:ascii="Times New Roman" w:hAnsi="Times New Roman" w:eastAsia="宋体" w:cs="Times New Roman"/>
                      <w:color w:val="auto"/>
                      <w:szCs w:val="21"/>
                      <w:highlight w:val="none"/>
                      <w:lang w:val="en-US" w:eastAsia="zh-CN"/>
                    </w:rPr>
                    <w:t>矿物</w:t>
                  </w:r>
                  <w:r>
                    <w:rPr>
                      <w:rFonts w:hint="default" w:ascii="Times New Roman" w:hAnsi="Times New Roman" w:eastAsia="宋体" w:cs="Times New Roman"/>
                      <w:color w:val="auto"/>
                      <w:szCs w:val="21"/>
                      <w:highlight w:val="none"/>
                    </w:rPr>
                    <w:t>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英文名：</w:t>
                  </w:r>
                  <w:r>
                    <w:rPr>
                      <w:rFonts w:hint="default" w:ascii="Times New Roman" w:hAnsi="Times New Roman" w:eastAsia="宋体" w:cs="Times New Roman"/>
                      <w:color w:val="auto"/>
                      <w:szCs w:val="21"/>
                      <w:highlight w:val="none"/>
                    </w:rPr>
                    <w:fldChar w:fldCharType="begin"/>
                  </w:r>
                  <w:r>
                    <w:rPr>
                      <w:rFonts w:hint="default" w:ascii="Times New Roman" w:hAnsi="Times New Roman" w:eastAsia="宋体" w:cs="Times New Roman"/>
                      <w:color w:val="auto"/>
                      <w:szCs w:val="21"/>
                      <w:highlight w:val="none"/>
                    </w:rPr>
                    <w:instrText xml:space="preserve"> HYPERLINK "https://www.chemsrc.com/en/cas/8020-83-5_1198972.html" \t "https://www.chemsrc.com/cas/_blank" </w:instrText>
                  </w:r>
                  <w:r>
                    <w:rPr>
                      <w:rFonts w:hint="default" w:ascii="Times New Roman" w:hAnsi="Times New Roman" w:eastAsia="宋体" w:cs="Times New Roman"/>
                      <w:color w:val="auto"/>
                      <w:szCs w:val="21"/>
                      <w:highlight w:val="none"/>
                    </w:rPr>
                    <w:fldChar w:fldCharType="separate"/>
                  </w:r>
                  <w:r>
                    <w:rPr>
                      <w:rStyle w:val="32"/>
                      <w:rFonts w:hint="default" w:ascii="Times New Roman" w:hAnsi="Times New Roman" w:eastAsia="宋体" w:cs="Times New Roman"/>
                      <w:color w:val="auto"/>
                      <w:szCs w:val="21"/>
                      <w:highlight w:val="none"/>
                    </w:rPr>
                    <w:t>paraffin</w:t>
                  </w:r>
                  <w:r>
                    <w:rPr>
                      <w:rFonts w:hint="default" w:ascii="Times New Roman" w:hAnsi="Times New Roman" w:eastAsia="宋体" w:cs="Times New Roman"/>
                      <w:color w:val="auto"/>
                      <w:szCs w:val="21"/>
                      <w:highlight w:val="none"/>
                    </w:rPr>
                    <w:fldChar w:fldCharType="end"/>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危险性类别：可燃液体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理化</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性质</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外观与性状：</w:t>
                  </w:r>
                  <w:r>
                    <w:rPr>
                      <w:rFonts w:hint="default" w:ascii="Times New Roman" w:hAnsi="Times New Roman" w:eastAsia="宋体" w:cs="Times New Roman"/>
                      <w:color w:val="auto"/>
                      <w:szCs w:val="21"/>
                      <w:highlight w:val="none"/>
                      <w:shd w:val="clear" w:color="auto" w:fill="FFFFFF"/>
                    </w:rPr>
                    <w:t>无色透明油状黏性液体，室温下无嗅无味或略带异味，对酸、热、光都很稳定</w:t>
                  </w:r>
                  <w:r>
                    <w:rPr>
                      <w:rFonts w:hint="default" w:ascii="Times New Roman" w:hAnsi="Times New Roman" w:eastAsia="宋体" w:cs="Times New Roman"/>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熔点（℃）：-</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沸点（℃）：-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临界温度（℃）：-</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临界压力（MPa）：-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eastAsia="zh-CN"/>
                    </w:rPr>
                    <w:t>饱和蒸汽</w:t>
                  </w:r>
                  <w:r>
                    <w:rPr>
                      <w:rFonts w:hint="default" w:ascii="Times New Roman" w:hAnsi="Times New Roman" w:eastAsia="宋体" w:cs="Times New Roman"/>
                      <w:color w:val="auto"/>
                      <w:szCs w:val="21"/>
                      <w:highlight w:val="none"/>
                    </w:rPr>
                    <w:t>压（KPa）：-</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燃烧热 （KJ／mol）：-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密度：0.85g/mLat 20°C</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溶解性：</w:t>
                  </w:r>
                  <w:r>
                    <w:rPr>
                      <w:rFonts w:hint="default" w:ascii="Times New Roman" w:hAnsi="Times New Roman" w:eastAsia="宋体" w:cs="Times New Roman"/>
                      <w:color w:val="auto"/>
                      <w:szCs w:val="21"/>
                      <w:highlight w:val="none"/>
                      <w:shd w:val="clear" w:color="auto" w:fill="FFFFFF"/>
                    </w:rPr>
                    <w:t>不溶于水、甘油、冷乙醇。溶于热乙醇、二硫化碳、乙醚、酯、氯仿、苯、石油醚。除蓖麻油外,与许多油脂和蜡都能混合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燃烧爆炸危险性</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燃烧性：本品可燃，具窒息性。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引燃温度（℃）：300</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闪点（℃）：220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爆炸下限（%）：-</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爆炸上限（%）：-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最小点火能（mj）：-</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最大爆炸压力</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MPa</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特性</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遇明火、高热可燃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禁配物</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消防</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措施</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消防人员须佩戴防毒面具、身穿全身消防服，在上风险灭活。尽可能将容器从火场移至空旷处。喷水保持火场容器冷却，直至</w:t>
                  </w:r>
                  <w:r>
                    <w:rPr>
                      <w:rFonts w:hint="eastAsia" w:cs="Times New Roman"/>
                      <w:color w:val="auto"/>
                      <w:highlight w:val="none"/>
                      <w:lang w:eastAsia="zh-CN"/>
                    </w:rPr>
                    <w:t>灭火</w:t>
                  </w:r>
                  <w:r>
                    <w:rPr>
                      <w:rFonts w:hint="default" w:ascii="Times New Roman" w:hAnsi="Times New Roman" w:eastAsia="宋体" w:cs="Times New Roman"/>
                      <w:color w:val="auto"/>
                      <w:highlight w:val="none"/>
                    </w:rPr>
                    <w:t>结束。处在火场中的容器若已变色或从安全泄压装置中产生声音，必须马上撤离。</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灭火剂：雾状水、泡沫、干粉、二氧化碳、砂土。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w:t>
                  </w: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急性</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LD50 ：无资料。</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LC50 ：无资料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健康</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危害</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侵入途径：吸入、食入；</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性吸入，可出现乏力、头晕、头痛、恶心，严重者可引起油脂性肺炎。慢接触者，暴露部位可发生油性痤疮和接触性皮炎。可引起神经衰弱综合症，呼吸道和眼刺激症状及慢性油脂性肺炎。有资料报告，接触石油润滑油类的工人，有致癌的病例报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防护</w:t>
                  </w:r>
                </w:p>
              </w:tc>
              <w:tc>
                <w:tcPr>
                  <w:tcW w:w="6792" w:type="dxa"/>
                  <w:gridSpan w:val="2"/>
                  <w:noWrap w:val="0"/>
                  <w:vAlign w:val="center"/>
                </w:tcPr>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工程控制：密闭操作，注意通风；</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呼吸系统防护：空气中浓度超标时，建议佩戴自吸过滤式防毒面具（半面罩）。紧急事态抢救或撤离时，应该佩戴空气呼吸器。</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眼睛防护：戴化学安全防护眼镜。</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身体防护：穿防毒物渗透工作服；</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手防护：戴橡胶耐油手套；</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其他：工作现场禁止吸烟。避免长期反复接触。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急救</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措施</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皮肤接触：立即脱去被污染的衣着，用大量清水冲洗；</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lang w:eastAsia="zh-CN"/>
                    </w:rPr>
                    <w:t>眼睛</w:t>
                  </w:r>
                  <w:r>
                    <w:rPr>
                      <w:rFonts w:hint="default" w:ascii="Times New Roman" w:hAnsi="Times New Roman" w:eastAsia="宋体" w:cs="Times New Roman"/>
                      <w:color w:val="auto"/>
                      <w:szCs w:val="21"/>
                      <w:highlight w:val="none"/>
                    </w:rPr>
                    <w:t>接触：立即提起眼睑，用大量流动清水或生理盐水冲洗，就医；</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吸入：迅速脱离现场至空气新鲜处，保持呼吸道通畅，如呼吸困难，给输氧；如呼吸停止，立即进行人工呼吸，就医；</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食入：饮足量温水，催吐，就医。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贮运条件</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储存于阴凉、通风的库房。远离火种、热源。应与氧化剂分开存放，</w:t>
                  </w:r>
                  <w:r>
                    <w:rPr>
                      <w:rFonts w:hint="eastAsia" w:cs="Times New Roman"/>
                      <w:color w:val="auto"/>
                      <w:highlight w:val="none"/>
                      <w:lang w:eastAsia="zh-CN"/>
                    </w:rPr>
                    <w:t>切忌</w:t>
                  </w:r>
                  <w:r>
                    <w:rPr>
                      <w:rFonts w:hint="default" w:ascii="Times New Roman" w:hAnsi="Times New Roman" w:eastAsia="宋体" w:cs="Times New Roman"/>
                      <w:color w:val="auto"/>
                      <w:highlight w:val="none"/>
                    </w:rPr>
                    <w:t>混储。配备相应品种和数量的消防器材。出去应备有泄漏应急处理设备和合适的收容材料。</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运输前应先检查包装容器是否完整、密封，运输过程中要确保容器不</w:t>
                  </w:r>
                  <w:r>
                    <w:rPr>
                      <w:rFonts w:hint="default" w:ascii="Times New Roman" w:hAnsi="Times New Roman" w:eastAsia="宋体" w:cs="Times New Roman"/>
                      <w:color w:val="auto"/>
                      <w:szCs w:val="21"/>
                      <w:highlight w:val="none"/>
                      <w:lang w:eastAsia="zh-CN"/>
                    </w:rPr>
                    <w:t>泄漏</w:t>
                  </w:r>
                  <w:r>
                    <w:rPr>
                      <w:rFonts w:hint="default" w:ascii="Times New Roman" w:hAnsi="Times New Roman" w:eastAsia="宋体" w:cs="Times New Roman"/>
                      <w:color w:val="auto"/>
                      <w:szCs w:val="21"/>
                      <w:highlight w:val="none"/>
                    </w:rPr>
                    <w:t>、不倒塌、不坠落、不损坏。严禁与氧化剂、食用化学品等混装混运。运输车船必须彻底清洗、消毒，否则不得装运其他物品。船运时，配装位置应远离卧室、厨房，并与电源、火源等部位隔离。公路运输时要按规定路线行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泄漏应急处理</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迅速撤离泄漏污染区人员至安全区，并进行隔离，严格限制出入。切断火源。建议应急处理人员戴自给正压式呼吸器，穿防毒服。尽可能切断泄漏源。防治流入下水道、排洪沟等限制性空间。</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小量泄漏：用砂土或其他不燃材料吸附或吸收。</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大量泄漏：构筑位堤或挖坑收容。用泵转移至槽车或专用收集器内，回收或运至废物处理场所处置</w:t>
                  </w:r>
                </w:p>
              </w:tc>
            </w:tr>
          </w:tbl>
          <w:p>
            <w:pPr>
              <w:keepNext w:val="0"/>
              <w:keepLines w:val="0"/>
              <w:pageBreakBefore w:val="0"/>
              <w:kinsoku/>
              <w:wordWrap/>
              <w:overflowPunct/>
              <w:topLinePunct w:val="0"/>
              <w:autoSpaceDE w:val="0"/>
              <w:autoSpaceDN w:val="0"/>
              <w:bidi w:val="0"/>
              <w:adjustRightInd w:val="0"/>
              <w:snapToGrid w:val="0"/>
              <w:spacing w:line="360" w:lineRule="auto"/>
              <w:ind w:left="0" w:right="0" w:firstLine="482" w:firstLineChars="200"/>
              <w:jc w:val="left"/>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rPr>
              <w:t>环境风险识别</w:t>
            </w:r>
          </w:p>
          <w:p>
            <w:pPr>
              <w:pStyle w:val="14"/>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项目环境风险识别包括物质危险性识别，生产系统危险性识别，危险物质向环境转移的途径识别。</w:t>
            </w:r>
          </w:p>
          <w:p>
            <w:pPr>
              <w:pStyle w:val="14"/>
              <w:keepNext w:val="0"/>
              <w:keepLines w:val="0"/>
              <w:pageBreakBefore w:val="0"/>
              <w:kinsoku/>
              <w:wordWrap/>
              <w:overflowPunct/>
              <w:topLinePunct w:val="0"/>
              <w:bidi w:val="0"/>
              <w:snapToGrid w:val="0"/>
              <w:spacing w:before="0" w:after="0" w:line="360" w:lineRule="auto"/>
              <w:ind w:left="0" w:right="0" w:firstLine="476"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物质危险识别包括：主要原辅材料、燃料、中间产品、副产品、最终产品、污染物、</w:t>
            </w:r>
            <w:r>
              <w:rPr>
                <w:rFonts w:hint="default" w:ascii="Times New Roman" w:hAnsi="Times New Roman" w:eastAsia="宋体" w:cs="Times New Roman"/>
                <w:color w:val="auto"/>
                <w:sz w:val="24"/>
                <w:szCs w:val="24"/>
                <w:highlight w:val="none"/>
              </w:rPr>
              <w:t>火灾和爆炸伴生/</w:t>
            </w:r>
            <w:r>
              <w:rPr>
                <w:rFonts w:hint="default" w:ascii="Times New Roman" w:hAnsi="Times New Roman" w:eastAsia="宋体" w:cs="Times New Roman"/>
                <w:color w:val="auto"/>
                <w:spacing w:val="-8"/>
                <w:sz w:val="24"/>
                <w:szCs w:val="24"/>
                <w:highlight w:val="none"/>
              </w:rPr>
              <w:t>次生物等。根据《建设项目环境风险评价技术导则》</w:t>
            </w:r>
            <w:r>
              <w:rPr>
                <w:rFonts w:hint="default" w:ascii="Times New Roman" w:hAnsi="Times New Roman" w:eastAsia="宋体" w:cs="Times New Roman"/>
                <w:color w:val="auto"/>
                <w:sz w:val="24"/>
                <w:szCs w:val="24"/>
                <w:highlight w:val="none"/>
              </w:rPr>
              <w:t>（HJ169-2018）附录B，对其按有毒有害、易燃易爆物质逐个分类识别判定。本项目建成后</w:t>
            </w:r>
            <w:r>
              <w:rPr>
                <w:rFonts w:hint="default" w:ascii="Times New Roman" w:hAnsi="Times New Roman" w:eastAsia="宋体" w:cs="Times New Roman"/>
                <w:color w:val="auto"/>
                <w:sz w:val="24"/>
                <w:szCs w:val="24"/>
                <w:highlight w:val="none"/>
                <w:lang w:val="en-US" w:eastAsia="zh-CN"/>
              </w:rPr>
              <w:t>风险</w:t>
            </w:r>
            <w:r>
              <w:rPr>
                <w:rFonts w:hint="default" w:ascii="Times New Roman" w:hAnsi="Times New Roman" w:eastAsia="宋体" w:cs="Times New Roman"/>
                <w:color w:val="auto"/>
                <w:sz w:val="24"/>
                <w:szCs w:val="24"/>
                <w:highlight w:val="none"/>
              </w:rPr>
              <w:t>物质主要为</w:t>
            </w:r>
            <w:r>
              <w:rPr>
                <w:rFonts w:hint="default" w:ascii="Times New Roman" w:hAnsi="Times New Roman" w:eastAsia="宋体" w:cs="Times New Roman"/>
                <w:color w:val="auto"/>
                <w:sz w:val="24"/>
                <w:highlight w:val="none"/>
                <w:lang w:val="en-US" w:eastAsia="zh-CN"/>
              </w:rPr>
              <w:t>废矿物油（废机油）</w:t>
            </w:r>
            <w:r>
              <w:rPr>
                <w:rFonts w:hint="default" w:ascii="Times New Roman" w:hAnsi="Times New Roman" w:eastAsia="宋体" w:cs="Times New Roman"/>
                <w:color w:val="auto"/>
                <w:sz w:val="24"/>
                <w:szCs w:val="24"/>
                <w:highlight w:val="none"/>
              </w:rPr>
              <w:t>。</w:t>
            </w:r>
          </w:p>
          <w:p>
            <w:pPr>
              <w:pStyle w:val="14"/>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皮肤接触</w:t>
            </w:r>
            <w:r>
              <w:rPr>
                <w:rFonts w:hint="default" w:ascii="Times New Roman" w:hAnsi="Times New Roman" w:eastAsia="宋体" w:cs="Times New Roman"/>
                <w:color w:val="auto"/>
                <w:sz w:val="24"/>
                <w:szCs w:val="24"/>
                <w:highlight w:val="none"/>
                <w:lang w:val="en-US" w:eastAsia="zh-CN"/>
              </w:rPr>
              <w:t>油类物质</w:t>
            </w:r>
            <w:r>
              <w:rPr>
                <w:rFonts w:hint="default" w:ascii="Times New Roman" w:hAnsi="Times New Roman" w:eastAsia="宋体" w:cs="Times New Roman"/>
                <w:color w:val="auto"/>
                <w:sz w:val="24"/>
                <w:szCs w:val="24"/>
                <w:highlight w:val="none"/>
              </w:rPr>
              <w:t>可引起接触性皮炎、油性痤疮，吸入可引起吸入性肺炎，能经胎盘进入胎儿血中。</w:t>
            </w:r>
            <w:r>
              <w:rPr>
                <w:rFonts w:hint="default" w:ascii="Times New Roman" w:hAnsi="Times New Roman" w:eastAsia="宋体" w:cs="Times New Roman"/>
                <w:color w:val="auto"/>
                <w:sz w:val="24"/>
                <w:szCs w:val="24"/>
                <w:highlight w:val="none"/>
                <w:lang w:val="en-US" w:eastAsia="zh-CN"/>
              </w:rPr>
              <w:t>废矿物油</w:t>
            </w:r>
            <w:r>
              <w:rPr>
                <w:rFonts w:hint="default" w:ascii="Times New Roman" w:hAnsi="Times New Roman" w:eastAsia="宋体" w:cs="Times New Roman"/>
                <w:color w:val="auto"/>
                <w:sz w:val="24"/>
                <w:szCs w:val="24"/>
                <w:highlight w:val="none"/>
              </w:rPr>
              <w:t>废气可引起眼、鼻刺激症状，头晕及头痛。</w:t>
            </w:r>
          </w:p>
          <w:p>
            <w:pPr>
              <w:pStyle w:val="14"/>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本项目生产系统风险源主要为</w:t>
            </w:r>
            <w:r>
              <w:rPr>
                <w:rFonts w:hint="default" w:ascii="Times New Roman" w:hAnsi="Times New Roman" w:eastAsia="宋体" w:cs="Times New Roman"/>
                <w:color w:val="auto"/>
                <w:sz w:val="24"/>
                <w:szCs w:val="24"/>
                <w:highlight w:val="none"/>
                <w:lang w:val="en-US" w:eastAsia="zh-CN"/>
              </w:rPr>
              <w:t>废矿物油</w:t>
            </w:r>
            <w:r>
              <w:rPr>
                <w:rFonts w:hint="default" w:ascii="Times New Roman" w:hAnsi="Times New Roman" w:eastAsia="宋体" w:cs="Times New Roman"/>
                <w:color w:val="auto"/>
                <w:sz w:val="24"/>
                <w:szCs w:val="24"/>
                <w:highlight w:val="none"/>
              </w:rPr>
              <w:t>发生火灾、爆炸事故；</w:t>
            </w:r>
            <w:r>
              <w:rPr>
                <w:rFonts w:hint="default" w:ascii="Times New Roman" w:hAnsi="Times New Roman" w:eastAsia="宋体" w:cs="Times New Roman"/>
                <w:color w:val="auto"/>
                <w:sz w:val="24"/>
                <w:szCs w:val="24"/>
                <w:highlight w:val="none"/>
                <w:lang w:val="en-US" w:eastAsia="zh-CN"/>
              </w:rPr>
              <w:t>废矿物油均</w:t>
            </w:r>
            <w:r>
              <w:rPr>
                <w:rFonts w:hint="default" w:ascii="Times New Roman" w:hAnsi="Times New Roman" w:eastAsia="宋体" w:cs="Times New Roman"/>
                <w:color w:val="auto"/>
                <w:sz w:val="24"/>
                <w:szCs w:val="24"/>
                <w:highlight w:val="none"/>
              </w:rPr>
              <w:t>属易燃、易爆液体，如果在储存、输送过</w:t>
            </w:r>
            <w:r>
              <w:rPr>
                <w:rFonts w:hint="eastAsia" w:cs="Times New Roman"/>
                <w:color w:val="auto"/>
                <w:sz w:val="24"/>
                <w:szCs w:val="24"/>
                <w:highlight w:val="none"/>
                <w:lang w:eastAsia="zh-CN"/>
              </w:rPr>
              <w:t>程中</w:t>
            </w:r>
            <w:r>
              <w:rPr>
                <w:rFonts w:hint="default" w:ascii="Times New Roman" w:hAnsi="Times New Roman" w:eastAsia="宋体" w:cs="Times New Roman"/>
                <w:color w:val="auto"/>
                <w:sz w:val="24"/>
                <w:szCs w:val="24"/>
                <w:highlight w:val="none"/>
              </w:rPr>
              <w:t>发生跑、冒、滴、漏，油料蒸发出来的可燃气体在一定的浓度范围内，能够与空气形成爆炸性混合物，遇明火、静电及高温或与氧化剂接触等易引起燃烧或爆炸；同时其蒸汽比空气重，能在较低处扩散到相当远的地方，遇明火会引着回燃，也会造成火灾爆炸事故。</w:t>
            </w:r>
          </w:p>
          <w:p>
            <w:pPr>
              <w:pStyle w:val="14"/>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危险物质向环境转移的途径识别包括：物质泄漏，以及火灾、爆炸等引发的伴生次生污染物排放。本项目环境风险类型主要为</w:t>
            </w:r>
            <w:r>
              <w:rPr>
                <w:rFonts w:hint="default" w:ascii="Times New Roman" w:hAnsi="Times New Roman" w:eastAsia="宋体" w:cs="Times New Roman"/>
                <w:color w:val="auto"/>
                <w:sz w:val="24"/>
                <w:szCs w:val="24"/>
                <w:highlight w:val="none"/>
                <w:lang w:val="en-US" w:eastAsia="zh-CN"/>
              </w:rPr>
              <w:t>废矿物油</w:t>
            </w:r>
            <w:r>
              <w:rPr>
                <w:rFonts w:hint="default" w:ascii="Times New Roman" w:hAnsi="Times New Roman" w:eastAsia="宋体" w:cs="Times New Roman"/>
                <w:color w:val="auto"/>
                <w:sz w:val="24"/>
                <w:szCs w:val="24"/>
                <w:highlight w:val="none"/>
              </w:rPr>
              <w:t>发生泄漏、火灾、爆炸引发的伴生/次生污染物排放对大气、地表水、地下水的影响。</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风险潜势初判</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建设项目潜势划分为I、II、III、IV/IV+级。</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4"/>
                <w:szCs w:val="24"/>
                <w:highlight w:val="none"/>
                <w:lang w:eastAsia="zh-CN"/>
              </w:rPr>
              <w:t>根据建设项目涉及的物质和工艺系统的危险性及其所在地的环境敏感程度，结合事故情形下环境影响途径，对建设项目潜在环境危害程度进行概化分析，按照下表确定环境风险潜势。</w:t>
            </w:r>
          </w:p>
          <w:p>
            <w:pPr>
              <w:adjustRightInd w:val="0"/>
              <w:snapToGrid w:val="0"/>
              <w:spacing w:line="240" w:lineRule="auto"/>
              <w:jc w:val="center"/>
              <w:rPr>
                <w:rFonts w:hint="default" w:ascii="Times New Roman" w:hAnsi="Times New Roman" w:eastAsia="宋体" w:cs="Times New Roman"/>
                <w:b/>
                <w:bCs w:val="0"/>
                <w:snapToGrid w:val="0"/>
                <w:color w:val="auto"/>
                <w:kern w:val="0"/>
                <w:sz w:val="21"/>
                <w:szCs w:val="21"/>
                <w:highlight w:val="none"/>
                <w:lang w:eastAsia="zh-CN"/>
              </w:rPr>
            </w:pPr>
            <w:r>
              <w:rPr>
                <w:rFonts w:hint="default" w:ascii="Times New Roman" w:hAnsi="Times New Roman" w:eastAsia="宋体" w:cs="Times New Roman"/>
                <w:b/>
                <w:bCs w:val="0"/>
                <w:snapToGrid w:val="0"/>
                <w:color w:val="auto"/>
                <w:kern w:val="0"/>
                <w:sz w:val="21"/>
                <w:szCs w:val="21"/>
                <w:highlight w:val="none"/>
              </w:rPr>
              <w:t>表</w:t>
            </w:r>
            <w:r>
              <w:rPr>
                <w:rFonts w:hint="default" w:ascii="Times New Roman" w:hAnsi="Times New Roman" w:eastAsia="宋体" w:cs="Times New Roman"/>
                <w:b/>
                <w:bCs w:val="0"/>
                <w:snapToGrid w:val="0"/>
                <w:color w:val="auto"/>
                <w:kern w:val="0"/>
                <w:sz w:val="21"/>
                <w:szCs w:val="21"/>
                <w:highlight w:val="none"/>
                <w:lang w:val="en-US" w:eastAsia="zh-CN"/>
              </w:rPr>
              <w:t>4-25</w:t>
            </w:r>
            <w:r>
              <w:rPr>
                <w:rFonts w:hint="default" w:ascii="Times New Roman" w:hAnsi="Times New Roman" w:eastAsia="宋体" w:cs="Times New Roman"/>
                <w:b/>
                <w:bCs w:val="0"/>
                <w:snapToGrid w:val="0"/>
                <w:color w:val="auto"/>
                <w:kern w:val="0"/>
                <w:sz w:val="21"/>
                <w:szCs w:val="21"/>
                <w:highlight w:val="none"/>
              </w:rPr>
              <w:t xml:space="preserve"> </w:t>
            </w:r>
            <w:r>
              <w:rPr>
                <w:rFonts w:hint="default" w:ascii="Times New Roman" w:hAnsi="Times New Roman" w:eastAsia="宋体" w:cs="Times New Roman"/>
                <w:b/>
                <w:bCs w:val="0"/>
                <w:snapToGrid w:val="0"/>
                <w:color w:val="auto"/>
                <w:kern w:val="0"/>
                <w:sz w:val="21"/>
                <w:szCs w:val="21"/>
                <w:highlight w:val="none"/>
                <w:lang w:val="en-US" w:eastAsia="zh-CN"/>
              </w:rPr>
              <w:t xml:space="preserve">  </w:t>
            </w:r>
            <w:r>
              <w:rPr>
                <w:rFonts w:hint="default" w:ascii="Times New Roman" w:hAnsi="Times New Roman" w:eastAsia="宋体" w:cs="Times New Roman"/>
                <w:b/>
                <w:bCs w:val="0"/>
                <w:snapToGrid w:val="0"/>
                <w:color w:val="auto"/>
                <w:kern w:val="0"/>
                <w:sz w:val="21"/>
                <w:szCs w:val="21"/>
                <w:highlight w:val="none"/>
                <w:lang w:eastAsia="zh-CN"/>
              </w:rPr>
              <w:t>建设项目环境风险潜势划分</w:t>
            </w:r>
          </w:p>
          <w:tbl>
            <w:tblPr>
              <w:tblStyle w:val="27"/>
              <w:tblW w:w="84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2"/>
              <w:gridCol w:w="1460"/>
              <w:gridCol w:w="1687"/>
              <w:gridCol w:w="1541"/>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环境敏感程度（</w:t>
                  </w:r>
                  <w:r>
                    <w:rPr>
                      <w:rFonts w:hint="default" w:ascii="Times New Roman" w:hAnsi="Times New Roman" w:eastAsia="宋体" w:cs="Times New Roman"/>
                      <w:b/>
                      <w:bCs/>
                      <w:snapToGrid w:val="0"/>
                      <w:color w:val="auto"/>
                      <w:kern w:val="0"/>
                      <w:sz w:val="21"/>
                      <w:szCs w:val="21"/>
                      <w:highlight w:val="none"/>
                      <w:vertAlign w:val="baseline"/>
                      <w:lang w:val="en-US" w:eastAsia="zh-CN"/>
                    </w:rPr>
                    <w:t>E</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6334"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val="zh-CN" w:eastAsia="zh-CN"/>
                    </w:rPr>
                    <w:t>危险物质及工艺系统危险性（</w:t>
                  </w:r>
                  <w:r>
                    <w:rPr>
                      <w:rFonts w:hint="default" w:ascii="Times New Roman" w:hAnsi="Times New Roman" w:eastAsia="宋体" w:cs="Times New Roman"/>
                      <w:b/>
                      <w:bCs/>
                      <w:snapToGrid w:val="0"/>
                      <w:color w:val="auto"/>
                      <w:kern w:val="0"/>
                      <w:sz w:val="21"/>
                      <w:szCs w:val="21"/>
                      <w:highlight w:val="none"/>
                      <w:vertAlign w:val="baseline"/>
                      <w:lang w:val="en-US" w:eastAsia="zh-CN"/>
                    </w:rPr>
                    <w:t>P</w:t>
                  </w:r>
                  <w:r>
                    <w:rPr>
                      <w:rFonts w:hint="default" w:ascii="Times New Roman" w:hAnsi="Times New Roman" w:eastAsia="宋体" w:cs="Times New Roman"/>
                      <w:b/>
                      <w:bCs/>
                      <w:snapToGrid w:val="0"/>
                      <w:color w:val="auto"/>
                      <w:kern w:val="0"/>
                      <w:sz w:val="21"/>
                      <w:szCs w:val="21"/>
                      <w:highlight w:val="none"/>
                      <w:vertAlign w:val="baseline"/>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p>
              </w:tc>
              <w:tc>
                <w:tcPr>
                  <w:tcW w:w="14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极高危害（</w:t>
                  </w:r>
                  <w:r>
                    <w:rPr>
                      <w:rFonts w:hint="default" w:ascii="Times New Roman" w:hAnsi="Times New Roman" w:eastAsia="宋体" w:cs="Times New Roman"/>
                      <w:b/>
                      <w:bCs/>
                      <w:snapToGrid w:val="0"/>
                      <w:color w:val="auto"/>
                      <w:kern w:val="0"/>
                      <w:sz w:val="21"/>
                      <w:szCs w:val="21"/>
                      <w:highlight w:val="none"/>
                      <w:vertAlign w:val="baseline"/>
                      <w:lang w:val="en-US" w:eastAsia="zh-CN"/>
                    </w:rPr>
                    <w:t>P1</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6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高度危害（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P2</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5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中度危害（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P3</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轻度危害（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P4</w:t>
                  </w:r>
                  <w:r>
                    <w:rPr>
                      <w:rFonts w:hint="default" w:ascii="Times New Roman" w:hAnsi="Times New Roman" w:eastAsia="宋体" w:cs="Times New Roman"/>
                      <w:b/>
                      <w:bCs/>
                      <w:snapToGrid w:val="0"/>
                      <w:color w:val="auto"/>
                      <w:kern w:val="0"/>
                      <w:sz w:val="21"/>
                      <w:szCs w:val="21"/>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环境高度敏感区（</w:t>
                  </w:r>
                  <w:r>
                    <w:rPr>
                      <w:rFonts w:hint="default" w:ascii="Times New Roman" w:hAnsi="Times New Roman" w:eastAsia="宋体" w:cs="Times New Roman"/>
                      <w:snapToGrid w:val="0"/>
                      <w:color w:val="auto"/>
                      <w:kern w:val="0"/>
                      <w:sz w:val="21"/>
                      <w:szCs w:val="21"/>
                      <w:highlight w:val="none"/>
                      <w:vertAlign w:val="baseline"/>
                      <w:lang w:val="en-US" w:eastAsia="zh-CN"/>
                    </w:rPr>
                    <w:t>E1</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r>
                    <w:rPr>
                      <w:rFonts w:hint="default" w:ascii="Times New Roman" w:hAnsi="Times New Roman" w:eastAsia="宋体" w:cs="Times New Roman"/>
                      <w:snapToGrid w:val="0"/>
                      <w:color w:val="auto"/>
                      <w:kern w:val="0"/>
                      <w:sz w:val="21"/>
                      <w:szCs w:val="21"/>
                      <w:highlight w:val="none"/>
                      <w:vertAlign w:val="baseline"/>
                      <w:lang w:val="en-US" w:eastAsia="zh-CN"/>
                    </w:rPr>
                    <w:t>+</w:t>
                  </w:r>
                </w:p>
              </w:tc>
              <w:tc>
                <w:tcPr>
                  <w:tcW w:w="16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p>
              </w:tc>
              <w:tc>
                <w:tcPr>
                  <w:tcW w:w="15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环境中度敏感区（</w:t>
                  </w:r>
                  <w:r>
                    <w:rPr>
                      <w:rFonts w:hint="default" w:ascii="Times New Roman" w:hAnsi="Times New Roman" w:eastAsia="宋体" w:cs="Times New Roman"/>
                      <w:snapToGrid w:val="0"/>
                      <w:color w:val="auto"/>
                      <w:kern w:val="0"/>
                      <w:sz w:val="21"/>
                      <w:szCs w:val="21"/>
                      <w:highlight w:val="none"/>
                      <w:vertAlign w:val="baseline"/>
                      <w:lang w:val="en-US" w:eastAsia="zh-CN"/>
                    </w:rPr>
                    <w:t>E2</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p>
              </w:tc>
              <w:tc>
                <w:tcPr>
                  <w:tcW w:w="16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5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环境低度敏感区（</w:t>
                  </w:r>
                  <w:r>
                    <w:rPr>
                      <w:rFonts w:hint="default" w:ascii="Times New Roman" w:hAnsi="Times New Roman" w:eastAsia="宋体" w:cs="Times New Roman"/>
                      <w:snapToGrid w:val="0"/>
                      <w:color w:val="auto"/>
                      <w:kern w:val="0"/>
                      <w:sz w:val="21"/>
                      <w:szCs w:val="21"/>
                      <w:highlight w:val="none"/>
                      <w:vertAlign w:val="baseline"/>
                      <w:lang w:val="en-US" w:eastAsia="zh-CN"/>
                    </w:rPr>
                    <w:t>E3</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5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Ⅱ</w:t>
                  </w:r>
                </w:p>
              </w:tc>
              <w:tc>
                <w:tcPr>
                  <w:tcW w:w="1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6"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注：Ⅳ</w:t>
                  </w:r>
                  <w:r>
                    <w:rPr>
                      <w:rFonts w:hint="default" w:ascii="Times New Roman" w:hAnsi="Times New Roman" w:eastAsia="宋体" w:cs="Times New Roman"/>
                      <w:snapToGrid w:val="0"/>
                      <w:color w:val="auto"/>
                      <w:kern w:val="0"/>
                      <w:sz w:val="21"/>
                      <w:szCs w:val="21"/>
                      <w:highlight w:val="none"/>
                      <w:vertAlign w:val="baseline"/>
                      <w:lang w:val="en-US" w:eastAsia="zh-CN"/>
                    </w:rPr>
                    <w:t>+</w:t>
                  </w:r>
                  <w:r>
                    <w:rPr>
                      <w:rFonts w:hint="default" w:ascii="Times New Roman" w:hAnsi="Times New Roman" w:eastAsia="宋体" w:cs="Times New Roman"/>
                      <w:snapToGrid w:val="0"/>
                      <w:color w:val="auto"/>
                      <w:kern w:val="0"/>
                      <w:sz w:val="21"/>
                      <w:szCs w:val="21"/>
                      <w:highlight w:val="none"/>
                      <w:vertAlign w:val="baseline"/>
                      <w:lang w:eastAsia="zh-CN"/>
                    </w:rPr>
                    <w:t>为极高环境风险</w:t>
                  </w:r>
                </w:p>
              </w:tc>
            </w:tr>
          </w:tbl>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危险物质及工艺系统危险性（P）由危险物质数量与临界量的比值（Q）和所属行业及生产工艺特点（M）判定。</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首先</w:t>
            </w:r>
            <w:r>
              <w:rPr>
                <w:rFonts w:hint="default" w:ascii="Times New Roman" w:hAnsi="Times New Roman" w:eastAsia="宋体" w:cs="Times New Roman"/>
                <w:color w:val="auto"/>
                <w:sz w:val="24"/>
                <w:szCs w:val="24"/>
                <w:highlight w:val="none"/>
                <w:lang w:val="zh-CN"/>
              </w:rPr>
              <w:t>确定危险物质数量与临界量的比值（Q）</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根据该技术导则附录B中表B.1突发环境事件风险物质及临界点，附录C中C1.1危险物质数量与临界量比值（Q）的计算有两种情况：</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a、当只涉及一种危险物质时，计算该物质的总量与其临界量比值，即为 Q；</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b、当存在多种危险物质时，则按下式计算物质总量与其临界量的比值（Q）：</w:t>
            </w:r>
          </w:p>
          <w:p>
            <w:pPr>
              <w:keepNext w:val="0"/>
              <w:keepLines w:val="0"/>
              <w:pageBreakBefore w:val="0"/>
              <w:widowControl w:val="0"/>
              <w:kinsoku/>
              <w:wordWrap/>
              <w:overflowPunct/>
              <w:topLinePunct w:val="0"/>
              <w:autoSpaceDE/>
              <w:autoSpaceDN/>
              <w:bidi w:val="0"/>
              <w:adjustRightInd w:val="0"/>
              <w:snapToGrid w:val="0"/>
              <w:spacing w:line="351"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position w:val="-28"/>
                <w:sz w:val="24"/>
                <w:szCs w:val="24"/>
                <w:highlight w:val="none"/>
                <w:vertAlign w:val="subscript"/>
                <w:lang w:val="en-US" w:eastAsia="zh-CN"/>
              </w:rPr>
              <w:object>
                <v:shape id="_x0000_i1033" o:spt="75" type="#_x0000_t75" style="height:33pt;width:106pt;" o:ole="t" filled="f" o:preferrelative="t" stroked="f" coordsize="21600,21600">
                  <v:path/>
                  <v:fill on="f" focussize="0,0"/>
                  <v:stroke on="f"/>
                  <v:imagedata r:id="rId38" o:title=""/>
                  <o:lock v:ext="edit" aspectratio="t"/>
                  <w10:wrap type="none"/>
                  <w10:anchorlock/>
                </v:shape>
                <o:OLEObject Type="Embed" ProgID="Equation.KSEE3" ShapeID="_x0000_i1033" DrawAspect="Content" ObjectID="_1468075733" r:id="rId37">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snapToGrid w:val="0"/>
                <w:color w:val="auto"/>
                <w:kern w:val="0"/>
                <w:sz w:val="24"/>
                <w:szCs w:val="24"/>
                <w:highlight w:val="none"/>
                <w:lang w:eastAsia="zh-CN"/>
              </w:rPr>
              <w:t>式中：</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1</w:t>
            </w: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zh-CN"/>
              </w:rPr>
              <w:t>n</w:t>
            </w:r>
            <w:r>
              <w:rPr>
                <w:rFonts w:hint="default" w:ascii="Times New Roman" w:hAnsi="Times New Roman" w:eastAsia="宋体" w:cs="Times New Roman"/>
                <w:color w:val="auto"/>
                <w:sz w:val="24"/>
                <w:szCs w:val="24"/>
                <w:highlight w:val="none"/>
                <w:lang w:val="zh-CN"/>
              </w:rPr>
              <w:t>——每种危险物质的最大存在总量，t；</w:t>
            </w:r>
          </w:p>
          <w:p>
            <w:pPr>
              <w:keepNext w:val="0"/>
              <w:keepLines w:val="0"/>
              <w:pageBreakBefore w:val="0"/>
              <w:widowControl w:val="0"/>
              <w:kinsoku/>
              <w:wordWrap/>
              <w:overflowPunct/>
              <w:topLinePunct w:val="0"/>
              <w:autoSpaceDE/>
              <w:autoSpaceDN/>
              <w:bidi w:val="0"/>
              <w:adjustRightInd w:val="0"/>
              <w:snapToGrid w:val="0"/>
              <w:spacing w:line="351" w:lineRule="auto"/>
              <w:ind w:firstLine="1200" w:firstLineChars="5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zh-CN"/>
              </w:rPr>
              <w:t>1</w:t>
            </w: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n</w:t>
            </w:r>
            <w:r>
              <w:rPr>
                <w:rFonts w:hint="default" w:ascii="Times New Roman" w:hAnsi="Times New Roman" w:eastAsia="宋体" w:cs="Times New Roman"/>
                <w:color w:val="auto"/>
                <w:sz w:val="24"/>
                <w:szCs w:val="24"/>
                <w:highlight w:val="none"/>
                <w:lang w:val="zh-CN"/>
              </w:rPr>
              <w:t>——每种危险物质的临界量，t。</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当Q&lt;1时，该项目环境风险潜势为I。</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当Q≥1时，将Q值划分为：（1）1≤Q&lt;10；（2）10≤Q&lt;100；（3）Q≥100。再综合所属行业及生产工艺特点（M）另行判定。</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对照《建设项目环境风险评价技术导则》（HJ/T169-2018），本项目涉及的突发环境事件风险物质、临界量及Q值，见下表。</w:t>
            </w:r>
          </w:p>
          <w:p>
            <w:pPr>
              <w:adjustRightInd w:val="0"/>
              <w:snapToGrid w:val="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kern w:val="0"/>
                <w:highlight w:val="none"/>
              </w:rPr>
              <w:t>表</w:t>
            </w:r>
            <w:r>
              <w:rPr>
                <w:rFonts w:hint="default" w:ascii="Times New Roman" w:hAnsi="Times New Roman" w:eastAsia="宋体" w:cs="Times New Roman"/>
                <w:b/>
                <w:bCs/>
                <w:color w:val="auto"/>
                <w:kern w:val="0"/>
                <w:highlight w:val="none"/>
                <w:lang w:val="en-US" w:eastAsia="zh-CN"/>
              </w:rPr>
              <w:t xml:space="preserve">4-26 </w:t>
            </w:r>
            <w:r>
              <w:rPr>
                <w:rFonts w:hint="default" w:ascii="Times New Roman" w:hAnsi="Times New Roman" w:eastAsia="宋体" w:cs="Times New Roman"/>
                <w:b/>
                <w:bCs/>
                <w:color w:val="auto"/>
                <w:kern w:val="0"/>
                <w:highlight w:val="none"/>
              </w:rPr>
              <w:t xml:space="preserve">  重大危险源识别一览表</w:t>
            </w:r>
          </w:p>
          <w:tbl>
            <w:tblPr>
              <w:tblStyle w:val="26"/>
              <w:tblW w:w="85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370"/>
              <w:gridCol w:w="1923"/>
              <w:gridCol w:w="1086"/>
              <w:gridCol w:w="1546"/>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序号</w:t>
                  </w:r>
                </w:p>
              </w:tc>
              <w:tc>
                <w:tcPr>
                  <w:tcW w:w="1370"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名称</w:t>
                  </w:r>
                </w:p>
              </w:tc>
              <w:tc>
                <w:tcPr>
                  <w:tcW w:w="1923" w:type="dxa"/>
                  <w:noWrap w:val="0"/>
                  <w:vAlign w:val="center"/>
                </w:tcPr>
                <w:p>
                  <w:pPr>
                    <w:pStyle w:val="77"/>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bCs/>
                      <w:color w:val="auto"/>
                      <w:sz w:val="21"/>
                      <w:highlight w:val="none"/>
                    </w:rPr>
                    <w:t>最大储存量/在线量/t</w:t>
                  </w:r>
                </w:p>
              </w:tc>
              <w:tc>
                <w:tcPr>
                  <w:tcW w:w="1086"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lang w:eastAsia="zh-CN"/>
                    </w:rPr>
                  </w:pPr>
                  <w:r>
                    <w:rPr>
                      <w:rFonts w:hint="default" w:ascii="Times New Roman" w:hAnsi="Times New Roman" w:eastAsia="宋体" w:cs="Times New Roman"/>
                      <w:b/>
                      <w:color w:val="auto"/>
                      <w:kern w:val="0"/>
                      <w:szCs w:val="21"/>
                      <w:highlight w:val="none"/>
                    </w:rPr>
                    <w:t>是否为</w:t>
                  </w:r>
                  <w:r>
                    <w:rPr>
                      <w:rFonts w:hint="default" w:ascii="Times New Roman" w:hAnsi="Times New Roman" w:eastAsia="宋体" w:cs="Times New Roman"/>
                      <w:b/>
                      <w:color w:val="auto"/>
                      <w:kern w:val="0"/>
                      <w:szCs w:val="21"/>
                      <w:highlight w:val="none"/>
                      <w:lang w:eastAsia="zh-CN"/>
                    </w:rPr>
                    <w:t>风险物质</w:t>
                  </w:r>
                </w:p>
              </w:tc>
              <w:tc>
                <w:tcPr>
                  <w:tcW w:w="1546"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生产场所临界量（t）</w:t>
                  </w:r>
                </w:p>
              </w:tc>
              <w:tc>
                <w:tcPr>
                  <w:tcW w:w="1997"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Q（危险物质数量与临界量比值）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1</w:t>
                  </w:r>
                </w:p>
              </w:tc>
              <w:tc>
                <w:tcPr>
                  <w:tcW w:w="1370"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废机油</w:t>
                  </w:r>
                </w:p>
              </w:tc>
              <w:tc>
                <w:tcPr>
                  <w:tcW w:w="1923"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0.4（原项目0.1+扩建项目0.3）</w:t>
                  </w:r>
                </w:p>
              </w:tc>
              <w:tc>
                <w:tcPr>
                  <w:tcW w:w="1086" w:type="dxa"/>
                  <w:noWrap w:val="0"/>
                  <w:vAlign w:val="center"/>
                </w:tcPr>
                <w:p>
                  <w:pPr>
                    <w:adjustRightInd w:val="0"/>
                    <w:snapToGrid w:val="0"/>
                    <w:jc w:val="center"/>
                    <w:rPr>
                      <w:rFonts w:hint="default" w:ascii="Times New Roman" w:hAnsi="Times New Roman" w:eastAsia="宋体" w:cs="Times New Roman"/>
                      <w:bCs/>
                      <w:color w:val="auto"/>
                      <w:kern w:val="0"/>
                      <w:szCs w:val="21"/>
                      <w:highlight w:val="none"/>
                      <w:lang w:eastAsia="zh-CN"/>
                    </w:rPr>
                  </w:pPr>
                  <w:r>
                    <w:rPr>
                      <w:rFonts w:hint="default" w:ascii="Times New Roman" w:hAnsi="Times New Roman" w:eastAsia="宋体" w:cs="Times New Roman"/>
                      <w:bCs/>
                      <w:color w:val="auto"/>
                      <w:kern w:val="0"/>
                      <w:szCs w:val="21"/>
                      <w:highlight w:val="none"/>
                      <w:lang w:eastAsia="zh-CN"/>
                    </w:rPr>
                    <w:t>是</w:t>
                  </w:r>
                </w:p>
              </w:tc>
              <w:tc>
                <w:tcPr>
                  <w:tcW w:w="1546" w:type="dxa"/>
                  <w:noWrap w:val="0"/>
                  <w:vAlign w:val="center"/>
                </w:tcPr>
                <w:p>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2500t</w:t>
                  </w:r>
                </w:p>
              </w:tc>
              <w:tc>
                <w:tcPr>
                  <w:tcW w:w="1997"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7" w:type="dxa"/>
                  <w:gridSpan w:val="5"/>
                  <w:noWrap w:val="0"/>
                  <w:vAlign w:val="center"/>
                </w:tcPr>
                <w:p>
                  <w:pPr>
                    <w:adjustRightInd w:val="0"/>
                    <w:snapToGrid w:val="0"/>
                    <w:jc w:val="center"/>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合计</w:t>
                  </w:r>
                </w:p>
              </w:tc>
              <w:tc>
                <w:tcPr>
                  <w:tcW w:w="1997"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0.00016</w:t>
                  </w:r>
                </w:p>
              </w:tc>
            </w:tr>
          </w:tbl>
          <w:p>
            <w:pPr>
              <w:keepNext w:val="0"/>
              <w:keepLines w:val="0"/>
              <w:pageBreakBefore w:val="0"/>
              <w:widowControl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综上，本项目Q=0.00016</w:t>
            </w:r>
            <w:r>
              <w:rPr>
                <w:rFonts w:hint="default" w:ascii="Times New Roman" w:hAnsi="Times New Roman" w:eastAsia="宋体" w:cs="Times New Roman"/>
                <w:color w:val="auto"/>
                <w:kern w:val="1"/>
                <w:sz w:val="24"/>
                <w:highlight w:val="none"/>
              </w:rPr>
              <w:t>&lt;1</w:t>
            </w:r>
            <w:r>
              <w:rPr>
                <w:rFonts w:hint="default" w:ascii="Times New Roman" w:hAnsi="Times New Roman" w:eastAsia="宋体" w:cs="Times New Roman"/>
                <w:color w:val="auto"/>
                <w:kern w:val="1"/>
                <w:sz w:val="24"/>
                <w:highlight w:val="none"/>
                <w:lang w:eastAsia="zh-CN"/>
              </w:rPr>
              <w:t>，</w:t>
            </w:r>
            <w:r>
              <w:rPr>
                <w:rFonts w:hint="default" w:ascii="Times New Roman" w:hAnsi="Times New Roman" w:eastAsia="宋体" w:cs="Times New Roman"/>
                <w:color w:val="auto"/>
                <w:sz w:val="24"/>
                <w:highlight w:val="none"/>
                <w:lang w:eastAsia="zh-CN"/>
              </w:rPr>
              <w:t>项目环境风险潜势为I</w:t>
            </w:r>
            <w:r>
              <w:rPr>
                <w:rFonts w:hint="default" w:ascii="Times New Roman" w:hAnsi="Times New Roman" w:eastAsia="宋体" w:cs="Times New Roman"/>
                <w:color w:val="auto"/>
                <w:sz w:val="24"/>
                <w:highlight w:val="none"/>
                <w:lang w:val="en-US" w:eastAsia="zh-CN"/>
              </w:rPr>
              <w:t>，故不设专项评价。</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环境风险分析</w:t>
            </w:r>
          </w:p>
          <w:p>
            <w:pPr>
              <w:pStyle w:val="64"/>
              <w:keepNext w:val="0"/>
              <w:keepLines w:val="0"/>
              <w:pageBreakBefore w:val="0"/>
              <w:widowControl w:val="0"/>
              <w:numPr>
                <w:ilvl w:val="0"/>
                <w:numId w:val="2"/>
              </w:numPr>
              <w:tabs>
                <w:tab w:val="left" w:pos="1330"/>
              </w:tabs>
              <w:kinsoku/>
              <w:wordWrap/>
              <w:overflowPunct/>
              <w:topLinePunct w:val="0"/>
              <w:bidi w:val="0"/>
              <w:spacing w:line="360" w:lineRule="auto"/>
              <w:ind w:left="0" w:leftChars="0" w:right="0" w:firstLine="482" w:firstLineChars="2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事故源项分析</w:t>
            </w:r>
          </w:p>
          <w:p>
            <w:pPr>
              <w:pStyle w:val="14"/>
              <w:keepNext w:val="0"/>
              <w:keepLines w:val="0"/>
              <w:pageBreakBefore w:val="0"/>
              <w:widowControl w:val="0"/>
              <w:kinsoku/>
              <w:wordWrap/>
              <w:overflowPunct/>
              <w:topLinePunct w:val="0"/>
              <w:bidi w:val="0"/>
              <w:spacing w:after="0"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根据《建设项目环境风险评价技术导则》（HJ/T169-2018），</w:t>
            </w:r>
            <w:r>
              <w:rPr>
                <w:rFonts w:hint="default" w:ascii="Times New Roman" w:hAnsi="Times New Roman" w:eastAsia="宋体" w:cs="Times New Roman"/>
                <w:color w:val="auto"/>
                <w:spacing w:val="-2"/>
                <w:sz w:val="24"/>
                <w:szCs w:val="24"/>
                <w:highlight w:val="none"/>
              </w:rPr>
              <w:t>环境风险潜势为Ⅰ。本</w:t>
            </w:r>
            <w:r>
              <w:rPr>
                <w:rFonts w:hint="default" w:ascii="Times New Roman" w:hAnsi="Times New Roman" w:eastAsia="宋体" w:cs="Times New Roman"/>
                <w:color w:val="auto"/>
                <w:spacing w:val="-3"/>
                <w:sz w:val="24"/>
                <w:szCs w:val="24"/>
                <w:highlight w:val="none"/>
              </w:rPr>
              <w:t>评价主要对项目营运期间可能存在的危险、有害因素进行分析，并对可能发生的突发性事件及事故所造成的人身安全与环境影响和损害程度，提出合理的可行的防范、应急与减缓</w:t>
            </w:r>
            <w:r>
              <w:rPr>
                <w:rFonts w:hint="default" w:ascii="Times New Roman" w:hAnsi="Times New Roman" w:eastAsia="宋体" w:cs="Times New Roman"/>
                <w:color w:val="auto"/>
                <w:sz w:val="24"/>
                <w:szCs w:val="24"/>
                <w:highlight w:val="none"/>
              </w:rPr>
              <w:t>措施。</w:t>
            </w:r>
          </w:p>
          <w:p>
            <w:pPr>
              <w:pStyle w:val="14"/>
              <w:keepNext w:val="0"/>
              <w:keepLines w:val="0"/>
              <w:pageBreakBefore w:val="0"/>
              <w:widowControl w:val="0"/>
              <w:kinsoku/>
              <w:wordWrap/>
              <w:overflowPunct/>
              <w:topLinePunct w:val="0"/>
              <w:bidi w:val="0"/>
              <w:spacing w:after="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本项目可能发生的事故主要有储油</w:t>
            </w:r>
            <w:r>
              <w:rPr>
                <w:rFonts w:hint="default" w:ascii="Times New Roman" w:hAnsi="Times New Roman" w:eastAsia="宋体" w:cs="Times New Roman"/>
                <w:color w:val="auto"/>
                <w:sz w:val="24"/>
                <w:szCs w:val="24"/>
                <w:highlight w:val="none"/>
                <w:lang w:val="en-US" w:eastAsia="zh-CN"/>
              </w:rPr>
              <w:t>桶</w:t>
            </w:r>
            <w:r>
              <w:rPr>
                <w:rFonts w:hint="default" w:ascii="Times New Roman" w:hAnsi="Times New Roman" w:eastAsia="宋体" w:cs="Times New Roman"/>
                <w:color w:val="auto"/>
                <w:sz w:val="24"/>
                <w:szCs w:val="24"/>
                <w:highlight w:val="none"/>
              </w:rPr>
              <w:t>破损</w:t>
            </w:r>
            <w:r>
              <w:rPr>
                <w:rFonts w:hint="default" w:ascii="Times New Roman" w:hAnsi="Times New Roman" w:eastAsia="宋体" w:cs="Times New Roman"/>
                <w:color w:val="auto"/>
                <w:sz w:val="24"/>
                <w:szCs w:val="24"/>
                <w:highlight w:val="none"/>
                <w:lang w:val="en-US" w:eastAsia="zh-CN"/>
              </w:rPr>
              <w:t>物料</w:t>
            </w:r>
            <w:r>
              <w:rPr>
                <w:rFonts w:hint="default" w:ascii="Times New Roman" w:hAnsi="Times New Roman" w:eastAsia="宋体" w:cs="Times New Roman"/>
                <w:color w:val="auto"/>
                <w:sz w:val="24"/>
                <w:szCs w:val="24"/>
                <w:highlight w:val="none"/>
              </w:rPr>
              <w:t>渗漏引起土壤及地下水的污染，根据风险识别，本项目主要存在的事故类型有：</w:t>
            </w:r>
          </w:p>
          <w:p>
            <w:pPr>
              <w:pStyle w:val="64"/>
              <w:keepNext w:val="0"/>
              <w:keepLines w:val="0"/>
              <w:pageBreakBefore w:val="0"/>
              <w:widowControl w:val="0"/>
              <w:numPr>
                <w:ilvl w:val="0"/>
                <w:numId w:val="0"/>
              </w:numPr>
              <w:tabs>
                <w:tab w:val="left" w:pos="1090"/>
              </w:tabs>
              <w:kinsoku/>
              <w:wordWrap/>
              <w:overflowPunct/>
              <w:topLinePunct w:val="0"/>
              <w:bidi w:val="0"/>
              <w:spacing w:line="360" w:lineRule="auto"/>
              <w:ind w:leftChars="0" w:right="0" w:right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储</w:t>
            </w:r>
            <w:r>
              <w:rPr>
                <w:rFonts w:hint="default" w:ascii="Times New Roman" w:hAnsi="Times New Roman" w:eastAsia="宋体" w:cs="Times New Roman"/>
                <w:color w:val="auto"/>
                <w:sz w:val="24"/>
                <w:szCs w:val="24"/>
                <w:highlight w:val="none"/>
                <w:lang w:val="en-US" w:eastAsia="zh-CN"/>
              </w:rPr>
              <w:t>油桶</w:t>
            </w:r>
            <w:r>
              <w:rPr>
                <w:rFonts w:hint="default" w:ascii="Times New Roman" w:hAnsi="Times New Roman" w:eastAsia="宋体" w:cs="Times New Roman"/>
                <w:color w:val="auto"/>
                <w:sz w:val="24"/>
                <w:szCs w:val="24"/>
                <w:highlight w:val="none"/>
              </w:rPr>
              <w:t>破损油品渗漏引起土壤及地下水的污染；</w:t>
            </w:r>
          </w:p>
          <w:p>
            <w:pPr>
              <w:pStyle w:val="64"/>
              <w:keepNext w:val="0"/>
              <w:keepLines w:val="0"/>
              <w:pageBreakBefore w:val="0"/>
              <w:widowControl w:val="0"/>
              <w:numPr>
                <w:ilvl w:val="0"/>
                <w:numId w:val="0"/>
              </w:numPr>
              <w:tabs>
                <w:tab w:val="left" w:pos="1090"/>
              </w:tabs>
              <w:kinsoku/>
              <w:wordWrap/>
              <w:overflowPunct/>
              <w:topLinePunct w:val="0"/>
              <w:bidi w:val="0"/>
              <w:spacing w:line="360" w:lineRule="auto"/>
              <w:ind w:leftChars="0" w:right="0" w:right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lang w:val="en-US" w:eastAsia="zh-CN"/>
              </w:rPr>
              <w:t>②</w:t>
            </w:r>
            <w:r>
              <w:rPr>
                <w:rFonts w:hint="default" w:ascii="Times New Roman" w:hAnsi="Times New Roman" w:eastAsia="宋体" w:cs="Times New Roman"/>
                <w:color w:val="auto"/>
                <w:spacing w:val="-1"/>
                <w:sz w:val="24"/>
                <w:szCs w:val="24"/>
                <w:highlight w:val="none"/>
              </w:rPr>
              <w:t>油品溢出或泄漏后遇明火发生火灾、爆炸事故；</w:t>
            </w:r>
          </w:p>
          <w:p>
            <w:pPr>
              <w:pStyle w:val="64"/>
              <w:keepNext w:val="0"/>
              <w:keepLines w:val="0"/>
              <w:pageBreakBefore w:val="0"/>
              <w:widowControl w:val="0"/>
              <w:numPr>
                <w:ilvl w:val="0"/>
                <w:numId w:val="2"/>
              </w:numPr>
              <w:tabs>
                <w:tab w:val="left" w:pos="1330"/>
              </w:tabs>
              <w:kinsoku/>
              <w:wordWrap/>
              <w:overflowPunct/>
              <w:topLinePunct w:val="0"/>
              <w:bidi w:val="0"/>
              <w:spacing w:line="360" w:lineRule="auto"/>
              <w:ind w:left="0" w:leftChars="0" w:right="0" w:firstLine="482" w:firstLineChars="2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事故后果分析</w:t>
            </w:r>
          </w:p>
          <w:p>
            <w:pPr>
              <w:pStyle w:val="14"/>
              <w:keepNext w:val="0"/>
              <w:keepLines w:val="0"/>
              <w:pageBreakBefore w:val="0"/>
              <w:widowControl w:val="0"/>
              <w:kinsoku/>
              <w:wordWrap/>
              <w:overflowPunct/>
              <w:topLinePunct w:val="0"/>
              <w:bidi w:val="0"/>
              <w:spacing w:after="0" w:line="360" w:lineRule="auto"/>
              <w:ind w:left="0" w:leftChars="0" w:right="0" w:firstLine="480" w:firstLineChars="200"/>
              <w:textAlignment w:val="auto"/>
              <w:rPr>
                <w:rFonts w:hint="default" w:ascii="Times New Roman" w:hAnsi="Times New Roman" w:eastAsia="宋体" w:cs="Times New Roman"/>
                <w:color w:val="auto"/>
                <w:spacing w:val="-19"/>
                <w:position w:val="2"/>
                <w:sz w:val="24"/>
                <w:szCs w:val="24"/>
                <w:highlight w:val="none"/>
                <w:vertAlign w:val="baseline"/>
              </w:rPr>
            </w:pPr>
            <w:r>
              <w:rPr>
                <w:rFonts w:hint="default" w:ascii="Times New Roman" w:hAnsi="Times New Roman" w:eastAsia="宋体" w:cs="Times New Roman"/>
                <w:color w:val="auto"/>
                <w:sz w:val="24"/>
                <w:szCs w:val="24"/>
                <w:highlight w:val="none"/>
                <w:lang w:val="en-US" w:eastAsia="zh-CN"/>
              </w:rPr>
              <w:t>废机油</w:t>
            </w:r>
            <w:r>
              <w:rPr>
                <w:rFonts w:hint="default" w:ascii="Times New Roman" w:hAnsi="Times New Roman" w:eastAsia="宋体" w:cs="Times New Roman"/>
                <w:color w:val="auto"/>
                <w:sz w:val="24"/>
                <w:szCs w:val="24"/>
                <w:highlight w:val="none"/>
              </w:rPr>
              <w:t>发生火灾、爆炸事故引发的次生伴生影响主要体现在火灾或爆炸过程产</w:t>
            </w:r>
            <w:r>
              <w:rPr>
                <w:rFonts w:hint="default" w:ascii="Times New Roman" w:hAnsi="Times New Roman" w:eastAsia="宋体" w:cs="Times New Roman"/>
                <w:color w:val="auto"/>
                <w:spacing w:val="-3"/>
                <w:position w:val="2"/>
                <w:sz w:val="24"/>
                <w:szCs w:val="24"/>
                <w:highlight w:val="none"/>
              </w:rPr>
              <w:t>生的燃烧产物和灭火过程产生的固废，燃烧产物为</w:t>
            </w:r>
            <w:r>
              <w:rPr>
                <w:rFonts w:hint="default" w:ascii="Times New Roman" w:hAnsi="Times New Roman" w:eastAsia="宋体" w:cs="Times New Roman"/>
                <w:color w:val="auto"/>
                <w:position w:val="2"/>
                <w:sz w:val="24"/>
                <w:szCs w:val="24"/>
                <w:highlight w:val="none"/>
              </w:rPr>
              <w:t>CO</w:t>
            </w:r>
            <w:r>
              <w:rPr>
                <w:rFonts w:hint="default" w:ascii="Times New Roman" w:hAnsi="Times New Roman" w:eastAsia="宋体" w:cs="Times New Roman"/>
                <w:color w:val="auto"/>
                <w:position w:val="2"/>
                <w:sz w:val="24"/>
                <w:szCs w:val="24"/>
                <w:highlight w:val="none"/>
                <w:vertAlign w:val="subscript"/>
              </w:rPr>
              <w:t>2</w:t>
            </w:r>
            <w:r>
              <w:rPr>
                <w:rFonts w:hint="default" w:ascii="Times New Roman" w:hAnsi="Times New Roman" w:eastAsia="宋体" w:cs="Times New Roman"/>
                <w:color w:val="auto"/>
                <w:position w:val="2"/>
                <w:sz w:val="24"/>
                <w:szCs w:val="24"/>
                <w:highlight w:val="none"/>
                <w:vertAlign w:val="baseline"/>
              </w:rPr>
              <w:t>、CO</w:t>
            </w:r>
            <w:r>
              <w:rPr>
                <w:rFonts w:hint="default" w:ascii="Times New Roman" w:hAnsi="Times New Roman" w:eastAsia="宋体" w:cs="Times New Roman"/>
                <w:color w:val="auto"/>
                <w:spacing w:val="-30"/>
                <w:position w:val="2"/>
                <w:sz w:val="24"/>
                <w:szCs w:val="24"/>
                <w:highlight w:val="none"/>
                <w:vertAlign w:val="baseline"/>
              </w:rPr>
              <w:t xml:space="preserve">和 </w:t>
            </w:r>
            <w:r>
              <w:rPr>
                <w:rFonts w:hint="default" w:ascii="Times New Roman" w:hAnsi="Times New Roman" w:eastAsia="宋体" w:cs="Times New Roman"/>
                <w:color w:val="auto"/>
                <w:position w:val="2"/>
                <w:sz w:val="24"/>
                <w:szCs w:val="24"/>
                <w:highlight w:val="none"/>
                <w:vertAlign w:val="baseline"/>
              </w:rPr>
              <w:t>H</w:t>
            </w:r>
            <w:r>
              <w:rPr>
                <w:rFonts w:hint="default" w:ascii="Times New Roman" w:hAnsi="Times New Roman" w:eastAsia="宋体" w:cs="Times New Roman"/>
                <w:color w:val="auto"/>
                <w:position w:val="2"/>
                <w:sz w:val="24"/>
                <w:szCs w:val="24"/>
                <w:highlight w:val="none"/>
                <w:vertAlign w:val="subscript"/>
              </w:rPr>
              <w:t>2</w:t>
            </w:r>
            <w:r>
              <w:rPr>
                <w:rFonts w:hint="default" w:ascii="Times New Roman" w:hAnsi="Times New Roman" w:eastAsia="宋体" w:cs="Times New Roman"/>
                <w:color w:val="auto"/>
                <w:position w:val="2"/>
                <w:sz w:val="24"/>
                <w:szCs w:val="24"/>
                <w:highlight w:val="none"/>
                <w:vertAlign w:val="baseline"/>
              </w:rPr>
              <w:t>O</w:t>
            </w:r>
            <w:r>
              <w:rPr>
                <w:rFonts w:hint="default" w:ascii="Times New Roman" w:hAnsi="Times New Roman" w:eastAsia="宋体" w:cs="Times New Roman"/>
                <w:color w:val="auto"/>
                <w:spacing w:val="-19"/>
                <w:position w:val="2"/>
                <w:sz w:val="24"/>
                <w:szCs w:val="24"/>
                <w:highlight w:val="none"/>
                <w:vertAlign w:val="baseline"/>
              </w:rPr>
              <w:t>。</w:t>
            </w:r>
          </w:p>
          <w:p>
            <w:pPr>
              <w:pStyle w:val="14"/>
              <w:keepNext w:val="0"/>
              <w:keepLines w:val="0"/>
              <w:pageBreakBefore w:val="0"/>
              <w:widowControl w:val="0"/>
              <w:kinsoku/>
              <w:wordWrap/>
              <w:overflowPunct/>
              <w:topLinePunct w:val="0"/>
              <w:bidi w:val="0"/>
              <w:spacing w:after="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vertAlign w:val="baseline"/>
              </w:rPr>
              <w:t>1）对地表水环境影响分析</w:t>
            </w:r>
          </w:p>
          <w:p>
            <w:pPr>
              <w:pStyle w:val="14"/>
              <w:keepNext w:val="0"/>
              <w:keepLines w:val="0"/>
              <w:pageBreakBefore w:val="0"/>
              <w:widowControl w:val="0"/>
              <w:kinsoku/>
              <w:wordWrap/>
              <w:overflowPunct/>
              <w:topLinePunct w:val="0"/>
              <w:bidi w:val="0"/>
              <w:spacing w:after="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泄漏影响分析</w:t>
            </w:r>
          </w:p>
          <w:p>
            <w:pPr>
              <w:pStyle w:val="14"/>
              <w:keepNext w:val="0"/>
              <w:keepLines w:val="0"/>
              <w:pageBreakBefore w:val="0"/>
              <w:widowControl w:val="0"/>
              <w:kinsoku/>
              <w:wordWrap/>
              <w:overflowPunct/>
              <w:topLinePunct w:val="0"/>
              <w:bidi w:val="0"/>
              <w:spacing w:after="0" w:line="360" w:lineRule="auto"/>
              <w:ind w:left="0" w:leftChars="0" w:right="0" w:firstLine="472"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2"/>
                <w:sz w:val="24"/>
                <w:szCs w:val="24"/>
                <w:highlight w:val="none"/>
              </w:rPr>
              <w:t>泄漏或渗漏的</w:t>
            </w:r>
            <w:r>
              <w:rPr>
                <w:rFonts w:hint="default" w:ascii="Times New Roman" w:hAnsi="Times New Roman" w:eastAsia="宋体" w:cs="Times New Roman"/>
                <w:color w:val="auto"/>
                <w:spacing w:val="-2"/>
                <w:sz w:val="24"/>
                <w:szCs w:val="24"/>
                <w:highlight w:val="none"/>
                <w:lang w:val="en-US" w:eastAsia="zh-CN"/>
              </w:rPr>
              <w:t>油类物质</w:t>
            </w:r>
            <w:r>
              <w:rPr>
                <w:rFonts w:hint="default" w:ascii="Times New Roman" w:hAnsi="Times New Roman" w:eastAsia="宋体" w:cs="Times New Roman"/>
                <w:color w:val="auto"/>
                <w:spacing w:val="-2"/>
                <w:sz w:val="24"/>
                <w:szCs w:val="24"/>
                <w:highlight w:val="none"/>
              </w:rPr>
              <w:t>一旦进入地表河流，将造成地表河流的污染</w:t>
            </w:r>
            <w:r>
              <w:rPr>
                <w:rFonts w:hint="default" w:ascii="Times New Roman" w:hAnsi="Times New Roman" w:eastAsia="宋体" w:cs="Times New Roman"/>
                <w:color w:val="auto"/>
                <w:spacing w:val="-3"/>
                <w:sz w:val="24"/>
                <w:szCs w:val="24"/>
                <w:highlight w:val="none"/>
              </w:rPr>
              <w:t>。污染首先将造成地表河流的景观破坏，产生严重的刺鼻性气味；其次，由于有机烃类物质难溶于水，大部分上浮在水层表面，形成一层油膜使空气隔离，造成水</w:t>
            </w:r>
            <w:r>
              <w:rPr>
                <w:rFonts w:hint="default" w:ascii="Times New Roman" w:hAnsi="Times New Roman" w:eastAsia="宋体" w:cs="Times New Roman"/>
                <w:color w:val="auto"/>
                <w:spacing w:val="-13"/>
                <w:sz w:val="24"/>
                <w:szCs w:val="24"/>
                <w:highlight w:val="none"/>
              </w:rPr>
              <w:t>中溶解氧浓度降低，逐渐形成死水，致使水中生物死亡；再次，成品油的主要成分是</w:t>
            </w:r>
            <w:r>
              <w:rPr>
                <w:rFonts w:hint="default" w:ascii="Times New Roman" w:hAnsi="Times New Roman" w:eastAsia="宋体" w:cs="Times New Roman"/>
                <w:color w:val="auto"/>
                <w:sz w:val="24"/>
                <w:szCs w:val="24"/>
                <w:highlight w:val="none"/>
              </w:rPr>
              <w:t>C4～C9的烃类、芳烃类、醇酮类以及卤代烃类有机物，一旦进入水体环境，由于可生化性较差，造成被污染水体长</w:t>
            </w:r>
            <w:r>
              <w:rPr>
                <w:rFonts w:hint="default" w:ascii="Times New Roman" w:hAnsi="Times New Roman" w:eastAsia="宋体" w:cs="Times New Roman"/>
                <w:color w:val="auto"/>
                <w:spacing w:val="-3"/>
                <w:sz w:val="24"/>
                <w:szCs w:val="24"/>
                <w:highlight w:val="none"/>
              </w:rPr>
              <w:t>时间得不到净化，完全恢复则需十几年、甚至几十年时间。</w:t>
            </w:r>
          </w:p>
          <w:p>
            <w:pPr>
              <w:pStyle w:val="14"/>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3"/>
                <w:sz w:val="24"/>
                <w:szCs w:val="24"/>
                <w:highlight w:val="none"/>
                <w:lang w:val="en-US" w:eastAsia="zh-CN"/>
              </w:rPr>
              <w:t>②</w:t>
            </w:r>
            <w:r>
              <w:rPr>
                <w:rFonts w:hint="default" w:ascii="Times New Roman" w:hAnsi="Times New Roman" w:eastAsia="宋体" w:cs="Times New Roman"/>
                <w:color w:val="auto"/>
                <w:spacing w:val="-3"/>
                <w:sz w:val="24"/>
                <w:szCs w:val="24"/>
                <w:highlight w:val="none"/>
              </w:rPr>
              <w:t>火灾、爆炸影响分析</w:t>
            </w:r>
          </w:p>
          <w:p>
            <w:pPr>
              <w:pStyle w:val="14"/>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3"/>
                <w:sz w:val="24"/>
                <w:szCs w:val="24"/>
                <w:highlight w:val="none"/>
                <w:lang w:val="en-US" w:eastAsia="zh-CN"/>
              </w:rPr>
              <w:t>油类物质</w:t>
            </w:r>
            <w:r>
              <w:rPr>
                <w:rFonts w:hint="default" w:ascii="Times New Roman" w:hAnsi="Times New Roman" w:eastAsia="宋体" w:cs="Times New Roman"/>
                <w:color w:val="auto"/>
                <w:spacing w:val="-3"/>
                <w:sz w:val="24"/>
                <w:szCs w:val="24"/>
                <w:highlight w:val="none"/>
              </w:rPr>
              <w:t>燃烧、爆炸产生污染物主要为CO和CO</w:t>
            </w:r>
            <w:r>
              <w:rPr>
                <w:rFonts w:hint="default" w:ascii="Times New Roman" w:hAnsi="Times New Roman" w:eastAsia="宋体" w:cs="Times New Roman"/>
                <w:color w:val="auto"/>
                <w:spacing w:val="-3"/>
                <w:sz w:val="24"/>
                <w:szCs w:val="24"/>
                <w:highlight w:val="none"/>
                <w:vertAlign w:val="subscript"/>
              </w:rPr>
              <w:t>2</w:t>
            </w:r>
            <w:r>
              <w:rPr>
                <w:rFonts w:hint="default" w:ascii="Times New Roman" w:hAnsi="Times New Roman" w:eastAsia="宋体" w:cs="Times New Roman"/>
                <w:color w:val="auto"/>
                <w:spacing w:val="-3"/>
                <w:sz w:val="24"/>
                <w:szCs w:val="24"/>
                <w:highlight w:val="none"/>
              </w:rPr>
              <w:t>，两种物质均不溶于水。项目内布设灭火器为干粉灭火器、消防沙等，发生火灾及灭火过程中项目内不会产生废水。因此项目发生火灾、爆炸事故后对周围水环境影响不大。</w:t>
            </w:r>
          </w:p>
          <w:p>
            <w:pPr>
              <w:pStyle w:val="14"/>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lang w:val="en-US" w:eastAsia="zh-CN"/>
              </w:rPr>
              <w:t>2）</w:t>
            </w:r>
            <w:r>
              <w:rPr>
                <w:rFonts w:hint="default" w:ascii="Times New Roman" w:hAnsi="Times New Roman" w:eastAsia="宋体" w:cs="Times New Roman"/>
                <w:color w:val="auto"/>
                <w:spacing w:val="-3"/>
                <w:sz w:val="24"/>
                <w:szCs w:val="24"/>
                <w:highlight w:val="none"/>
              </w:rPr>
              <w:t>对地下水环境</w:t>
            </w:r>
            <w:r>
              <w:rPr>
                <w:rFonts w:hint="default" w:ascii="Times New Roman" w:hAnsi="Times New Roman" w:eastAsia="宋体" w:cs="Times New Roman"/>
                <w:color w:val="auto"/>
                <w:sz w:val="24"/>
                <w:szCs w:val="24"/>
                <w:highlight w:val="none"/>
              </w:rPr>
              <w:t>的影响分析</w:t>
            </w:r>
          </w:p>
          <w:p>
            <w:pPr>
              <w:pStyle w:val="14"/>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储油</w:t>
            </w:r>
            <w:r>
              <w:rPr>
                <w:rFonts w:hint="default" w:ascii="Times New Roman" w:hAnsi="Times New Roman" w:eastAsia="宋体" w:cs="Times New Roman"/>
                <w:color w:val="auto"/>
                <w:spacing w:val="-3"/>
                <w:sz w:val="24"/>
                <w:szCs w:val="24"/>
                <w:highlight w:val="none"/>
                <w:lang w:val="en-US" w:eastAsia="zh-CN"/>
              </w:rPr>
              <w:t>桶</w:t>
            </w:r>
            <w:r>
              <w:rPr>
                <w:rFonts w:hint="default" w:ascii="Times New Roman" w:hAnsi="Times New Roman" w:eastAsia="宋体" w:cs="Times New Roman"/>
                <w:color w:val="auto"/>
                <w:spacing w:val="-3"/>
                <w:sz w:val="24"/>
                <w:szCs w:val="24"/>
                <w:highlight w:val="none"/>
              </w:rPr>
              <w:t>的泄漏或渗漏对地下水的污染较为严重，地下水一旦遭到成品油的污染，将使</w:t>
            </w:r>
            <w:r>
              <w:rPr>
                <w:rFonts w:hint="default" w:ascii="Times New Roman" w:hAnsi="Times New Roman" w:eastAsia="宋体" w:cs="Times New Roman"/>
                <w:color w:val="auto"/>
                <w:spacing w:val="-5"/>
                <w:sz w:val="24"/>
                <w:szCs w:val="24"/>
                <w:highlight w:val="none"/>
              </w:rPr>
              <w:t>地下水产生严重异味，并具有较强的致畸致癌性，无法饮用，又由于这种渗漏必然穿过较</w:t>
            </w:r>
            <w:r>
              <w:rPr>
                <w:rFonts w:hint="default" w:ascii="Times New Roman" w:hAnsi="Times New Roman" w:eastAsia="宋体" w:cs="Times New Roman"/>
                <w:color w:val="auto"/>
                <w:spacing w:val="-6"/>
                <w:sz w:val="24"/>
                <w:szCs w:val="24"/>
                <w:highlight w:val="none"/>
              </w:rPr>
              <w:t>厚的土层，使土壤层中吸附有大量的</w:t>
            </w:r>
            <w:r>
              <w:rPr>
                <w:rFonts w:hint="eastAsia" w:cs="Times New Roman"/>
                <w:color w:val="auto"/>
                <w:spacing w:val="-6"/>
                <w:sz w:val="24"/>
                <w:szCs w:val="24"/>
                <w:highlight w:val="none"/>
                <w:lang w:eastAsia="zh-CN"/>
              </w:rPr>
              <w:t>燃</w:t>
            </w:r>
            <w:r>
              <w:rPr>
                <w:rFonts w:hint="default" w:ascii="Times New Roman" w:hAnsi="Times New Roman" w:eastAsia="宋体" w:cs="Times New Roman"/>
                <w:color w:val="auto"/>
                <w:spacing w:val="-6"/>
                <w:sz w:val="24"/>
                <w:szCs w:val="24"/>
                <w:highlight w:val="none"/>
              </w:rPr>
              <w:t>料，土壤层吸附的燃料油不仅会造成植物生物的死亡，而且土壤层吸附的燃料还会随着地表水的下渗对土壤层的冲刷补充到地下水，这样</w:t>
            </w:r>
            <w:r>
              <w:rPr>
                <w:rFonts w:hint="default" w:ascii="Times New Roman" w:hAnsi="Times New Roman" w:eastAsia="宋体" w:cs="Times New Roman"/>
                <w:color w:val="auto"/>
                <w:sz w:val="24"/>
                <w:szCs w:val="24"/>
                <w:highlight w:val="none"/>
              </w:rPr>
              <w:t>即便污染源得到及时控制，地下水要完全恢复也需几十年甚至上百年的时间。</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72"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lang w:val="en-US" w:eastAsia="zh-CN"/>
              </w:rPr>
              <w:t>3）</w:t>
            </w:r>
            <w:r>
              <w:rPr>
                <w:rFonts w:hint="default" w:ascii="Times New Roman" w:hAnsi="Times New Roman" w:eastAsia="宋体" w:cs="Times New Roman"/>
                <w:color w:val="auto"/>
                <w:spacing w:val="-2"/>
                <w:sz w:val="24"/>
                <w:szCs w:val="24"/>
                <w:highlight w:val="none"/>
              </w:rPr>
              <w:t>对大气环境影响分析</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泄漏影响分析</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24"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4"/>
                <w:sz w:val="24"/>
                <w:szCs w:val="24"/>
                <w:highlight w:val="none"/>
              </w:rPr>
              <w:t>根据国内外的研究，对于突发性的事故溢油，油品溢出后在地面呈不规则的面源分布，</w:t>
            </w:r>
            <w:r>
              <w:rPr>
                <w:rFonts w:hint="default" w:ascii="Times New Roman" w:hAnsi="Times New Roman" w:eastAsia="宋体" w:cs="Times New Roman"/>
                <w:color w:val="auto"/>
                <w:spacing w:val="-3"/>
                <w:sz w:val="24"/>
                <w:szCs w:val="24"/>
                <w:highlight w:val="none"/>
              </w:rPr>
              <w:t>油品的挥发速度重要影响因素为油品蒸汽压、现场风速、油品溢出面积、油品蒸汽分子平</w:t>
            </w:r>
            <w:r>
              <w:rPr>
                <w:rFonts w:hint="default" w:ascii="Times New Roman" w:hAnsi="Times New Roman" w:eastAsia="宋体" w:cs="Times New Roman"/>
                <w:color w:val="auto"/>
                <w:spacing w:val="-7"/>
                <w:sz w:val="24"/>
                <w:szCs w:val="24"/>
                <w:highlight w:val="none"/>
              </w:rPr>
              <w:t>均重度。本项目设置</w:t>
            </w:r>
            <w:r>
              <w:rPr>
                <w:rFonts w:hint="default" w:ascii="Times New Roman" w:hAnsi="Times New Roman" w:eastAsia="宋体" w:cs="Times New Roman"/>
                <w:color w:val="auto"/>
                <w:spacing w:val="-7"/>
                <w:sz w:val="24"/>
                <w:szCs w:val="24"/>
                <w:highlight w:val="none"/>
                <w:lang w:val="en-US" w:eastAsia="zh-CN"/>
              </w:rPr>
              <w:t>废矿物油储存</w:t>
            </w:r>
            <w:r>
              <w:rPr>
                <w:rFonts w:hint="default" w:ascii="Times New Roman" w:hAnsi="Times New Roman" w:eastAsia="宋体" w:cs="Times New Roman"/>
                <w:color w:val="auto"/>
                <w:spacing w:val="-7"/>
                <w:sz w:val="24"/>
                <w:szCs w:val="24"/>
                <w:highlight w:val="none"/>
              </w:rPr>
              <w:t>，油品将主要通过储油区通气管非密封处挥发，不会造成大</w:t>
            </w:r>
            <w:r>
              <w:rPr>
                <w:rFonts w:hint="default" w:ascii="Times New Roman" w:hAnsi="Times New Roman" w:eastAsia="宋体" w:cs="Times New Roman"/>
                <w:color w:val="auto"/>
                <w:sz w:val="24"/>
                <w:szCs w:val="24"/>
                <w:highlight w:val="none"/>
              </w:rPr>
              <w:t>面积的扩散，对大气环境影响较小。</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火灾、爆炸产生的污染物对人和环境的影响分析</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矿物油</w:t>
            </w:r>
            <w:r>
              <w:rPr>
                <w:rFonts w:hint="default" w:ascii="Times New Roman" w:hAnsi="Times New Roman" w:eastAsia="宋体" w:cs="Times New Roman"/>
                <w:color w:val="auto"/>
                <w:sz w:val="24"/>
                <w:szCs w:val="24"/>
                <w:highlight w:val="none"/>
              </w:rPr>
              <w:t>为碳氢</w:t>
            </w:r>
            <w:r>
              <w:rPr>
                <w:rFonts w:hint="default" w:ascii="Times New Roman" w:hAnsi="Times New Roman" w:eastAsia="宋体" w:cs="Times New Roman"/>
                <w:color w:val="auto"/>
                <w:spacing w:val="-5"/>
                <w:sz w:val="24"/>
                <w:szCs w:val="24"/>
                <w:highlight w:val="none"/>
              </w:rPr>
              <w:t>化合物，分解产物为一氧化碳、二氧化碳及水，其中完全燃烧时产生二氧</w:t>
            </w:r>
            <w:r>
              <w:rPr>
                <w:rFonts w:hint="default" w:ascii="Times New Roman" w:hAnsi="Times New Roman" w:eastAsia="宋体" w:cs="Times New Roman"/>
                <w:color w:val="auto"/>
                <w:spacing w:val="-10"/>
                <w:sz w:val="24"/>
                <w:szCs w:val="24"/>
                <w:highlight w:val="none"/>
              </w:rPr>
              <w:t>化碳，不完全燃烧时产生</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pacing w:val="-27"/>
                <w:sz w:val="24"/>
                <w:szCs w:val="24"/>
                <w:highlight w:val="none"/>
              </w:rPr>
              <w:t>。</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pacing w:val="-6"/>
                <w:sz w:val="24"/>
                <w:szCs w:val="24"/>
                <w:highlight w:val="none"/>
              </w:rPr>
              <w:t>在大气中比较稳定，不易与其他物质产生化学反应，其</w:t>
            </w:r>
            <w:r>
              <w:rPr>
                <w:rFonts w:hint="default" w:ascii="Times New Roman" w:hAnsi="Times New Roman" w:eastAsia="宋体" w:cs="Times New Roman"/>
                <w:color w:val="auto"/>
                <w:spacing w:val="-5"/>
                <w:sz w:val="24"/>
                <w:szCs w:val="24"/>
                <w:highlight w:val="none"/>
              </w:rPr>
              <w:t>在进入大气后，由于大气的扩散稀释作用和氧化作用，一般不会造成危害，所以吸入时不为人们所察觉，是室内外空气中常见的污染物。当其浓度过高时，人在这种环境下待的时</w:t>
            </w:r>
            <w:r>
              <w:rPr>
                <w:rFonts w:hint="default" w:ascii="Times New Roman" w:hAnsi="Times New Roman" w:eastAsia="宋体" w:cs="Times New Roman"/>
                <w:color w:val="auto"/>
                <w:sz w:val="24"/>
                <w:szCs w:val="24"/>
                <w:highlight w:val="none"/>
              </w:rPr>
              <w:t>间较长，就会出现晕眩、头痛、怠倦的现象，CO对人的主要危害就是引起组织缺氧，导致急性或者慢性中毒甚至有死亡的威胁。此外，CO还可能造成听力与视力的损害，比如</w:t>
            </w:r>
            <w:r>
              <w:rPr>
                <w:rFonts w:hint="default" w:ascii="Times New Roman" w:hAnsi="Times New Roman" w:eastAsia="宋体" w:cs="Times New Roman"/>
                <w:color w:val="auto"/>
                <w:spacing w:val="-4"/>
                <w:sz w:val="24"/>
                <w:szCs w:val="24"/>
                <w:highlight w:val="none"/>
              </w:rPr>
              <w:t>视野的减小或者听力的丧失。二氧化碳对环境影响主要为温室效应。根据前面分析，项目</w:t>
            </w:r>
            <w:r>
              <w:rPr>
                <w:rFonts w:hint="default" w:ascii="Times New Roman" w:hAnsi="Times New Roman" w:eastAsia="宋体" w:cs="Times New Roman"/>
                <w:color w:val="auto"/>
                <w:spacing w:val="-6"/>
                <w:sz w:val="24"/>
                <w:szCs w:val="24"/>
                <w:highlight w:val="none"/>
              </w:rPr>
              <w:t>出现火灾、爆炸事故概率较小，排放的一氧化碳、二氧化碳经大气稀释、扩散后对周边大</w:t>
            </w:r>
            <w:r>
              <w:rPr>
                <w:rFonts w:hint="default" w:ascii="Times New Roman" w:hAnsi="Times New Roman" w:eastAsia="宋体" w:cs="Times New Roman"/>
                <w:color w:val="auto"/>
                <w:sz w:val="24"/>
                <w:szCs w:val="24"/>
                <w:highlight w:val="none"/>
              </w:rPr>
              <w:t>气环境影响较小。</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highlight w:val="none"/>
              </w:rPr>
              <w:t>环境风险防范措施及应急要求</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（1）风险防范措施</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1）火灾爆炸风险防范措施：</w:t>
            </w:r>
          </w:p>
          <w:p>
            <w:pPr>
              <w:pStyle w:val="77"/>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①生产车间按规范配置灭火器材和消防装备；</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②在生产区域明显位置张贴禁用明火的告示，加强油类物质存放区域的巡查。</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③工作人员要熟练掌握操作技术和防火安全管理规定；</w:t>
            </w:r>
          </w:p>
          <w:p>
            <w:pPr>
              <w:pStyle w:val="77"/>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④定期检查材料存储的安全状态，以防止泄漏引发火灾、爆炸。</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2）危险物质泄漏防范措施</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①仓库应做好防渗防腐处理，危废暂存间进行重点防渗；</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②危废暂存间设置一定高度围堰，防范危险物质泄漏蔓延到周边区域；</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③定期检查危险物质存储的安全状态，检查其包装有无破损，以防止泄漏。</w:t>
            </w:r>
          </w:p>
          <w:p>
            <w:pPr>
              <w:pStyle w:val="77"/>
              <w:keepNext w:val="0"/>
              <w:keepLines w:val="0"/>
              <w:pageBreakBefore w:val="0"/>
              <w:widowControl w:val="0"/>
              <w:kinsoku/>
              <w:wordWrap/>
              <w:overflowPunct/>
              <w:topLinePunct w:val="0"/>
              <w:autoSpaceDE/>
              <w:autoSpaceDN/>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szCs w:val="24"/>
                <w:highlight w:val="none"/>
                <w:lang w:val="en-US" w:eastAsia="zh-CN"/>
              </w:rPr>
              <w:t>④</w:t>
            </w:r>
            <w:r>
              <w:rPr>
                <w:rFonts w:hint="default" w:ascii="Times New Roman" w:hAnsi="Times New Roman" w:eastAsia="宋体" w:cs="Times New Roman"/>
                <w:bCs/>
                <w:color w:val="auto"/>
                <w:sz w:val="24"/>
                <w:szCs w:val="24"/>
                <w:highlight w:val="none"/>
                <w:lang w:val="zh-CN"/>
              </w:rPr>
              <w:t>建立健全安全、环境管理体系及高效的安全生产</w:t>
            </w:r>
            <w:r>
              <w:rPr>
                <w:rFonts w:hint="eastAsia" w:cs="Times New Roman"/>
                <w:bCs/>
                <w:color w:val="auto"/>
                <w:sz w:val="24"/>
                <w:szCs w:val="24"/>
                <w:highlight w:val="none"/>
                <w:lang w:val="zh-CN"/>
              </w:rPr>
              <w:t>机制</w:t>
            </w:r>
            <w:r>
              <w:rPr>
                <w:rFonts w:hint="default" w:ascii="Times New Roman" w:hAnsi="Times New Roman" w:eastAsia="宋体" w:cs="Times New Roman"/>
                <w:bCs/>
                <w:color w:val="auto"/>
                <w:sz w:val="24"/>
                <w:szCs w:val="24"/>
                <w:highlight w:val="none"/>
                <w:lang w:val="zh-CN"/>
              </w:rPr>
              <w:t>，一旦发生事故，要做到快速、高效、安全处置。</w:t>
            </w:r>
          </w:p>
          <w:p>
            <w:pPr>
              <w:pStyle w:val="77"/>
              <w:keepNext w:val="0"/>
              <w:keepLines w:val="0"/>
              <w:pageBreakBefore w:val="0"/>
              <w:widowControl w:val="0"/>
              <w:kinsoku/>
              <w:wordWrap/>
              <w:overflowPunct/>
              <w:topLinePunct w:val="0"/>
              <w:autoSpaceDE/>
              <w:autoSpaceDN/>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（2）应急要求</w:t>
            </w:r>
          </w:p>
          <w:p>
            <w:pPr>
              <w:pStyle w:val="14"/>
              <w:keepNext w:val="0"/>
              <w:keepLines w:val="0"/>
              <w:pageBreakBefore w:val="0"/>
              <w:widowControl w:val="0"/>
              <w:kinsoku/>
              <w:wordWrap/>
              <w:overflowPunct/>
              <w:topLinePunct w:val="0"/>
              <w:autoSpaceDE/>
              <w:autoSpaceDN/>
              <w:bidi w:val="0"/>
              <w:adjustRightInd/>
              <w:spacing w:after="0" w:line="360" w:lineRule="auto"/>
              <w:ind w:left="0" w:leftChars="0" w:right="0" w:firstLine="468" w:firstLineChars="200"/>
              <w:textAlignment w:val="auto"/>
              <w:rPr>
                <w:rFonts w:hint="default" w:ascii="Times New Roman" w:hAnsi="Times New Roman" w:eastAsia="宋体" w:cs="Times New Roman"/>
                <w:color w:val="auto"/>
                <w:kern w:val="0"/>
                <w:sz w:val="24"/>
                <w:highlight w:val="none"/>
                <w:lang w:bidi="en-US"/>
              </w:rPr>
            </w:pPr>
            <w:r>
              <w:rPr>
                <w:rFonts w:hint="default" w:ascii="Times New Roman" w:hAnsi="Times New Roman" w:eastAsia="宋体" w:cs="Times New Roman"/>
                <w:color w:val="auto"/>
                <w:spacing w:val="-3"/>
                <w:sz w:val="24"/>
                <w:highlight w:val="none"/>
              </w:rPr>
              <w:t>企业应按国家有关规定要求，编制突发环境事故应急预案，并经当地生态环境行政主</w:t>
            </w:r>
            <w:r>
              <w:rPr>
                <w:rFonts w:hint="default" w:ascii="Times New Roman" w:hAnsi="Times New Roman" w:eastAsia="宋体" w:cs="Times New Roman"/>
                <w:color w:val="auto"/>
                <w:spacing w:val="-13"/>
                <w:sz w:val="24"/>
                <w:highlight w:val="none"/>
              </w:rPr>
              <w:t>管部门审查备案。当发生环境风险事故时，按应急预案要求，认真落实各项事故应急措施，</w:t>
            </w:r>
            <w:r>
              <w:rPr>
                <w:rFonts w:hint="default" w:ascii="Times New Roman" w:hAnsi="Times New Roman" w:eastAsia="宋体" w:cs="Times New Roman"/>
                <w:color w:val="auto"/>
                <w:sz w:val="24"/>
                <w:highlight w:val="none"/>
              </w:rPr>
              <w:t>做到责任到位、落实到人、常备不懈。</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eastAsia="zh-CN"/>
              </w:rPr>
              <w:t>结论</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综上分析，通过采用严格的防火设计标准、加强原辅料储存管理、严格按有关规章制度进行生产操作等措施后，火灾发生的可能性很小。制定风险应急预案，一旦发生事故将可迅速响应，采取措施将影响降到最小。项目环境风险在可接受范围内，且采取措施后风险可控。</w:t>
            </w:r>
          </w:p>
          <w:p>
            <w:pPr>
              <w:keepNext w:val="0"/>
              <w:keepLines w:val="0"/>
              <w:pageBreakBefore w:val="0"/>
              <w:widowControl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综上所述，本项目风险处于完全可接受的水平，其风险管理措施有效、可靠，从防范风险角度分析是可行的</w:t>
            </w:r>
            <w:r>
              <w:rPr>
                <w:rFonts w:hint="default" w:ascii="Times New Roman" w:hAnsi="Times New Roman" w:eastAsia="宋体" w:cs="Times New Roman"/>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八、“三本账”核算</w:t>
            </w:r>
          </w:p>
          <w:p>
            <w:pPr>
              <w:keepNext w:val="0"/>
              <w:keepLines w:val="0"/>
              <w:pageBreakBefore w:val="0"/>
              <w:widowControl w:val="0"/>
              <w:kinsoku/>
              <w:wordWrap/>
              <w:overflowPunct/>
              <w:topLinePunct w:val="0"/>
              <w:bidi w:val="0"/>
              <w:spacing w:line="360" w:lineRule="auto"/>
              <w:ind w:leftChars="0"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本项目</w:t>
            </w:r>
            <w:r>
              <w:rPr>
                <w:rFonts w:hint="default" w:ascii="Times New Roman" w:hAnsi="Times New Roman" w:eastAsia="宋体" w:cs="Times New Roman"/>
                <w:color w:val="auto"/>
                <w:sz w:val="24"/>
                <w:highlight w:val="none"/>
                <w:lang w:val="en-US" w:eastAsia="zh-CN"/>
              </w:rPr>
              <w:t>扩建</w:t>
            </w:r>
            <w:r>
              <w:rPr>
                <w:rFonts w:hint="default" w:ascii="Times New Roman" w:hAnsi="Times New Roman" w:eastAsia="宋体" w:cs="Times New Roman"/>
                <w:color w:val="auto"/>
                <w:sz w:val="24"/>
                <w:highlight w:val="none"/>
                <w:lang w:val="zh-CN"/>
              </w:rPr>
              <w:t>前后污染物排放变化情况详见表</w:t>
            </w:r>
            <w:r>
              <w:rPr>
                <w:rFonts w:hint="default" w:ascii="Times New Roman" w:hAnsi="Times New Roman" w:eastAsia="宋体" w:cs="Times New Roman"/>
                <w:color w:val="auto"/>
                <w:sz w:val="24"/>
                <w:highlight w:val="none"/>
                <w:lang w:val="en-US" w:eastAsia="zh-CN"/>
              </w:rPr>
              <w:t>4-27</w:t>
            </w:r>
            <w:r>
              <w:rPr>
                <w:rFonts w:hint="default" w:ascii="Times New Roman" w:hAnsi="Times New Roman" w:eastAsia="宋体" w:cs="Times New Roman"/>
                <w:color w:val="auto"/>
                <w:sz w:val="24"/>
                <w:highlight w:val="none"/>
                <w:lang w:val="zh-CN"/>
              </w:rPr>
              <w:t>。</w:t>
            </w:r>
          </w:p>
          <w:p>
            <w:pPr>
              <w:spacing w:line="400" w:lineRule="exact"/>
              <w:ind w:firstLine="480"/>
              <w:jc w:val="center"/>
              <w:rPr>
                <w:rFonts w:hint="default" w:ascii="Times New Roman" w:hAnsi="Times New Roman" w:eastAsia="宋体" w:cs="Times New Roman"/>
                <w:b/>
                <w:bCs/>
                <w:color w:val="auto"/>
                <w:szCs w:val="21"/>
                <w:highlight w:val="none"/>
                <w:lang w:val="zh-CN"/>
              </w:rPr>
            </w:pPr>
            <w:r>
              <w:rPr>
                <w:rFonts w:hint="default" w:ascii="Times New Roman" w:hAnsi="Times New Roman" w:eastAsia="宋体" w:cs="Times New Roman"/>
                <w:b/>
                <w:bCs/>
                <w:color w:val="auto"/>
                <w:szCs w:val="21"/>
                <w:highlight w:val="none"/>
                <w:lang w:val="zh-CN"/>
              </w:rPr>
              <w:t>表</w:t>
            </w:r>
            <w:r>
              <w:rPr>
                <w:rFonts w:hint="default" w:ascii="Times New Roman" w:hAnsi="Times New Roman" w:eastAsia="宋体" w:cs="Times New Roman"/>
                <w:b/>
                <w:bCs/>
                <w:color w:val="auto"/>
                <w:szCs w:val="21"/>
                <w:highlight w:val="none"/>
                <w:lang w:val="en-US" w:eastAsia="zh-CN"/>
              </w:rPr>
              <w:t xml:space="preserve">4-27 </w:t>
            </w:r>
            <w:r>
              <w:rPr>
                <w:rFonts w:hint="default" w:ascii="Times New Roman" w:hAnsi="Times New Roman" w:eastAsia="宋体" w:cs="Times New Roman"/>
                <w:b/>
                <w:bCs/>
                <w:color w:val="auto"/>
                <w:szCs w:val="21"/>
                <w:highlight w:val="none"/>
              </w:rPr>
              <w:t xml:space="preserve">  </w:t>
            </w:r>
            <w:r>
              <w:rPr>
                <w:rFonts w:hint="default" w:ascii="Times New Roman" w:hAnsi="Times New Roman" w:eastAsia="宋体" w:cs="Times New Roman"/>
                <w:b/>
                <w:bCs/>
                <w:color w:val="auto"/>
                <w:szCs w:val="21"/>
                <w:highlight w:val="none"/>
                <w:lang w:val="zh-CN"/>
              </w:rPr>
              <w:t>项目</w:t>
            </w:r>
            <w:r>
              <w:rPr>
                <w:rFonts w:hint="default" w:ascii="Times New Roman" w:hAnsi="Times New Roman" w:eastAsia="宋体" w:cs="Times New Roman"/>
                <w:b/>
                <w:bCs/>
                <w:color w:val="auto"/>
                <w:szCs w:val="21"/>
                <w:highlight w:val="none"/>
                <w:lang w:val="en-US" w:eastAsia="zh-CN"/>
              </w:rPr>
              <w:t>扩建</w:t>
            </w:r>
            <w:r>
              <w:rPr>
                <w:rFonts w:hint="default" w:ascii="Times New Roman" w:hAnsi="Times New Roman" w:eastAsia="宋体" w:cs="Times New Roman"/>
                <w:b/>
                <w:bCs/>
                <w:color w:val="auto"/>
                <w:szCs w:val="21"/>
                <w:highlight w:val="none"/>
                <w:lang w:val="zh-CN"/>
              </w:rPr>
              <w:t>前后污染物排放三本帐一览表</w:t>
            </w:r>
          </w:p>
          <w:tbl>
            <w:tblPr>
              <w:tblStyle w:val="26"/>
              <w:tblW w:w="8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981"/>
              <w:gridCol w:w="887"/>
              <w:gridCol w:w="759"/>
              <w:gridCol w:w="903"/>
              <w:gridCol w:w="795"/>
              <w:gridCol w:w="900"/>
              <w:gridCol w:w="885"/>
              <w:gridCol w:w="951"/>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gridSpan w:val="2"/>
                  <w:vMerge w:val="restart"/>
                  <w:tcBorders>
                    <w:tl2br w:val="single" w:color="auto" w:sz="4" w:space="0"/>
                  </w:tcBorders>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数量</w:t>
                  </w:r>
                </w:p>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指标</w:t>
                  </w:r>
                </w:p>
              </w:tc>
              <w:tc>
                <w:tcPr>
                  <w:tcW w:w="980" w:type="pct"/>
                  <w:gridSpan w:val="2"/>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现有</w:t>
                  </w:r>
                  <w:r>
                    <w:rPr>
                      <w:rFonts w:hint="default" w:ascii="Times New Roman" w:hAnsi="Times New Roman" w:eastAsia="宋体" w:cs="Times New Roman"/>
                      <w:b/>
                      <w:bCs/>
                      <w:color w:val="auto"/>
                      <w:szCs w:val="21"/>
                      <w:highlight w:val="none"/>
                    </w:rPr>
                    <w:t>工程</w:t>
                  </w:r>
                </w:p>
              </w:tc>
              <w:tc>
                <w:tcPr>
                  <w:tcW w:w="1547" w:type="pct"/>
                  <w:gridSpan w:val="3"/>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扩建</w:t>
                  </w:r>
                  <w:r>
                    <w:rPr>
                      <w:rFonts w:hint="default" w:ascii="Times New Roman" w:hAnsi="Times New Roman" w:eastAsia="宋体" w:cs="Times New Roman"/>
                      <w:b/>
                      <w:bCs/>
                      <w:color w:val="auto"/>
                      <w:szCs w:val="21"/>
                      <w:highlight w:val="none"/>
                    </w:rPr>
                    <w:t>工程</w:t>
                  </w:r>
                </w:p>
              </w:tc>
              <w:tc>
                <w:tcPr>
                  <w:tcW w:w="1637" w:type="pct"/>
                  <w:gridSpan w:val="3"/>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gridSpan w:val="2"/>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rPr>
                  </w:pPr>
                </w:p>
              </w:tc>
              <w:tc>
                <w:tcPr>
                  <w:tcW w:w="528" w:type="pc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产生量（t/a）</w:t>
                  </w:r>
                </w:p>
              </w:tc>
              <w:tc>
                <w:tcPr>
                  <w:tcW w:w="452" w:type="pc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排放量（t/a）</w:t>
                  </w:r>
                </w:p>
              </w:tc>
              <w:tc>
                <w:tcPr>
                  <w:tcW w:w="537" w:type="pct"/>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产生量（t/a）</w:t>
                  </w:r>
                </w:p>
              </w:tc>
              <w:tc>
                <w:tcPr>
                  <w:tcW w:w="473" w:type="pct"/>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自身削减量（t/a）</w:t>
                  </w:r>
                </w:p>
              </w:tc>
              <w:tc>
                <w:tcPr>
                  <w:tcW w:w="536" w:type="pct"/>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排放量（t/a）</w:t>
                  </w:r>
                </w:p>
              </w:tc>
              <w:tc>
                <w:tcPr>
                  <w:tcW w:w="527" w:type="pct"/>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排放量（t/a）</w:t>
                  </w:r>
                </w:p>
              </w:tc>
              <w:tc>
                <w:tcPr>
                  <w:tcW w:w="566" w:type="pct"/>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“以新带老”消减量（t/a）</w:t>
                  </w:r>
                </w:p>
              </w:tc>
              <w:tc>
                <w:tcPr>
                  <w:tcW w:w="543" w:type="pct"/>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排放增减量（t/a）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废气</w:t>
                  </w:r>
                </w:p>
              </w:tc>
              <w:tc>
                <w:tcPr>
                  <w:tcW w:w="584"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废气量</w:t>
                  </w:r>
                </w:p>
              </w:tc>
              <w:tc>
                <w:tcPr>
                  <w:tcW w:w="528"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452"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37"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36288</w:t>
                  </w:r>
                  <w:r>
                    <w:rPr>
                      <w:rFonts w:hint="default" w:ascii="Times New Roman" w:hAnsi="Times New Roman" w:eastAsia="宋体" w:cs="Times New Roman"/>
                      <w:color w:val="auto"/>
                      <w:spacing w:val="-28"/>
                      <w:sz w:val="21"/>
                      <w:szCs w:val="21"/>
                      <w:highlight w:val="none"/>
                    </w:rPr>
                    <w:t>万</w:t>
                  </w:r>
                  <w:r>
                    <w:rPr>
                      <w:rFonts w:hint="default" w:ascii="Times New Roman" w:hAnsi="Times New Roman" w:eastAsia="宋体" w:cs="Times New Roman"/>
                      <w:color w:val="auto"/>
                      <w:spacing w:val="-4"/>
                      <w:sz w:val="21"/>
                      <w:szCs w:val="21"/>
                      <w:highlight w:val="none"/>
                    </w:rPr>
                    <w:t>m</w:t>
                  </w:r>
                  <w:r>
                    <w:rPr>
                      <w:rFonts w:hint="default" w:ascii="Times New Roman" w:hAnsi="Times New Roman" w:eastAsia="宋体" w:cs="Times New Roman"/>
                      <w:color w:val="auto"/>
                      <w:spacing w:val="-4"/>
                      <w:sz w:val="21"/>
                      <w:szCs w:val="21"/>
                      <w:highlight w:val="none"/>
                      <w:vertAlign w:val="superscript"/>
                      <w:lang w:val="en-US" w:eastAsia="zh-CN"/>
                    </w:rPr>
                    <w:t>3</w:t>
                  </w:r>
                  <w:r>
                    <w:rPr>
                      <w:rFonts w:hint="default" w:ascii="Times New Roman" w:hAnsi="Times New Roman" w:eastAsia="宋体" w:cs="Times New Roman"/>
                      <w:color w:val="auto"/>
                      <w:spacing w:val="-4"/>
                      <w:sz w:val="21"/>
                      <w:szCs w:val="21"/>
                      <w:highlight w:val="none"/>
                    </w:rPr>
                    <w:t>/a</w:t>
                  </w:r>
                </w:p>
              </w:tc>
              <w:tc>
                <w:tcPr>
                  <w:tcW w:w="473" w:type="pct"/>
                  <w:noWrap w:val="0"/>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p>
              </w:tc>
              <w:tc>
                <w:tcPr>
                  <w:tcW w:w="536"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36288</w:t>
                  </w:r>
                  <w:r>
                    <w:rPr>
                      <w:rFonts w:hint="default" w:ascii="Times New Roman" w:hAnsi="Times New Roman" w:eastAsia="宋体" w:cs="Times New Roman"/>
                      <w:color w:val="auto"/>
                      <w:spacing w:val="-28"/>
                      <w:sz w:val="21"/>
                      <w:szCs w:val="21"/>
                      <w:highlight w:val="none"/>
                    </w:rPr>
                    <w:t>万</w:t>
                  </w:r>
                  <w:r>
                    <w:rPr>
                      <w:rFonts w:hint="default" w:ascii="Times New Roman" w:hAnsi="Times New Roman" w:eastAsia="宋体" w:cs="Times New Roman"/>
                      <w:color w:val="auto"/>
                      <w:spacing w:val="-4"/>
                      <w:sz w:val="21"/>
                      <w:szCs w:val="21"/>
                      <w:highlight w:val="none"/>
                    </w:rPr>
                    <w:t>m</w:t>
                  </w:r>
                  <w:r>
                    <w:rPr>
                      <w:rFonts w:hint="default" w:ascii="Times New Roman" w:hAnsi="Times New Roman" w:eastAsia="宋体" w:cs="Times New Roman"/>
                      <w:color w:val="auto"/>
                      <w:spacing w:val="-4"/>
                      <w:sz w:val="21"/>
                      <w:szCs w:val="21"/>
                      <w:highlight w:val="none"/>
                      <w:vertAlign w:val="superscript"/>
                      <w:lang w:val="en-US" w:eastAsia="zh-CN"/>
                    </w:rPr>
                    <w:t>3</w:t>
                  </w:r>
                  <w:r>
                    <w:rPr>
                      <w:rFonts w:hint="default" w:ascii="Times New Roman" w:hAnsi="Times New Roman" w:eastAsia="宋体" w:cs="Times New Roman"/>
                      <w:color w:val="auto"/>
                      <w:spacing w:val="-4"/>
                      <w:sz w:val="21"/>
                      <w:szCs w:val="21"/>
                      <w:highlight w:val="none"/>
                    </w:rPr>
                    <w:t>/a</w:t>
                  </w:r>
                </w:p>
              </w:tc>
              <w:tc>
                <w:tcPr>
                  <w:tcW w:w="527"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36288</w:t>
                  </w:r>
                  <w:r>
                    <w:rPr>
                      <w:rFonts w:hint="default" w:ascii="Times New Roman" w:hAnsi="Times New Roman" w:eastAsia="宋体" w:cs="Times New Roman"/>
                      <w:color w:val="auto"/>
                      <w:spacing w:val="-28"/>
                      <w:sz w:val="21"/>
                      <w:szCs w:val="21"/>
                      <w:highlight w:val="none"/>
                    </w:rPr>
                    <w:t>万</w:t>
                  </w:r>
                  <w:r>
                    <w:rPr>
                      <w:rFonts w:hint="default" w:ascii="Times New Roman" w:hAnsi="Times New Roman" w:eastAsia="宋体" w:cs="Times New Roman"/>
                      <w:color w:val="auto"/>
                      <w:spacing w:val="-4"/>
                      <w:sz w:val="21"/>
                      <w:szCs w:val="21"/>
                      <w:highlight w:val="none"/>
                    </w:rPr>
                    <w:t>m</w:t>
                  </w:r>
                  <w:r>
                    <w:rPr>
                      <w:rFonts w:hint="default" w:ascii="Times New Roman" w:hAnsi="Times New Roman" w:eastAsia="宋体" w:cs="Times New Roman"/>
                      <w:color w:val="auto"/>
                      <w:spacing w:val="-4"/>
                      <w:sz w:val="21"/>
                      <w:szCs w:val="21"/>
                      <w:highlight w:val="none"/>
                      <w:vertAlign w:val="superscript"/>
                      <w:lang w:val="en-US" w:eastAsia="zh-CN"/>
                    </w:rPr>
                    <w:t>3</w:t>
                  </w:r>
                  <w:r>
                    <w:rPr>
                      <w:rFonts w:hint="default" w:ascii="Times New Roman" w:hAnsi="Times New Roman" w:eastAsia="宋体" w:cs="Times New Roman"/>
                      <w:color w:val="auto"/>
                      <w:spacing w:val="-4"/>
                      <w:sz w:val="21"/>
                      <w:szCs w:val="21"/>
                      <w:highlight w:val="none"/>
                    </w:rPr>
                    <w:t>/a</w:t>
                  </w:r>
                </w:p>
              </w:tc>
              <w:tc>
                <w:tcPr>
                  <w:tcW w:w="566"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43"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36288</w:t>
                  </w:r>
                  <w:r>
                    <w:rPr>
                      <w:rFonts w:hint="default" w:ascii="Times New Roman" w:hAnsi="Times New Roman" w:eastAsia="宋体" w:cs="Times New Roman"/>
                      <w:color w:val="auto"/>
                      <w:spacing w:val="-28"/>
                      <w:sz w:val="21"/>
                      <w:szCs w:val="21"/>
                      <w:highlight w:val="none"/>
                    </w:rPr>
                    <w:t>万</w:t>
                  </w:r>
                  <w:r>
                    <w:rPr>
                      <w:rFonts w:hint="default" w:ascii="Times New Roman" w:hAnsi="Times New Roman" w:eastAsia="宋体" w:cs="Times New Roman"/>
                      <w:color w:val="auto"/>
                      <w:spacing w:val="-4"/>
                      <w:sz w:val="21"/>
                      <w:szCs w:val="21"/>
                      <w:highlight w:val="none"/>
                    </w:rPr>
                    <w:t>m</w:t>
                  </w:r>
                  <w:r>
                    <w:rPr>
                      <w:rFonts w:hint="default" w:ascii="Times New Roman" w:hAnsi="Times New Roman" w:eastAsia="宋体" w:cs="Times New Roman"/>
                      <w:color w:val="auto"/>
                      <w:spacing w:val="-4"/>
                      <w:sz w:val="21"/>
                      <w:szCs w:val="21"/>
                      <w:highlight w:val="none"/>
                      <w:vertAlign w:val="superscript"/>
                      <w:lang w:val="en-US" w:eastAsia="zh-CN"/>
                    </w:rPr>
                    <w:t>3</w:t>
                  </w:r>
                  <w:r>
                    <w:rPr>
                      <w:rFonts w:hint="default" w:ascii="Times New Roman" w:hAnsi="Times New Roman" w:eastAsia="宋体" w:cs="Times New Roman"/>
                      <w:color w:val="auto"/>
                      <w:spacing w:val="-4"/>
                      <w:sz w:val="21"/>
                      <w:szCs w:val="21"/>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584"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颗粒物</w:t>
                  </w:r>
                </w:p>
              </w:tc>
              <w:tc>
                <w:tcPr>
                  <w:tcW w:w="528"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0.27</w:t>
                  </w:r>
                </w:p>
              </w:tc>
              <w:tc>
                <w:tcPr>
                  <w:tcW w:w="452"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0.162</w:t>
                  </w:r>
                </w:p>
              </w:tc>
              <w:tc>
                <w:tcPr>
                  <w:tcW w:w="537"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473" w:type="pct"/>
                  <w:noWrap w:val="0"/>
                  <w:vAlign w:val="center"/>
                </w:tcPr>
                <w:p>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36"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27"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0.162</w:t>
                  </w:r>
                </w:p>
              </w:tc>
              <w:tc>
                <w:tcPr>
                  <w:tcW w:w="566"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43"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584"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非甲烷总烃</w:t>
                  </w:r>
                </w:p>
              </w:tc>
              <w:tc>
                <w:tcPr>
                  <w:tcW w:w="528"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452"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37"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12.5</w:t>
                  </w:r>
                </w:p>
              </w:tc>
              <w:tc>
                <w:tcPr>
                  <w:tcW w:w="473" w:type="pct"/>
                  <w:noWrap w:val="0"/>
                  <w:vAlign w:val="center"/>
                </w:tcPr>
                <w:p>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536"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4.7</w:t>
                  </w:r>
                </w:p>
              </w:tc>
              <w:tc>
                <w:tcPr>
                  <w:tcW w:w="527"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4.7</w:t>
                  </w:r>
                </w:p>
              </w:tc>
              <w:tc>
                <w:tcPr>
                  <w:tcW w:w="566"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43"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废水</w:t>
                  </w:r>
                </w:p>
              </w:tc>
              <w:tc>
                <w:tcPr>
                  <w:tcW w:w="584"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废水量</w:t>
                  </w:r>
                </w:p>
              </w:tc>
              <w:tc>
                <w:tcPr>
                  <w:tcW w:w="528"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highlight w:val="none"/>
                      <w:lang w:val="en-US" w:eastAsia="zh-CN"/>
                    </w:rPr>
                    <w:t>240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w:t>
                  </w:r>
                </w:p>
              </w:tc>
              <w:tc>
                <w:tcPr>
                  <w:tcW w:w="452"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37"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480m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w:t>
                  </w:r>
                </w:p>
              </w:tc>
              <w:tc>
                <w:tcPr>
                  <w:tcW w:w="473" w:type="pct"/>
                  <w:noWrap w:val="0"/>
                  <w:vAlign w:val="center"/>
                </w:tcPr>
                <w:p>
                  <w:pPr>
                    <w:widowControl/>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sz w:val="21"/>
                      <w:szCs w:val="21"/>
                      <w:highlight w:val="none"/>
                      <w:lang w:val="en-US" w:eastAsia="zh-CN"/>
                    </w:rPr>
                    <w:t>480m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w:t>
                  </w:r>
                </w:p>
              </w:tc>
              <w:tc>
                <w:tcPr>
                  <w:tcW w:w="536"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27" w:type="pct"/>
                  <w:noWrap w:val="0"/>
                  <w:vAlign w:val="center"/>
                </w:tcPr>
                <w:p>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66"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43"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固废</w:t>
                  </w:r>
                </w:p>
              </w:tc>
              <w:tc>
                <w:tcPr>
                  <w:tcW w:w="584"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rPr>
                    <w:t>一般工业固废</w:t>
                  </w:r>
                </w:p>
              </w:tc>
              <w:tc>
                <w:tcPr>
                  <w:tcW w:w="528"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18</w:t>
                  </w:r>
                </w:p>
              </w:tc>
              <w:tc>
                <w:tcPr>
                  <w:tcW w:w="452"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0</w:t>
                  </w:r>
                </w:p>
              </w:tc>
              <w:tc>
                <w:tcPr>
                  <w:tcW w:w="537"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11.2</w:t>
                  </w:r>
                </w:p>
              </w:tc>
              <w:tc>
                <w:tcPr>
                  <w:tcW w:w="473"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0</w:t>
                  </w:r>
                </w:p>
              </w:tc>
              <w:tc>
                <w:tcPr>
                  <w:tcW w:w="536"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0</w:t>
                  </w:r>
                </w:p>
              </w:tc>
              <w:tc>
                <w:tcPr>
                  <w:tcW w:w="527"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0</w:t>
                  </w:r>
                </w:p>
              </w:tc>
              <w:tc>
                <w:tcPr>
                  <w:tcW w:w="566"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0</w:t>
                  </w:r>
                </w:p>
              </w:tc>
              <w:tc>
                <w:tcPr>
                  <w:tcW w:w="543"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584"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生活固废（生活垃圾、污泥、餐厨垃圾）</w:t>
                  </w:r>
                </w:p>
              </w:tc>
              <w:tc>
                <w:tcPr>
                  <w:tcW w:w="528"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3.96</w:t>
                  </w:r>
                </w:p>
              </w:tc>
              <w:tc>
                <w:tcPr>
                  <w:tcW w:w="452"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37"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7.92</w:t>
                  </w:r>
                </w:p>
              </w:tc>
              <w:tc>
                <w:tcPr>
                  <w:tcW w:w="473"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36"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27"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66"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43"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584"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危险固废</w:t>
                  </w:r>
                </w:p>
              </w:tc>
              <w:tc>
                <w:tcPr>
                  <w:tcW w:w="528"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c>
                <w:tcPr>
                  <w:tcW w:w="452"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37"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30.53</w:t>
                  </w:r>
                </w:p>
              </w:tc>
              <w:tc>
                <w:tcPr>
                  <w:tcW w:w="473"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w:t>
                  </w:r>
                </w:p>
              </w:tc>
              <w:tc>
                <w:tcPr>
                  <w:tcW w:w="536"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w:t>
                  </w:r>
                </w:p>
              </w:tc>
              <w:tc>
                <w:tcPr>
                  <w:tcW w:w="527"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566"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543"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r>
          </w:tbl>
          <w:p>
            <w:pPr>
              <w:spacing w:line="400" w:lineRule="exact"/>
              <w:ind w:firstLine="480"/>
              <w:jc w:val="center"/>
              <w:rPr>
                <w:rFonts w:hint="default" w:ascii="Times New Roman" w:hAnsi="Times New Roman" w:eastAsia="宋体" w:cs="Times New Roman"/>
                <w:b/>
                <w:bCs/>
                <w:color w:val="auto"/>
                <w:szCs w:val="21"/>
                <w:highlight w:val="none"/>
                <w:lang w:val="zh-CN"/>
              </w:rPr>
            </w:pPr>
          </w:p>
          <w:p>
            <w:pPr>
              <w:spacing w:line="400" w:lineRule="exact"/>
              <w:ind w:firstLine="480"/>
              <w:jc w:val="center"/>
              <w:rPr>
                <w:rFonts w:hint="default" w:ascii="Times New Roman" w:hAnsi="Times New Roman" w:eastAsia="宋体" w:cs="Times New Roman"/>
                <w:b/>
                <w:bCs/>
                <w:color w:val="auto"/>
                <w:szCs w:val="21"/>
                <w:highlight w:val="none"/>
                <w:lang w:val="zh-CN"/>
              </w:rPr>
            </w:pPr>
          </w:p>
          <w:p>
            <w:pPr>
              <w:spacing w:line="400" w:lineRule="exact"/>
              <w:ind w:firstLine="480"/>
              <w:jc w:val="center"/>
              <w:rPr>
                <w:rFonts w:hint="default" w:ascii="Times New Roman" w:hAnsi="Times New Roman" w:eastAsia="宋体" w:cs="Times New Roman"/>
                <w:b/>
                <w:bCs/>
                <w:color w:val="auto"/>
                <w:szCs w:val="21"/>
                <w:highlight w:val="none"/>
                <w:lang w:val="zh-CN"/>
              </w:rPr>
            </w:pPr>
          </w:p>
          <w:p>
            <w:pPr>
              <w:spacing w:line="400" w:lineRule="exact"/>
              <w:ind w:firstLine="480"/>
              <w:jc w:val="center"/>
              <w:rPr>
                <w:rFonts w:hint="default" w:ascii="Times New Roman" w:hAnsi="Times New Roman" w:eastAsia="宋体" w:cs="Times New Roman"/>
                <w:b/>
                <w:bCs/>
                <w:color w:val="auto"/>
                <w:szCs w:val="21"/>
                <w:highlight w:val="none"/>
                <w:lang w:val="zh-CN"/>
              </w:rPr>
            </w:pPr>
          </w:p>
          <w:p>
            <w:pPr>
              <w:spacing w:line="400" w:lineRule="exact"/>
              <w:ind w:firstLine="480"/>
              <w:jc w:val="center"/>
              <w:rPr>
                <w:rFonts w:hint="default" w:ascii="Times New Roman" w:hAnsi="Times New Roman" w:eastAsia="宋体" w:cs="Times New Roman"/>
                <w:b/>
                <w:bCs/>
                <w:color w:val="auto"/>
                <w:szCs w:val="21"/>
                <w:highlight w:val="none"/>
                <w:lang w:val="zh-CN"/>
              </w:rPr>
            </w:pPr>
          </w:p>
          <w:p>
            <w:pPr>
              <w:spacing w:line="400" w:lineRule="exact"/>
              <w:ind w:firstLine="480"/>
              <w:jc w:val="center"/>
              <w:rPr>
                <w:rFonts w:hint="default" w:ascii="Times New Roman" w:hAnsi="Times New Roman" w:eastAsia="宋体" w:cs="Times New Roman"/>
                <w:b/>
                <w:bCs/>
                <w:color w:val="auto"/>
                <w:szCs w:val="21"/>
                <w:highlight w:val="none"/>
                <w:lang w:val="zh-CN"/>
              </w:rPr>
            </w:pPr>
          </w:p>
          <w:p>
            <w:pPr>
              <w:spacing w:line="400" w:lineRule="exact"/>
              <w:ind w:firstLine="480"/>
              <w:jc w:val="center"/>
              <w:rPr>
                <w:rFonts w:hint="default" w:ascii="Times New Roman" w:hAnsi="Times New Roman" w:eastAsia="宋体" w:cs="Times New Roman"/>
                <w:b/>
                <w:bCs/>
                <w:color w:val="auto"/>
                <w:szCs w:val="21"/>
                <w:highlight w:val="none"/>
                <w:lang w:val="zh-CN"/>
              </w:rPr>
            </w:pPr>
          </w:p>
          <w:p>
            <w:pPr>
              <w:spacing w:line="400" w:lineRule="exact"/>
              <w:ind w:firstLine="480"/>
              <w:jc w:val="center"/>
              <w:rPr>
                <w:rFonts w:hint="default" w:ascii="Times New Roman" w:hAnsi="Times New Roman" w:eastAsia="宋体" w:cs="Times New Roman"/>
                <w:b/>
                <w:bCs/>
                <w:color w:val="auto"/>
                <w:szCs w:val="21"/>
                <w:highlight w:val="none"/>
                <w:lang w:val="zh-CN"/>
              </w:rPr>
            </w:pPr>
          </w:p>
          <w:p>
            <w:pPr>
              <w:spacing w:line="400" w:lineRule="exact"/>
              <w:ind w:firstLine="480"/>
              <w:jc w:val="center"/>
              <w:rPr>
                <w:rFonts w:hint="default" w:ascii="Times New Roman" w:hAnsi="Times New Roman" w:eastAsia="宋体" w:cs="Times New Roman"/>
                <w:b/>
                <w:bCs/>
                <w:color w:val="auto"/>
                <w:szCs w:val="21"/>
                <w:highlight w:val="none"/>
                <w:lang w:val="zh-CN"/>
              </w:rPr>
            </w:pPr>
          </w:p>
          <w:p>
            <w:pPr>
              <w:spacing w:line="400" w:lineRule="exact"/>
              <w:ind w:firstLine="480"/>
              <w:jc w:val="center"/>
              <w:rPr>
                <w:rFonts w:hint="default" w:ascii="Times New Roman" w:hAnsi="Times New Roman" w:eastAsia="宋体" w:cs="Times New Roman"/>
                <w:b/>
                <w:bCs/>
                <w:color w:val="auto"/>
                <w:szCs w:val="21"/>
                <w:highlight w:val="none"/>
                <w:lang w:val="zh-CN"/>
              </w:rPr>
            </w:pPr>
          </w:p>
          <w:p>
            <w:pPr>
              <w:adjustRightInd w:val="0"/>
              <w:snapToGrid w:val="0"/>
              <w:spacing w:line="360" w:lineRule="auto"/>
              <w:rPr>
                <w:rFonts w:hint="default" w:ascii="Times New Roman" w:hAnsi="Times New Roman" w:eastAsia="宋体" w:cs="Times New Roman"/>
                <w:bCs/>
                <w:color w:val="auto"/>
                <w:spacing w:val="-10"/>
                <w:sz w:val="24"/>
                <w:szCs w:val="24"/>
                <w:highlight w:val="none"/>
                <w:lang w:val="en-US" w:eastAsia="zh-CN"/>
              </w:rPr>
            </w:pPr>
          </w:p>
        </w:tc>
      </w:tr>
    </w:tbl>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eastAsia="宋体" w:cs="Times New Roman"/>
          <w:b/>
          <w:bCs/>
          <w:snapToGrid w:val="0"/>
          <w:color w:val="auto"/>
          <w:sz w:val="30"/>
          <w:szCs w:val="30"/>
          <w:highlight w:val="none"/>
        </w:r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59" w:name="_Toc6939"/>
      <w:r>
        <w:rPr>
          <w:rFonts w:hint="default" w:ascii="Times New Roman" w:hAnsi="Times New Roman" w:eastAsia="宋体" w:cs="Times New Roman"/>
          <w:b/>
          <w:bCs/>
          <w:snapToGrid w:val="0"/>
          <w:color w:val="auto"/>
          <w:sz w:val="30"/>
          <w:szCs w:val="30"/>
          <w:highlight w:val="none"/>
        </w:rPr>
        <w:t>五、</w:t>
      </w:r>
      <w:bookmarkStart w:id="60" w:name="_Hlk54167917"/>
      <w:r>
        <w:rPr>
          <w:rFonts w:hint="default" w:ascii="Times New Roman" w:hAnsi="Times New Roman" w:eastAsia="宋体" w:cs="Times New Roman"/>
          <w:b/>
          <w:bCs/>
          <w:snapToGrid w:val="0"/>
          <w:color w:val="auto"/>
          <w:sz w:val="30"/>
          <w:szCs w:val="30"/>
          <w:highlight w:val="none"/>
        </w:rPr>
        <w:t>环境保护措施监督检查清单</w:t>
      </w:r>
      <w:bookmarkEnd w:id="56"/>
      <w:bookmarkEnd w:id="59"/>
      <w:bookmarkEnd w:id="60"/>
    </w:p>
    <w:tbl>
      <w:tblPr>
        <w:tblStyle w:val="26"/>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
        <w:gridCol w:w="1557"/>
        <w:gridCol w:w="1384"/>
        <w:gridCol w:w="2941"/>
        <w:gridCol w:w="20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6" w:type="dxa"/>
            <w:tcBorders>
              <w:tl2br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155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排放口</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编号、名称</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/污染源</w:t>
            </w:r>
          </w:p>
        </w:tc>
        <w:tc>
          <w:tcPr>
            <w:tcW w:w="138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294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环境保护措施</w:t>
            </w:r>
          </w:p>
        </w:tc>
        <w:tc>
          <w:tcPr>
            <w:tcW w:w="203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8" w:hRule="atLeast"/>
          <w:jc w:val="center"/>
        </w:trPr>
        <w:tc>
          <w:tcPr>
            <w:tcW w:w="886" w:type="dxa"/>
            <w:vMerge w:val="restart"/>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1557"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生产车间吹膜废气（DA001）</w:t>
            </w:r>
          </w:p>
        </w:tc>
        <w:tc>
          <w:tcPr>
            <w:tcW w:w="1384"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挥发性有机物（以非甲烷总烃计）、臭气浓度</w:t>
            </w:r>
          </w:p>
        </w:tc>
        <w:tc>
          <w:tcPr>
            <w:tcW w:w="2941"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车间内15台吹膜机出口上方分别设置集气罩将吹膜废气统一收集进入</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UV光氧催化+三级活性炭吸附</w:t>
            </w:r>
            <w:r>
              <w:rPr>
                <w:rFonts w:hint="default" w:ascii="Times New Roman" w:hAnsi="Times New Roman" w:eastAsia="宋体" w:cs="Times New Roman"/>
                <w:color w:val="auto"/>
                <w:sz w:val="21"/>
                <w:szCs w:val="21"/>
                <w:highlight w:val="none"/>
              </w:rPr>
              <w:t>装置”</w:t>
            </w:r>
            <w:r>
              <w:rPr>
                <w:rFonts w:hint="default" w:ascii="Times New Roman" w:hAnsi="Times New Roman" w:eastAsia="宋体" w:cs="Times New Roman"/>
                <w:color w:val="auto"/>
                <w:sz w:val="21"/>
                <w:szCs w:val="21"/>
                <w:highlight w:val="none"/>
                <w:lang w:val="en-US" w:eastAsia="zh-CN"/>
              </w:rPr>
              <w:t>处理达标后由</w:t>
            </w:r>
            <w:r>
              <w:rPr>
                <w:rFonts w:hint="default" w:ascii="Times New Roman" w:hAnsi="Times New Roman" w:eastAsia="宋体" w:cs="Times New Roman"/>
                <w:color w:val="auto"/>
                <w:sz w:val="21"/>
                <w:szCs w:val="21"/>
                <w:highlight w:val="none"/>
              </w:rPr>
              <w:t>1根15m高排气筒（</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2"/>
                <w:sz w:val="21"/>
                <w:szCs w:val="21"/>
                <w:highlight w:val="none"/>
              </w:rPr>
              <w:t>废气收集效率为</w:t>
            </w:r>
            <w:r>
              <w:rPr>
                <w:rFonts w:hint="default" w:ascii="Times New Roman" w:hAnsi="Times New Roman" w:eastAsia="宋体" w:cs="Times New Roman"/>
                <w:color w:val="auto"/>
                <w:kern w:val="2"/>
                <w:sz w:val="21"/>
                <w:szCs w:val="21"/>
                <w:highlight w:val="none"/>
                <w:lang w:val="en-US" w:eastAsia="zh-CN"/>
              </w:rPr>
              <w:t>80</w:t>
            </w: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配套</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为75600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UV光氧催化+三级活性炭吸附</w:t>
            </w:r>
            <w:r>
              <w:rPr>
                <w:rFonts w:hint="default" w:ascii="Times New Roman" w:hAnsi="Times New Roman" w:eastAsia="宋体" w:cs="Times New Roman"/>
                <w:color w:val="auto"/>
                <w:sz w:val="21"/>
                <w:szCs w:val="21"/>
                <w:highlight w:val="none"/>
              </w:rPr>
              <w:t>装置”</w:t>
            </w:r>
            <w:r>
              <w:rPr>
                <w:rFonts w:hint="default" w:ascii="Times New Roman" w:hAnsi="Times New Roman" w:eastAsia="宋体" w:cs="Times New Roman"/>
                <w:bCs/>
                <w:color w:val="auto"/>
                <w:sz w:val="21"/>
                <w:szCs w:val="21"/>
                <w:highlight w:val="none"/>
              </w:rPr>
              <w:t>去除效率</w:t>
            </w:r>
            <w:r>
              <w:rPr>
                <w:rFonts w:hint="default" w:ascii="Times New Roman" w:hAnsi="Times New Roman" w:eastAsia="宋体" w:cs="Times New Roman"/>
                <w:bCs/>
                <w:color w:val="auto"/>
                <w:sz w:val="21"/>
                <w:szCs w:val="21"/>
                <w:highlight w:val="none"/>
                <w:lang w:val="en-US" w:eastAsia="zh-CN"/>
              </w:rPr>
              <w:t>78%</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排气筒内径0.8m</w:t>
            </w:r>
            <w:r>
              <w:rPr>
                <w:rFonts w:hint="default" w:ascii="Times New Roman" w:hAnsi="Times New Roman" w:eastAsia="宋体" w:cs="Times New Roman"/>
                <w:color w:val="auto"/>
                <w:sz w:val="21"/>
                <w:szCs w:val="21"/>
                <w:highlight w:val="none"/>
              </w:rPr>
              <w:t>。</w:t>
            </w:r>
          </w:p>
        </w:tc>
        <w:tc>
          <w:tcPr>
            <w:tcW w:w="2032"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非甲烷总烃执行</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合成树脂工业污染物排放标准</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z w:val="21"/>
                <w:szCs w:val="21"/>
                <w:highlight w:val="none"/>
                <w:lang w:val="en-US" w:eastAsia="zh-CN"/>
              </w:rPr>
              <w:t>31572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2015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中相关</w:t>
            </w:r>
            <w:r>
              <w:rPr>
                <w:rFonts w:hint="default" w:ascii="Times New Roman" w:hAnsi="Times New Roman" w:eastAsia="宋体" w:cs="Times New Roman"/>
                <w:color w:val="auto"/>
                <w:sz w:val="21"/>
                <w:szCs w:val="21"/>
                <w:highlight w:val="none"/>
                <w:lang w:val="en-US" w:eastAsia="zh-CN"/>
              </w:rPr>
              <w:t>大气污染物排放限值</w:t>
            </w:r>
            <w:r>
              <w:rPr>
                <w:rFonts w:hint="default" w:ascii="Times New Roman" w:hAnsi="Times New Roman" w:eastAsia="宋体" w:cs="Times New Roman"/>
                <w:b w:val="0"/>
                <w:bCs w:val="0"/>
                <w:color w:val="auto"/>
                <w:sz w:val="21"/>
                <w:szCs w:val="21"/>
                <w:highlight w:val="none"/>
                <w:lang w:val="zh-CN" w:eastAsia="zh-CN"/>
              </w:rPr>
              <w:t>，</w:t>
            </w:r>
            <w:r>
              <w:rPr>
                <w:rFonts w:hint="default" w:ascii="Times New Roman" w:hAnsi="Times New Roman" w:eastAsia="宋体" w:cs="Times New Roman"/>
                <w:b w:val="0"/>
                <w:bCs w:val="0"/>
                <w:color w:val="auto"/>
                <w:sz w:val="21"/>
                <w:szCs w:val="21"/>
                <w:highlight w:val="none"/>
                <w:lang w:val="en-US" w:eastAsia="zh-CN"/>
              </w:rPr>
              <w:t>即</w:t>
            </w:r>
            <w:r>
              <w:rPr>
                <w:rFonts w:hint="default" w:ascii="Times New Roman" w:hAnsi="Times New Roman" w:eastAsia="宋体" w:cs="Times New Roman"/>
                <w:bCs/>
                <w:color w:val="auto"/>
                <w:kern w:val="2"/>
                <w:sz w:val="21"/>
                <w:szCs w:val="21"/>
                <w:highlight w:val="none"/>
                <w:vertAlign w:val="baseline"/>
                <w:lang w:val="en-US" w:eastAsia="zh-CN" w:bidi="ar-SA"/>
              </w:rPr>
              <w:t>非甲烷总烃</w:t>
            </w:r>
            <w:r>
              <w:rPr>
                <w:rFonts w:hint="default" w:ascii="Times New Roman" w:hAnsi="Times New Roman" w:eastAsia="宋体" w:cs="Times New Roman"/>
                <w:color w:val="auto"/>
                <w:sz w:val="21"/>
                <w:szCs w:val="21"/>
                <w:highlight w:val="none"/>
                <w:lang w:val="en-US" w:eastAsia="zh-CN"/>
              </w:rPr>
              <w:t>≤100</w:t>
            </w:r>
            <w:r>
              <w:rPr>
                <w:rFonts w:hint="default" w:ascii="Times New Roman" w:hAnsi="Times New Roman" w:eastAsia="宋体" w:cs="Times New Roman"/>
                <w:color w:val="auto"/>
                <w:sz w:val="21"/>
                <w:szCs w:val="21"/>
                <w:highlight w:val="none"/>
              </w:rPr>
              <w:t>mg/m³</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lang w:val="en-US" w:eastAsia="zh-CN"/>
              </w:rPr>
              <w:t>臭气浓度执行</w:t>
            </w:r>
            <w:r>
              <w:rPr>
                <w:rFonts w:hint="default" w:ascii="Times New Roman" w:hAnsi="Times New Roman" w:eastAsia="宋体" w:cs="Times New Roman"/>
                <w:color w:val="auto"/>
                <w:sz w:val="21"/>
                <w:szCs w:val="21"/>
                <w:highlight w:val="none"/>
                <w:lang w:val="zh-CN"/>
              </w:rPr>
              <w:t>《恶臭污染物排放标准》（GB14554-93）表1</w:t>
            </w:r>
            <w:r>
              <w:rPr>
                <w:rFonts w:hint="default" w:ascii="Times New Roman" w:hAnsi="Times New Roman" w:eastAsia="宋体" w:cs="Times New Roman"/>
                <w:color w:val="auto"/>
                <w:sz w:val="21"/>
                <w:szCs w:val="21"/>
                <w:highlight w:val="none"/>
              </w:rPr>
              <w:t>中二级新建</w:t>
            </w:r>
            <w:r>
              <w:rPr>
                <w:rFonts w:hint="default" w:ascii="Times New Roman" w:hAnsi="Times New Roman" w:eastAsia="宋体" w:cs="Times New Roman"/>
                <w:color w:val="auto"/>
                <w:sz w:val="21"/>
                <w:szCs w:val="21"/>
                <w:highlight w:val="none"/>
                <w:lang w:val="zh-CN"/>
              </w:rPr>
              <w:t>企业厂界排放标准要求</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lang w:val="zh-CN"/>
              </w:rPr>
              <w:t>厂内无组织VOCs排放浓度限值执行</w:t>
            </w:r>
            <w:r>
              <w:rPr>
                <w:rFonts w:hint="default" w:ascii="Times New Roman" w:hAnsi="Times New Roman" w:eastAsia="宋体" w:cs="Times New Roman"/>
                <w:color w:val="auto"/>
                <w:sz w:val="21"/>
                <w:szCs w:val="21"/>
              </w:rPr>
              <w:t>《挥发性有机物无组织排放控制标准》</w:t>
            </w:r>
            <w:r>
              <w:rPr>
                <w:rFonts w:hint="default" w:ascii="Times New Roman" w:hAnsi="Times New Roman" w:eastAsia="宋体" w:cs="Times New Roman"/>
                <w:color w:val="auto"/>
                <w:sz w:val="21"/>
                <w:szCs w:val="21"/>
                <w:lang w:val="zh-CN"/>
              </w:rPr>
              <w:t>（GB</w:t>
            </w:r>
            <w:r>
              <w:rPr>
                <w:rFonts w:hint="default" w:ascii="Times New Roman" w:hAnsi="Times New Roman" w:eastAsia="宋体" w:cs="Times New Roman"/>
                <w:color w:val="auto"/>
                <w:sz w:val="21"/>
                <w:szCs w:val="21"/>
              </w:rPr>
              <w:t>37822</w:t>
            </w:r>
            <w:r>
              <w:rPr>
                <w:rFonts w:hint="default" w:ascii="Times New Roman" w:hAnsi="Times New Roman" w:eastAsia="宋体" w:cs="Times New Roman"/>
                <w:color w:val="auto"/>
                <w:sz w:val="21"/>
                <w:szCs w:val="21"/>
                <w:lang w:val="zh-CN"/>
              </w:rPr>
              <w:t>-</w:t>
            </w:r>
            <w:r>
              <w:rPr>
                <w:rFonts w:hint="default" w:ascii="Times New Roman" w:hAnsi="Times New Roman" w:eastAsia="宋体" w:cs="Times New Roman"/>
                <w:color w:val="auto"/>
                <w:sz w:val="21"/>
                <w:szCs w:val="21"/>
              </w:rPr>
              <w:t>2019</w:t>
            </w:r>
            <w:r>
              <w:rPr>
                <w:rFonts w:hint="default" w:ascii="Times New Roman" w:hAnsi="Times New Roman" w:eastAsia="宋体" w:cs="Times New Roman"/>
                <w:color w:val="auto"/>
                <w:sz w:val="21"/>
                <w:szCs w:val="21"/>
                <w:lang w:val="zh-CN"/>
              </w:rPr>
              <w:t>）</w:t>
            </w:r>
            <w:r>
              <w:rPr>
                <w:rFonts w:hint="default" w:ascii="Times New Roman" w:hAnsi="Times New Roman" w:eastAsia="宋体" w:cs="Times New Roman"/>
                <w:color w:val="auto"/>
                <w:sz w:val="21"/>
                <w:szCs w:val="21"/>
              </w:rPr>
              <w:t>中的要求</w:t>
            </w:r>
            <w:r>
              <w:rPr>
                <w:rFonts w:hint="default" w:ascii="Times New Roman" w:hAnsi="Times New Roman" w:eastAsia="宋体" w:cs="Times New Roman"/>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6"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557" w:type="dxa"/>
            <w:vAlign w:val="center"/>
          </w:tcPr>
          <w:p>
            <w:pPr>
              <w:pStyle w:val="24"/>
              <w:spacing w:after="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食堂</w:t>
            </w:r>
          </w:p>
        </w:tc>
        <w:tc>
          <w:tcPr>
            <w:tcW w:w="1384" w:type="dxa"/>
            <w:vAlign w:val="center"/>
          </w:tcPr>
          <w:p>
            <w:pPr>
              <w:pStyle w:val="24"/>
              <w:spacing w:after="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油烟</w:t>
            </w:r>
          </w:p>
        </w:tc>
        <w:tc>
          <w:tcPr>
            <w:tcW w:w="2941"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食堂油烟配套“1个集气罩+1台油烟净化设施+高于生活综合楼房顶1.5m高的排气筒”，油烟净化器净化效率不低于60%。</w:t>
            </w:r>
          </w:p>
        </w:tc>
        <w:tc>
          <w:tcPr>
            <w:tcW w:w="2032"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《饮食业油烟排放标准（试行）》（GB18483-2001）中的小型规模</w:t>
            </w:r>
            <w:r>
              <w:rPr>
                <w:rFonts w:hint="default" w:ascii="Times New Roman" w:hAnsi="Times New Roman" w:eastAsia="宋体" w:cs="Times New Roman"/>
                <w:color w:val="auto"/>
                <w:sz w:val="21"/>
                <w:szCs w:val="21"/>
                <w:highlight w:val="none"/>
              </w:rPr>
              <w:t>最高允许排放浓度，即油烟≤</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6"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557" w:type="dxa"/>
            <w:vAlign w:val="center"/>
          </w:tcPr>
          <w:p>
            <w:pPr>
              <w:pStyle w:val="24"/>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生产过程、化粪池、污水处理站</w:t>
            </w:r>
          </w:p>
        </w:tc>
        <w:tc>
          <w:tcPr>
            <w:tcW w:w="1384" w:type="dxa"/>
            <w:vAlign w:val="center"/>
          </w:tcPr>
          <w:p>
            <w:pPr>
              <w:pStyle w:val="24"/>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无组织臭气浓度</w:t>
            </w:r>
          </w:p>
        </w:tc>
        <w:tc>
          <w:tcPr>
            <w:tcW w:w="2941"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加强通风及管理。</w:t>
            </w:r>
          </w:p>
        </w:tc>
        <w:tc>
          <w:tcPr>
            <w:tcW w:w="2032"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eastAsia="zh-CN"/>
              </w:rPr>
              <w:t>《恶臭污染物排放标准》（GB14554-93）表1</w:t>
            </w:r>
            <w:r>
              <w:rPr>
                <w:rFonts w:hint="default" w:ascii="Times New Roman" w:hAnsi="Times New Roman" w:eastAsia="宋体" w:cs="Times New Roman"/>
                <w:color w:val="auto"/>
                <w:sz w:val="21"/>
                <w:szCs w:val="21"/>
                <w:highlight w:val="none"/>
                <w:lang w:val="en-US" w:eastAsia="zh-CN"/>
              </w:rPr>
              <w:t>中二级新建</w:t>
            </w:r>
            <w:r>
              <w:rPr>
                <w:rFonts w:hint="default" w:ascii="Times New Roman" w:hAnsi="Times New Roman" w:eastAsia="宋体" w:cs="Times New Roman"/>
                <w:color w:val="auto"/>
                <w:sz w:val="21"/>
                <w:szCs w:val="21"/>
                <w:highlight w:val="none"/>
                <w:lang w:val="zh-CN" w:eastAsia="zh-CN"/>
              </w:rPr>
              <w:t>企业厂界排放标准要求，</w:t>
            </w:r>
            <w:r>
              <w:rPr>
                <w:rFonts w:hint="default" w:ascii="Times New Roman" w:hAnsi="Times New Roman" w:eastAsia="宋体" w:cs="Times New Roman"/>
                <w:color w:val="auto"/>
                <w:sz w:val="21"/>
                <w:szCs w:val="21"/>
                <w:highlight w:val="none"/>
                <w:lang w:val="en-US" w:eastAsia="zh-CN"/>
              </w:rPr>
              <w:t>即无组织</w:t>
            </w:r>
            <w:r>
              <w:rPr>
                <w:rFonts w:hint="default" w:ascii="Times New Roman" w:hAnsi="Times New Roman" w:eastAsia="宋体" w:cs="Times New Roman"/>
                <w:bCs/>
                <w:color w:val="auto"/>
                <w:szCs w:val="21"/>
                <w:highlight w:val="none"/>
              </w:rPr>
              <w:t>臭气浓度</w:t>
            </w:r>
            <w:r>
              <w:rPr>
                <w:rFonts w:hint="default" w:ascii="Times New Roman" w:hAnsi="Times New Roman" w:eastAsia="宋体" w:cs="Times New Roman"/>
                <w:bCs/>
                <w:color w:val="auto"/>
                <w:szCs w:val="21"/>
                <w:highlight w:val="none"/>
                <w:lang w:val="en-US" w:eastAsia="zh-CN"/>
              </w:rPr>
              <w:t>≤20（无量纲）</w:t>
            </w:r>
            <w:r>
              <w:rPr>
                <w:rFonts w:hint="default" w:ascii="Times New Roman" w:hAnsi="Times New Roman" w:eastAsia="宋体" w:cs="Times New Roman"/>
                <w:color w:val="auto"/>
                <w:sz w:val="21"/>
                <w:szCs w:val="21"/>
                <w:highlight w:val="none"/>
                <w:lang w:val="zh-CN"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6"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w:t>
            </w:r>
          </w:p>
        </w:tc>
        <w:tc>
          <w:tcPr>
            <w:tcW w:w="1557"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食堂废水、其他办公生活污水</w:t>
            </w:r>
          </w:p>
        </w:tc>
        <w:tc>
          <w:tcPr>
            <w:tcW w:w="1384"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Cs w:val="21"/>
                <w:highlight w:val="none"/>
              </w:rPr>
              <w:t>CODcr</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BOD</w:t>
            </w:r>
            <w:r>
              <w:rPr>
                <w:rFonts w:hint="default" w:ascii="Times New Roman" w:hAnsi="Times New Roman" w:eastAsia="宋体" w:cs="Times New Roman"/>
                <w:color w:val="auto"/>
                <w:kern w:val="0"/>
                <w:szCs w:val="21"/>
                <w:highlight w:val="none"/>
                <w:vertAlign w:val="subscript"/>
              </w:rPr>
              <w:t>5</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SS</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氨氮</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szCs w:val="21"/>
                <w:highlight w:val="none"/>
                <w:lang w:eastAsia="zh-CN" w:bidi="ar"/>
              </w:rPr>
              <w:t>总磷、</w:t>
            </w:r>
            <w:r>
              <w:rPr>
                <w:rFonts w:hint="default" w:ascii="Times New Roman" w:hAnsi="Times New Roman" w:eastAsia="宋体" w:cs="Times New Roman"/>
                <w:color w:val="auto"/>
                <w:szCs w:val="21"/>
                <w:highlight w:val="none"/>
                <w:lang w:val="en-US" w:eastAsia="zh-CN" w:bidi="ar"/>
              </w:rPr>
              <w:t>动植物油、LAS</w:t>
            </w:r>
          </w:p>
        </w:tc>
        <w:tc>
          <w:tcPr>
            <w:tcW w:w="2941"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食堂含油废水经原项目</w:t>
            </w:r>
            <w:r>
              <w:rPr>
                <w:rFonts w:hint="default" w:ascii="Times New Roman" w:hAnsi="Times New Roman" w:eastAsia="宋体" w:cs="Times New Roman"/>
                <w:b w:val="0"/>
                <w:bCs w:val="0"/>
                <w:color w:val="auto"/>
                <w:kern w:val="2"/>
                <w:sz w:val="21"/>
                <w:szCs w:val="21"/>
                <w:highlight w:val="none"/>
                <w:vertAlign w:val="baseline"/>
                <w:lang w:val="en-US" w:eastAsia="zh-CN" w:bidi="ar-SA"/>
              </w:rPr>
              <w:t>已建</w:t>
            </w:r>
            <w:r>
              <w:rPr>
                <w:rFonts w:hint="default" w:ascii="Times New Roman" w:hAnsi="Times New Roman" w:eastAsia="宋体" w:cs="Times New Roman"/>
                <w:b w:val="0"/>
                <w:bCs w:val="0"/>
                <w:color w:val="auto"/>
                <w:sz w:val="21"/>
                <w:szCs w:val="21"/>
                <w:highlight w:val="none"/>
                <w:lang w:val="en-US" w:eastAsia="zh-CN"/>
              </w:rPr>
              <w:t>隔油池预处理后与其他办公生活污水一并进入已建化粪池、地埋式一体化污水处理站处理达《城市污水再生利用 城市杂用水水质》（GB/T18920-2020）中的城市绿化、道路清扫、消防、建筑施工标准后，非雨天用于项目区内绿化及道路场地洒水降尘，不外排。</w:t>
            </w:r>
            <w:r>
              <w:rPr>
                <w:rFonts w:hint="default" w:ascii="Times New Roman" w:hAnsi="Times New Roman" w:eastAsia="宋体" w:cs="Times New Roman"/>
                <w:color w:val="auto"/>
                <w:sz w:val="21"/>
                <w:szCs w:val="21"/>
                <w:highlight w:val="none"/>
                <w:lang w:val="en-US" w:eastAsia="zh-CN"/>
              </w:rPr>
              <w:t>雨天储存于蓄水池中待晴天再回用，不外排。</w:t>
            </w:r>
          </w:p>
        </w:tc>
        <w:tc>
          <w:tcPr>
            <w:tcW w:w="2032"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《城市污水再生利用 城市杂用水水质》（GB/T18920-2020）中的城市绿化、道路清扫、消防、建筑施工标准</w:t>
            </w:r>
            <w:r>
              <w:rPr>
                <w:rFonts w:hint="default" w:ascii="Times New Roman" w:hAnsi="Times New Roman" w:eastAsia="宋体"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6"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557"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吹膜机组</w:t>
            </w:r>
          </w:p>
        </w:tc>
        <w:tc>
          <w:tcPr>
            <w:tcW w:w="1384" w:type="dxa"/>
            <w:vAlign w:val="center"/>
          </w:tcPr>
          <w:p>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Leq（A）</w:t>
            </w:r>
          </w:p>
        </w:tc>
        <w:tc>
          <w:tcPr>
            <w:tcW w:w="2941"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基础减震、厂房隔音。</w:t>
            </w:r>
          </w:p>
        </w:tc>
        <w:tc>
          <w:tcPr>
            <w:tcW w:w="2032"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北、西、南厂界执行</w:t>
            </w:r>
            <w:r>
              <w:rPr>
                <w:rFonts w:hint="default" w:ascii="Times New Roman" w:hAnsi="Times New Roman" w:eastAsia="宋体" w:cs="Times New Roman"/>
                <w:color w:val="auto"/>
                <w:szCs w:val="21"/>
                <w:highlight w:val="none"/>
              </w:rPr>
              <w:t>《工业企业厂界环境噪声排放标准》（GB12348-2008）</w:t>
            </w:r>
            <w:r>
              <w:rPr>
                <w:rFonts w:hint="default" w:ascii="Times New Roman" w:hAnsi="Times New Roman" w:eastAsia="宋体" w:cs="Times New Roman"/>
                <w:color w:val="auto"/>
                <w:szCs w:val="21"/>
                <w:highlight w:val="none"/>
                <w:lang w:val="en-US" w:eastAsia="zh-CN"/>
              </w:rPr>
              <w:t>3</w:t>
            </w:r>
            <w:r>
              <w:rPr>
                <w:rFonts w:hint="default" w:ascii="Times New Roman" w:hAnsi="Times New Roman" w:eastAsia="宋体" w:cs="Times New Roman"/>
                <w:color w:val="auto"/>
                <w:szCs w:val="21"/>
                <w:highlight w:val="none"/>
              </w:rPr>
              <w:t>类标准</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 w:val="21"/>
                <w:szCs w:val="21"/>
                <w:highlight w:val="none"/>
              </w:rPr>
              <w:t>临1号路一侧</w:t>
            </w:r>
            <w:r>
              <w:rPr>
                <w:rFonts w:hint="default" w:ascii="Times New Roman" w:hAnsi="Times New Roman" w:eastAsia="宋体"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rPr>
              <w:t>m范围内</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东厂界</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执行</w:t>
            </w:r>
            <w:r>
              <w:rPr>
                <w:rFonts w:hint="default" w:ascii="Times New Roman" w:hAnsi="Times New Roman" w:eastAsia="宋体" w:cs="Times New Roman"/>
                <w:color w:val="auto"/>
                <w:sz w:val="21"/>
                <w:szCs w:val="21"/>
                <w:highlight w:val="none"/>
              </w:rPr>
              <w:t>《工业企业厂界环境噪声排放标准》（GB12348-2008）</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类</w:t>
            </w:r>
            <w:r>
              <w:rPr>
                <w:rFonts w:hint="default" w:ascii="Times New Roman" w:hAnsi="Times New Roman" w:eastAsia="宋体" w:cs="Times New Roman"/>
                <w:color w:val="auto"/>
                <w:sz w:val="21"/>
                <w:szCs w:val="21"/>
                <w:highlight w:val="none"/>
                <w:lang w:val="en-US" w:eastAsia="zh-CN"/>
              </w:rPr>
              <w:t>标准</w:t>
            </w:r>
            <w:r>
              <w:rPr>
                <w:rFonts w:hint="default" w:ascii="Times New Roman" w:hAnsi="Times New Roman" w:eastAsia="宋体" w:cs="Times New Roman"/>
                <w:color w:val="auto"/>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6"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电磁辐射</w:t>
            </w:r>
          </w:p>
        </w:tc>
        <w:tc>
          <w:tcPr>
            <w:tcW w:w="1557"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84"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941"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032"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6" w:type="dxa"/>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固体废物</w:t>
            </w:r>
          </w:p>
        </w:tc>
        <w:tc>
          <w:tcPr>
            <w:tcW w:w="7914" w:type="dxa"/>
            <w:gridSpan w:val="4"/>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项目废包装材料、废边角料及不合格产品统一收集后暂存于一般固废暂存区，定期外售；生活垃圾由项目区工作人员使用带盖式生活垃圾收集桶统一收集后由当地环卫部门定期清运、处置；食堂餐厨垃圾通过加盖塑料桶收集后由有资质的单位定期清运、处置；化粪池及一体化污水处理站污泥定期清掏后委托环卫部门定期清掏清运处置；废UV灯管、废活性炭、废机油、机修废物等分类收集暂存于危险废物暂存间，定期委托有资质的单位清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6"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土壤及地下水污染防治措施</w:t>
            </w:r>
          </w:p>
        </w:tc>
        <w:tc>
          <w:tcPr>
            <w:tcW w:w="7914" w:type="dxa"/>
            <w:gridSpan w:val="4"/>
            <w:vAlign w:val="center"/>
          </w:tcPr>
          <w:p>
            <w:pPr>
              <w:widowControl/>
              <w:adjustRightInd/>
              <w:snapToGrid/>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项目区进行分区防渗，重点防渗：</w:t>
            </w:r>
            <w:r>
              <w:rPr>
                <w:rFonts w:hint="default" w:ascii="Times New Roman" w:hAnsi="Times New Roman" w:eastAsia="宋体" w:cs="Times New Roman"/>
                <w:b w:val="0"/>
                <w:bCs w:val="0"/>
                <w:color w:val="auto"/>
                <w:sz w:val="21"/>
                <w:szCs w:val="21"/>
                <w:highlight w:val="none"/>
                <w:lang w:val="zh-CN"/>
              </w:rPr>
              <w:t>危废</w:t>
            </w:r>
            <w:r>
              <w:rPr>
                <w:rFonts w:hint="default" w:ascii="Times New Roman" w:hAnsi="Times New Roman" w:eastAsia="宋体" w:cs="Times New Roman"/>
                <w:color w:val="auto"/>
                <w:sz w:val="21"/>
                <w:szCs w:val="21"/>
                <w:highlight w:val="none"/>
                <w:lang w:val="zh-CN"/>
              </w:rPr>
              <w:t>暂存间地面及</w:t>
            </w:r>
            <w:r>
              <w:rPr>
                <w:rFonts w:hint="default" w:ascii="Times New Roman" w:hAnsi="Times New Roman" w:eastAsia="宋体" w:cs="Times New Roman"/>
                <w:color w:val="auto"/>
                <w:sz w:val="21"/>
                <w:szCs w:val="21"/>
                <w:highlight w:val="none"/>
                <w:lang w:val="en-US" w:eastAsia="zh-CN"/>
              </w:rPr>
              <w:t>四周墙裙脚</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sz w:val="21"/>
                <w:szCs w:val="21"/>
                <w:highlight w:val="none"/>
                <w:lang w:val="en-US" w:eastAsia="zh-CN"/>
              </w:rPr>
              <w:t>抗渗混凝土</w:t>
            </w:r>
            <w:r>
              <w:rPr>
                <w:rFonts w:hint="default" w:ascii="Times New Roman" w:hAnsi="Times New Roman" w:eastAsia="宋体" w:cs="Times New Roman"/>
                <w:color w:val="auto"/>
                <w:sz w:val="21"/>
                <w:szCs w:val="21"/>
                <w:highlight w:val="none"/>
                <w:lang w:val="zh-CN"/>
              </w:rPr>
              <w:t>+2mm厚HDPE+环氧树脂”</w:t>
            </w:r>
            <w:r>
              <w:rPr>
                <w:rFonts w:hint="default" w:ascii="Times New Roman" w:hAnsi="Times New Roman" w:eastAsia="宋体" w:cs="Times New Roman"/>
                <w:color w:val="auto"/>
                <w:sz w:val="21"/>
                <w:szCs w:val="21"/>
                <w:highlight w:val="none"/>
                <w:lang w:val="en-US" w:eastAsia="zh-CN"/>
              </w:rPr>
              <w:t>进行重点防渗处理</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-10</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color w:val="auto"/>
                <w:sz w:val="21"/>
                <w:szCs w:val="21"/>
                <w:highlight w:val="none"/>
              </w:rPr>
              <w:t>，并按照要求设置规范的标识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标牌</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一般防渗区：</w:t>
            </w:r>
            <w:r>
              <w:rPr>
                <w:rFonts w:hint="default" w:ascii="Times New Roman" w:hAnsi="Times New Roman" w:eastAsia="宋体" w:cs="Times New Roman"/>
                <w:color w:val="auto"/>
                <w:sz w:val="21"/>
                <w:szCs w:val="21"/>
                <w:highlight w:val="none"/>
                <w:lang w:val="zh-CN"/>
              </w:rPr>
              <w:t>化粪池、</w:t>
            </w:r>
            <w:r>
              <w:rPr>
                <w:rFonts w:hint="default" w:ascii="Times New Roman" w:hAnsi="Times New Roman" w:eastAsia="宋体" w:cs="Times New Roman"/>
                <w:color w:val="auto"/>
                <w:sz w:val="21"/>
                <w:szCs w:val="21"/>
                <w:highlight w:val="none"/>
                <w:lang w:val="en-US" w:eastAsia="zh-CN"/>
              </w:rPr>
              <w:t>隔油池</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lang w:val="en-US" w:eastAsia="zh-CN"/>
              </w:rPr>
              <w:t>污水处理设施、事故应急池、</w:t>
            </w:r>
            <w:r>
              <w:rPr>
                <w:rFonts w:hint="default" w:ascii="Times New Roman" w:hAnsi="Times New Roman" w:eastAsia="宋体" w:cs="Times New Roman"/>
                <w:color w:val="auto"/>
                <w:sz w:val="21"/>
                <w:szCs w:val="21"/>
                <w:highlight w:val="none"/>
                <w:lang w:val="zh-CN"/>
              </w:rPr>
              <w:t>一般固体废物暂存</w:t>
            </w:r>
            <w:r>
              <w:rPr>
                <w:rFonts w:hint="default" w:ascii="Times New Roman" w:hAnsi="Times New Roman" w:eastAsia="宋体" w:cs="Times New Roman"/>
                <w:color w:val="auto"/>
                <w:sz w:val="21"/>
                <w:szCs w:val="21"/>
                <w:highlight w:val="none"/>
                <w:lang w:val="en-US" w:eastAsia="zh-CN"/>
              </w:rPr>
              <w:t>区</w:t>
            </w:r>
            <w:r>
              <w:rPr>
                <w:rFonts w:hint="default" w:ascii="Times New Roman" w:hAnsi="Times New Roman" w:eastAsia="宋体" w:cs="Times New Roman"/>
                <w:color w:val="auto"/>
                <w:sz w:val="21"/>
                <w:szCs w:val="21"/>
                <w:highlight w:val="none"/>
                <w:lang w:val="zh-CN"/>
              </w:rPr>
              <w:t>防渗技术要求达到等效黏土防渗层Mb≥1.5m，渗透系数≤10</w:t>
            </w:r>
            <w:r>
              <w:rPr>
                <w:rFonts w:hint="default" w:ascii="Times New Roman" w:hAnsi="Times New Roman" w:eastAsia="宋体" w:cs="Times New Roman"/>
                <w:color w:val="auto"/>
                <w:sz w:val="21"/>
                <w:szCs w:val="21"/>
                <w:highlight w:val="none"/>
                <w:vertAlign w:val="superscript"/>
                <w:lang w:val="zh-CN"/>
              </w:rPr>
              <w:t>-</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lang w:val="en-US" w:eastAsia="zh-CN"/>
              </w:rPr>
              <w:t>简单防渗区：</w:t>
            </w:r>
            <w:r>
              <w:rPr>
                <w:rFonts w:hint="default" w:ascii="Times New Roman" w:hAnsi="Times New Roman" w:eastAsia="宋体" w:cs="Times New Roman"/>
                <w:color w:val="auto"/>
                <w:sz w:val="21"/>
                <w:szCs w:val="21"/>
                <w:highlight w:val="none"/>
                <w:lang w:val="zh-CN"/>
              </w:rPr>
              <w:t>其余生产区、原料区、成品区进行一般</w:t>
            </w:r>
            <w:r>
              <w:rPr>
                <w:rFonts w:hint="default" w:ascii="Times New Roman" w:hAnsi="Times New Roman" w:eastAsia="宋体" w:cs="Times New Roman"/>
                <w:color w:val="auto"/>
                <w:sz w:val="21"/>
                <w:szCs w:val="21"/>
                <w:highlight w:val="none"/>
                <w:lang w:val="en-US" w:eastAsia="zh-CN"/>
              </w:rPr>
              <w:t>硬化处理。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6"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生态保护措施</w:t>
            </w:r>
          </w:p>
        </w:tc>
        <w:tc>
          <w:tcPr>
            <w:tcW w:w="7914" w:type="dxa"/>
            <w:gridSpan w:val="4"/>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项目充分利用空间进行绿化，达到美化环境的效果。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6"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环境风险防范措施</w:t>
            </w:r>
          </w:p>
        </w:tc>
        <w:tc>
          <w:tcPr>
            <w:tcW w:w="7914" w:type="dxa"/>
            <w:gridSpan w:val="4"/>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①厂区进行分区防渗，重点防渗：</w:t>
            </w:r>
            <w:r>
              <w:rPr>
                <w:rFonts w:hint="default" w:ascii="Times New Roman" w:hAnsi="Times New Roman" w:eastAsia="宋体" w:cs="Times New Roman"/>
                <w:b w:val="0"/>
                <w:bCs w:val="0"/>
                <w:color w:val="auto"/>
                <w:sz w:val="21"/>
                <w:szCs w:val="21"/>
                <w:highlight w:val="none"/>
                <w:lang w:val="zh-CN"/>
              </w:rPr>
              <w:t>危废</w:t>
            </w:r>
            <w:r>
              <w:rPr>
                <w:rFonts w:hint="default" w:ascii="Times New Roman" w:hAnsi="Times New Roman" w:eastAsia="宋体" w:cs="Times New Roman"/>
                <w:color w:val="auto"/>
                <w:sz w:val="21"/>
                <w:szCs w:val="21"/>
                <w:highlight w:val="none"/>
                <w:lang w:val="zh-CN"/>
              </w:rPr>
              <w:t>暂存间地面及</w:t>
            </w:r>
            <w:r>
              <w:rPr>
                <w:rFonts w:hint="default" w:ascii="Times New Roman" w:hAnsi="Times New Roman" w:eastAsia="宋体" w:cs="Times New Roman"/>
                <w:color w:val="auto"/>
                <w:sz w:val="21"/>
                <w:szCs w:val="21"/>
                <w:highlight w:val="none"/>
                <w:lang w:val="en-US" w:eastAsia="zh-CN"/>
              </w:rPr>
              <w:t>四周墙裙脚</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sz w:val="21"/>
                <w:szCs w:val="21"/>
                <w:highlight w:val="none"/>
                <w:lang w:val="en-US" w:eastAsia="zh-CN"/>
              </w:rPr>
              <w:t>抗渗混凝土</w:t>
            </w:r>
            <w:r>
              <w:rPr>
                <w:rFonts w:hint="default" w:ascii="Times New Roman" w:hAnsi="Times New Roman" w:eastAsia="宋体" w:cs="Times New Roman"/>
                <w:color w:val="auto"/>
                <w:sz w:val="21"/>
                <w:szCs w:val="21"/>
                <w:highlight w:val="none"/>
                <w:lang w:val="zh-CN"/>
              </w:rPr>
              <w:t>+2mm厚HDPE+环氧树脂”</w:t>
            </w:r>
            <w:r>
              <w:rPr>
                <w:rFonts w:hint="default" w:ascii="Times New Roman" w:hAnsi="Times New Roman" w:eastAsia="宋体" w:cs="Times New Roman"/>
                <w:color w:val="auto"/>
                <w:sz w:val="21"/>
                <w:szCs w:val="21"/>
                <w:highlight w:val="none"/>
                <w:lang w:val="en-US" w:eastAsia="zh-CN"/>
              </w:rPr>
              <w:t>进行重点防渗处理</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-10</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color w:val="auto"/>
                <w:sz w:val="21"/>
                <w:szCs w:val="21"/>
                <w:highlight w:val="none"/>
              </w:rPr>
              <w:t>，并按照要求设置规范的标识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标牌</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b w:val="0"/>
                <w:bCs w:val="0"/>
                <w:color w:val="auto"/>
                <w:sz w:val="21"/>
                <w:szCs w:val="21"/>
                <w:highlight w:val="none"/>
                <w:lang w:val="en-US" w:eastAsia="zh-CN"/>
              </w:rPr>
              <w:t>一般防渗区：</w:t>
            </w:r>
            <w:r>
              <w:rPr>
                <w:rFonts w:hint="default" w:ascii="Times New Roman" w:hAnsi="Times New Roman" w:eastAsia="宋体" w:cs="Times New Roman"/>
                <w:color w:val="auto"/>
                <w:sz w:val="21"/>
                <w:szCs w:val="21"/>
                <w:highlight w:val="none"/>
                <w:lang w:val="zh-CN"/>
              </w:rPr>
              <w:t>化粪池、</w:t>
            </w:r>
            <w:r>
              <w:rPr>
                <w:rFonts w:hint="default" w:ascii="Times New Roman" w:hAnsi="Times New Roman" w:eastAsia="宋体" w:cs="Times New Roman"/>
                <w:color w:val="auto"/>
                <w:sz w:val="21"/>
                <w:szCs w:val="21"/>
                <w:highlight w:val="none"/>
                <w:lang w:val="en-US" w:eastAsia="zh-CN"/>
              </w:rPr>
              <w:t>隔油池</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lang w:val="en-US" w:eastAsia="zh-CN"/>
              </w:rPr>
              <w:t>污水处理设施、</w:t>
            </w:r>
            <w:r>
              <w:rPr>
                <w:rFonts w:hint="default" w:ascii="Times New Roman" w:hAnsi="Times New Roman" w:eastAsia="宋体" w:cs="Times New Roman"/>
                <w:color w:val="auto"/>
                <w:sz w:val="21"/>
                <w:szCs w:val="21"/>
                <w:highlight w:val="none"/>
                <w:lang w:val="zh-CN"/>
              </w:rPr>
              <w:t>一般固体废物暂存</w:t>
            </w:r>
            <w:r>
              <w:rPr>
                <w:rFonts w:hint="default" w:ascii="Times New Roman" w:hAnsi="Times New Roman" w:eastAsia="宋体" w:cs="Times New Roman"/>
                <w:color w:val="auto"/>
                <w:sz w:val="21"/>
                <w:szCs w:val="21"/>
                <w:highlight w:val="none"/>
                <w:lang w:val="en-US" w:eastAsia="zh-CN"/>
              </w:rPr>
              <w:t>区</w:t>
            </w:r>
            <w:r>
              <w:rPr>
                <w:rFonts w:hint="default" w:ascii="Times New Roman" w:hAnsi="Times New Roman" w:eastAsia="宋体" w:cs="Times New Roman"/>
                <w:color w:val="auto"/>
                <w:sz w:val="21"/>
                <w:szCs w:val="21"/>
                <w:highlight w:val="none"/>
                <w:lang w:val="zh-CN"/>
              </w:rPr>
              <w:t>防渗技术要求达到等效黏土防渗层Mb≥1.5m，渗透系数≤10</w:t>
            </w:r>
            <w:r>
              <w:rPr>
                <w:rFonts w:hint="default" w:ascii="Times New Roman" w:hAnsi="Times New Roman" w:eastAsia="宋体" w:cs="Times New Roman"/>
                <w:color w:val="auto"/>
                <w:sz w:val="21"/>
                <w:szCs w:val="21"/>
                <w:highlight w:val="none"/>
                <w:vertAlign w:val="superscript"/>
                <w:lang w:val="zh-CN"/>
              </w:rPr>
              <w:t>-</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lang w:val="en-US" w:eastAsia="zh-CN"/>
              </w:rPr>
              <w:t>简单防渗区：</w:t>
            </w:r>
            <w:r>
              <w:rPr>
                <w:rFonts w:hint="default" w:ascii="Times New Roman" w:hAnsi="Times New Roman" w:eastAsia="宋体" w:cs="Times New Roman"/>
                <w:color w:val="auto"/>
                <w:sz w:val="21"/>
                <w:szCs w:val="21"/>
                <w:highlight w:val="none"/>
                <w:lang w:val="zh-CN"/>
              </w:rPr>
              <w:t>其余生产区、原料区、成品区进行一般</w:t>
            </w:r>
            <w:r>
              <w:rPr>
                <w:rFonts w:hint="default" w:ascii="Times New Roman" w:hAnsi="Times New Roman" w:eastAsia="宋体" w:cs="Times New Roman"/>
                <w:color w:val="auto"/>
                <w:sz w:val="21"/>
                <w:szCs w:val="21"/>
                <w:highlight w:val="none"/>
                <w:lang w:val="en-US" w:eastAsia="zh-CN"/>
              </w:rPr>
              <w:t>硬化处理。</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2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设置专人进行管理，定期对危废储存</w:t>
            </w:r>
            <w:r>
              <w:rPr>
                <w:rFonts w:hint="default" w:ascii="Times New Roman" w:hAnsi="Times New Roman" w:eastAsia="宋体" w:cs="Times New Roman"/>
                <w:color w:val="auto"/>
                <w:kern w:val="2"/>
                <w:sz w:val="21"/>
                <w:szCs w:val="21"/>
                <w:highlight w:val="none"/>
                <w:u w:val="none"/>
                <w:lang w:val="zh-CN" w:eastAsia="zh-CN" w:bidi="ar-SA"/>
              </w:rPr>
              <w:t>容器</w:t>
            </w:r>
            <w:r>
              <w:rPr>
                <w:rFonts w:hint="default" w:ascii="Times New Roman" w:hAnsi="Times New Roman" w:eastAsia="宋体" w:cs="Times New Roman"/>
                <w:color w:val="auto"/>
                <w:sz w:val="21"/>
                <w:szCs w:val="21"/>
                <w:highlight w:val="none"/>
                <w:lang w:val="en-US" w:eastAsia="zh-CN"/>
              </w:rPr>
              <w:t>进行检查，并做好巡检记录及时发现事故隐患并迅速</w:t>
            </w:r>
            <w:r>
              <w:rPr>
                <w:rFonts w:hint="eastAsia" w:cs="Times New Roman"/>
                <w:color w:val="auto"/>
                <w:sz w:val="21"/>
                <w:szCs w:val="21"/>
                <w:highlight w:val="none"/>
                <w:lang w:val="en-US" w:eastAsia="zh-CN"/>
              </w:rPr>
              <w:t>予以</w:t>
            </w:r>
            <w:r>
              <w:rPr>
                <w:rFonts w:hint="default" w:ascii="Times New Roman" w:hAnsi="Times New Roman" w:eastAsia="宋体" w:cs="Times New Roman"/>
                <w:color w:val="auto"/>
                <w:sz w:val="21"/>
                <w:szCs w:val="21"/>
                <w:highlight w:val="none"/>
                <w:lang w:val="en-US" w:eastAsia="zh-CN"/>
              </w:rPr>
              <w:t>消除。</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3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编制突发环境事件应急预案，并报</w:t>
            </w:r>
            <w:r>
              <w:rPr>
                <w:rFonts w:hint="default" w:ascii="Times New Roman" w:hAnsi="Times New Roman" w:eastAsia="宋体" w:cs="Times New Roman"/>
                <w:color w:val="auto"/>
                <w:sz w:val="21"/>
                <w:szCs w:val="21"/>
                <w:highlight w:val="none"/>
                <w:lang w:eastAsia="zh-CN"/>
              </w:rPr>
              <w:t>昆明市生态环境局寻甸分局</w:t>
            </w:r>
            <w:r>
              <w:rPr>
                <w:rFonts w:hint="default" w:ascii="Times New Roman" w:hAnsi="Times New Roman" w:eastAsia="宋体" w:cs="Times New Roman"/>
                <w:color w:val="auto"/>
                <w:sz w:val="21"/>
                <w:szCs w:val="21"/>
                <w:highlight w:val="none"/>
                <w:lang w:val="en-US" w:eastAsia="zh-CN"/>
              </w:rPr>
              <w:t>备案。建立完善的应急报告制度，落实应急物资和经费，日常加强应急演练。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6" w:type="dxa"/>
            <w:vAlign w:val="center"/>
          </w:tcPr>
          <w:p>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其他环境管理要求</w:t>
            </w:r>
          </w:p>
        </w:tc>
        <w:tc>
          <w:tcPr>
            <w:tcW w:w="7914"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56" w:lineRule="auto"/>
              <w:ind w:firstLine="422" w:firstLineChars="200"/>
              <w:jc w:val="lef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1、环境管理计划</w:t>
            </w:r>
          </w:p>
          <w:p>
            <w:pPr>
              <w:keepNext w:val="0"/>
              <w:keepLines w:val="0"/>
              <w:pageBreakBefore w:val="0"/>
              <w:widowControl w:val="0"/>
              <w:kinsoku/>
              <w:wordWrap/>
              <w:overflowPunct/>
              <w:topLinePunct w:val="0"/>
              <w:autoSpaceDE/>
              <w:autoSpaceDN/>
              <w:bidi w:val="0"/>
              <w:adjustRightInd w:val="0"/>
              <w:snapToGrid w:val="0"/>
              <w:spacing w:line="356"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1）根据国家环保政策、标准及环境监测要求，制定该项目运行期环境管理规章制度、各种污染物排放指标。</w:t>
            </w:r>
          </w:p>
          <w:p>
            <w:pPr>
              <w:keepNext w:val="0"/>
              <w:keepLines w:val="0"/>
              <w:pageBreakBefore w:val="0"/>
              <w:widowControl w:val="0"/>
              <w:kinsoku/>
              <w:wordWrap/>
              <w:overflowPunct/>
              <w:topLinePunct w:val="0"/>
              <w:autoSpaceDE/>
              <w:autoSpaceDN/>
              <w:bidi w:val="0"/>
              <w:adjustRightInd w:val="0"/>
              <w:snapToGrid w:val="0"/>
              <w:spacing w:line="356"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2）项目建成投产前建设单位应自行组织项目竣工环境保护验收工作，检查环保设施是否达到“三同时”要求。</w:t>
            </w:r>
          </w:p>
          <w:p>
            <w:pPr>
              <w:keepNext w:val="0"/>
              <w:keepLines w:val="0"/>
              <w:pageBreakBefore w:val="0"/>
              <w:widowControl w:val="0"/>
              <w:kinsoku/>
              <w:wordWrap/>
              <w:overflowPunct/>
              <w:topLinePunct w:val="0"/>
              <w:autoSpaceDE/>
              <w:autoSpaceDN/>
              <w:bidi w:val="0"/>
              <w:adjustRightInd w:val="0"/>
              <w:snapToGrid w:val="0"/>
              <w:spacing w:line="356" w:lineRule="auto"/>
              <w:ind w:firstLine="420" w:firstLineChars="200"/>
              <w:jc w:val="left"/>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3）加强环保设施的管理，定期检查</w:t>
            </w:r>
            <w:r>
              <w:rPr>
                <w:rFonts w:hint="default" w:ascii="Times New Roman" w:hAnsi="Times New Roman" w:eastAsia="宋体" w:cs="Times New Roman"/>
                <w:color w:val="auto"/>
                <w:szCs w:val="21"/>
                <w:highlight w:val="none"/>
                <w:lang w:val="en-US" w:eastAsia="zh-CN"/>
              </w:rPr>
              <w:t>厂</w:t>
            </w:r>
            <w:r>
              <w:rPr>
                <w:rFonts w:hint="default" w:ascii="Times New Roman" w:hAnsi="Times New Roman" w:eastAsia="宋体" w:cs="Times New Roman"/>
                <w:color w:val="auto"/>
                <w:szCs w:val="21"/>
                <w:highlight w:val="none"/>
              </w:rPr>
              <w:t>内环保设施运行情况。及时排除故障，保证环保设施正常运转</w:t>
            </w:r>
            <w:r>
              <w:rPr>
                <w:rFonts w:hint="default" w:ascii="Times New Roman" w:hAnsi="Times New Roman" w:eastAsia="宋体" w:cs="Times New Roman"/>
                <w:color w:val="auto"/>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56"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r>
              <w:rPr>
                <w:rFonts w:hint="default" w:ascii="Times New Roman" w:hAnsi="Times New Roman" w:eastAsia="宋体" w:cs="Times New Roman"/>
                <w:color w:val="auto"/>
                <w:szCs w:val="21"/>
                <w:highlight w:val="none"/>
                <w:lang w:val="en-US" w:eastAsia="zh-CN"/>
              </w:rPr>
              <w:t>危险废物</w:t>
            </w:r>
            <w:r>
              <w:rPr>
                <w:rFonts w:hint="default" w:ascii="Times New Roman" w:hAnsi="Times New Roman" w:eastAsia="宋体" w:cs="Times New Roman"/>
                <w:color w:val="auto"/>
                <w:szCs w:val="21"/>
                <w:highlight w:val="none"/>
              </w:rPr>
              <w:t>的收集管理应由专人负责，分类收集。</w:t>
            </w:r>
          </w:p>
          <w:p>
            <w:pPr>
              <w:keepNext w:val="0"/>
              <w:keepLines w:val="0"/>
              <w:pageBreakBefore w:val="0"/>
              <w:widowControl w:val="0"/>
              <w:kinsoku/>
              <w:wordWrap/>
              <w:overflowPunct/>
              <w:topLinePunct w:val="0"/>
              <w:autoSpaceDE/>
              <w:autoSpaceDN/>
              <w:bidi w:val="0"/>
              <w:adjustRightInd w:val="0"/>
              <w:snapToGrid w:val="0"/>
              <w:spacing w:line="356"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5）运用经济、教育、行政、法律及其它手段，加强项目区内人员的环保意识，加强环境保护的自觉性，不断提高环境管理水平。</w:t>
            </w:r>
          </w:p>
          <w:p>
            <w:pPr>
              <w:keepNext w:val="0"/>
              <w:keepLines w:val="0"/>
              <w:pageBreakBefore w:val="0"/>
              <w:widowControl w:val="0"/>
              <w:kinsoku/>
              <w:wordWrap/>
              <w:overflowPunct/>
              <w:topLinePunct w:val="0"/>
              <w:autoSpaceDE/>
              <w:autoSpaceDN/>
              <w:bidi w:val="0"/>
              <w:adjustRightInd w:val="0"/>
              <w:snapToGrid w:val="0"/>
              <w:spacing w:line="356"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6）配合当地环保监测机构，实施环境监测计划。</w:t>
            </w:r>
          </w:p>
          <w:p>
            <w:pPr>
              <w:keepNext w:val="0"/>
              <w:keepLines w:val="0"/>
              <w:pageBreakBefore w:val="0"/>
              <w:widowControl w:val="0"/>
              <w:kinsoku/>
              <w:wordWrap/>
              <w:overflowPunct/>
              <w:topLinePunct w:val="0"/>
              <w:autoSpaceDE/>
              <w:autoSpaceDN/>
              <w:bidi w:val="0"/>
              <w:adjustRightInd w:val="0"/>
              <w:snapToGrid w:val="0"/>
              <w:spacing w:line="356" w:lineRule="auto"/>
              <w:ind w:firstLine="422" w:firstLineChars="200"/>
              <w:jc w:val="lef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 xml:space="preserve">、排污许可证 </w:t>
            </w:r>
          </w:p>
          <w:p>
            <w:pPr>
              <w:keepNext w:val="0"/>
              <w:keepLines w:val="0"/>
              <w:pageBreakBefore w:val="0"/>
              <w:widowControl w:val="0"/>
              <w:kinsoku/>
              <w:wordWrap/>
              <w:overflowPunct/>
              <w:topLinePunct w:val="0"/>
              <w:autoSpaceDE/>
              <w:autoSpaceDN/>
              <w:bidi w:val="0"/>
              <w:adjustRightInd w:val="0"/>
              <w:snapToGrid w:val="0"/>
              <w:spacing w:line="356" w:lineRule="auto"/>
              <w:ind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eastAsia="zh-CN"/>
              </w:rPr>
              <w:t>为</w:t>
            </w:r>
            <w:r>
              <w:rPr>
                <w:rFonts w:hint="default" w:ascii="Times New Roman" w:hAnsi="Times New Roman" w:eastAsia="宋体" w:cs="Times New Roman"/>
                <w:color w:val="auto"/>
                <w:sz w:val="21"/>
                <w:szCs w:val="21"/>
                <w:highlight w:val="none"/>
                <w:lang w:val="en-US" w:eastAsia="zh-CN"/>
              </w:rPr>
              <w:t>塑料薄膜制造项目</w:t>
            </w:r>
            <w:r>
              <w:rPr>
                <w:rFonts w:hint="default" w:ascii="Times New Roman" w:hAnsi="Times New Roman" w:eastAsia="宋体" w:cs="Times New Roman"/>
                <w:color w:val="auto"/>
                <w:sz w:val="21"/>
                <w:szCs w:val="21"/>
                <w:highlight w:val="none"/>
                <w:lang w:eastAsia="zh-CN"/>
              </w:rPr>
              <w:t>，国民经济行业类别为“</w:t>
            </w:r>
            <w:r>
              <w:rPr>
                <w:rFonts w:hint="default" w:ascii="Times New Roman" w:hAnsi="Times New Roman" w:eastAsia="宋体" w:cs="Times New Roman"/>
                <w:color w:val="auto"/>
                <w:sz w:val="21"/>
                <w:szCs w:val="21"/>
                <w:highlight w:val="none"/>
                <w:lang w:val="en-US" w:eastAsia="zh-CN"/>
              </w:rPr>
              <w:t>塑料薄膜制造（C2921）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，根据《固定污染源排污许可分类管理名录（2019版）》</w:t>
            </w:r>
            <w:r>
              <w:rPr>
                <w:rFonts w:hint="default" w:ascii="Times New Roman" w:hAnsi="Times New Roman" w:eastAsia="宋体" w:cs="Times New Roman"/>
                <w:color w:val="auto"/>
                <w:sz w:val="21"/>
                <w:szCs w:val="21"/>
                <w:highlight w:val="none"/>
                <w:lang w:eastAsia="zh-CN"/>
              </w:rPr>
              <w:t>，项目需进行排污</w:t>
            </w:r>
            <w:r>
              <w:rPr>
                <w:rFonts w:hint="default" w:ascii="Times New Roman" w:hAnsi="Times New Roman" w:eastAsia="宋体" w:cs="Times New Roman"/>
                <w:color w:val="auto"/>
                <w:sz w:val="21"/>
                <w:szCs w:val="21"/>
                <w:highlight w:val="none"/>
                <w:lang w:val="en-US" w:eastAsia="zh-CN"/>
              </w:rPr>
              <w:t>登记</w:t>
            </w:r>
            <w:r>
              <w:rPr>
                <w:rFonts w:hint="default" w:ascii="Times New Roman" w:hAnsi="Times New Roman" w:eastAsia="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56" w:lineRule="auto"/>
              <w:ind w:firstLine="422" w:firstLineChars="200"/>
              <w:jc w:val="lef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3</w:t>
            </w:r>
            <w:r>
              <w:rPr>
                <w:rFonts w:hint="default" w:ascii="Times New Roman" w:hAnsi="Times New Roman" w:eastAsia="宋体" w:cs="Times New Roman"/>
                <w:b/>
                <w:bCs/>
                <w:color w:val="auto"/>
                <w:szCs w:val="21"/>
                <w:highlight w:val="none"/>
              </w:rPr>
              <w:t>、排污口规范化设置</w:t>
            </w:r>
          </w:p>
          <w:p>
            <w:pPr>
              <w:keepNext w:val="0"/>
              <w:keepLines w:val="0"/>
              <w:pageBreakBefore w:val="0"/>
              <w:widowControl w:val="0"/>
              <w:kinsoku/>
              <w:wordWrap/>
              <w:overflowPunct/>
              <w:topLinePunct w:val="0"/>
              <w:autoSpaceDE/>
              <w:autoSpaceDN/>
              <w:bidi w:val="0"/>
              <w:adjustRightInd w:val="0"/>
              <w:snapToGrid w:val="0"/>
              <w:spacing w:line="356"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排污口是</w:t>
            </w:r>
            <w:r>
              <w:rPr>
                <w:rFonts w:hint="default" w:ascii="Times New Roman" w:hAnsi="Times New Roman" w:eastAsia="宋体" w:cs="Times New Roman"/>
                <w:color w:val="auto"/>
                <w:szCs w:val="21"/>
                <w:highlight w:val="none"/>
                <w:lang w:val="en-US" w:eastAsia="zh-CN"/>
              </w:rPr>
              <w:t>项目运营期</w:t>
            </w:r>
            <w:r>
              <w:rPr>
                <w:rFonts w:hint="default" w:ascii="Times New Roman" w:hAnsi="Times New Roman" w:eastAsia="宋体" w:cs="Times New Roman"/>
                <w:color w:val="auto"/>
                <w:szCs w:val="21"/>
                <w:highlight w:val="none"/>
              </w:rPr>
              <w:t>污染物进入环境、污染环境的通道，强化总排口管理是实施污染物总量控制的基础工作之一，也是环境管理逐步实现污染物科学化、定量化的主要手段。</w:t>
            </w:r>
          </w:p>
          <w:p>
            <w:pPr>
              <w:keepNext w:val="0"/>
              <w:keepLines w:val="0"/>
              <w:pageBreakBefore w:val="0"/>
              <w:widowControl w:val="0"/>
              <w:kinsoku/>
              <w:wordWrap/>
              <w:overflowPunct/>
              <w:topLinePunct w:val="0"/>
              <w:autoSpaceDE/>
              <w:autoSpaceDN/>
              <w:bidi w:val="0"/>
              <w:adjustRightInd w:val="0"/>
              <w:snapToGrid w:val="0"/>
              <w:spacing w:line="356"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项目排放口设置满足以下要求：</w:t>
            </w:r>
          </w:p>
          <w:p>
            <w:pPr>
              <w:keepNext w:val="0"/>
              <w:keepLines w:val="0"/>
              <w:pageBreakBefore w:val="0"/>
              <w:widowControl w:val="0"/>
              <w:kinsoku/>
              <w:wordWrap/>
              <w:overflowPunct/>
              <w:topLinePunct w:val="0"/>
              <w:autoSpaceDE/>
              <w:autoSpaceDN/>
              <w:bidi w:val="0"/>
              <w:adjustRightInd w:val="0"/>
              <w:snapToGrid w:val="0"/>
              <w:spacing w:line="356"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污染物排放口，应按国家《环境保护图形标志排放口（源）》（GB15562.1-1995）的规定，设置国家环保总局统一制作的环境保护图形标志牌；本项目废气排放口和废水处理设施均应设置相应标志，并进行专人管理。</w:t>
            </w:r>
          </w:p>
          <w:p>
            <w:pPr>
              <w:keepNext w:val="0"/>
              <w:keepLines w:val="0"/>
              <w:pageBreakBefore w:val="0"/>
              <w:widowControl w:val="0"/>
              <w:kinsoku/>
              <w:wordWrap/>
              <w:overflowPunct/>
              <w:topLinePunct w:val="0"/>
              <w:autoSpaceDE/>
              <w:autoSpaceDN/>
              <w:bidi w:val="0"/>
              <w:adjustRightInd w:val="0"/>
              <w:snapToGrid w:val="0"/>
              <w:spacing w:line="356"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污染物排放口的环境保护图形标志牌应设置在靠近采样点的醒目处，标志牌设置高度为其上缘距地面约2m，排污口附近1m范围内有建筑物的，设平面式标志牌，无建筑物的设立式标志牌。公司应遵照国家对排污口规范的要求，在“三废”及部分噪声排放点设置标志，标志的设置应完全执行《环境保护图形标志排放口》（GB15562.1-1995）、《环境保护图形标志固体废物贮存（处置）场》（GB15562.2-1995）中有关规定</w:t>
            </w:r>
            <w:r>
              <w:rPr>
                <w:rFonts w:hint="default" w:ascii="Times New Roman" w:hAnsi="Times New Roman" w:eastAsia="宋体" w:cs="Times New Roman"/>
                <w:color w:val="auto"/>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56" w:lineRule="auto"/>
              <w:ind w:firstLine="422" w:firstLineChars="200"/>
              <w:jc w:val="left"/>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4</w:t>
            </w:r>
            <w:r>
              <w:rPr>
                <w:rFonts w:hint="default" w:ascii="Times New Roman" w:hAnsi="Times New Roman" w:eastAsia="宋体" w:cs="Times New Roman"/>
                <w:b/>
                <w:bCs/>
                <w:color w:val="auto"/>
                <w:szCs w:val="21"/>
                <w:highlight w:val="none"/>
              </w:rPr>
              <w:t>、</w:t>
            </w:r>
            <w:r>
              <w:rPr>
                <w:rFonts w:hint="default" w:ascii="Times New Roman" w:hAnsi="Times New Roman" w:eastAsia="宋体" w:cs="Times New Roman"/>
                <w:b/>
                <w:bCs/>
                <w:color w:val="auto"/>
                <w:szCs w:val="21"/>
                <w:highlight w:val="none"/>
                <w:lang w:val="en-US" w:eastAsia="zh-CN"/>
              </w:rPr>
              <w:t>自行</w:t>
            </w:r>
            <w:r>
              <w:rPr>
                <w:rFonts w:hint="eastAsia" w:cs="Times New Roman"/>
                <w:b/>
                <w:bCs/>
                <w:color w:val="auto"/>
                <w:szCs w:val="21"/>
                <w:highlight w:val="none"/>
                <w:lang w:val="en-US" w:eastAsia="zh-CN"/>
              </w:rPr>
              <w:t>监管</w:t>
            </w:r>
            <w:r>
              <w:rPr>
                <w:rFonts w:hint="default" w:ascii="Times New Roman" w:hAnsi="Times New Roman" w:eastAsia="宋体" w:cs="Times New Roman"/>
                <w:b/>
                <w:bCs/>
                <w:color w:val="auto"/>
                <w:szCs w:val="21"/>
                <w:highlight w:val="none"/>
                <w:lang w:val="en-US" w:eastAsia="zh-CN"/>
              </w:rPr>
              <w:t>环境监测计划</w:t>
            </w:r>
          </w:p>
          <w:p>
            <w:pPr>
              <w:keepNext w:val="0"/>
              <w:keepLines w:val="0"/>
              <w:pageBreakBefore w:val="0"/>
              <w:widowControl w:val="0"/>
              <w:kinsoku/>
              <w:wordWrap/>
              <w:overflowPunct/>
              <w:topLinePunct w:val="0"/>
              <w:autoSpaceDE/>
              <w:autoSpaceDN/>
              <w:bidi w:val="0"/>
              <w:adjustRightInd w:val="0"/>
              <w:snapToGrid w:val="0"/>
              <w:spacing w:line="356"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根据</w:t>
            </w:r>
            <w:r>
              <w:rPr>
                <w:rFonts w:hint="default" w:ascii="Times New Roman" w:hAnsi="Times New Roman" w:eastAsia="宋体" w:cs="Times New Roman"/>
                <w:color w:val="auto"/>
                <w:sz w:val="21"/>
                <w:szCs w:val="21"/>
                <w:highlight w:val="none"/>
              </w:rPr>
              <w:t>《排污单位自行监测技术指南 橡胶和塑料制品》（HJ1207-2021）</w:t>
            </w:r>
            <w:r>
              <w:rPr>
                <w:rFonts w:hint="default" w:ascii="Times New Roman" w:hAnsi="Times New Roman" w:eastAsia="宋体" w:cs="Times New Roman"/>
                <w:color w:val="auto"/>
                <w:sz w:val="21"/>
                <w:szCs w:val="21"/>
                <w:highlight w:val="none"/>
                <w:lang w:val="en-US" w:eastAsia="zh-CN"/>
              </w:rPr>
              <w:t>可知，本项目</w:t>
            </w:r>
            <w:r>
              <w:rPr>
                <w:rFonts w:hint="default" w:ascii="Times New Roman" w:hAnsi="Times New Roman" w:eastAsia="宋体" w:cs="Times New Roman"/>
                <w:color w:val="auto"/>
                <w:sz w:val="21"/>
                <w:szCs w:val="21"/>
                <w:highlight w:val="none"/>
              </w:rPr>
              <w:t>监测</w:t>
            </w:r>
            <w:r>
              <w:rPr>
                <w:rFonts w:hint="default" w:ascii="Times New Roman" w:hAnsi="Times New Roman" w:eastAsia="宋体" w:cs="Times New Roman"/>
                <w:color w:val="auto"/>
                <w:sz w:val="21"/>
                <w:szCs w:val="21"/>
                <w:highlight w:val="none"/>
                <w:lang w:val="en-US" w:eastAsia="zh-CN"/>
              </w:rPr>
              <w:t>一览表如下表所示</w:t>
            </w:r>
            <w:r>
              <w:rPr>
                <w:rFonts w:hint="default" w:ascii="Times New Roman" w:hAnsi="Times New Roman" w:eastAsia="宋体" w:cs="Times New Roman"/>
                <w:color w:val="auto"/>
                <w:sz w:val="21"/>
                <w:szCs w:val="21"/>
                <w:highlight w:val="none"/>
              </w:rPr>
              <w:t>。</w:t>
            </w:r>
          </w:p>
          <w:p>
            <w:pPr>
              <w:tabs>
                <w:tab w:val="left" w:pos="630"/>
              </w:tabs>
              <w:adjustRightInd w:val="0"/>
              <w:snapToGrid w:val="0"/>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5-1</w:t>
            </w:r>
            <w:r>
              <w:rPr>
                <w:rFonts w:hint="default" w:ascii="Times New Roman" w:hAnsi="Times New Roman" w:eastAsia="宋体" w:cs="Times New Roman"/>
                <w:b/>
                <w:color w:val="auto"/>
                <w:szCs w:val="21"/>
                <w:highlight w:val="none"/>
              </w:rPr>
              <w:t xml:space="preserve">   </w:t>
            </w:r>
            <w:r>
              <w:rPr>
                <w:rFonts w:hint="default" w:ascii="Times New Roman" w:hAnsi="Times New Roman" w:eastAsia="宋体" w:cs="Times New Roman"/>
                <w:b/>
                <w:color w:val="auto"/>
                <w:szCs w:val="21"/>
                <w:highlight w:val="none"/>
                <w:lang w:val="en-US" w:eastAsia="zh-CN"/>
              </w:rPr>
              <w:t>环境</w:t>
            </w:r>
            <w:r>
              <w:rPr>
                <w:rFonts w:hint="default" w:ascii="Times New Roman" w:hAnsi="Times New Roman" w:eastAsia="宋体" w:cs="Times New Roman"/>
                <w:b/>
                <w:color w:val="auto"/>
                <w:szCs w:val="21"/>
                <w:highlight w:val="none"/>
              </w:rPr>
              <w:t>监测计划</w:t>
            </w:r>
            <w:r>
              <w:rPr>
                <w:rFonts w:hint="default" w:ascii="Times New Roman" w:hAnsi="Times New Roman" w:eastAsia="宋体" w:cs="Times New Roman"/>
                <w:b/>
                <w:color w:val="auto"/>
                <w:szCs w:val="21"/>
                <w:highlight w:val="none"/>
                <w:lang w:val="en-US" w:eastAsia="zh-CN"/>
              </w:rPr>
              <w:t>一览表</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650"/>
              <w:gridCol w:w="674"/>
              <w:gridCol w:w="1487"/>
              <w:gridCol w:w="1666"/>
              <w:gridCol w:w="664"/>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项目</w:t>
                  </w:r>
                </w:p>
              </w:tc>
              <w:tc>
                <w:tcPr>
                  <w:tcW w:w="423" w:type="pct"/>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排放源</w:t>
                  </w:r>
                </w:p>
              </w:tc>
              <w:tc>
                <w:tcPr>
                  <w:tcW w:w="438" w:type="pct"/>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排放方式</w:t>
                  </w:r>
                </w:p>
              </w:tc>
              <w:tc>
                <w:tcPr>
                  <w:tcW w:w="967" w:type="pct"/>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监测点位</w:t>
                  </w:r>
                </w:p>
              </w:tc>
              <w:tc>
                <w:tcPr>
                  <w:tcW w:w="1084" w:type="pct"/>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监测项目</w:t>
                  </w:r>
                </w:p>
              </w:tc>
              <w:tc>
                <w:tcPr>
                  <w:tcW w:w="432" w:type="pct"/>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监测频次</w:t>
                  </w:r>
                </w:p>
              </w:tc>
              <w:tc>
                <w:tcPr>
                  <w:tcW w:w="1376" w:type="pct"/>
                  <w:vAlign w:val="center"/>
                </w:tcPr>
                <w:p>
                  <w:pPr>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277" w:type="pct"/>
                  <w:vMerge w:val="restart"/>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废气</w:t>
                  </w:r>
                </w:p>
              </w:tc>
              <w:tc>
                <w:tcPr>
                  <w:tcW w:w="423" w:type="pct"/>
                  <w:vMerge w:val="restart"/>
                  <w:vAlign w:val="center"/>
                </w:tcPr>
                <w:p>
                  <w:pPr>
                    <w:jc w:val="center"/>
                    <w:rPr>
                      <w:rFonts w:hint="default" w:ascii="Times New Roman" w:hAnsi="Times New Roman" w:eastAsia="宋体" w:cs="Times New Roman"/>
                      <w:bCs/>
                      <w:snapToGrid w:val="0"/>
                      <w:color w:val="auto"/>
                      <w:kern w:val="0"/>
                      <w:szCs w:val="21"/>
                      <w:highlight w:val="none"/>
                      <w:lang w:val="en-US" w:eastAsia="zh-CN"/>
                    </w:rPr>
                  </w:pPr>
                  <w:r>
                    <w:rPr>
                      <w:rFonts w:hint="default" w:ascii="Times New Roman" w:hAnsi="Times New Roman" w:eastAsia="宋体" w:cs="Times New Roman"/>
                      <w:bCs/>
                      <w:snapToGrid w:val="0"/>
                      <w:color w:val="auto"/>
                      <w:kern w:val="0"/>
                      <w:szCs w:val="21"/>
                      <w:highlight w:val="none"/>
                      <w:lang w:val="en-US" w:eastAsia="zh-CN"/>
                    </w:rPr>
                    <w:t>吹膜工段</w:t>
                  </w:r>
                </w:p>
              </w:tc>
              <w:tc>
                <w:tcPr>
                  <w:tcW w:w="438" w:type="pct"/>
                  <w:vMerge w:val="restart"/>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有组织</w:t>
                  </w:r>
                </w:p>
              </w:tc>
              <w:tc>
                <w:tcPr>
                  <w:tcW w:w="967" w:type="pct"/>
                  <w:vMerge w:val="restart"/>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排气口（DA001）</w:t>
                  </w:r>
                </w:p>
              </w:tc>
              <w:tc>
                <w:tcPr>
                  <w:tcW w:w="1084" w:type="pct"/>
                  <w:vAlign w:val="center"/>
                </w:tcPr>
                <w:p>
                  <w:pPr>
                    <w:jc w:val="center"/>
                    <w:rPr>
                      <w:rFonts w:hint="default" w:ascii="Times New Roman" w:hAnsi="Times New Roman" w:eastAsia="宋体" w:cs="Times New Roman"/>
                      <w:bCs/>
                      <w:color w:val="auto"/>
                      <w:szCs w:val="21"/>
                      <w:highlight w:val="none"/>
                      <w:lang w:val="en-US"/>
                    </w:rPr>
                  </w:pPr>
                  <w:r>
                    <w:rPr>
                      <w:rFonts w:hint="default" w:ascii="Times New Roman" w:hAnsi="Times New Roman" w:eastAsia="宋体" w:cs="Times New Roman"/>
                      <w:bCs/>
                      <w:color w:val="auto"/>
                      <w:szCs w:val="21"/>
                      <w:highlight w:val="none"/>
                      <w:lang w:val="en-US" w:eastAsia="zh-CN"/>
                    </w:rPr>
                    <w:t>挥发性有机物（以</w:t>
                  </w:r>
                  <w:r>
                    <w:rPr>
                      <w:rFonts w:hint="default" w:ascii="Times New Roman" w:hAnsi="Times New Roman" w:eastAsia="宋体" w:cs="Times New Roman"/>
                      <w:bCs/>
                      <w:color w:val="auto"/>
                      <w:szCs w:val="21"/>
                      <w:highlight w:val="none"/>
                    </w:rPr>
                    <w:t>非甲烷总烃</w:t>
                  </w:r>
                  <w:r>
                    <w:rPr>
                      <w:rFonts w:hint="default" w:ascii="Times New Roman" w:hAnsi="Times New Roman" w:eastAsia="宋体" w:cs="Times New Roman"/>
                      <w:bCs/>
                      <w:color w:val="auto"/>
                      <w:szCs w:val="21"/>
                      <w:highlight w:val="none"/>
                      <w:lang w:val="en-US" w:eastAsia="zh-CN"/>
                    </w:rPr>
                    <w:t>计）、</w:t>
                  </w:r>
                </w:p>
              </w:tc>
              <w:tc>
                <w:tcPr>
                  <w:tcW w:w="432" w:type="pct"/>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/半年</w:t>
                  </w:r>
                </w:p>
              </w:tc>
              <w:tc>
                <w:tcPr>
                  <w:tcW w:w="1376" w:type="pct"/>
                  <w:vMerge w:val="restart"/>
                  <w:vAlign w:val="center"/>
                </w:tcPr>
                <w:p>
                  <w:pPr>
                    <w:jc w:val="center"/>
                    <w:rPr>
                      <w:rFonts w:hint="default" w:ascii="Times New Roman" w:hAnsi="Times New Roman" w:eastAsia="宋体" w:cs="Times New Roman"/>
                      <w:color w:val="auto"/>
                      <w:szCs w:val="21"/>
                      <w:highlight w:val="none"/>
                      <w:lang w:val="en-US" w:eastAsia="zh-CN" w:bidi="ar"/>
                    </w:rPr>
                  </w:pPr>
                  <w:r>
                    <w:rPr>
                      <w:rFonts w:hint="default" w:ascii="Times New Roman" w:hAnsi="Times New Roman" w:eastAsia="宋体" w:cs="Times New Roman"/>
                      <w:color w:val="auto"/>
                      <w:sz w:val="21"/>
                      <w:szCs w:val="21"/>
                      <w:lang w:val="en-US" w:eastAsia="zh-CN"/>
                    </w:rPr>
                    <w:t>非甲烷总烃执行</w:t>
                  </w:r>
                  <w:r>
                    <w:rPr>
                      <w:rFonts w:hint="default" w:ascii="Times New Roman" w:hAnsi="Times New Roman" w:eastAsia="宋体" w:cs="Times New Roman"/>
                      <w:color w:val="auto"/>
                      <w:sz w:val="21"/>
                      <w:szCs w:val="21"/>
                    </w:rPr>
                    <w:t>《合成树脂工业污染物排放标准》（GB31572-2015）</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臭气浓度执行</w:t>
                  </w:r>
                  <w:r>
                    <w:rPr>
                      <w:rFonts w:hint="default" w:ascii="Times New Roman" w:hAnsi="Times New Roman" w:eastAsia="宋体" w:cs="Times New Roman"/>
                      <w:color w:val="auto"/>
                      <w:sz w:val="21"/>
                      <w:szCs w:val="21"/>
                      <w:highlight w:val="none"/>
                      <w:lang w:val="zh-CN"/>
                    </w:rPr>
                    <w:t>《恶臭污染物排放标准》（GB14554-93）表1</w:t>
                  </w:r>
                  <w:r>
                    <w:rPr>
                      <w:rFonts w:hint="default" w:ascii="Times New Roman" w:hAnsi="Times New Roman" w:eastAsia="宋体" w:cs="Times New Roman"/>
                      <w:color w:val="auto"/>
                      <w:sz w:val="21"/>
                      <w:szCs w:val="21"/>
                      <w:highlight w:val="none"/>
                    </w:rPr>
                    <w:t>中二级新建</w:t>
                  </w:r>
                  <w:r>
                    <w:rPr>
                      <w:rFonts w:hint="default" w:ascii="Times New Roman" w:hAnsi="Times New Roman" w:eastAsia="宋体" w:cs="Times New Roman"/>
                      <w:color w:val="auto"/>
                      <w:sz w:val="21"/>
                      <w:szCs w:val="21"/>
                      <w:highlight w:val="none"/>
                      <w:lang w:val="zh-CN"/>
                    </w:rPr>
                    <w:t>企业厂界排放标准要求。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277" w:type="pct"/>
                  <w:vMerge w:val="continue"/>
                  <w:vAlign w:val="center"/>
                </w:tcPr>
                <w:p>
                  <w:pPr>
                    <w:jc w:val="center"/>
                    <w:rPr>
                      <w:rFonts w:hint="default" w:ascii="Times New Roman" w:hAnsi="Times New Roman" w:eastAsia="宋体" w:cs="Times New Roman"/>
                      <w:color w:val="auto"/>
                    </w:rPr>
                  </w:pPr>
                </w:p>
              </w:tc>
              <w:tc>
                <w:tcPr>
                  <w:tcW w:w="423" w:type="pct"/>
                  <w:vMerge w:val="continue"/>
                  <w:vAlign w:val="center"/>
                </w:tcPr>
                <w:p>
                  <w:pPr>
                    <w:jc w:val="center"/>
                    <w:rPr>
                      <w:rFonts w:hint="default" w:ascii="Times New Roman" w:hAnsi="Times New Roman" w:eastAsia="宋体" w:cs="Times New Roman"/>
                      <w:color w:val="auto"/>
                    </w:rPr>
                  </w:pPr>
                </w:p>
              </w:tc>
              <w:tc>
                <w:tcPr>
                  <w:tcW w:w="438" w:type="pct"/>
                  <w:vMerge w:val="continue"/>
                  <w:vAlign w:val="center"/>
                </w:tcPr>
                <w:p>
                  <w:pPr>
                    <w:jc w:val="center"/>
                    <w:rPr>
                      <w:rFonts w:hint="default" w:ascii="Times New Roman" w:hAnsi="Times New Roman" w:eastAsia="宋体" w:cs="Times New Roman"/>
                      <w:color w:val="auto"/>
                    </w:rPr>
                  </w:pPr>
                </w:p>
              </w:tc>
              <w:tc>
                <w:tcPr>
                  <w:tcW w:w="967" w:type="pct"/>
                  <w:vMerge w:val="continue"/>
                  <w:vAlign w:val="center"/>
                </w:tcPr>
                <w:p>
                  <w:pPr>
                    <w:jc w:val="center"/>
                    <w:rPr>
                      <w:rFonts w:hint="default" w:ascii="Times New Roman" w:hAnsi="Times New Roman" w:eastAsia="宋体" w:cs="Times New Roman"/>
                      <w:color w:val="auto"/>
                    </w:rPr>
                  </w:pPr>
                </w:p>
              </w:tc>
              <w:tc>
                <w:tcPr>
                  <w:tcW w:w="1084" w:type="pct"/>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臭气浓度</w:t>
                  </w:r>
                </w:p>
              </w:tc>
              <w:tc>
                <w:tcPr>
                  <w:tcW w:w="432" w:type="pct"/>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1次/1年</w:t>
                  </w:r>
                </w:p>
              </w:tc>
              <w:tc>
                <w:tcPr>
                  <w:tcW w:w="1376" w:type="pct"/>
                  <w:vMerge w:val="continue"/>
                  <w:vAlign w:val="center"/>
                </w:tcPr>
                <w:p>
                  <w:pPr>
                    <w:jc w:val="center"/>
                    <w:rPr>
                      <w:rFonts w:hint="default" w:ascii="Times New Roman" w:hAnsi="Times New Roman" w:eastAsia="宋体" w:cs="Times New Roman"/>
                      <w:bCs/>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277" w:type="pct"/>
                  <w:vMerge w:val="continue"/>
                  <w:vAlign w:val="center"/>
                </w:tcPr>
                <w:p>
                  <w:pPr>
                    <w:jc w:val="center"/>
                    <w:rPr>
                      <w:rFonts w:hint="default" w:ascii="Times New Roman" w:hAnsi="Times New Roman" w:eastAsia="宋体" w:cs="Times New Roman"/>
                      <w:bCs/>
                      <w:color w:val="auto"/>
                      <w:szCs w:val="21"/>
                      <w:highlight w:val="none"/>
                    </w:rPr>
                  </w:pPr>
                </w:p>
              </w:tc>
              <w:tc>
                <w:tcPr>
                  <w:tcW w:w="423" w:type="pct"/>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吹膜</w:t>
                  </w:r>
                </w:p>
              </w:tc>
              <w:tc>
                <w:tcPr>
                  <w:tcW w:w="438" w:type="pct"/>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厂界无组织</w:t>
                  </w:r>
                </w:p>
              </w:tc>
              <w:tc>
                <w:tcPr>
                  <w:tcW w:w="967" w:type="pct"/>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厂址上风向设1个对照点、厂址下风向设2个监控点</w:t>
                  </w:r>
                </w:p>
              </w:tc>
              <w:tc>
                <w:tcPr>
                  <w:tcW w:w="1084" w:type="pct"/>
                  <w:vAlign w:val="center"/>
                </w:tcPr>
                <w:p>
                  <w:pPr>
                    <w:jc w:val="center"/>
                    <w:rPr>
                      <w:rFonts w:hint="default" w:ascii="Times New Roman" w:hAnsi="Times New Roman" w:eastAsia="宋体" w:cs="Times New Roman"/>
                      <w:bCs/>
                      <w:color w:val="auto"/>
                      <w:szCs w:val="21"/>
                      <w:highlight w:val="none"/>
                      <w:lang w:val="en-US"/>
                    </w:rPr>
                  </w:pPr>
                  <w:r>
                    <w:rPr>
                      <w:rFonts w:hint="default" w:ascii="Times New Roman" w:hAnsi="Times New Roman" w:eastAsia="宋体" w:cs="Times New Roman"/>
                      <w:bCs/>
                      <w:color w:val="auto"/>
                      <w:szCs w:val="21"/>
                      <w:highlight w:val="none"/>
                      <w:lang w:val="en-US" w:eastAsia="zh-CN"/>
                    </w:rPr>
                    <w:t>挥发性有机物（以</w:t>
                  </w:r>
                  <w:r>
                    <w:rPr>
                      <w:rFonts w:hint="default" w:ascii="Times New Roman" w:hAnsi="Times New Roman" w:eastAsia="宋体" w:cs="Times New Roman"/>
                      <w:bCs/>
                      <w:color w:val="auto"/>
                      <w:szCs w:val="21"/>
                      <w:highlight w:val="none"/>
                    </w:rPr>
                    <w:t>非甲烷总烃</w:t>
                  </w:r>
                  <w:r>
                    <w:rPr>
                      <w:rFonts w:hint="default" w:ascii="Times New Roman" w:hAnsi="Times New Roman" w:eastAsia="宋体" w:cs="Times New Roman"/>
                      <w:bCs/>
                      <w:color w:val="auto"/>
                      <w:szCs w:val="21"/>
                      <w:highlight w:val="none"/>
                      <w:lang w:val="en-US" w:eastAsia="zh-CN"/>
                    </w:rPr>
                    <w:t>计）、臭气浓度</w:t>
                  </w:r>
                </w:p>
              </w:tc>
              <w:tc>
                <w:tcPr>
                  <w:tcW w:w="432" w:type="pct"/>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val="en-US" w:eastAsia="zh-CN"/>
                    </w:rPr>
                    <w:t>1次/1年</w:t>
                  </w:r>
                </w:p>
              </w:tc>
              <w:tc>
                <w:tcPr>
                  <w:tcW w:w="1376" w:type="pct"/>
                  <w:vMerge w:val="continue"/>
                  <w:vAlign w:val="center"/>
                </w:tcPr>
                <w:p>
                  <w:pPr>
                    <w:jc w:val="center"/>
                    <w:rPr>
                      <w:rFonts w:hint="default" w:ascii="Times New Roman" w:hAnsi="Times New Roman" w:eastAsia="宋体" w:cs="Times New Roman"/>
                      <w:color w:val="auto"/>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vMerge w:val="continue"/>
                  <w:vAlign w:val="center"/>
                </w:tcPr>
                <w:p>
                  <w:pPr>
                    <w:jc w:val="center"/>
                    <w:rPr>
                      <w:rFonts w:hint="default" w:ascii="Times New Roman" w:hAnsi="Times New Roman" w:eastAsia="宋体" w:cs="Times New Roman"/>
                      <w:bCs/>
                      <w:color w:val="auto"/>
                      <w:szCs w:val="21"/>
                      <w:highlight w:val="none"/>
                    </w:rPr>
                  </w:pPr>
                </w:p>
              </w:tc>
              <w:tc>
                <w:tcPr>
                  <w:tcW w:w="861" w:type="pct"/>
                  <w:gridSpan w:val="2"/>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厂内无组织</w:t>
                  </w:r>
                </w:p>
              </w:tc>
              <w:tc>
                <w:tcPr>
                  <w:tcW w:w="967" w:type="pct"/>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生产车间内设置1个监测点</w:t>
                  </w:r>
                </w:p>
              </w:tc>
              <w:tc>
                <w:tcPr>
                  <w:tcW w:w="1084" w:type="pct"/>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val="en-US" w:eastAsia="zh-CN"/>
                    </w:rPr>
                    <w:t>挥发性有机物（以</w:t>
                  </w:r>
                  <w:r>
                    <w:rPr>
                      <w:rFonts w:hint="default" w:ascii="Times New Roman" w:hAnsi="Times New Roman" w:eastAsia="宋体" w:cs="Times New Roman"/>
                      <w:bCs/>
                      <w:color w:val="auto"/>
                      <w:szCs w:val="21"/>
                      <w:highlight w:val="none"/>
                    </w:rPr>
                    <w:t>非甲烷总烃</w:t>
                  </w:r>
                  <w:r>
                    <w:rPr>
                      <w:rFonts w:hint="default" w:ascii="Times New Roman" w:hAnsi="Times New Roman" w:eastAsia="宋体" w:cs="Times New Roman"/>
                      <w:bCs/>
                      <w:color w:val="auto"/>
                      <w:szCs w:val="21"/>
                      <w:highlight w:val="none"/>
                      <w:lang w:val="en-US" w:eastAsia="zh-CN"/>
                    </w:rPr>
                    <w:t>计）</w:t>
                  </w:r>
                </w:p>
              </w:tc>
              <w:tc>
                <w:tcPr>
                  <w:tcW w:w="432" w:type="pct"/>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1年/次</w:t>
                  </w:r>
                </w:p>
              </w:tc>
              <w:tc>
                <w:tcPr>
                  <w:tcW w:w="1376" w:type="pct"/>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 w:val="21"/>
                      <w:szCs w:val="21"/>
                    </w:rPr>
                    <w:t>《挥发性有机物无组织排放控制标准》（GB37822-2019）中的要求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废水</w:t>
                  </w:r>
                </w:p>
              </w:tc>
              <w:tc>
                <w:tcPr>
                  <w:tcW w:w="423" w:type="pct"/>
                  <w:vAlign w:val="center"/>
                </w:tcPr>
                <w:p>
                  <w:pPr>
                    <w:jc w:val="center"/>
                    <w:rPr>
                      <w:rFonts w:hint="default" w:ascii="Times New Roman" w:hAnsi="Times New Roman" w:eastAsia="宋体" w:cs="Times New Roman"/>
                      <w:bCs/>
                      <w:snapToGrid w:val="0"/>
                      <w:color w:val="auto"/>
                      <w:kern w:val="0"/>
                      <w:szCs w:val="21"/>
                      <w:highlight w:val="none"/>
                      <w:lang w:val="en-US" w:eastAsia="zh-CN"/>
                    </w:rPr>
                  </w:pPr>
                  <w:r>
                    <w:rPr>
                      <w:rFonts w:hint="default" w:ascii="Times New Roman" w:hAnsi="Times New Roman" w:eastAsia="宋体" w:cs="Times New Roman"/>
                      <w:bCs/>
                      <w:snapToGrid w:val="0"/>
                      <w:color w:val="auto"/>
                      <w:kern w:val="0"/>
                      <w:szCs w:val="21"/>
                      <w:highlight w:val="none"/>
                      <w:lang w:val="en-US" w:eastAsia="zh-CN"/>
                    </w:rPr>
                    <w:t>生活污水</w:t>
                  </w:r>
                </w:p>
              </w:tc>
              <w:tc>
                <w:tcPr>
                  <w:tcW w:w="438" w:type="pct"/>
                  <w:vAlign w:val="center"/>
                </w:tcPr>
                <w:p>
                  <w:pPr>
                    <w:jc w:val="center"/>
                    <w:rPr>
                      <w:rFonts w:hint="default" w:ascii="Times New Roman" w:hAnsi="Times New Roman" w:eastAsia="宋体" w:cs="Times New Roman"/>
                      <w:bCs/>
                      <w:snapToGrid w:val="0"/>
                      <w:color w:val="auto"/>
                      <w:kern w:val="0"/>
                      <w:szCs w:val="21"/>
                      <w:highlight w:val="none"/>
                      <w:lang w:val="en-US" w:eastAsia="zh-CN"/>
                    </w:rPr>
                  </w:pPr>
                  <w:r>
                    <w:rPr>
                      <w:rFonts w:hint="default" w:ascii="Times New Roman" w:hAnsi="Times New Roman" w:eastAsia="宋体" w:cs="Times New Roman"/>
                      <w:bCs/>
                      <w:snapToGrid w:val="0"/>
                      <w:color w:val="auto"/>
                      <w:kern w:val="0"/>
                      <w:szCs w:val="21"/>
                      <w:highlight w:val="none"/>
                      <w:lang w:val="en-US" w:eastAsia="zh-CN"/>
                    </w:rPr>
                    <w:t>不外排</w:t>
                  </w:r>
                </w:p>
              </w:tc>
              <w:tc>
                <w:tcPr>
                  <w:tcW w:w="967" w:type="pct"/>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lang w:val="en-US" w:eastAsia="zh-CN"/>
                    </w:rPr>
                    <w:t>一体化生活污水处理站出口</w:t>
                  </w:r>
                </w:p>
              </w:tc>
              <w:tc>
                <w:tcPr>
                  <w:tcW w:w="1084" w:type="pct"/>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pH、</w:t>
                  </w:r>
                  <w:r>
                    <w:rPr>
                      <w:rFonts w:hint="default" w:ascii="Times New Roman" w:hAnsi="Times New Roman" w:eastAsia="宋体" w:cs="Times New Roman"/>
                      <w:bCs/>
                      <w:color w:val="auto"/>
                      <w:spacing w:val="-10"/>
                      <w:szCs w:val="21"/>
                    </w:rPr>
                    <w:t>COD</w:t>
                  </w:r>
                  <w:r>
                    <w:rPr>
                      <w:rFonts w:hint="default" w:ascii="Times New Roman" w:hAnsi="Times New Roman" w:eastAsia="宋体" w:cs="Times New Roman"/>
                      <w:bCs/>
                      <w:color w:val="auto"/>
                      <w:spacing w:val="-10"/>
                      <w:szCs w:val="21"/>
                      <w:lang w:eastAsia="zh-CN"/>
                    </w:rPr>
                    <w:t>、</w:t>
                  </w:r>
                  <w:r>
                    <w:rPr>
                      <w:rFonts w:hint="default" w:ascii="Times New Roman" w:hAnsi="Times New Roman" w:eastAsia="宋体" w:cs="Times New Roman"/>
                      <w:bCs/>
                      <w:color w:val="auto"/>
                      <w:spacing w:val="-10"/>
                      <w:szCs w:val="21"/>
                    </w:rPr>
                    <w:t>BOD</w:t>
                  </w:r>
                  <w:r>
                    <w:rPr>
                      <w:rFonts w:hint="default" w:ascii="Times New Roman" w:hAnsi="Times New Roman" w:eastAsia="宋体" w:cs="Times New Roman"/>
                      <w:bCs/>
                      <w:color w:val="auto"/>
                      <w:spacing w:val="-10"/>
                      <w:szCs w:val="21"/>
                      <w:vertAlign w:val="subscript"/>
                    </w:rPr>
                    <w:t>5</w:t>
                  </w:r>
                  <w:r>
                    <w:rPr>
                      <w:rFonts w:hint="default" w:ascii="Times New Roman" w:hAnsi="Times New Roman" w:eastAsia="宋体" w:cs="Times New Roman"/>
                      <w:bCs/>
                      <w:color w:val="auto"/>
                      <w:spacing w:val="-10"/>
                      <w:szCs w:val="21"/>
                      <w:lang w:eastAsia="zh-CN"/>
                    </w:rPr>
                    <w:t>、</w:t>
                  </w:r>
                  <w:r>
                    <w:rPr>
                      <w:rFonts w:hint="default" w:ascii="Times New Roman" w:hAnsi="Times New Roman" w:eastAsia="宋体" w:cs="Times New Roman"/>
                      <w:bCs/>
                      <w:color w:val="auto"/>
                      <w:spacing w:val="-10"/>
                      <w:szCs w:val="21"/>
                    </w:rPr>
                    <w:t>SS</w:t>
                  </w:r>
                  <w:r>
                    <w:rPr>
                      <w:rFonts w:hint="default" w:ascii="Times New Roman" w:hAnsi="Times New Roman" w:eastAsia="宋体" w:cs="Times New Roman"/>
                      <w:bCs/>
                      <w:color w:val="auto"/>
                      <w:spacing w:val="-10"/>
                      <w:szCs w:val="21"/>
                      <w:lang w:eastAsia="zh-CN"/>
                    </w:rPr>
                    <w:t>、</w:t>
                  </w:r>
                  <w:r>
                    <w:rPr>
                      <w:rFonts w:hint="default" w:ascii="Times New Roman" w:hAnsi="Times New Roman" w:eastAsia="宋体" w:cs="Times New Roman"/>
                      <w:bCs/>
                      <w:color w:val="auto"/>
                      <w:spacing w:val="-10"/>
                      <w:szCs w:val="21"/>
                    </w:rPr>
                    <w:t>氨氮</w:t>
                  </w:r>
                  <w:r>
                    <w:rPr>
                      <w:rFonts w:hint="default" w:ascii="Times New Roman" w:hAnsi="Times New Roman" w:eastAsia="宋体" w:cs="Times New Roman"/>
                      <w:bCs/>
                      <w:color w:val="auto"/>
                      <w:spacing w:val="-10"/>
                      <w:szCs w:val="21"/>
                      <w:lang w:eastAsia="zh-CN"/>
                    </w:rPr>
                    <w:t>、</w:t>
                  </w:r>
                  <w:r>
                    <w:rPr>
                      <w:rFonts w:hint="default" w:ascii="Times New Roman" w:hAnsi="Times New Roman" w:eastAsia="宋体" w:cs="Times New Roman"/>
                      <w:bCs/>
                      <w:color w:val="auto"/>
                      <w:spacing w:val="-10"/>
                      <w:szCs w:val="21"/>
                    </w:rPr>
                    <w:t>总磷</w:t>
                  </w:r>
                  <w:r>
                    <w:rPr>
                      <w:rFonts w:hint="default" w:ascii="Times New Roman" w:hAnsi="Times New Roman" w:eastAsia="宋体" w:cs="Times New Roman"/>
                      <w:bCs/>
                      <w:color w:val="auto"/>
                      <w:spacing w:val="-10"/>
                      <w:szCs w:val="21"/>
                      <w:lang w:eastAsia="zh-CN"/>
                    </w:rPr>
                    <w:t>、</w:t>
                  </w:r>
                  <w:r>
                    <w:rPr>
                      <w:rFonts w:hint="default" w:ascii="Times New Roman" w:hAnsi="Times New Roman" w:eastAsia="宋体" w:cs="Times New Roman"/>
                      <w:bCs/>
                      <w:color w:val="auto"/>
                      <w:spacing w:val="-10"/>
                      <w:szCs w:val="21"/>
                      <w:lang w:val="en-US" w:eastAsia="zh-CN"/>
                    </w:rPr>
                    <w:t>动植物油</w:t>
                  </w:r>
                </w:p>
              </w:tc>
              <w:tc>
                <w:tcPr>
                  <w:tcW w:w="432" w:type="pct"/>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val="en-US" w:eastAsia="zh-CN"/>
                    </w:rPr>
                    <w:t>/</w:t>
                  </w:r>
                </w:p>
              </w:tc>
              <w:tc>
                <w:tcPr>
                  <w:tcW w:w="1376" w:type="pct"/>
                  <w:vAlign w:val="center"/>
                </w:tcPr>
                <w:p>
                  <w:pPr>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color w:val="auto"/>
                      <w:sz w:val="21"/>
                      <w:szCs w:val="21"/>
                    </w:rPr>
                    <w:t>《城市污水再生利用 城市杂用水水质》（GB/T18920-2020）中的城市绿化、道路清扫、消防、建筑施工标准</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噪声</w:t>
                  </w:r>
                </w:p>
              </w:tc>
              <w:tc>
                <w:tcPr>
                  <w:tcW w:w="861" w:type="pct"/>
                  <w:gridSpan w:val="2"/>
                  <w:vAlign w:val="center"/>
                </w:tcPr>
                <w:p>
                  <w:pPr>
                    <w:jc w:val="center"/>
                    <w:rPr>
                      <w:rFonts w:hint="default" w:ascii="Times New Roman" w:hAnsi="Times New Roman" w:eastAsia="宋体" w:cs="Times New Roman"/>
                      <w:bCs/>
                      <w:snapToGrid w:val="0"/>
                      <w:color w:val="auto"/>
                      <w:kern w:val="0"/>
                      <w:szCs w:val="21"/>
                      <w:highlight w:val="none"/>
                      <w:lang w:val="en-US" w:eastAsia="zh-CN"/>
                    </w:rPr>
                  </w:pPr>
                  <w:r>
                    <w:rPr>
                      <w:rFonts w:hint="default" w:ascii="Times New Roman" w:hAnsi="Times New Roman" w:eastAsia="宋体" w:cs="Times New Roman"/>
                      <w:bCs/>
                      <w:snapToGrid w:val="0"/>
                      <w:color w:val="auto"/>
                      <w:kern w:val="0"/>
                      <w:szCs w:val="21"/>
                      <w:highlight w:val="none"/>
                      <w:lang w:val="en-US" w:eastAsia="zh-CN"/>
                    </w:rPr>
                    <w:t>机械设备</w:t>
                  </w:r>
                </w:p>
              </w:tc>
              <w:tc>
                <w:tcPr>
                  <w:tcW w:w="967" w:type="pct"/>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color w:val="auto"/>
                      <w:szCs w:val="21"/>
                      <w:highlight w:val="none"/>
                    </w:rPr>
                    <w:t>沿项目区厂界东、南、西、北界外1m 处布点监测</w:t>
                  </w:r>
                </w:p>
              </w:tc>
              <w:tc>
                <w:tcPr>
                  <w:tcW w:w="1084" w:type="pct"/>
                  <w:vAlign w:val="center"/>
                </w:tcPr>
                <w:p>
                  <w:pPr>
                    <w:pStyle w:val="49"/>
                    <w:adjustRightInd w:val="0"/>
                    <w:snapToGrid w:val="0"/>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szCs w:val="21"/>
                      <w:highlight w:val="none"/>
                    </w:rPr>
                    <w:t>等效声级Leq</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 xml:space="preserve">dB </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A</w:t>
                  </w:r>
                  <w:r>
                    <w:rPr>
                      <w:rFonts w:hint="default" w:ascii="Times New Roman" w:hAnsi="Times New Roman" w:eastAsia="宋体" w:cs="Times New Roman"/>
                      <w:color w:val="auto"/>
                      <w:szCs w:val="21"/>
                      <w:highlight w:val="none"/>
                      <w:lang w:eastAsia="zh-CN"/>
                    </w:rPr>
                    <w:t>））</w:t>
                  </w:r>
                </w:p>
              </w:tc>
              <w:tc>
                <w:tcPr>
                  <w:tcW w:w="432" w:type="pct"/>
                  <w:vAlign w:val="center"/>
                </w:tcPr>
                <w:p>
                  <w:pPr>
                    <w:pStyle w:val="49"/>
                    <w:adjustRightInd w:val="0"/>
                    <w:snapToGrid w:val="0"/>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lang w:val="en-US" w:eastAsia="zh-CN"/>
                    </w:rPr>
                    <w:t>1次/季度</w:t>
                  </w:r>
                </w:p>
              </w:tc>
              <w:tc>
                <w:tcPr>
                  <w:tcW w:w="1376" w:type="pct"/>
                  <w:vAlign w:val="center"/>
                </w:tcPr>
                <w:p>
                  <w:pPr>
                    <w:pStyle w:val="49"/>
                    <w:adjustRightInd w:val="0"/>
                    <w:snapToGrid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北、西、南厂界执行</w:t>
                  </w:r>
                  <w:r>
                    <w:rPr>
                      <w:rFonts w:hint="default" w:ascii="Times New Roman" w:hAnsi="Times New Roman" w:eastAsia="宋体" w:cs="Times New Roman"/>
                      <w:color w:val="auto"/>
                      <w:szCs w:val="21"/>
                      <w:highlight w:val="none"/>
                    </w:rPr>
                    <w:t>《工业企业厂界环境噪声排放标准》（GB12348-2008）</w:t>
                  </w:r>
                  <w:r>
                    <w:rPr>
                      <w:rFonts w:hint="default" w:ascii="Times New Roman" w:hAnsi="Times New Roman" w:eastAsia="宋体" w:cs="Times New Roman"/>
                      <w:color w:val="auto"/>
                      <w:szCs w:val="21"/>
                      <w:highlight w:val="none"/>
                      <w:lang w:val="en-US" w:eastAsia="zh-CN"/>
                    </w:rPr>
                    <w:t>3</w:t>
                  </w:r>
                  <w:r>
                    <w:rPr>
                      <w:rFonts w:hint="default" w:ascii="Times New Roman" w:hAnsi="Times New Roman" w:eastAsia="宋体" w:cs="Times New Roman"/>
                      <w:color w:val="auto"/>
                      <w:szCs w:val="21"/>
                      <w:highlight w:val="none"/>
                    </w:rPr>
                    <w:t>类标准</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 w:val="21"/>
                      <w:szCs w:val="21"/>
                      <w:highlight w:val="none"/>
                    </w:rPr>
                    <w:t>临1号路一侧</w:t>
                  </w:r>
                  <w:r>
                    <w:rPr>
                      <w:rFonts w:hint="default" w:ascii="Times New Roman" w:hAnsi="Times New Roman" w:eastAsia="宋体"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rPr>
                    <w:t>m范围内</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东厂界</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执行</w:t>
                  </w:r>
                  <w:r>
                    <w:rPr>
                      <w:rFonts w:hint="default" w:ascii="Times New Roman" w:hAnsi="Times New Roman" w:eastAsia="宋体" w:cs="Times New Roman"/>
                      <w:color w:val="auto"/>
                      <w:sz w:val="21"/>
                      <w:szCs w:val="21"/>
                      <w:highlight w:val="none"/>
                    </w:rPr>
                    <w:t>《工业企业厂界环境噪声排放标准》（GB12348-2008）</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类</w:t>
                  </w:r>
                  <w:r>
                    <w:rPr>
                      <w:rFonts w:hint="default" w:ascii="Times New Roman" w:hAnsi="Times New Roman" w:eastAsia="宋体" w:cs="Times New Roman"/>
                      <w:color w:val="auto"/>
                      <w:sz w:val="21"/>
                      <w:szCs w:val="21"/>
                      <w:highlight w:val="none"/>
                      <w:lang w:val="en-US" w:eastAsia="zh-CN"/>
                    </w:rPr>
                    <w:t>标准</w:t>
                  </w:r>
                  <w:r>
                    <w:rPr>
                      <w:rFonts w:hint="default" w:ascii="Times New Roman" w:hAnsi="Times New Roman" w:eastAsia="宋体" w:cs="Times New Roman"/>
                      <w:color w:val="auto"/>
                      <w:szCs w:val="21"/>
                      <w:highlight w:val="none"/>
                      <w:lang w:eastAsia="zh-CN"/>
                    </w:rPr>
                    <w:t>。</w:t>
                  </w:r>
                </w:p>
              </w:tc>
            </w:tr>
          </w:tbl>
          <w:p>
            <w:pPr>
              <w:tabs>
                <w:tab w:val="left" w:pos="630"/>
              </w:tabs>
              <w:adjustRightInd w:val="0"/>
              <w:snapToGrid w:val="0"/>
              <w:jc w:val="center"/>
              <w:rPr>
                <w:rFonts w:hint="default" w:ascii="Times New Roman" w:hAnsi="Times New Roman" w:eastAsia="宋体" w:cs="Times New Roman"/>
                <w:b/>
                <w:color w:val="auto"/>
                <w:szCs w:val="21"/>
                <w:highlight w:val="none"/>
              </w:rPr>
            </w:pPr>
          </w:p>
          <w:p>
            <w:pPr>
              <w:tabs>
                <w:tab w:val="left" w:pos="630"/>
              </w:tabs>
              <w:adjustRightInd w:val="0"/>
              <w:snapToGrid w:val="0"/>
              <w:jc w:val="center"/>
              <w:rPr>
                <w:rFonts w:hint="default" w:ascii="Times New Roman" w:hAnsi="Times New Roman" w:eastAsia="宋体" w:cs="Times New Roman"/>
                <w:b/>
                <w:color w:val="auto"/>
                <w:szCs w:val="21"/>
                <w:highlight w:val="none"/>
              </w:rPr>
            </w:pPr>
          </w:p>
          <w:p>
            <w:pPr>
              <w:pStyle w:val="2"/>
              <w:rPr>
                <w:rFonts w:hint="default" w:ascii="Times New Roman" w:hAnsi="Times New Roman" w:eastAsia="宋体" w:cs="Times New Roman"/>
                <w:b/>
                <w:color w:val="auto"/>
                <w:szCs w:val="21"/>
                <w:highlight w:val="none"/>
              </w:rPr>
            </w:pPr>
          </w:p>
          <w:p>
            <w:pPr>
              <w:pStyle w:val="3"/>
              <w:rPr>
                <w:rFonts w:hint="default" w:ascii="Times New Roman" w:hAnsi="Times New Roman" w:eastAsia="宋体" w:cs="Times New Roman"/>
                <w:b/>
                <w:color w:val="auto"/>
                <w:szCs w:val="21"/>
                <w:highlight w:val="none"/>
              </w:rPr>
            </w:pPr>
          </w:p>
          <w:p>
            <w:pPr>
              <w:pStyle w:val="4"/>
              <w:rPr>
                <w:rFonts w:hint="default" w:ascii="Times New Roman" w:hAnsi="Times New Roman" w:eastAsia="宋体" w:cs="Times New Roman"/>
                <w:b/>
                <w:color w:val="auto"/>
                <w:szCs w:val="21"/>
                <w:highlight w:val="none"/>
              </w:rPr>
            </w:pPr>
          </w:p>
          <w:p>
            <w:pPr>
              <w:rPr>
                <w:rFonts w:hint="default" w:ascii="Times New Roman" w:hAnsi="Times New Roman" w:eastAsia="宋体" w:cs="Times New Roman"/>
                <w:b/>
                <w:color w:val="auto"/>
                <w:szCs w:val="21"/>
                <w:highlight w:val="none"/>
              </w:rPr>
            </w:pPr>
          </w:p>
          <w:p>
            <w:pPr>
              <w:pStyle w:val="2"/>
              <w:rPr>
                <w:rFonts w:hint="default" w:ascii="Times New Roman" w:hAnsi="Times New Roman" w:eastAsia="宋体" w:cs="Times New Roman"/>
                <w:b/>
                <w:color w:val="auto"/>
                <w:szCs w:val="21"/>
                <w:highlight w:val="none"/>
              </w:rPr>
            </w:pPr>
          </w:p>
          <w:p>
            <w:pPr>
              <w:pStyle w:val="3"/>
              <w:rPr>
                <w:rFonts w:hint="default" w:ascii="Times New Roman" w:hAnsi="Times New Roman" w:eastAsia="宋体" w:cs="Times New Roman"/>
                <w:b/>
                <w:color w:val="auto"/>
                <w:szCs w:val="21"/>
                <w:highlight w:val="none"/>
              </w:rPr>
            </w:pPr>
          </w:p>
          <w:p>
            <w:pPr>
              <w:pStyle w:val="4"/>
              <w:rPr>
                <w:rFonts w:hint="default" w:ascii="Times New Roman" w:hAnsi="Times New Roman" w:eastAsia="宋体" w:cs="Times New Roman"/>
                <w:b/>
                <w:color w:val="auto"/>
                <w:szCs w:val="21"/>
                <w:highlight w:val="none"/>
              </w:rPr>
            </w:pPr>
          </w:p>
          <w:p>
            <w:pPr>
              <w:rPr>
                <w:rFonts w:hint="default" w:ascii="Times New Roman" w:hAnsi="Times New Roman" w:eastAsia="宋体" w:cs="Times New Roman"/>
                <w:b/>
                <w:color w:val="auto"/>
                <w:szCs w:val="21"/>
                <w:highlight w:val="none"/>
              </w:rPr>
            </w:pPr>
          </w:p>
          <w:p>
            <w:pPr>
              <w:pStyle w:val="2"/>
              <w:rPr>
                <w:rFonts w:hint="default" w:ascii="Times New Roman" w:hAnsi="Times New Roman" w:eastAsia="宋体" w:cs="Times New Roman"/>
                <w:b/>
                <w:color w:val="auto"/>
                <w:szCs w:val="21"/>
                <w:highlight w:val="none"/>
              </w:rPr>
            </w:pPr>
          </w:p>
          <w:p>
            <w:pPr>
              <w:pStyle w:val="3"/>
              <w:rPr>
                <w:rFonts w:hint="default" w:ascii="Times New Roman" w:hAnsi="Times New Roman" w:eastAsia="宋体" w:cs="Times New Roman"/>
                <w:b/>
                <w:color w:val="auto"/>
                <w:szCs w:val="21"/>
                <w:highlight w:val="none"/>
              </w:rPr>
            </w:pPr>
          </w:p>
          <w:p>
            <w:pPr>
              <w:pStyle w:val="4"/>
              <w:rPr>
                <w:rFonts w:hint="default" w:ascii="Times New Roman" w:hAnsi="Times New Roman" w:eastAsia="宋体" w:cs="Times New Roman"/>
                <w:b/>
                <w:color w:val="auto"/>
                <w:szCs w:val="21"/>
                <w:highlight w:val="none"/>
              </w:rPr>
            </w:pPr>
          </w:p>
          <w:p>
            <w:pPr>
              <w:rPr>
                <w:rFonts w:hint="default" w:ascii="Times New Roman" w:hAnsi="Times New Roman" w:eastAsia="宋体" w:cs="Times New Roman"/>
                <w:b/>
                <w:color w:val="auto"/>
                <w:szCs w:val="21"/>
                <w:highlight w:val="none"/>
              </w:rPr>
            </w:pPr>
          </w:p>
          <w:p>
            <w:pPr>
              <w:pStyle w:val="2"/>
              <w:rPr>
                <w:rFonts w:hint="default" w:ascii="Times New Roman" w:hAnsi="Times New Roman" w:eastAsia="宋体" w:cs="Times New Roman"/>
                <w:b/>
                <w:color w:val="auto"/>
                <w:szCs w:val="21"/>
                <w:highlight w:val="none"/>
              </w:rPr>
            </w:pPr>
          </w:p>
          <w:p>
            <w:pPr>
              <w:pStyle w:val="3"/>
              <w:rPr>
                <w:rFonts w:hint="default" w:ascii="Times New Roman" w:hAnsi="Times New Roman" w:eastAsia="宋体" w:cs="Times New Roman"/>
                <w:b/>
                <w:color w:val="auto"/>
                <w:szCs w:val="21"/>
                <w:highlight w:val="none"/>
              </w:rPr>
            </w:pPr>
          </w:p>
          <w:p>
            <w:pPr>
              <w:pStyle w:val="4"/>
              <w:rPr>
                <w:rFonts w:hint="default" w:ascii="Times New Roman" w:hAnsi="Times New Roman" w:eastAsia="宋体" w:cs="Times New Roman"/>
                <w:b/>
                <w:color w:val="auto"/>
                <w:szCs w:val="21"/>
                <w:highlight w:val="none"/>
              </w:rPr>
            </w:pPr>
          </w:p>
          <w:p>
            <w:pPr>
              <w:rPr>
                <w:rFonts w:hint="default" w:ascii="Times New Roman" w:hAnsi="Times New Roman" w:eastAsia="宋体" w:cs="Times New Roman"/>
                <w:b/>
                <w:color w:val="auto"/>
                <w:szCs w:val="21"/>
                <w:highlight w:val="none"/>
              </w:rPr>
            </w:pPr>
          </w:p>
          <w:p>
            <w:pPr>
              <w:pStyle w:val="2"/>
              <w:rPr>
                <w:rFonts w:hint="default" w:ascii="Times New Roman" w:hAnsi="Times New Roman" w:eastAsia="宋体" w:cs="Times New Roman"/>
                <w:b/>
                <w:color w:val="auto"/>
                <w:szCs w:val="21"/>
                <w:highlight w:val="none"/>
              </w:rPr>
            </w:pPr>
          </w:p>
          <w:p>
            <w:pPr>
              <w:pStyle w:val="3"/>
              <w:rPr>
                <w:rFonts w:hint="default" w:ascii="Times New Roman" w:hAnsi="Times New Roman" w:eastAsia="宋体" w:cs="Times New Roman"/>
                <w:b/>
                <w:color w:val="auto"/>
                <w:szCs w:val="21"/>
                <w:highlight w:val="none"/>
              </w:rPr>
            </w:pPr>
          </w:p>
          <w:p>
            <w:pPr>
              <w:pStyle w:val="4"/>
              <w:rPr>
                <w:rFonts w:hint="default" w:ascii="Times New Roman" w:hAnsi="Times New Roman" w:eastAsia="宋体" w:cs="Times New Roman"/>
                <w:b/>
                <w:color w:val="auto"/>
                <w:szCs w:val="21"/>
                <w:highlight w:val="none"/>
              </w:rPr>
            </w:pPr>
          </w:p>
          <w:p>
            <w:pPr>
              <w:rPr>
                <w:rFonts w:hint="default" w:ascii="Times New Roman" w:hAnsi="Times New Roman" w:eastAsia="宋体" w:cs="Times New Roman"/>
                <w:b/>
                <w:color w:val="auto"/>
                <w:szCs w:val="21"/>
                <w:highlight w:val="none"/>
              </w:rPr>
            </w:pPr>
          </w:p>
          <w:p>
            <w:pPr>
              <w:pStyle w:val="2"/>
              <w:rPr>
                <w:rFonts w:hint="default" w:ascii="Times New Roman" w:hAnsi="Times New Roman" w:eastAsia="宋体" w:cs="Times New Roman"/>
                <w:b/>
                <w:color w:val="auto"/>
                <w:szCs w:val="21"/>
                <w:highlight w:val="none"/>
              </w:rPr>
            </w:pPr>
          </w:p>
          <w:p>
            <w:pPr>
              <w:pStyle w:val="3"/>
              <w:rPr>
                <w:rFonts w:hint="default" w:ascii="Times New Roman" w:hAnsi="Times New Roman" w:eastAsia="宋体" w:cs="Times New Roman"/>
                <w:b/>
                <w:color w:val="auto"/>
                <w:szCs w:val="21"/>
                <w:highlight w:val="none"/>
              </w:rPr>
            </w:pPr>
          </w:p>
          <w:p>
            <w:pPr>
              <w:pStyle w:val="4"/>
              <w:rPr>
                <w:rFonts w:hint="default" w:ascii="Times New Roman" w:hAnsi="Times New Roman" w:eastAsia="宋体" w:cs="Times New Roman"/>
                <w:b/>
                <w:color w:val="auto"/>
                <w:szCs w:val="21"/>
                <w:highlight w:val="none"/>
              </w:rPr>
            </w:pPr>
          </w:p>
          <w:p>
            <w:pPr>
              <w:rPr>
                <w:rFonts w:hint="default" w:ascii="Times New Roman" w:hAnsi="Times New Roman" w:eastAsia="宋体" w:cs="Times New Roman"/>
                <w:b/>
                <w:color w:val="auto"/>
                <w:szCs w:val="21"/>
                <w:highlight w:val="none"/>
              </w:rPr>
            </w:pPr>
          </w:p>
          <w:p>
            <w:pPr>
              <w:pStyle w:val="2"/>
              <w:rPr>
                <w:rFonts w:hint="default" w:ascii="Times New Roman" w:hAnsi="Times New Roman" w:eastAsia="宋体" w:cs="Times New Roman"/>
                <w:b/>
                <w:color w:val="auto"/>
                <w:szCs w:val="21"/>
                <w:highlight w:val="none"/>
              </w:rPr>
            </w:pPr>
          </w:p>
          <w:p>
            <w:pPr>
              <w:pStyle w:val="3"/>
              <w:rPr>
                <w:rFonts w:hint="default" w:ascii="Times New Roman" w:hAnsi="Times New Roman" w:eastAsia="宋体" w:cs="Times New Roman"/>
                <w:b/>
                <w:color w:val="auto"/>
                <w:szCs w:val="21"/>
                <w:highlight w:val="none"/>
              </w:rPr>
            </w:pPr>
          </w:p>
          <w:p>
            <w:pPr>
              <w:pStyle w:val="4"/>
              <w:rPr>
                <w:rFonts w:hint="default" w:ascii="Times New Roman" w:hAnsi="Times New Roman" w:eastAsia="宋体" w:cs="Times New Roman"/>
                <w:b/>
                <w:color w:val="auto"/>
                <w:szCs w:val="21"/>
                <w:highlight w:val="none"/>
              </w:rPr>
            </w:pPr>
          </w:p>
          <w:p>
            <w:pPr>
              <w:rPr>
                <w:rFonts w:hint="default" w:ascii="Times New Roman" w:hAnsi="Times New Roman" w:eastAsia="宋体" w:cs="Times New Roman"/>
                <w:b/>
                <w:color w:val="auto"/>
                <w:szCs w:val="21"/>
                <w:highlight w:val="none"/>
              </w:rPr>
            </w:pPr>
          </w:p>
          <w:p>
            <w:pPr>
              <w:pStyle w:val="2"/>
              <w:rPr>
                <w:rFonts w:hint="default" w:ascii="Times New Roman" w:hAnsi="Times New Roman" w:eastAsia="宋体" w:cs="Times New Roman"/>
                <w:b/>
                <w:color w:val="auto"/>
                <w:szCs w:val="21"/>
                <w:highlight w:val="none"/>
              </w:rPr>
            </w:pPr>
          </w:p>
          <w:p>
            <w:pPr>
              <w:pStyle w:val="3"/>
              <w:rPr>
                <w:rFonts w:hint="default" w:ascii="Times New Roman" w:hAnsi="Times New Roman" w:eastAsia="宋体" w:cs="Times New Roman"/>
                <w:color w:val="auto"/>
              </w:rPr>
            </w:pPr>
          </w:p>
          <w:p>
            <w:pPr>
              <w:keepNext w:val="0"/>
              <w:keepLines w:val="0"/>
              <w:pageBreakBefore w:val="0"/>
              <w:widowControl w:val="0"/>
              <w:kinsoku/>
              <w:wordWrap/>
              <w:overflowPunct/>
              <w:topLinePunct w:val="0"/>
              <w:autoSpaceDE/>
              <w:autoSpaceDN/>
              <w:bidi w:val="0"/>
              <w:adjustRightInd w:val="0"/>
              <w:snapToGrid w:val="0"/>
              <w:spacing w:line="348" w:lineRule="auto"/>
              <w:ind w:firstLine="0" w:firstLineChars="0"/>
              <w:jc w:val="left"/>
              <w:textAlignment w:val="auto"/>
              <w:rPr>
                <w:rFonts w:hint="default" w:ascii="Times New Roman" w:hAnsi="Times New Roman" w:eastAsia="宋体" w:cs="Times New Roman"/>
                <w:color w:val="auto"/>
                <w:sz w:val="21"/>
                <w:szCs w:val="21"/>
                <w:highlight w:val="none"/>
                <w:lang w:val="en-US" w:eastAsia="zh-CN"/>
              </w:rPr>
            </w:pPr>
          </w:p>
        </w:tc>
      </w:tr>
    </w:tbl>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snapToGrid w:val="0"/>
          <w:color w:val="auto"/>
          <w:highlight w:val="none"/>
        </w:rPr>
        <w:br w:type="page"/>
      </w:r>
      <w:bookmarkStart w:id="61" w:name="_Toc24787"/>
      <w:bookmarkStart w:id="62" w:name="_Toc1582"/>
      <w:r>
        <w:rPr>
          <w:rFonts w:hint="default" w:ascii="Times New Roman" w:hAnsi="Times New Roman" w:eastAsia="宋体" w:cs="Times New Roman"/>
          <w:b/>
          <w:bCs/>
          <w:snapToGrid w:val="0"/>
          <w:color w:val="auto"/>
          <w:sz w:val="30"/>
          <w:szCs w:val="30"/>
          <w:highlight w:val="none"/>
        </w:rPr>
        <w:t>六、结论</w:t>
      </w:r>
      <w:bookmarkEnd w:id="61"/>
      <w:bookmarkEnd w:id="62"/>
    </w:p>
    <w:tbl>
      <w:tblPr>
        <w:tblStyle w:val="26"/>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top"/>
          </w:tcPr>
          <w:p>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的建设符合国家、地方产业政策，以及相关规划，不涉及自然保护区、风景名胜区、水源保护区等环境敏感区，与周围居民点、学校、医院等关心点距离较远，选址合理。在采取环评提出的措施后，项目产生的废气、废水、噪声均可达标排放，固废处置率100%，对当地环境质量及主要关心点环境影响较小，符合达标排放、总量控制和不降低当地环境功能的原则要求，符合国家法律法规要求。</w:t>
            </w:r>
          </w:p>
          <w:p>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本项目在严格执行环境保护“三同时”制度，严格进行环境管理，保证项目内的废气处理设施及其他环保设施的正常运行，污染物达标排放的条件下，从环境保护角度论证，本项目的建设是可行的。</w:t>
            </w:r>
          </w:p>
        </w:tc>
      </w:tr>
    </w:tbl>
    <w:p>
      <w:pPr>
        <w:rPr>
          <w:rFonts w:hint="default" w:ascii="Times New Roman" w:hAnsi="Times New Roman" w:eastAsia="宋体" w:cs="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eastAsia="宋体" w:cs="Times New Roman"/>
          <w:b/>
          <w:bCs/>
          <w:snapToGrid w:val="0"/>
          <w:color w:val="auto"/>
          <w:sz w:val="30"/>
          <w:szCs w:val="30"/>
          <w:highlight w:val="none"/>
        </w:rPr>
      </w:pPr>
      <w:bookmarkStart w:id="63" w:name="_Toc6881"/>
      <w:bookmarkStart w:id="64" w:name="_Toc24156"/>
      <w:bookmarkStart w:id="65" w:name="_Toc9427"/>
      <w:r>
        <w:rPr>
          <w:rFonts w:hint="default" w:ascii="Times New Roman" w:hAnsi="Times New Roman" w:eastAsia="宋体" w:cs="Times New Roman"/>
          <w:b/>
          <w:bCs/>
          <w:snapToGrid w:val="0"/>
          <w:color w:val="auto"/>
          <w:sz w:val="30"/>
          <w:szCs w:val="30"/>
          <w:highlight w:val="none"/>
        </w:rPr>
        <w:t>附表</w:t>
      </w:r>
      <w:bookmarkEnd w:id="63"/>
      <w:bookmarkEnd w:id="64"/>
      <w:bookmarkEnd w:id="65"/>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eastAsia="宋体" w:cs="Times New Roman"/>
          <w:snapToGrid w:val="0"/>
          <w:color w:val="auto"/>
          <w:sz w:val="24"/>
          <w:szCs w:val="24"/>
          <w:highlight w:val="none"/>
        </w:rPr>
      </w:pPr>
      <w:bookmarkStart w:id="66" w:name="_Toc18631"/>
      <w:bookmarkStart w:id="67" w:name="_Toc29979"/>
      <w:r>
        <w:rPr>
          <w:rFonts w:hint="default" w:ascii="Times New Roman" w:hAnsi="Times New Roman" w:eastAsia="宋体" w:cs="Times New Roman"/>
          <w:snapToGrid w:val="0"/>
          <w:color w:val="auto"/>
          <w:sz w:val="24"/>
          <w:szCs w:val="24"/>
          <w:highlight w:val="none"/>
        </w:rPr>
        <w:t>建设项目污染物排放量汇总表</w:t>
      </w:r>
      <w:bookmarkEnd w:id="66"/>
      <w:bookmarkEnd w:id="67"/>
      <w:r>
        <w:rPr>
          <w:rFonts w:hint="default" w:ascii="Times New Roman" w:hAnsi="Times New Roman" w:eastAsia="宋体" w:cs="Times New Roman"/>
          <w:snapToGrid w:val="0"/>
          <w:color w:val="auto"/>
          <w:sz w:val="24"/>
          <w:szCs w:val="24"/>
          <w:highlight w:val="none"/>
          <w:lang w:eastAsia="zh-CN"/>
        </w:rPr>
        <w:t>（单位：</w:t>
      </w:r>
      <w:r>
        <w:rPr>
          <w:rFonts w:hint="default" w:ascii="Times New Roman" w:hAnsi="Times New Roman" w:eastAsia="宋体" w:cs="Times New Roman"/>
          <w:snapToGrid w:val="0"/>
          <w:color w:val="auto"/>
          <w:sz w:val="24"/>
          <w:szCs w:val="24"/>
          <w:highlight w:val="none"/>
          <w:lang w:val="en-US" w:eastAsia="zh-CN"/>
        </w:rPr>
        <w:t>t/a</w:t>
      </w:r>
      <w:r>
        <w:rPr>
          <w:rFonts w:hint="default" w:ascii="Times New Roman" w:hAnsi="Times New Roman" w:eastAsia="宋体" w:cs="Times New Roman"/>
          <w:snapToGrid w:val="0"/>
          <w:color w:val="auto"/>
          <w:sz w:val="24"/>
          <w:szCs w:val="24"/>
          <w:highlight w:val="none"/>
          <w:lang w:eastAsia="zh-CN"/>
        </w:rPr>
        <w:t>）</w:t>
      </w:r>
    </w:p>
    <w:tbl>
      <w:tblPr>
        <w:tblStyle w:val="26"/>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2005"/>
        <w:gridCol w:w="1701"/>
        <w:gridCol w:w="1276"/>
        <w:gridCol w:w="1701"/>
        <w:gridCol w:w="1559"/>
        <w:gridCol w:w="1761"/>
        <w:gridCol w:w="1824"/>
        <w:gridCol w:w="9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tcBorders>
              <w:tl2br w:val="single" w:color="auto" w:sz="4" w:space="0"/>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分类</w:t>
            </w:r>
          </w:p>
        </w:tc>
        <w:tc>
          <w:tcPr>
            <w:tcW w:w="2005"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污染物名称</w:t>
            </w:r>
          </w:p>
        </w:tc>
        <w:tc>
          <w:tcPr>
            <w:tcW w:w="1701"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现有工程排放量（固体废物产生量）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1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lang w:val="en-US" w:eastAsia="zh-CN"/>
              </w:rPr>
              <w:fldChar w:fldCharType="end"/>
            </w:r>
          </w:p>
        </w:tc>
        <w:tc>
          <w:tcPr>
            <w:tcW w:w="1276"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现有工程许可排放量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2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lang w:val="en-US" w:eastAsia="zh-CN"/>
              </w:rPr>
              <w:fldChar w:fldCharType="end"/>
            </w:r>
          </w:p>
        </w:tc>
        <w:tc>
          <w:tcPr>
            <w:tcW w:w="1701"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在建工程排放量（固体废物产生量）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3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lang w:val="en-US" w:eastAsia="zh-CN"/>
              </w:rPr>
              <w:fldChar w:fldCharType="end"/>
            </w:r>
          </w:p>
        </w:tc>
        <w:tc>
          <w:tcPr>
            <w:tcW w:w="1559"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4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④</w:t>
            </w:r>
            <w:r>
              <w:rPr>
                <w:rFonts w:hint="default" w:ascii="Times New Roman" w:hAnsi="Times New Roman" w:eastAsia="宋体" w:cs="Times New Roman"/>
                <w:color w:val="auto"/>
                <w:sz w:val="21"/>
                <w:szCs w:val="21"/>
                <w:highlight w:val="none"/>
                <w:lang w:val="en-US" w:eastAsia="zh-CN"/>
              </w:rPr>
              <w:fldChar w:fldCharType="end"/>
            </w:r>
          </w:p>
        </w:tc>
        <w:tc>
          <w:tcPr>
            <w:tcW w:w="1761"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以新带老削减量</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（新建项目不填）</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5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⑤</w:t>
            </w:r>
            <w:r>
              <w:rPr>
                <w:rFonts w:hint="default" w:ascii="Times New Roman" w:hAnsi="Times New Roman" w:eastAsia="宋体" w:cs="Times New Roman"/>
                <w:color w:val="auto"/>
                <w:sz w:val="21"/>
                <w:szCs w:val="21"/>
                <w:highlight w:val="none"/>
                <w:lang w:val="en-US" w:eastAsia="zh-CN"/>
              </w:rPr>
              <w:fldChar w:fldCharType="end"/>
            </w:r>
          </w:p>
        </w:tc>
        <w:tc>
          <w:tcPr>
            <w:tcW w:w="1824"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本项目建成后全厂排放量（固体废物产生量）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6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⑥</w:t>
            </w:r>
            <w:r>
              <w:rPr>
                <w:rFonts w:hint="default" w:ascii="Times New Roman" w:hAnsi="Times New Roman" w:eastAsia="宋体" w:cs="Times New Roman"/>
                <w:color w:val="auto"/>
                <w:sz w:val="21"/>
                <w:szCs w:val="21"/>
                <w:highlight w:val="none"/>
                <w:lang w:val="en-US" w:eastAsia="zh-CN"/>
              </w:rPr>
              <w:fldChar w:fldCharType="end"/>
            </w:r>
          </w:p>
        </w:tc>
        <w:tc>
          <w:tcPr>
            <w:tcW w:w="961"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变化量</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7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⑦</w:t>
            </w:r>
            <w:r>
              <w:rPr>
                <w:rFonts w:hint="default" w:ascii="Times New Roman" w:hAnsi="Times New Roman" w:eastAsia="宋体" w:cs="Times New Roman"/>
                <w:color w:val="auto"/>
                <w:sz w:val="21"/>
                <w:szCs w:val="21"/>
                <w:highlight w:val="none"/>
                <w:lang w:val="en-US" w:eastAsia="zh-CN"/>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挥发性有机物（以非甲烷总烃计）</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76"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9"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4.7</w:t>
            </w:r>
          </w:p>
        </w:tc>
        <w:tc>
          <w:tcPr>
            <w:tcW w:w="17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824"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4.7</w:t>
            </w:r>
          </w:p>
        </w:tc>
        <w:tc>
          <w:tcPr>
            <w:tcW w:w="9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+4.7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0.162</w:t>
            </w:r>
          </w:p>
        </w:tc>
        <w:tc>
          <w:tcPr>
            <w:tcW w:w="1276"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0.162</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9"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7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24"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0.162</w:t>
            </w:r>
          </w:p>
        </w:tc>
        <w:tc>
          <w:tcPr>
            <w:tcW w:w="9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276"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559"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824"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9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restar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w:t>
            </w:r>
          </w:p>
        </w:tc>
        <w:tc>
          <w:tcPr>
            <w:tcW w:w="20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COD</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76"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9"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7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24"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w:t>
            </w:r>
          </w:p>
        </w:tc>
        <w:tc>
          <w:tcPr>
            <w:tcW w:w="9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76"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9"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7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24"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w:t>
            </w:r>
          </w:p>
        </w:tc>
        <w:tc>
          <w:tcPr>
            <w:tcW w:w="9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restar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一般固体废物</w:t>
            </w:r>
          </w:p>
        </w:tc>
        <w:tc>
          <w:tcPr>
            <w:tcW w:w="20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废包装材料</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6</w:t>
            </w:r>
          </w:p>
        </w:tc>
        <w:tc>
          <w:tcPr>
            <w:tcW w:w="1276"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9"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w:t>
            </w:r>
          </w:p>
        </w:tc>
        <w:tc>
          <w:tcPr>
            <w:tcW w:w="17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24"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9.2</w:t>
            </w:r>
          </w:p>
        </w:tc>
        <w:tc>
          <w:tcPr>
            <w:tcW w:w="9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废边角料</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6</w:t>
            </w:r>
          </w:p>
        </w:tc>
        <w:tc>
          <w:tcPr>
            <w:tcW w:w="1276"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9"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w:t>
            </w:r>
          </w:p>
        </w:tc>
        <w:tc>
          <w:tcPr>
            <w:tcW w:w="17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24"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10.6</w:t>
            </w:r>
          </w:p>
        </w:tc>
        <w:tc>
          <w:tcPr>
            <w:tcW w:w="9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不合格品</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w:t>
            </w:r>
          </w:p>
        </w:tc>
        <w:tc>
          <w:tcPr>
            <w:tcW w:w="1276"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9"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3.4</w:t>
            </w:r>
          </w:p>
        </w:tc>
        <w:tc>
          <w:tcPr>
            <w:tcW w:w="17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24"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9.4</w:t>
            </w:r>
          </w:p>
        </w:tc>
        <w:tc>
          <w:tcPr>
            <w:tcW w:w="9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w:t>
            </w:r>
          </w:p>
        </w:tc>
        <w:tc>
          <w:tcPr>
            <w:tcW w:w="1276"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9"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7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24"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9</w:t>
            </w:r>
          </w:p>
        </w:tc>
        <w:tc>
          <w:tcPr>
            <w:tcW w:w="9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餐厨垃圾</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0.9</w:t>
            </w:r>
          </w:p>
        </w:tc>
        <w:tc>
          <w:tcPr>
            <w:tcW w:w="1276"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9"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w:t>
            </w:r>
          </w:p>
        </w:tc>
        <w:tc>
          <w:tcPr>
            <w:tcW w:w="17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24"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2.7</w:t>
            </w:r>
          </w:p>
        </w:tc>
        <w:tc>
          <w:tcPr>
            <w:tcW w:w="9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化粪池</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一体化污水处理站</w:t>
            </w:r>
            <w:r>
              <w:rPr>
                <w:rFonts w:hint="default" w:ascii="Times New Roman" w:hAnsi="Times New Roman" w:eastAsia="宋体" w:cs="Times New Roman"/>
                <w:b w:val="0"/>
                <w:bCs w:val="0"/>
                <w:color w:val="auto"/>
                <w:sz w:val="21"/>
                <w:szCs w:val="21"/>
                <w:highlight w:val="none"/>
              </w:rPr>
              <w:t>污泥</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0.06</w:t>
            </w:r>
          </w:p>
        </w:tc>
        <w:tc>
          <w:tcPr>
            <w:tcW w:w="1276"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9"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0.12</w:t>
            </w:r>
          </w:p>
        </w:tc>
        <w:tc>
          <w:tcPr>
            <w:tcW w:w="17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24"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0.18</w:t>
            </w:r>
          </w:p>
        </w:tc>
        <w:tc>
          <w:tcPr>
            <w:tcW w:w="9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restar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20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废活性炭</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76"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9"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29.71</w:t>
            </w:r>
          </w:p>
        </w:tc>
        <w:tc>
          <w:tcPr>
            <w:tcW w:w="17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24"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29.71</w:t>
            </w:r>
          </w:p>
        </w:tc>
        <w:tc>
          <w:tcPr>
            <w:tcW w:w="9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+29.71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废UV灯管</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76"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559"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w:t>
            </w:r>
          </w:p>
        </w:tc>
        <w:tc>
          <w:tcPr>
            <w:tcW w:w="17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824"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0.02</w:t>
            </w:r>
          </w:p>
        </w:tc>
        <w:tc>
          <w:tcPr>
            <w:tcW w:w="9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废矿物油</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w:t>
            </w:r>
          </w:p>
        </w:tc>
        <w:tc>
          <w:tcPr>
            <w:tcW w:w="1276"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9"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c>
          <w:tcPr>
            <w:tcW w:w="17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24"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w:t>
            </w:r>
          </w:p>
        </w:tc>
        <w:tc>
          <w:tcPr>
            <w:tcW w:w="9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废弃的含油抹布、劳保用品</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c>
          <w:tcPr>
            <w:tcW w:w="1276"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9"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17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24"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w:t>
            </w:r>
          </w:p>
        </w:tc>
        <w:tc>
          <w:tcPr>
            <w:tcW w:w="9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276"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559"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824"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276"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559"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824"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276"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559"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824"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6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bl>
    <w:p>
      <w:pPr>
        <w:rPr>
          <w:rFonts w:hint="default" w:ascii="Times New Roman" w:hAnsi="Times New Roman" w:eastAsia="宋体" w:cs="Times New Roman"/>
          <w:color w:val="auto"/>
        </w:rPr>
      </w:pPr>
      <w:r>
        <w:rPr>
          <w:rFonts w:hint="default" w:ascii="Times New Roman" w:hAnsi="Times New Roman" w:eastAsia="宋体" w:cs="Times New Roman"/>
          <w:snapToGrid w:val="0"/>
          <w:color w:val="auto"/>
          <w:kern w:val="21"/>
          <w:szCs w:val="21"/>
          <w:highlight w:val="none"/>
        </w:rPr>
        <w:t>注：</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p>
    <w:p>
      <w:pPr>
        <w:rPr>
          <w:rFonts w:hint="default" w:ascii="Times New Roman" w:hAnsi="Times New Roman" w:eastAsia="宋体" w:cs="Times New Roman"/>
          <w:color w:val="auto"/>
        </w:rPr>
      </w:pPr>
    </w:p>
    <w:p>
      <w:pPr>
        <w:rPr>
          <w:rFonts w:hint="default" w:ascii="Times New Roman" w:hAnsi="Times New Roman" w:eastAsia="宋体" w:cs="Times New Roman"/>
          <w:color w:val="auto"/>
        </w:rPr>
      </w:pPr>
    </w:p>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Geneva">
    <w:altName w:val="Arial"/>
    <w:panose1 w:val="020B0503030404040204"/>
    <w:charset w:val="00"/>
    <w:family w:val="swiss"/>
    <w:pitch w:val="default"/>
    <w:sig w:usb0="00000000" w:usb1="00000000" w:usb2="00000000" w:usb3="00000000" w:csb0="00000001" w:csb1="00000000"/>
  </w:font>
  <w:font w:name="Arial Unicode MS">
    <w:altName w:val="宋体"/>
    <w:panose1 w:val="020B0604020202020204"/>
    <w:charset w:val="86"/>
    <w:family w:val="auto"/>
    <w:pitch w:val="default"/>
    <w:sig w:usb0="00000000" w:usb1="00000000" w:usb2="0000003F" w:usb3="00000000" w:csb0="603F01FF" w:csb1="FFFF0000"/>
  </w:font>
  <w:font w:name="PMingLiU">
    <w:altName w:val="PMingLiU-ExtB"/>
    <w:panose1 w:val="02020500000000000000"/>
    <w:charset w:val="88"/>
    <w:family w:val="roman"/>
    <w:pitch w:val="default"/>
    <w:sig w:usb0="00000000" w:usb1="00000000" w:usb2="00000016" w:usb3="00000000" w:csb0="00100001" w:csb1="00000000"/>
  </w:font>
  <w:font w:name="Impact">
    <w:panose1 w:val="020B0806030902050204"/>
    <w:charset w:val="00"/>
    <w:family w:val="swiss"/>
    <w:pitch w:val="default"/>
    <w:sig w:usb0="00000287" w:usb1="00000000" w:usb2="00000000" w:usb3="00000000" w:csb0="2000009F" w:csb1="DFD70000"/>
  </w:font>
  <w:font w:name="仿宋_GB2312">
    <w:altName w:val="仿宋"/>
    <w:panose1 w:val="02010609030101010101"/>
    <w:charset w:val="86"/>
    <w:family w:val="auto"/>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0"/>
      </w:rPr>
    </w:pPr>
    <w:r>
      <w:fldChar w:fldCharType="begin"/>
    </w:r>
    <w:r>
      <w:rPr>
        <w:rStyle w:val="30"/>
      </w:rPr>
      <w:instrText xml:space="preserve">PAGE  </w:instrText>
    </w:r>
    <w:r>
      <w:fldChar w:fldCharType="end"/>
    </w:r>
  </w:p>
  <w:p>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right" w:pos="7951"/>
        <w:tab w:val="clear" w:pos="8306"/>
      </w:tabs>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Style w:val="30"/>
                              <w:rFonts w:ascii="宋体" w:hAnsi="宋体"/>
                              <w:sz w:val="26"/>
                              <w:szCs w:val="26"/>
                            </w:rPr>
                            <w:fldChar w:fldCharType="begin"/>
                          </w:r>
                          <w:r>
                            <w:rPr>
                              <w:rStyle w:val="30"/>
                              <w:rFonts w:ascii="宋体" w:hAnsi="宋体"/>
                              <w:sz w:val="26"/>
                              <w:szCs w:val="26"/>
                            </w:rPr>
                            <w:instrText xml:space="preserve">PAGE  </w:instrText>
                          </w:r>
                          <w:r>
                            <w:rPr>
                              <w:rStyle w:val="30"/>
                              <w:rFonts w:ascii="宋体" w:hAnsi="宋体"/>
                              <w:sz w:val="26"/>
                              <w:szCs w:val="26"/>
                            </w:rPr>
                            <w:fldChar w:fldCharType="separate"/>
                          </w:r>
                          <w:r>
                            <w:rPr>
                              <w:rStyle w:val="30"/>
                              <w:rFonts w:ascii="宋体" w:hAnsi="宋体"/>
                              <w:sz w:val="26"/>
                              <w:szCs w:val="26"/>
                            </w:rPr>
                            <w:t>9</w:t>
                          </w:r>
                          <w:r>
                            <w:rPr>
                              <w:rStyle w:val="30"/>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0"/>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Style w:val="30"/>
                        <w:rFonts w:ascii="宋体" w:hAnsi="宋体"/>
                        <w:sz w:val="26"/>
                        <w:szCs w:val="26"/>
                      </w:rPr>
                      <w:fldChar w:fldCharType="begin"/>
                    </w:r>
                    <w:r>
                      <w:rPr>
                        <w:rStyle w:val="30"/>
                        <w:rFonts w:ascii="宋体" w:hAnsi="宋体"/>
                        <w:sz w:val="26"/>
                        <w:szCs w:val="26"/>
                      </w:rPr>
                      <w:instrText xml:space="preserve">PAGE  </w:instrText>
                    </w:r>
                    <w:r>
                      <w:rPr>
                        <w:rStyle w:val="30"/>
                        <w:rFonts w:ascii="宋体" w:hAnsi="宋体"/>
                        <w:sz w:val="26"/>
                        <w:szCs w:val="26"/>
                      </w:rPr>
                      <w:fldChar w:fldCharType="separate"/>
                    </w:r>
                    <w:r>
                      <w:rPr>
                        <w:rStyle w:val="30"/>
                        <w:rFonts w:ascii="宋体" w:hAnsi="宋体"/>
                        <w:sz w:val="26"/>
                        <w:szCs w:val="26"/>
                      </w:rPr>
                      <w:t>9</w:t>
                    </w:r>
                    <w:r>
                      <w:rPr>
                        <w:rStyle w:val="30"/>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64CFA9"/>
    <w:multiLevelType w:val="multilevel"/>
    <w:tmpl w:val="BB64CFA9"/>
    <w:lvl w:ilvl="0" w:tentative="0">
      <w:start w:val="1"/>
      <w:numFmt w:val="decimal"/>
      <w:lvlText w:val="（%1）"/>
      <w:lvlJc w:val="left"/>
      <w:pPr>
        <w:ind w:left="132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78" w:hanging="601"/>
      </w:pPr>
      <w:rPr>
        <w:rFonts w:hint="default"/>
        <w:lang w:val="zh-CN" w:eastAsia="zh-CN" w:bidi="zh-CN"/>
      </w:rPr>
    </w:lvl>
    <w:lvl w:ilvl="2" w:tentative="0">
      <w:start w:val="0"/>
      <w:numFmt w:val="bullet"/>
      <w:lvlText w:val="•"/>
      <w:lvlJc w:val="left"/>
      <w:pPr>
        <w:ind w:left="3037" w:hanging="601"/>
      </w:pPr>
      <w:rPr>
        <w:rFonts w:hint="default"/>
        <w:lang w:val="zh-CN" w:eastAsia="zh-CN" w:bidi="zh-CN"/>
      </w:rPr>
    </w:lvl>
    <w:lvl w:ilvl="3" w:tentative="0">
      <w:start w:val="0"/>
      <w:numFmt w:val="bullet"/>
      <w:lvlText w:val="•"/>
      <w:lvlJc w:val="left"/>
      <w:pPr>
        <w:ind w:left="3895" w:hanging="601"/>
      </w:pPr>
      <w:rPr>
        <w:rFonts w:hint="default"/>
        <w:lang w:val="zh-CN" w:eastAsia="zh-CN" w:bidi="zh-CN"/>
      </w:rPr>
    </w:lvl>
    <w:lvl w:ilvl="4" w:tentative="0">
      <w:start w:val="0"/>
      <w:numFmt w:val="bullet"/>
      <w:lvlText w:val="•"/>
      <w:lvlJc w:val="left"/>
      <w:pPr>
        <w:ind w:left="4754" w:hanging="601"/>
      </w:pPr>
      <w:rPr>
        <w:rFonts w:hint="default"/>
        <w:lang w:val="zh-CN" w:eastAsia="zh-CN" w:bidi="zh-CN"/>
      </w:rPr>
    </w:lvl>
    <w:lvl w:ilvl="5" w:tentative="0">
      <w:start w:val="0"/>
      <w:numFmt w:val="bullet"/>
      <w:lvlText w:val="•"/>
      <w:lvlJc w:val="left"/>
      <w:pPr>
        <w:ind w:left="5613" w:hanging="601"/>
      </w:pPr>
      <w:rPr>
        <w:rFonts w:hint="default"/>
        <w:lang w:val="zh-CN" w:eastAsia="zh-CN" w:bidi="zh-CN"/>
      </w:rPr>
    </w:lvl>
    <w:lvl w:ilvl="6" w:tentative="0">
      <w:start w:val="0"/>
      <w:numFmt w:val="bullet"/>
      <w:lvlText w:val="•"/>
      <w:lvlJc w:val="left"/>
      <w:pPr>
        <w:ind w:left="6471" w:hanging="601"/>
      </w:pPr>
      <w:rPr>
        <w:rFonts w:hint="default"/>
        <w:lang w:val="zh-CN" w:eastAsia="zh-CN" w:bidi="zh-CN"/>
      </w:rPr>
    </w:lvl>
    <w:lvl w:ilvl="7" w:tentative="0">
      <w:start w:val="0"/>
      <w:numFmt w:val="bullet"/>
      <w:lvlText w:val="•"/>
      <w:lvlJc w:val="left"/>
      <w:pPr>
        <w:ind w:left="7330" w:hanging="601"/>
      </w:pPr>
      <w:rPr>
        <w:rFonts w:hint="default"/>
        <w:lang w:val="zh-CN" w:eastAsia="zh-CN" w:bidi="zh-CN"/>
      </w:rPr>
    </w:lvl>
    <w:lvl w:ilvl="8" w:tentative="0">
      <w:start w:val="0"/>
      <w:numFmt w:val="bullet"/>
      <w:lvlText w:val="•"/>
      <w:lvlJc w:val="left"/>
      <w:pPr>
        <w:ind w:left="8188" w:hanging="601"/>
      </w:pPr>
      <w:rPr>
        <w:rFonts w:hint="default"/>
        <w:lang w:val="zh-CN" w:eastAsia="zh-CN" w:bidi="zh-CN"/>
      </w:rPr>
    </w:lvl>
  </w:abstractNum>
  <w:abstractNum w:abstractNumId="1">
    <w:nsid w:val="5A699B6E"/>
    <w:multiLevelType w:val="multilevel"/>
    <w:tmpl w:val="5A699B6E"/>
    <w:lvl w:ilvl="0" w:tentative="0">
      <w:start w:val="1"/>
      <w:numFmt w:val="decimal"/>
      <w:suff w:val="space"/>
      <w:lvlText w:val="第%1章  "/>
      <w:lvlJc w:val="center"/>
      <w:pPr>
        <w:tabs>
          <w:tab w:val="left" w:pos="420"/>
        </w:tabs>
        <w:ind w:left="0" w:firstLine="0"/>
      </w:pPr>
      <w:rPr>
        <w:rFonts w:hint="default" w:ascii="Times New Roman" w:hAnsi="Times New Roman" w:eastAsia="黑体" w:cs="Times New Roman"/>
        <w:b/>
        <w:bCs/>
        <w:sz w:val="30"/>
        <w:szCs w:val="30"/>
      </w:rPr>
    </w:lvl>
    <w:lvl w:ilvl="1" w:tentative="0">
      <w:start w:val="1"/>
      <w:numFmt w:val="decimal"/>
      <w:suff w:val="nothing"/>
      <w:lvlText w:val="%1.%2 "/>
      <w:lvlJc w:val="left"/>
      <w:pPr>
        <w:tabs>
          <w:tab w:val="left" w:pos="0"/>
        </w:tabs>
        <w:ind w:left="575" w:hanging="575"/>
      </w:pPr>
      <w:rPr>
        <w:rFonts w:hint="default" w:ascii="Times New Roman" w:hAnsi="Times New Roman" w:eastAsia="黑体" w:cs="Times New Roman"/>
        <w:b/>
        <w:bCs/>
        <w:sz w:val="28"/>
        <w:szCs w:val="28"/>
      </w:rPr>
    </w:lvl>
    <w:lvl w:ilvl="2" w:tentative="0">
      <w:start w:val="1"/>
      <w:numFmt w:val="decimal"/>
      <w:suff w:val="nothing"/>
      <w:lvlText w:val="%1.%2.%3 "/>
      <w:lvlJc w:val="left"/>
      <w:pPr>
        <w:tabs>
          <w:tab w:val="left" w:pos="0"/>
        </w:tabs>
        <w:ind w:left="720" w:hanging="720"/>
      </w:pPr>
      <w:rPr>
        <w:rFonts w:hint="default" w:ascii="Times New Roman" w:hAnsi="Times New Roman" w:eastAsia="宋体" w:cs="Times New Roman"/>
        <w:b/>
        <w:bCs/>
        <w:sz w:val="24"/>
        <w:szCs w:val="24"/>
      </w:rPr>
    </w:lvl>
    <w:lvl w:ilvl="3" w:tentative="0">
      <w:start w:val="1"/>
      <w:numFmt w:val="decimal"/>
      <w:suff w:val="nothing"/>
      <w:lvlText w:val="%1.%2.%3.%4 "/>
      <w:lvlJc w:val="left"/>
      <w:pPr>
        <w:tabs>
          <w:tab w:val="left" w:pos="0"/>
        </w:tabs>
        <w:ind w:left="864" w:hanging="864"/>
      </w:pPr>
      <w:rPr>
        <w:rFonts w:hint="default" w:ascii="Times New Roman" w:hAnsi="Times New Roman" w:eastAsia="宋体" w:cs="Times New Roman"/>
        <w:b/>
        <w:bCs/>
        <w:sz w:val="24"/>
        <w:szCs w:val="24"/>
      </w:rPr>
    </w:lvl>
    <w:lvl w:ilvl="4" w:tentative="0">
      <w:start w:val="1"/>
      <w:numFmt w:val="decimal"/>
      <w:lvlRestart w:val="2"/>
      <w:pStyle w:val="54"/>
      <w:suff w:val="nothing"/>
      <w:lvlText w:val="表%1.%2-%5  "/>
      <w:lvlJc w:val="left"/>
      <w:pPr>
        <w:tabs>
          <w:tab w:val="left" w:pos="0"/>
        </w:tabs>
        <w:ind w:left="1008" w:hanging="1008"/>
      </w:pPr>
      <w:rPr>
        <w:rFonts w:hint="default" w:ascii="Times New Roman" w:hAnsi="Times New Roman" w:eastAsia="宋体" w:cs="Times New Roman"/>
        <w:b/>
        <w:bCs/>
        <w:sz w:val="24"/>
        <w:szCs w:val="24"/>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3YWRkZmU5OTJhNGQyMDFmYzgxYmU0MjIxODYxNTUifQ=="/>
  </w:docVars>
  <w:rsids>
    <w:rsidRoot w:val="00172A27"/>
    <w:rsid w:val="00003504"/>
    <w:rsid w:val="00051995"/>
    <w:rsid w:val="000F6956"/>
    <w:rsid w:val="00195B31"/>
    <w:rsid w:val="001A2B41"/>
    <w:rsid w:val="00205621"/>
    <w:rsid w:val="00224C7A"/>
    <w:rsid w:val="002F4511"/>
    <w:rsid w:val="00327CB1"/>
    <w:rsid w:val="00340FEF"/>
    <w:rsid w:val="003C28DE"/>
    <w:rsid w:val="003C3010"/>
    <w:rsid w:val="00551409"/>
    <w:rsid w:val="006360BD"/>
    <w:rsid w:val="00675306"/>
    <w:rsid w:val="006911F9"/>
    <w:rsid w:val="006A623D"/>
    <w:rsid w:val="006C1441"/>
    <w:rsid w:val="006D6F3B"/>
    <w:rsid w:val="007E4E77"/>
    <w:rsid w:val="00884CAE"/>
    <w:rsid w:val="0089189B"/>
    <w:rsid w:val="008E40E1"/>
    <w:rsid w:val="00980EC9"/>
    <w:rsid w:val="00A43F55"/>
    <w:rsid w:val="00A86FB1"/>
    <w:rsid w:val="00B431AC"/>
    <w:rsid w:val="00B52CB1"/>
    <w:rsid w:val="00BA691D"/>
    <w:rsid w:val="00C74E44"/>
    <w:rsid w:val="00C823C4"/>
    <w:rsid w:val="00CA1B74"/>
    <w:rsid w:val="00CD79DA"/>
    <w:rsid w:val="00D5761F"/>
    <w:rsid w:val="00D91EDB"/>
    <w:rsid w:val="00DC5E6F"/>
    <w:rsid w:val="00E438C3"/>
    <w:rsid w:val="00E865C2"/>
    <w:rsid w:val="00EA40E8"/>
    <w:rsid w:val="01022F84"/>
    <w:rsid w:val="010A79CD"/>
    <w:rsid w:val="01115B19"/>
    <w:rsid w:val="01167F7D"/>
    <w:rsid w:val="01233A9E"/>
    <w:rsid w:val="012C34B7"/>
    <w:rsid w:val="0136518B"/>
    <w:rsid w:val="01472C04"/>
    <w:rsid w:val="0163340B"/>
    <w:rsid w:val="01940A17"/>
    <w:rsid w:val="019450FA"/>
    <w:rsid w:val="01982476"/>
    <w:rsid w:val="01991C4C"/>
    <w:rsid w:val="01993D60"/>
    <w:rsid w:val="01A37B56"/>
    <w:rsid w:val="01BE4C35"/>
    <w:rsid w:val="01BE7323"/>
    <w:rsid w:val="01CF66BA"/>
    <w:rsid w:val="01D227E9"/>
    <w:rsid w:val="01D51CEF"/>
    <w:rsid w:val="01E07FB3"/>
    <w:rsid w:val="01E274B5"/>
    <w:rsid w:val="01E54191"/>
    <w:rsid w:val="01EA3F2D"/>
    <w:rsid w:val="01F013C1"/>
    <w:rsid w:val="01F568EE"/>
    <w:rsid w:val="01F677A7"/>
    <w:rsid w:val="01F84A73"/>
    <w:rsid w:val="01FE5971"/>
    <w:rsid w:val="02023F4B"/>
    <w:rsid w:val="02065B63"/>
    <w:rsid w:val="020D3724"/>
    <w:rsid w:val="02104022"/>
    <w:rsid w:val="02117558"/>
    <w:rsid w:val="02160608"/>
    <w:rsid w:val="021805A0"/>
    <w:rsid w:val="021826DA"/>
    <w:rsid w:val="023000CF"/>
    <w:rsid w:val="0234328A"/>
    <w:rsid w:val="023831E6"/>
    <w:rsid w:val="024737BC"/>
    <w:rsid w:val="024A4B13"/>
    <w:rsid w:val="024B0EA1"/>
    <w:rsid w:val="024C492F"/>
    <w:rsid w:val="024E20A3"/>
    <w:rsid w:val="02503F29"/>
    <w:rsid w:val="0250441F"/>
    <w:rsid w:val="02535CBD"/>
    <w:rsid w:val="025817C9"/>
    <w:rsid w:val="027B0375"/>
    <w:rsid w:val="027B5F7F"/>
    <w:rsid w:val="0284056C"/>
    <w:rsid w:val="029213A5"/>
    <w:rsid w:val="02955AF6"/>
    <w:rsid w:val="029562D6"/>
    <w:rsid w:val="02A1631F"/>
    <w:rsid w:val="02A53D13"/>
    <w:rsid w:val="02A66735"/>
    <w:rsid w:val="02B50098"/>
    <w:rsid w:val="02B76EA0"/>
    <w:rsid w:val="02C72207"/>
    <w:rsid w:val="02CB1CF7"/>
    <w:rsid w:val="02E1776D"/>
    <w:rsid w:val="02F70D3E"/>
    <w:rsid w:val="02FF23DD"/>
    <w:rsid w:val="030C6E5A"/>
    <w:rsid w:val="03112547"/>
    <w:rsid w:val="03153BB5"/>
    <w:rsid w:val="03172975"/>
    <w:rsid w:val="032E299E"/>
    <w:rsid w:val="033B50CF"/>
    <w:rsid w:val="03477077"/>
    <w:rsid w:val="03477A8E"/>
    <w:rsid w:val="03550A4B"/>
    <w:rsid w:val="035703B8"/>
    <w:rsid w:val="03591C06"/>
    <w:rsid w:val="035E4CED"/>
    <w:rsid w:val="036676DB"/>
    <w:rsid w:val="036F4ACF"/>
    <w:rsid w:val="037567E0"/>
    <w:rsid w:val="03786668"/>
    <w:rsid w:val="037C09BB"/>
    <w:rsid w:val="03870314"/>
    <w:rsid w:val="03922448"/>
    <w:rsid w:val="0397607D"/>
    <w:rsid w:val="039B3DC0"/>
    <w:rsid w:val="03A73E08"/>
    <w:rsid w:val="03A92761"/>
    <w:rsid w:val="03AE1559"/>
    <w:rsid w:val="03C055D4"/>
    <w:rsid w:val="03C427E7"/>
    <w:rsid w:val="03DF20E6"/>
    <w:rsid w:val="03E84AD5"/>
    <w:rsid w:val="03EA75CC"/>
    <w:rsid w:val="03FB485E"/>
    <w:rsid w:val="03FC7FF0"/>
    <w:rsid w:val="03FD436B"/>
    <w:rsid w:val="041365C4"/>
    <w:rsid w:val="04172478"/>
    <w:rsid w:val="04180F6C"/>
    <w:rsid w:val="04182BE0"/>
    <w:rsid w:val="042E24FA"/>
    <w:rsid w:val="04337931"/>
    <w:rsid w:val="043A35D9"/>
    <w:rsid w:val="04455CBC"/>
    <w:rsid w:val="045253A0"/>
    <w:rsid w:val="0456591D"/>
    <w:rsid w:val="046046D6"/>
    <w:rsid w:val="047F4146"/>
    <w:rsid w:val="04864599"/>
    <w:rsid w:val="048C120B"/>
    <w:rsid w:val="049158F0"/>
    <w:rsid w:val="049F3A8D"/>
    <w:rsid w:val="04A60661"/>
    <w:rsid w:val="04AE3779"/>
    <w:rsid w:val="04AE464C"/>
    <w:rsid w:val="04B35139"/>
    <w:rsid w:val="04C335CE"/>
    <w:rsid w:val="04C410F4"/>
    <w:rsid w:val="04CB7A9A"/>
    <w:rsid w:val="04CD6D06"/>
    <w:rsid w:val="04DC4690"/>
    <w:rsid w:val="04E83035"/>
    <w:rsid w:val="05025D14"/>
    <w:rsid w:val="050442C2"/>
    <w:rsid w:val="0507507E"/>
    <w:rsid w:val="05145A0C"/>
    <w:rsid w:val="052370D3"/>
    <w:rsid w:val="05273155"/>
    <w:rsid w:val="053775DF"/>
    <w:rsid w:val="053814B3"/>
    <w:rsid w:val="053C2CB0"/>
    <w:rsid w:val="054377AC"/>
    <w:rsid w:val="055E50A5"/>
    <w:rsid w:val="05600E1D"/>
    <w:rsid w:val="056D52E8"/>
    <w:rsid w:val="05753A6C"/>
    <w:rsid w:val="05796D93"/>
    <w:rsid w:val="057A4A23"/>
    <w:rsid w:val="057E43FC"/>
    <w:rsid w:val="05820786"/>
    <w:rsid w:val="058269F5"/>
    <w:rsid w:val="05830037"/>
    <w:rsid w:val="05854CE9"/>
    <w:rsid w:val="05A23AEA"/>
    <w:rsid w:val="05A32D8D"/>
    <w:rsid w:val="05A607FA"/>
    <w:rsid w:val="05B20F4D"/>
    <w:rsid w:val="05BA6ECD"/>
    <w:rsid w:val="05DB3FDB"/>
    <w:rsid w:val="05E774E6"/>
    <w:rsid w:val="05F477B7"/>
    <w:rsid w:val="05FB0B46"/>
    <w:rsid w:val="05FC1F0A"/>
    <w:rsid w:val="06025659"/>
    <w:rsid w:val="060856F4"/>
    <w:rsid w:val="06110369"/>
    <w:rsid w:val="06147E59"/>
    <w:rsid w:val="06191684"/>
    <w:rsid w:val="061D0ABC"/>
    <w:rsid w:val="062067FE"/>
    <w:rsid w:val="062B6E9A"/>
    <w:rsid w:val="062F2FDC"/>
    <w:rsid w:val="06302974"/>
    <w:rsid w:val="063B7CCA"/>
    <w:rsid w:val="063D2F0C"/>
    <w:rsid w:val="063E50AD"/>
    <w:rsid w:val="064249C6"/>
    <w:rsid w:val="06555537"/>
    <w:rsid w:val="065869FD"/>
    <w:rsid w:val="065B0CF6"/>
    <w:rsid w:val="065F4847"/>
    <w:rsid w:val="066801DD"/>
    <w:rsid w:val="06695AAF"/>
    <w:rsid w:val="067A04CA"/>
    <w:rsid w:val="067F3525"/>
    <w:rsid w:val="068230B2"/>
    <w:rsid w:val="06867DFC"/>
    <w:rsid w:val="06915006"/>
    <w:rsid w:val="0692645C"/>
    <w:rsid w:val="06947999"/>
    <w:rsid w:val="06952D48"/>
    <w:rsid w:val="069D785C"/>
    <w:rsid w:val="06A34A08"/>
    <w:rsid w:val="06B425F2"/>
    <w:rsid w:val="06B7213F"/>
    <w:rsid w:val="06BA5030"/>
    <w:rsid w:val="06BA630B"/>
    <w:rsid w:val="06C7630B"/>
    <w:rsid w:val="06CB676A"/>
    <w:rsid w:val="06CF4373"/>
    <w:rsid w:val="06EB0BBA"/>
    <w:rsid w:val="071A5C5D"/>
    <w:rsid w:val="071B32B6"/>
    <w:rsid w:val="07267541"/>
    <w:rsid w:val="07287718"/>
    <w:rsid w:val="072B545A"/>
    <w:rsid w:val="07310263"/>
    <w:rsid w:val="0743707D"/>
    <w:rsid w:val="074C325F"/>
    <w:rsid w:val="074E2EF7"/>
    <w:rsid w:val="075958CC"/>
    <w:rsid w:val="075F3ED9"/>
    <w:rsid w:val="076502A6"/>
    <w:rsid w:val="07660241"/>
    <w:rsid w:val="076B3AA9"/>
    <w:rsid w:val="07767EF0"/>
    <w:rsid w:val="077C7D1E"/>
    <w:rsid w:val="07822CFC"/>
    <w:rsid w:val="07837045"/>
    <w:rsid w:val="07A128D4"/>
    <w:rsid w:val="07A1396F"/>
    <w:rsid w:val="07A174CB"/>
    <w:rsid w:val="07A953B1"/>
    <w:rsid w:val="07C25320"/>
    <w:rsid w:val="07CE1789"/>
    <w:rsid w:val="07DD7326"/>
    <w:rsid w:val="07F32AD5"/>
    <w:rsid w:val="0800140A"/>
    <w:rsid w:val="080D0674"/>
    <w:rsid w:val="080E5162"/>
    <w:rsid w:val="082425D6"/>
    <w:rsid w:val="08254FB4"/>
    <w:rsid w:val="082751D4"/>
    <w:rsid w:val="0828199A"/>
    <w:rsid w:val="08367B67"/>
    <w:rsid w:val="08371AF0"/>
    <w:rsid w:val="083E11BD"/>
    <w:rsid w:val="08430582"/>
    <w:rsid w:val="08512C9F"/>
    <w:rsid w:val="08517028"/>
    <w:rsid w:val="08640C24"/>
    <w:rsid w:val="08644C05"/>
    <w:rsid w:val="08821A3A"/>
    <w:rsid w:val="08852292"/>
    <w:rsid w:val="088E7A4F"/>
    <w:rsid w:val="0895702F"/>
    <w:rsid w:val="08966904"/>
    <w:rsid w:val="089963F4"/>
    <w:rsid w:val="089F7EAE"/>
    <w:rsid w:val="08A15C29"/>
    <w:rsid w:val="08AB6408"/>
    <w:rsid w:val="08B80F70"/>
    <w:rsid w:val="08C16076"/>
    <w:rsid w:val="08D2511C"/>
    <w:rsid w:val="08D768B3"/>
    <w:rsid w:val="08DC2B16"/>
    <w:rsid w:val="08E06BFE"/>
    <w:rsid w:val="08EA1120"/>
    <w:rsid w:val="08FD1DEA"/>
    <w:rsid w:val="08FD31A9"/>
    <w:rsid w:val="091B682D"/>
    <w:rsid w:val="09206DDD"/>
    <w:rsid w:val="09212671"/>
    <w:rsid w:val="0926412B"/>
    <w:rsid w:val="09364775"/>
    <w:rsid w:val="0937587F"/>
    <w:rsid w:val="0941451D"/>
    <w:rsid w:val="094A557B"/>
    <w:rsid w:val="094A7FF6"/>
    <w:rsid w:val="096424EF"/>
    <w:rsid w:val="09672AD3"/>
    <w:rsid w:val="096C40EB"/>
    <w:rsid w:val="096E75D6"/>
    <w:rsid w:val="097B395C"/>
    <w:rsid w:val="098904FD"/>
    <w:rsid w:val="099F5C8C"/>
    <w:rsid w:val="09C33728"/>
    <w:rsid w:val="09C70C60"/>
    <w:rsid w:val="09D370FD"/>
    <w:rsid w:val="09D674F6"/>
    <w:rsid w:val="09EA11A2"/>
    <w:rsid w:val="09EA6F07"/>
    <w:rsid w:val="09EC032D"/>
    <w:rsid w:val="0A0B22A6"/>
    <w:rsid w:val="0A0D3EBF"/>
    <w:rsid w:val="0A1D552E"/>
    <w:rsid w:val="0A211B30"/>
    <w:rsid w:val="0A21573F"/>
    <w:rsid w:val="0A261B64"/>
    <w:rsid w:val="0A2C447B"/>
    <w:rsid w:val="0A3B7763"/>
    <w:rsid w:val="0A3D7FAC"/>
    <w:rsid w:val="0A430D0D"/>
    <w:rsid w:val="0A4E393A"/>
    <w:rsid w:val="0A6007AB"/>
    <w:rsid w:val="0A693506"/>
    <w:rsid w:val="0A69398C"/>
    <w:rsid w:val="0A792992"/>
    <w:rsid w:val="0A7E6F9F"/>
    <w:rsid w:val="0A883A89"/>
    <w:rsid w:val="0A8F5D00"/>
    <w:rsid w:val="0A92134D"/>
    <w:rsid w:val="0A946A55"/>
    <w:rsid w:val="0A960E3D"/>
    <w:rsid w:val="0A963AAE"/>
    <w:rsid w:val="0A9D4330"/>
    <w:rsid w:val="0AA27E70"/>
    <w:rsid w:val="0AAC240E"/>
    <w:rsid w:val="0AB75863"/>
    <w:rsid w:val="0ACB31DC"/>
    <w:rsid w:val="0ACE0286"/>
    <w:rsid w:val="0ADB6EF4"/>
    <w:rsid w:val="0AE36ECE"/>
    <w:rsid w:val="0AF60B31"/>
    <w:rsid w:val="0AF96715"/>
    <w:rsid w:val="0AFC77D6"/>
    <w:rsid w:val="0B09418A"/>
    <w:rsid w:val="0B1A19B4"/>
    <w:rsid w:val="0B217FC5"/>
    <w:rsid w:val="0B224DC6"/>
    <w:rsid w:val="0B2F5832"/>
    <w:rsid w:val="0B33619E"/>
    <w:rsid w:val="0B3E67C2"/>
    <w:rsid w:val="0B41524D"/>
    <w:rsid w:val="0B45421B"/>
    <w:rsid w:val="0B5605CC"/>
    <w:rsid w:val="0B5B3783"/>
    <w:rsid w:val="0B5C708E"/>
    <w:rsid w:val="0B5D6576"/>
    <w:rsid w:val="0B622A02"/>
    <w:rsid w:val="0B674CBC"/>
    <w:rsid w:val="0B6874E1"/>
    <w:rsid w:val="0B6C50CB"/>
    <w:rsid w:val="0B6D1AC3"/>
    <w:rsid w:val="0B6E19A7"/>
    <w:rsid w:val="0B7B0B24"/>
    <w:rsid w:val="0B8475F4"/>
    <w:rsid w:val="0B920E35"/>
    <w:rsid w:val="0B9A6BA7"/>
    <w:rsid w:val="0BA23811"/>
    <w:rsid w:val="0BBC0D77"/>
    <w:rsid w:val="0BBE064B"/>
    <w:rsid w:val="0BC10245"/>
    <w:rsid w:val="0BDC4F58"/>
    <w:rsid w:val="0BED2CDE"/>
    <w:rsid w:val="0BF56E60"/>
    <w:rsid w:val="0C0539DD"/>
    <w:rsid w:val="0C0804DC"/>
    <w:rsid w:val="0C0A3890"/>
    <w:rsid w:val="0C100447"/>
    <w:rsid w:val="0C112AE3"/>
    <w:rsid w:val="0C1A4BEB"/>
    <w:rsid w:val="0C2649DF"/>
    <w:rsid w:val="0C2E6944"/>
    <w:rsid w:val="0C3D30AA"/>
    <w:rsid w:val="0C4072B2"/>
    <w:rsid w:val="0C486239"/>
    <w:rsid w:val="0C544D34"/>
    <w:rsid w:val="0C6236CC"/>
    <w:rsid w:val="0C6E02C3"/>
    <w:rsid w:val="0C756A7E"/>
    <w:rsid w:val="0C77337C"/>
    <w:rsid w:val="0C7829CA"/>
    <w:rsid w:val="0C82288B"/>
    <w:rsid w:val="0C9B7F52"/>
    <w:rsid w:val="0CA30FB8"/>
    <w:rsid w:val="0CA83B4A"/>
    <w:rsid w:val="0CCC0710"/>
    <w:rsid w:val="0CE143B2"/>
    <w:rsid w:val="0CF04ACE"/>
    <w:rsid w:val="0D04428B"/>
    <w:rsid w:val="0D0A343A"/>
    <w:rsid w:val="0D191630"/>
    <w:rsid w:val="0D295F98"/>
    <w:rsid w:val="0D305D1E"/>
    <w:rsid w:val="0D3875BE"/>
    <w:rsid w:val="0D5F5E5E"/>
    <w:rsid w:val="0D637D73"/>
    <w:rsid w:val="0D643474"/>
    <w:rsid w:val="0D7C4200"/>
    <w:rsid w:val="0D863B28"/>
    <w:rsid w:val="0D960D3E"/>
    <w:rsid w:val="0DA254C0"/>
    <w:rsid w:val="0DA675E9"/>
    <w:rsid w:val="0DA837B8"/>
    <w:rsid w:val="0DB55A7E"/>
    <w:rsid w:val="0DBF4B4E"/>
    <w:rsid w:val="0DC21F49"/>
    <w:rsid w:val="0DCD09F0"/>
    <w:rsid w:val="0DCE08EE"/>
    <w:rsid w:val="0DCE4BD6"/>
    <w:rsid w:val="0DE563A5"/>
    <w:rsid w:val="0DFF5C3B"/>
    <w:rsid w:val="0E0808DD"/>
    <w:rsid w:val="0E081147"/>
    <w:rsid w:val="0E0F33E0"/>
    <w:rsid w:val="0E102753"/>
    <w:rsid w:val="0E296834"/>
    <w:rsid w:val="0E296B13"/>
    <w:rsid w:val="0E3C2671"/>
    <w:rsid w:val="0E467795"/>
    <w:rsid w:val="0E5139F9"/>
    <w:rsid w:val="0E567261"/>
    <w:rsid w:val="0E6F3E7F"/>
    <w:rsid w:val="0E807E3A"/>
    <w:rsid w:val="0E813580"/>
    <w:rsid w:val="0E8813E4"/>
    <w:rsid w:val="0E887F44"/>
    <w:rsid w:val="0E894549"/>
    <w:rsid w:val="0E9125B0"/>
    <w:rsid w:val="0E927E61"/>
    <w:rsid w:val="0E971CEC"/>
    <w:rsid w:val="0EA72B92"/>
    <w:rsid w:val="0EAD7E75"/>
    <w:rsid w:val="0EB16A5D"/>
    <w:rsid w:val="0EC71F0D"/>
    <w:rsid w:val="0EC97C3C"/>
    <w:rsid w:val="0EE20AF5"/>
    <w:rsid w:val="0EE71214"/>
    <w:rsid w:val="0EE7435D"/>
    <w:rsid w:val="0EF20FBD"/>
    <w:rsid w:val="0EFC6BE3"/>
    <w:rsid w:val="0F114F36"/>
    <w:rsid w:val="0F142919"/>
    <w:rsid w:val="0F1B4006"/>
    <w:rsid w:val="0F1C245B"/>
    <w:rsid w:val="0F235324"/>
    <w:rsid w:val="0F3927D6"/>
    <w:rsid w:val="0F455900"/>
    <w:rsid w:val="0F4E1581"/>
    <w:rsid w:val="0F597A04"/>
    <w:rsid w:val="0F5A38D7"/>
    <w:rsid w:val="0F611DE9"/>
    <w:rsid w:val="0F6255B7"/>
    <w:rsid w:val="0F625791"/>
    <w:rsid w:val="0F9A589C"/>
    <w:rsid w:val="0F9B7951"/>
    <w:rsid w:val="0FA609CC"/>
    <w:rsid w:val="0FAC3659"/>
    <w:rsid w:val="0FB83603"/>
    <w:rsid w:val="0FC77ADA"/>
    <w:rsid w:val="0FD3043D"/>
    <w:rsid w:val="0FF26075"/>
    <w:rsid w:val="0FF44180"/>
    <w:rsid w:val="0FF7237E"/>
    <w:rsid w:val="0FF860F6"/>
    <w:rsid w:val="0FFA1E6E"/>
    <w:rsid w:val="0FFC1427"/>
    <w:rsid w:val="1001144E"/>
    <w:rsid w:val="10142F30"/>
    <w:rsid w:val="1017737C"/>
    <w:rsid w:val="101A14F8"/>
    <w:rsid w:val="10245548"/>
    <w:rsid w:val="10336795"/>
    <w:rsid w:val="10347536"/>
    <w:rsid w:val="103D0BA2"/>
    <w:rsid w:val="103E48B7"/>
    <w:rsid w:val="103F5C65"/>
    <w:rsid w:val="10407141"/>
    <w:rsid w:val="10414F72"/>
    <w:rsid w:val="104C1361"/>
    <w:rsid w:val="10531192"/>
    <w:rsid w:val="10556DBB"/>
    <w:rsid w:val="10595FBD"/>
    <w:rsid w:val="105C0433"/>
    <w:rsid w:val="105C33D3"/>
    <w:rsid w:val="1067038F"/>
    <w:rsid w:val="106F63B8"/>
    <w:rsid w:val="10817E99"/>
    <w:rsid w:val="10953945"/>
    <w:rsid w:val="109951E3"/>
    <w:rsid w:val="10A5614F"/>
    <w:rsid w:val="10B91E62"/>
    <w:rsid w:val="10BE1BE7"/>
    <w:rsid w:val="10D31FAC"/>
    <w:rsid w:val="10DD253A"/>
    <w:rsid w:val="10DD419A"/>
    <w:rsid w:val="10E16EA2"/>
    <w:rsid w:val="10E431BA"/>
    <w:rsid w:val="10E96F67"/>
    <w:rsid w:val="10F93234"/>
    <w:rsid w:val="10FA431D"/>
    <w:rsid w:val="10FC6398"/>
    <w:rsid w:val="11003900"/>
    <w:rsid w:val="110B7891"/>
    <w:rsid w:val="111C3A3A"/>
    <w:rsid w:val="111D1A3C"/>
    <w:rsid w:val="111D7BC2"/>
    <w:rsid w:val="11287AF5"/>
    <w:rsid w:val="112D6274"/>
    <w:rsid w:val="113E3FDC"/>
    <w:rsid w:val="114F2D0E"/>
    <w:rsid w:val="11543643"/>
    <w:rsid w:val="115B3BDC"/>
    <w:rsid w:val="115B4B8E"/>
    <w:rsid w:val="116D6B65"/>
    <w:rsid w:val="117143B2"/>
    <w:rsid w:val="1178642B"/>
    <w:rsid w:val="11813B96"/>
    <w:rsid w:val="118A31F7"/>
    <w:rsid w:val="118E1F67"/>
    <w:rsid w:val="119074D8"/>
    <w:rsid w:val="1194344E"/>
    <w:rsid w:val="119B4F8B"/>
    <w:rsid w:val="11A71B81"/>
    <w:rsid w:val="11B36513"/>
    <w:rsid w:val="11C412E0"/>
    <w:rsid w:val="11D23F92"/>
    <w:rsid w:val="11D86EAE"/>
    <w:rsid w:val="11DC2C5C"/>
    <w:rsid w:val="11E1766F"/>
    <w:rsid w:val="11E22BBA"/>
    <w:rsid w:val="11E74565"/>
    <w:rsid w:val="11E9616D"/>
    <w:rsid w:val="11EB41F5"/>
    <w:rsid w:val="11EE77B0"/>
    <w:rsid w:val="11EF60BB"/>
    <w:rsid w:val="11F62EE9"/>
    <w:rsid w:val="11F86D77"/>
    <w:rsid w:val="120314AE"/>
    <w:rsid w:val="12045226"/>
    <w:rsid w:val="12095A3E"/>
    <w:rsid w:val="120D35E2"/>
    <w:rsid w:val="1212349F"/>
    <w:rsid w:val="121355DB"/>
    <w:rsid w:val="12210E7B"/>
    <w:rsid w:val="122D0061"/>
    <w:rsid w:val="123155A1"/>
    <w:rsid w:val="12473D7F"/>
    <w:rsid w:val="124D2729"/>
    <w:rsid w:val="125062A1"/>
    <w:rsid w:val="125C38BD"/>
    <w:rsid w:val="12664815"/>
    <w:rsid w:val="126C4B0A"/>
    <w:rsid w:val="127D6304"/>
    <w:rsid w:val="12865C3B"/>
    <w:rsid w:val="128C0640"/>
    <w:rsid w:val="12920674"/>
    <w:rsid w:val="12960CDE"/>
    <w:rsid w:val="129C6349"/>
    <w:rsid w:val="129E34BA"/>
    <w:rsid w:val="12B441EF"/>
    <w:rsid w:val="12B46304"/>
    <w:rsid w:val="12BF763D"/>
    <w:rsid w:val="12C7072D"/>
    <w:rsid w:val="12CB4732"/>
    <w:rsid w:val="12D5073B"/>
    <w:rsid w:val="12D743DE"/>
    <w:rsid w:val="12D75CEB"/>
    <w:rsid w:val="12D83555"/>
    <w:rsid w:val="12E43DCF"/>
    <w:rsid w:val="12EC0194"/>
    <w:rsid w:val="12F02E71"/>
    <w:rsid w:val="12F40DF6"/>
    <w:rsid w:val="12FA57FD"/>
    <w:rsid w:val="130519AD"/>
    <w:rsid w:val="13076E22"/>
    <w:rsid w:val="1312127D"/>
    <w:rsid w:val="132B25B1"/>
    <w:rsid w:val="133B516B"/>
    <w:rsid w:val="133E0FD8"/>
    <w:rsid w:val="13426E05"/>
    <w:rsid w:val="134372EB"/>
    <w:rsid w:val="134E648D"/>
    <w:rsid w:val="13523637"/>
    <w:rsid w:val="13574D1F"/>
    <w:rsid w:val="136441CE"/>
    <w:rsid w:val="13695C36"/>
    <w:rsid w:val="136C704E"/>
    <w:rsid w:val="13710699"/>
    <w:rsid w:val="13767056"/>
    <w:rsid w:val="13975FCE"/>
    <w:rsid w:val="139C03FB"/>
    <w:rsid w:val="13A35FA2"/>
    <w:rsid w:val="13AB3BAB"/>
    <w:rsid w:val="13B50586"/>
    <w:rsid w:val="13BE63AE"/>
    <w:rsid w:val="13C54441"/>
    <w:rsid w:val="13C82D78"/>
    <w:rsid w:val="13C87727"/>
    <w:rsid w:val="13D1031B"/>
    <w:rsid w:val="13D53B45"/>
    <w:rsid w:val="13DF6E73"/>
    <w:rsid w:val="13E175CD"/>
    <w:rsid w:val="13F1593A"/>
    <w:rsid w:val="13FD4129"/>
    <w:rsid w:val="140339E5"/>
    <w:rsid w:val="14067033"/>
    <w:rsid w:val="14092680"/>
    <w:rsid w:val="142A6E60"/>
    <w:rsid w:val="142F527C"/>
    <w:rsid w:val="1434290B"/>
    <w:rsid w:val="14357918"/>
    <w:rsid w:val="14362BD1"/>
    <w:rsid w:val="143F5FAA"/>
    <w:rsid w:val="144B0EEA"/>
    <w:rsid w:val="144F3ACE"/>
    <w:rsid w:val="14524026"/>
    <w:rsid w:val="1454727D"/>
    <w:rsid w:val="14553B17"/>
    <w:rsid w:val="145C6962"/>
    <w:rsid w:val="14644BBB"/>
    <w:rsid w:val="1477078D"/>
    <w:rsid w:val="1480655B"/>
    <w:rsid w:val="14830684"/>
    <w:rsid w:val="14832432"/>
    <w:rsid w:val="148461AA"/>
    <w:rsid w:val="148E6A4C"/>
    <w:rsid w:val="14952165"/>
    <w:rsid w:val="14991DEC"/>
    <w:rsid w:val="149E655B"/>
    <w:rsid w:val="14A8037D"/>
    <w:rsid w:val="14AC7060"/>
    <w:rsid w:val="14B75363"/>
    <w:rsid w:val="14BD65D4"/>
    <w:rsid w:val="14BD7709"/>
    <w:rsid w:val="14C34F24"/>
    <w:rsid w:val="14CE3295"/>
    <w:rsid w:val="14D16651"/>
    <w:rsid w:val="14D26F15"/>
    <w:rsid w:val="14D427D3"/>
    <w:rsid w:val="14DC5FE6"/>
    <w:rsid w:val="14EA24B1"/>
    <w:rsid w:val="14EF1875"/>
    <w:rsid w:val="14FC3F92"/>
    <w:rsid w:val="14FE41AE"/>
    <w:rsid w:val="151E65FF"/>
    <w:rsid w:val="15267BD5"/>
    <w:rsid w:val="1527568C"/>
    <w:rsid w:val="152C56B4"/>
    <w:rsid w:val="153E1664"/>
    <w:rsid w:val="15435C00"/>
    <w:rsid w:val="15451DDD"/>
    <w:rsid w:val="155073CC"/>
    <w:rsid w:val="1552003B"/>
    <w:rsid w:val="155C16B2"/>
    <w:rsid w:val="155E4A4F"/>
    <w:rsid w:val="15645BE0"/>
    <w:rsid w:val="156E2000"/>
    <w:rsid w:val="156E30E2"/>
    <w:rsid w:val="157A747A"/>
    <w:rsid w:val="15806971"/>
    <w:rsid w:val="159259DB"/>
    <w:rsid w:val="15973CBB"/>
    <w:rsid w:val="159B12DE"/>
    <w:rsid w:val="159D1D5D"/>
    <w:rsid w:val="159D5775"/>
    <w:rsid w:val="15A02B70"/>
    <w:rsid w:val="15A72150"/>
    <w:rsid w:val="15AE7982"/>
    <w:rsid w:val="15B33262"/>
    <w:rsid w:val="15BD4731"/>
    <w:rsid w:val="15BE749A"/>
    <w:rsid w:val="15C33CB3"/>
    <w:rsid w:val="15CC1BB7"/>
    <w:rsid w:val="15D05B4B"/>
    <w:rsid w:val="15D13671"/>
    <w:rsid w:val="15D46CBD"/>
    <w:rsid w:val="15DA1140"/>
    <w:rsid w:val="15DB747A"/>
    <w:rsid w:val="15EE1307"/>
    <w:rsid w:val="16003FC0"/>
    <w:rsid w:val="16011215"/>
    <w:rsid w:val="16090D0A"/>
    <w:rsid w:val="160A4144"/>
    <w:rsid w:val="160D0296"/>
    <w:rsid w:val="16196CEE"/>
    <w:rsid w:val="1622065F"/>
    <w:rsid w:val="16227A29"/>
    <w:rsid w:val="162E6FEA"/>
    <w:rsid w:val="16306CB5"/>
    <w:rsid w:val="163634D4"/>
    <w:rsid w:val="163934C9"/>
    <w:rsid w:val="163B747F"/>
    <w:rsid w:val="163E47A2"/>
    <w:rsid w:val="164B51D1"/>
    <w:rsid w:val="164C2CF7"/>
    <w:rsid w:val="16512C66"/>
    <w:rsid w:val="16534C24"/>
    <w:rsid w:val="16534C52"/>
    <w:rsid w:val="16610EFD"/>
    <w:rsid w:val="1666781F"/>
    <w:rsid w:val="16734F4F"/>
    <w:rsid w:val="167B0147"/>
    <w:rsid w:val="168C2EEF"/>
    <w:rsid w:val="16970417"/>
    <w:rsid w:val="169B0523"/>
    <w:rsid w:val="169D3553"/>
    <w:rsid w:val="16A3500D"/>
    <w:rsid w:val="16A54E33"/>
    <w:rsid w:val="16B30AE1"/>
    <w:rsid w:val="16B70AB9"/>
    <w:rsid w:val="16BA4105"/>
    <w:rsid w:val="16BD5CDA"/>
    <w:rsid w:val="16CE3958"/>
    <w:rsid w:val="16D03928"/>
    <w:rsid w:val="16D97DC7"/>
    <w:rsid w:val="16E3365C"/>
    <w:rsid w:val="16EC492F"/>
    <w:rsid w:val="170D2487"/>
    <w:rsid w:val="17151105"/>
    <w:rsid w:val="171B2960"/>
    <w:rsid w:val="17211B5D"/>
    <w:rsid w:val="17253C74"/>
    <w:rsid w:val="17285513"/>
    <w:rsid w:val="1729112E"/>
    <w:rsid w:val="172D0D7B"/>
    <w:rsid w:val="173A0E4F"/>
    <w:rsid w:val="173B5246"/>
    <w:rsid w:val="173D68BB"/>
    <w:rsid w:val="17431887"/>
    <w:rsid w:val="17481C73"/>
    <w:rsid w:val="174836DA"/>
    <w:rsid w:val="175E7186"/>
    <w:rsid w:val="17684793"/>
    <w:rsid w:val="176B58AB"/>
    <w:rsid w:val="176D1177"/>
    <w:rsid w:val="176D3083"/>
    <w:rsid w:val="177845C9"/>
    <w:rsid w:val="177C120C"/>
    <w:rsid w:val="178D1819"/>
    <w:rsid w:val="17914E66"/>
    <w:rsid w:val="17917D74"/>
    <w:rsid w:val="17950011"/>
    <w:rsid w:val="17960EAE"/>
    <w:rsid w:val="17A85737"/>
    <w:rsid w:val="17AA7B7C"/>
    <w:rsid w:val="17B15700"/>
    <w:rsid w:val="17B814A8"/>
    <w:rsid w:val="17C54951"/>
    <w:rsid w:val="17E170AC"/>
    <w:rsid w:val="17F329A6"/>
    <w:rsid w:val="17FE06E4"/>
    <w:rsid w:val="17FF7C55"/>
    <w:rsid w:val="180D4E89"/>
    <w:rsid w:val="181602D3"/>
    <w:rsid w:val="18161D69"/>
    <w:rsid w:val="182C4B26"/>
    <w:rsid w:val="182D1850"/>
    <w:rsid w:val="18316649"/>
    <w:rsid w:val="183D4058"/>
    <w:rsid w:val="184229CE"/>
    <w:rsid w:val="184B38CC"/>
    <w:rsid w:val="18577262"/>
    <w:rsid w:val="186913B9"/>
    <w:rsid w:val="186C142F"/>
    <w:rsid w:val="186F1A5A"/>
    <w:rsid w:val="18836BCC"/>
    <w:rsid w:val="188A4EBF"/>
    <w:rsid w:val="189B5D97"/>
    <w:rsid w:val="18A14754"/>
    <w:rsid w:val="18AF6EC4"/>
    <w:rsid w:val="18B31A70"/>
    <w:rsid w:val="18BB355D"/>
    <w:rsid w:val="18C536A3"/>
    <w:rsid w:val="18CB084B"/>
    <w:rsid w:val="18D71DD8"/>
    <w:rsid w:val="18DB7BBC"/>
    <w:rsid w:val="18E216F1"/>
    <w:rsid w:val="18E322BF"/>
    <w:rsid w:val="18E77701"/>
    <w:rsid w:val="190340F9"/>
    <w:rsid w:val="190568F9"/>
    <w:rsid w:val="19124F6A"/>
    <w:rsid w:val="19242A1C"/>
    <w:rsid w:val="19265A82"/>
    <w:rsid w:val="19313AE7"/>
    <w:rsid w:val="1936518C"/>
    <w:rsid w:val="193A47F4"/>
    <w:rsid w:val="194175B6"/>
    <w:rsid w:val="194C2307"/>
    <w:rsid w:val="194D37D0"/>
    <w:rsid w:val="19596F19"/>
    <w:rsid w:val="19597DE9"/>
    <w:rsid w:val="195F7E92"/>
    <w:rsid w:val="197174BD"/>
    <w:rsid w:val="19720CC7"/>
    <w:rsid w:val="197607B7"/>
    <w:rsid w:val="19831126"/>
    <w:rsid w:val="19880B1B"/>
    <w:rsid w:val="1991739F"/>
    <w:rsid w:val="19AF1F1B"/>
    <w:rsid w:val="19B133AF"/>
    <w:rsid w:val="19B17A0A"/>
    <w:rsid w:val="19BA156E"/>
    <w:rsid w:val="19BE6530"/>
    <w:rsid w:val="19C73E97"/>
    <w:rsid w:val="19C968E8"/>
    <w:rsid w:val="19E020D4"/>
    <w:rsid w:val="19E90135"/>
    <w:rsid w:val="19EC6CCB"/>
    <w:rsid w:val="19ED4882"/>
    <w:rsid w:val="19F077E8"/>
    <w:rsid w:val="19FC385E"/>
    <w:rsid w:val="1A122BC9"/>
    <w:rsid w:val="1A18186E"/>
    <w:rsid w:val="1A2361DE"/>
    <w:rsid w:val="1A2B77F4"/>
    <w:rsid w:val="1A2D1CA6"/>
    <w:rsid w:val="1A3174C7"/>
    <w:rsid w:val="1A332204"/>
    <w:rsid w:val="1A383F32"/>
    <w:rsid w:val="1A3F504D"/>
    <w:rsid w:val="1A4A7EC5"/>
    <w:rsid w:val="1A5D0811"/>
    <w:rsid w:val="1A6A64BE"/>
    <w:rsid w:val="1A6E2201"/>
    <w:rsid w:val="1A6F2BF7"/>
    <w:rsid w:val="1A734CF7"/>
    <w:rsid w:val="1A7353E6"/>
    <w:rsid w:val="1A741638"/>
    <w:rsid w:val="1A7D3DC7"/>
    <w:rsid w:val="1A8326B7"/>
    <w:rsid w:val="1A8470D5"/>
    <w:rsid w:val="1A867F89"/>
    <w:rsid w:val="1A8A0CDA"/>
    <w:rsid w:val="1A906823"/>
    <w:rsid w:val="1AA107CB"/>
    <w:rsid w:val="1AAC1D72"/>
    <w:rsid w:val="1AAD228C"/>
    <w:rsid w:val="1AB162BD"/>
    <w:rsid w:val="1AC90407"/>
    <w:rsid w:val="1ACD08AB"/>
    <w:rsid w:val="1AEE0ED0"/>
    <w:rsid w:val="1B110E54"/>
    <w:rsid w:val="1B18370C"/>
    <w:rsid w:val="1B1F59AD"/>
    <w:rsid w:val="1B251795"/>
    <w:rsid w:val="1B261D69"/>
    <w:rsid w:val="1B4F270F"/>
    <w:rsid w:val="1B590390"/>
    <w:rsid w:val="1B5E3125"/>
    <w:rsid w:val="1B6A60FA"/>
    <w:rsid w:val="1B6C11C8"/>
    <w:rsid w:val="1B6D0B86"/>
    <w:rsid w:val="1B6F3F64"/>
    <w:rsid w:val="1B715935"/>
    <w:rsid w:val="1B721A08"/>
    <w:rsid w:val="1B80591D"/>
    <w:rsid w:val="1B8371BB"/>
    <w:rsid w:val="1B930AD5"/>
    <w:rsid w:val="1B965141"/>
    <w:rsid w:val="1BA2759C"/>
    <w:rsid w:val="1BA60433"/>
    <w:rsid w:val="1BA76296"/>
    <w:rsid w:val="1BB11F7A"/>
    <w:rsid w:val="1BBA62E9"/>
    <w:rsid w:val="1BC25F36"/>
    <w:rsid w:val="1BC455EE"/>
    <w:rsid w:val="1BC565DC"/>
    <w:rsid w:val="1BCD48DA"/>
    <w:rsid w:val="1BCD79CF"/>
    <w:rsid w:val="1BDF3A0A"/>
    <w:rsid w:val="1BEF424D"/>
    <w:rsid w:val="1BF954ED"/>
    <w:rsid w:val="1BFC2ACA"/>
    <w:rsid w:val="1BFF6B87"/>
    <w:rsid w:val="1C035D31"/>
    <w:rsid w:val="1C0E117B"/>
    <w:rsid w:val="1C136D8A"/>
    <w:rsid w:val="1C1D316C"/>
    <w:rsid w:val="1C1D75AD"/>
    <w:rsid w:val="1C1E6BE2"/>
    <w:rsid w:val="1C2C7853"/>
    <w:rsid w:val="1C4B4B3B"/>
    <w:rsid w:val="1C5A0D28"/>
    <w:rsid w:val="1C5B0F25"/>
    <w:rsid w:val="1C5B5A42"/>
    <w:rsid w:val="1C607A2E"/>
    <w:rsid w:val="1C784104"/>
    <w:rsid w:val="1C7A05BE"/>
    <w:rsid w:val="1C8F1B2E"/>
    <w:rsid w:val="1C954CD6"/>
    <w:rsid w:val="1C994EC8"/>
    <w:rsid w:val="1C9A4142"/>
    <w:rsid w:val="1CA2734E"/>
    <w:rsid w:val="1CA44644"/>
    <w:rsid w:val="1CB4492A"/>
    <w:rsid w:val="1CBA322D"/>
    <w:rsid w:val="1CBC4D93"/>
    <w:rsid w:val="1CBF19D2"/>
    <w:rsid w:val="1CC916A3"/>
    <w:rsid w:val="1CCC09D0"/>
    <w:rsid w:val="1D081F61"/>
    <w:rsid w:val="1D0870CF"/>
    <w:rsid w:val="1D185F8C"/>
    <w:rsid w:val="1D1D719C"/>
    <w:rsid w:val="1D1F0D32"/>
    <w:rsid w:val="1D1F6293"/>
    <w:rsid w:val="1D206B8C"/>
    <w:rsid w:val="1D281A40"/>
    <w:rsid w:val="1D293D92"/>
    <w:rsid w:val="1D2B0222"/>
    <w:rsid w:val="1D2D5293"/>
    <w:rsid w:val="1D376540"/>
    <w:rsid w:val="1D4F1A4B"/>
    <w:rsid w:val="1D5305B1"/>
    <w:rsid w:val="1D5B5B91"/>
    <w:rsid w:val="1D6B462A"/>
    <w:rsid w:val="1D7517E7"/>
    <w:rsid w:val="1D790876"/>
    <w:rsid w:val="1D7B481A"/>
    <w:rsid w:val="1D813BCE"/>
    <w:rsid w:val="1D856FBD"/>
    <w:rsid w:val="1D862BB4"/>
    <w:rsid w:val="1D8C3B39"/>
    <w:rsid w:val="1D970011"/>
    <w:rsid w:val="1D9B6A3E"/>
    <w:rsid w:val="1D9F5E03"/>
    <w:rsid w:val="1DA4146D"/>
    <w:rsid w:val="1DA51BD7"/>
    <w:rsid w:val="1DA52F17"/>
    <w:rsid w:val="1DC13FCB"/>
    <w:rsid w:val="1DCD0BC2"/>
    <w:rsid w:val="1DD714CA"/>
    <w:rsid w:val="1DE1641B"/>
    <w:rsid w:val="1DEC7712"/>
    <w:rsid w:val="1DEE1D7B"/>
    <w:rsid w:val="1DF0613F"/>
    <w:rsid w:val="1DFA6CCA"/>
    <w:rsid w:val="1E0A4DB8"/>
    <w:rsid w:val="1E0D1DFA"/>
    <w:rsid w:val="1E0F4C28"/>
    <w:rsid w:val="1E144269"/>
    <w:rsid w:val="1E166D26"/>
    <w:rsid w:val="1E2076B7"/>
    <w:rsid w:val="1E2E3A39"/>
    <w:rsid w:val="1E3173A3"/>
    <w:rsid w:val="1E370E0A"/>
    <w:rsid w:val="1E462B8B"/>
    <w:rsid w:val="1E4B4FD8"/>
    <w:rsid w:val="1E5F1377"/>
    <w:rsid w:val="1E651F3D"/>
    <w:rsid w:val="1E6C3BCE"/>
    <w:rsid w:val="1E7767C7"/>
    <w:rsid w:val="1E86075E"/>
    <w:rsid w:val="1EB1403F"/>
    <w:rsid w:val="1EB53569"/>
    <w:rsid w:val="1EB82905"/>
    <w:rsid w:val="1EC9410B"/>
    <w:rsid w:val="1EE1179C"/>
    <w:rsid w:val="1EE214C0"/>
    <w:rsid w:val="1EF3123C"/>
    <w:rsid w:val="1EF55B62"/>
    <w:rsid w:val="1EF65EF6"/>
    <w:rsid w:val="1F06438B"/>
    <w:rsid w:val="1F0B3750"/>
    <w:rsid w:val="1F0B7084"/>
    <w:rsid w:val="1F1B4728"/>
    <w:rsid w:val="1F1B770B"/>
    <w:rsid w:val="1F24386A"/>
    <w:rsid w:val="1F282554"/>
    <w:rsid w:val="1F2C5FA4"/>
    <w:rsid w:val="1F360D7E"/>
    <w:rsid w:val="1F36422B"/>
    <w:rsid w:val="1F3B6C01"/>
    <w:rsid w:val="1F3D0086"/>
    <w:rsid w:val="1F476215"/>
    <w:rsid w:val="1F4D0EF4"/>
    <w:rsid w:val="1F552FA7"/>
    <w:rsid w:val="1F574CD6"/>
    <w:rsid w:val="1F617814"/>
    <w:rsid w:val="1F690C77"/>
    <w:rsid w:val="1F6B2440"/>
    <w:rsid w:val="1F736D63"/>
    <w:rsid w:val="1F737547"/>
    <w:rsid w:val="1F784B5D"/>
    <w:rsid w:val="1F910CB5"/>
    <w:rsid w:val="1F9626BE"/>
    <w:rsid w:val="1F976D27"/>
    <w:rsid w:val="1F9B218F"/>
    <w:rsid w:val="1FA00D60"/>
    <w:rsid w:val="1FB97650"/>
    <w:rsid w:val="1FBD6F82"/>
    <w:rsid w:val="1FC14DBD"/>
    <w:rsid w:val="1FC472A5"/>
    <w:rsid w:val="1FC758F5"/>
    <w:rsid w:val="1FCD625C"/>
    <w:rsid w:val="1FCE5246"/>
    <w:rsid w:val="1FD004A7"/>
    <w:rsid w:val="1FD53695"/>
    <w:rsid w:val="1FED37B9"/>
    <w:rsid w:val="2012795A"/>
    <w:rsid w:val="20293677"/>
    <w:rsid w:val="202A56CE"/>
    <w:rsid w:val="203E1903"/>
    <w:rsid w:val="203E74FC"/>
    <w:rsid w:val="20445069"/>
    <w:rsid w:val="20445CF6"/>
    <w:rsid w:val="204557E3"/>
    <w:rsid w:val="20457135"/>
    <w:rsid w:val="20463307"/>
    <w:rsid w:val="204721AA"/>
    <w:rsid w:val="204A474C"/>
    <w:rsid w:val="20517888"/>
    <w:rsid w:val="205B7CB4"/>
    <w:rsid w:val="2076401A"/>
    <w:rsid w:val="20783067"/>
    <w:rsid w:val="207B26EE"/>
    <w:rsid w:val="207B3A1F"/>
    <w:rsid w:val="2080206C"/>
    <w:rsid w:val="20814CCB"/>
    <w:rsid w:val="20825957"/>
    <w:rsid w:val="20897B81"/>
    <w:rsid w:val="20930891"/>
    <w:rsid w:val="2096173F"/>
    <w:rsid w:val="209E05F3"/>
    <w:rsid w:val="20A43EB9"/>
    <w:rsid w:val="20A63400"/>
    <w:rsid w:val="20A756FA"/>
    <w:rsid w:val="20AD455D"/>
    <w:rsid w:val="20AE57E6"/>
    <w:rsid w:val="20B06AF5"/>
    <w:rsid w:val="20B501C0"/>
    <w:rsid w:val="20BD2233"/>
    <w:rsid w:val="20BE3384"/>
    <w:rsid w:val="20C067BC"/>
    <w:rsid w:val="20D33D76"/>
    <w:rsid w:val="20DC26D0"/>
    <w:rsid w:val="20E805DE"/>
    <w:rsid w:val="20EC0B7F"/>
    <w:rsid w:val="20EE7201"/>
    <w:rsid w:val="20F33B84"/>
    <w:rsid w:val="20F6042F"/>
    <w:rsid w:val="20F84942"/>
    <w:rsid w:val="20FA1CCE"/>
    <w:rsid w:val="20FB5A46"/>
    <w:rsid w:val="20FC5411"/>
    <w:rsid w:val="20FD063F"/>
    <w:rsid w:val="21031E9A"/>
    <w:rsid w:val="21033044"/>
    <w:rsid w:val="210B5C89"/>
    <w:rsid w:val="21130FE1"/>
    <w:rsid w:val="21376B82"/>
    <w:rsid w:val="21381B3A"/>
    <w:rsid w:val="213F00CE"/>
    <w:rsid w:val="21425423"/>
    <w:rsid w:val="21457CBE"/>
    <w:rsid w:val="2147554F"/>
    <w:rsid w:val="21527E75"/>
    <w:rsid w:val="215F4A0D"/>
    <w:rsid w:val="216B59E3"/>
    <w:rsid w:val="216F4323"/>
    <w:rsid w:val="216F733B"/>
    <w:rsid w:val="217560B0"/>
    <w:rsid w:val="21771FE5"/>
    <w:rsid w:val="2188552B"/>
    <w:rsid w:val="219D08AB"/>
    <w:rsid w:val="21A00408"/>
    <w:rsid w:val="21B53586"/>
    <w:rsid w:val="21C00D8A"/>
    <w:rsid w:val="21C10A3D"/>
    <w:rsid w:val="21C34002"/>
    <w:rsid w:val="21DC50BF"/>
    <w:rsid w:val="21F14FC0"/>
    <w:rsid w:val="220A5F40"/>
    <w:rsid w:val="221B1A4E"/>
    <w:rsid w:val="223823A3"/>
    <w:rsid w:val="224372CA"/>
    <w:rsid w:val="22445ECF"/>
    <w:rsid w:val="22630B62"/>
    <w:rsid w:val="2263197E"/>
    <w:rsid w:val="226F3030"/>
    <w:rsid w:val="22717EF7"/>
    <w:rsid w:val="227E5C9D"/>
    <w:rsid w:val="22BC3EB7"/>
    <w:rsid w:val="22C60B71"/>
    <w:rsid w:val="22D05933"/>
    <w:rsid w:val="22F059E5"/>
    <w:rsid w:val="22FD5350"/>
    <w:rsid w:val="23007CB8"/>
    <w:rsid w:val="2302130E"/>
    <w:rsid w:val="230706D2"/>
    <w:rsid w:val="23194D81"/>
    <w:rsid w:val="23362D65"/>
    <w:rsid w:val="23393A5D"/>
    <w:rsid w:val="233A6758"/>
    <w:rsid w:val="234436D4"/>
    <w:rsid w:val="23556570"/>
    <w:rsid w:val="235A7056"/>
    <w:rsid w:val="23616034"/>
    <w:rsid w:val="23621DAC"/>
    <w:rsid w:val="23672C8A"/>
    <w:rsid w:val="237613B4"/>
    <w:rsid w:val="23904D06"/>
    <w:rsid w:val="23A300A3"/>
    <w:rsid w:val="23AE4F4C"/>
    <w:rsid w:val="23BA3EF6"/>
    <w:rsid w:val="23C640E9"/>
    <w:rsid w:val="23D902C0"/>
    <w:rsid w:val="23DD0BFC"/>
    <w:rsid w:val="23DF2FA8"/>
    <w:rsid w:val="23E00EE5"/>
    <w:rsid w:val="23F231AE"/>
    <w:rsid w:val="23F821FE"/>
    <w:rsid w:val="24042E63"/>
    <w:rsid w:val="24150A21"/>
    <w:rsid w:val="241C63FF"/>
    <w:rsid w:val="243049F3"/>
    <w:rsid w:val="243204A7"/>
    <w:rsid w:val="243778D5"/>
    <w:rsid w:val="2446776E"/>
    <w:rsid w:val="2449696F"/>
    <w:rsid w:val="244D480A"/>
    <w:rsid w:val="2450029A"/>
    <w:rsid w:val="2455334D"/>
    <w:rsid w:val="24577437"/>
    <w:rsid w:val="24695B13"/>
    <w:rsid w:val="246A1D00"/>
    <w:rsid w:val="24772B22"/>
    <w:rsid w:val="2485604C"/>
    <w:rsid w:val="249D60D3"/>
    <w:rsid w:val="24A65CC9"/>
    <w:rsid w:val="24A96539"/>
    <w:rsid w:val="24B46637"/>
    <w:rsid w:val="24C22047"/>
    <w:rsid w:val="24C46654"/>
    <w:rsid w:val="24C548D6"/>
    <w:rsid w:val="24D9609E"/>
    <w:rsid w:val="25071B35"/>
    <w:rsid w:val="250A07C3"/>
    <w:rsid w:val="253D3D04"/>
    <w:rsid w:val="25401C79"/>
    <w:rsid w:val="254A073A"/>
    <w:rsid w:val="25653D07"/>
    <w:rsid w:val="25694D45"/>
    <w:rsid w:val="258C1362"/>
    <w:rsid w:val="2591184A"/>
    <w:rsid w:val="25951FC5"/>
    <w:rsid w:val="25AD2225"/>
    <w:rsid w:val="25B1768E"/>
    <w:rsid w:val="25B92D29"/>
    <w:rsid w:val="25BD776E"/>
    <w:rsid w:val="25D626A7"/>
    <w:rsid w:val="25D710E1"/>
    <w:rsid w:val="25D92344"/>
    <w:rsid w:val="25E40F98"/>
    <w:rsid w:val="25E46AA9"/>
    <w:rsid w:val="25F0369F"/>
    <w:rsid w:val="25F9324C"/>
    <w:rsid w:val="26041520"/>
    <w:rsid w:val="26142CA8"/>
    <w:rsid w:val="262477ED"/>
    <w:rsid w:val="262F0073"/>
    <w:rsid w:val="26307F40"/>
    <w:rsid w:val="264834DB"/>
    <w:rsid w:val="265005E2"/>
    <w:rsid w:val="26547039"/>
    <w:rsid w:val="265754CC"/>
    <w:rsid w:val="26591245"/>
    <w:rsid w:val="265C4DF4"/>
    <w:rsid w:val="26600825"/>
    <w:rsid w:val="26661BB3"/>
    <w:rsid w:val="2669133F"/>
    <w:rsid w:val="267C5E66"/>
    <w:rsid w:val="26851904"/>
    <w:rsid w:val="268C1088"/>
    <w:rsid w:val="268E11BD"/>
    <w:rsid w:val="268F41C1"/>
    <w:rsid w:val="269A673C"/>
    <w:rsid w:val="26A050C5"/>
    <w:rsid w:val="26AF38E8"/>
    <w:rsid w:val="26B61F36"/>
    <w:rsid w:val="26BB44D0"/>
    <w:rsid w:val="26C827B3"/>
    <w:rsid w:val="26CA7D26"/>
    <w:rsid w:val="26CF1A96"/>
    <w:rsid w:val="26D24E89"/>
    <w:rsid w:val="26D905D7"/>
    <w:rsid w:val="26DE5BEE"/>
    <w:rsid w:val="26E038BD"/>
    <w:rsid w:val="26E256DE"/>
    <w:rsid w:val="26E26D33"/>
    <w:rsid w:val="26EA49F0"/>
    <w:rsid w:val="26EA6341"/>
    <w:rsid w:val="26FB32FB"/>
    <w:rsid w:val="27096C04"/>
    <w:rsid w:val="270E64D3"/>
    <w:rsid w:val="27121405"/>
    <w:rsid w:val="2712523F"/>
    <w:rsid w:val="27195750"/>
    <w:rsid w:val="27263487"/>
    <w:rsid w:val="27475258"/>
    <w:rsid w:val="27491CE2"/>
    <w:rsid w:val="274A3283"/>
    <w:rsid w:val="274C00E7"/>
    <w:rsid w:val="274E4B21"/>
    <w:rsid w:val="27526510"/>
    <w:rsid w:val="27554346"/>
    <w:rsid w:val="275E4EAC"/>
    <w:rsid w:val="27736336"/>
    <w:rsid w:val="277F74D6"/>
    <w:rsid w:val="278C73F8"/>
    <w:rsid w:val="2799071E"/>
    <w:rsid w:val="279B2B20"/>
    <w:rsid w:val="279D281D"/>
    <w:rsid w:val="27BA50C6"/>
    <w:rsid w:val="27C110E8"/>
    <w:rsid w:val="27C2589A"/>
    <w:rsid w:val="27C608B1"/>
    <w:rsid w:val="27CB2C5E"/>
    <w:rsid w:val="27D008CD"/>
    <w:rsid w:val="27D24728"/>
    <w:rsid w:val="27D74B17"/>
    <w:rsid w:val="27DD5EA5"/>
    <w:rsid w:val="27E84793"/>
    <w:rsid w:val="27EB3F28"/>
    <w:rsid w:val="280E5870"/>
    <w:rsid w:val="28173D98"/>
    <w:rsid w:val="281B6B3C"/>
    <w:rsid w:val="281E2746"/>
    <w:rsid w:val="281F026C"/>
    <w:rsid w:val="28250CC6"/>
    <w:rsid w:val="28251E9F"/>
    <w:rsid w:val="2829733C"/>
    <w:rsid w:val="283A4B96"/>
    <w:rsid w:val="284B190C"/>
    <w:rsid w:val="28527737"/>
    <w:rsid w:val="2854351E"/>
    <w:rsid w:val="2858552C"/>
    <w:rsid w:val="285C547F"/>
    <w:rsid w:val="285D1471"/>
    <w:rsid w:val="28606245"/>
    <w:rsid w:val="28645791"/>
    <w:rsid w:val="28687D48"/>
    <w:rsid w:val="286D0FD7"/>
    <w:rsid w:val="28810F26"/>
    <w:rsid w:val="2887059C"/>
    <w:rsid w:val="288753C6"/>
    <w:rsid w:val="288A5FB2"/>
    <w:rsid w:val="288B58A3"/>
    <w:rsid w:val="28A138D1"/>
    <w:rsid w:val="28A32C4B"/>
    <w:rsid w:val="28A36707"/>
    <w:rsid w:val="28A71382"/>
    <w:rsid w:val="28A80261"/>
    <w:rsid w:val="28AF35C6"/>
    <w:rsid w:val="28B06FF1"/>
    <w:rsid w:val="28B90FF5"/>
    <w:rsid w:val="28BC1F5F"/>
    <w:rsid w:val="28C57065"/>
    <w:rsid w:val="28C82C67"/>
    <w:rsid w:val="28D15A0A"/>
    <w:rsid w:val="28D37A3B"/>
    <w:rsid w:val="28DC43AF"/>
    <w:rsid w:val="28E21187"/>
    <w:rsid w:val="28F11C08"/>
    <w:rsid w:val="28FC7098"/>
    <w:rsid w:val="290D0E0E"/>
    <w:rsid w:val="29171045"/>
    <w:rsid w:val="29201406"/>
    <w:rsid w:val="29220014"/>
    <w:rsid w:val="292B0F16"/>
    <w:rsid w:val="293748C1"/>
    <w:rsid w:val="29580D07"/>
    <w:rsid w:val="295D54F0"/>
    <w:rsid w:val="29606D8E"/>
    <w:rsid w:val="296350A7"/>
    <w:rsid w:val="29653242"/>
    <w:rsid w:val="296C5604"/>
    <w:rsid w:val="298939FC"/>
    <w:rsid w:val="298C3CA4"/>
    <w:rsid w:val="299130E9"/>
    <w:rsid w:val="2994513B"/>
    <w:rsid w:val="2996455E"/>
    <w:rsid w:val="29A97F8A"/>
    <w:rsid w:val="29AD778D"/>
    <w:rsid w:val="29B47173"/>
    <w:rsid w:val="29BB1BAC"/>
    <w:rsid w:val="29C410CB"/>
    <w:rsid w:val="29C87D11"/>
    <w:rsid w:val="29D05CC2"/>
    <w:rsid w:val="29D15596"/>
    <w:rsid w:val="29DF7CB3"/>
    <w:rsid w:val="29E057D9"/>
    <w:rsid w:val="29E10F72"/>
    <w:rsid w:val="29E4176D"/>
    <w:rsid w:val="29E6570E"/>
    <w:rsid w:val="29E94B0F"/>
    <w:rsid w:val="29EC61E5"/>
    <w:rsid w:val="29FD2C93"/>
    <w:rsid w:val="2A0911D4"/>
    <w:rsid w:val="2A190AFA"/>
    <w:rsid w:val="2A3049B2"/>
    <w:rsid w:val="2A331DAD"/>
    <w:rsid w:val="2A3D6440"/>
    <w:rsid w:val="2A4B5348"/>
    <w:rsid w:val="2A4B5EB3"/>
    <w:rsid w:val="2A5F0DF4"/>
    <w:rsid w:val="2A5F5BA1"/>
    <w:rsid w:val="2A701253"/>
    <w:rsid w:val="2A765DEA"/>
    <w:rsid w:val="2A854FC4"/>
    <w:rsid w:val="2A872FE8"/>
    <w:rsid w:val="2A9211C9"/>
    <w:rsid w:val="2A932085"/>
    <w:rsid w:val="2A9413C9"/>
    <w:rsid w:val="2A944F41"/>
    <w:rsid w:val="2A9D36CA"/>
    <w:rsid w:val="2A9E191C"/>
    <w:rsid w:val="2AB056E9"/>
    <w:rsid w:val="2AB34501"/>
    <w:rsid w:val="2ABB0C08"/>
    <w:rsid w:val="2AC1560A"/>
    <w:rsid w:val="2AD16F39"/>
    <w:rsid w:val="2AD27817"/>
    <w:rsid w:val="2AD838DF"/>
    <w:rsid w:val="2ADD0128"/>
    <w:rsid w:val="2AEA268E"/>
    <w:rsid w:val="2AF5279C"/>
    <w:rsid w:val="2AF91248"/>
    <w:rsid w:val="2AFE498C"/>
    <w:rsid w:val="2B0261C7"/>
    <w:rsid w:val="2B14199B"/>
    <w:rsid w:val="2B1616C0"/>
    <w:rsid w:val="2B1C6CE5"/>
    <w:rsid w:val="2B2067D5"/>
    <w:rsid w:val="2B277B63"/>
    <w:rsid w:val="2B2A6B45"/>
    <w:rsid w:val="2B2C172A"/>
    <w:rsid w:val="2B2D2CA0"/>
    <w:rsid w:val="2B3109E2"/>
    <w:rsid w:val="2B375A80"/>
    <w:rsid w:val="2B4326B6"/>
    <w:rsid w:val="2B5618EA"/>
    <w:rsid w:val="2B5B15BB"/>
    <w:rsid w:val="2B5E554F"/>
    <w:rsid w:val="2B620B9B"/>
    <w:rsid w:val="2B6A60AE"/>
    <w:rsid w:val="2B724C12"/>
    <w:rsid w:val="2B747BBA"/>
    <w:rsid w:val="2B801021"/>
    <w:rsid w:val="2B8A1EA0"/>
    <w:rsid w:val="2B9F0531"/>
    <w:rsid w:val="2B9F77CC"/>
    <w:rsid w:val="2BAE0029"/>
    <w:rsid w:val="2BAE3DE1"/>
    <w:rsid w:val="2BB12FF2"/>
    <w:rsid w:val="2BB60EE7"/>
    <w:rsid w:val="2BC3094D"/>
    <w:rsid w:val="2BDD46C6"/>
    <w:rsid w:val="2BE22220"/>
    <w:rsid w:val="2BEF61A7"/>
    <w:rsid w:val="2BF57425"/>
    <w:rsid w:val="2C064ECB"/>
    <w:rsid w:val="2C104E0B"/>
    <w:rsid w:val="2C155C0E"/>
    <w:rsid w:val="2C1B0FB3"/>
    <w:rsid w:val="2C230890"/>
    <w:rsid w:val="2C275E71"/>
    <w:rsid w:val="2C2C11A9"/>
    <w:rsid w:val="2C2C6236"/>
    <w:rsid w:val="2C33078A"/>
    <w:rsid w:val="2C387B4E"/>
    <w:rsid w:val="2C390A42"/>
    <w:rsid w:val="2C4732BE"/>
    <w:rsid w:val="2C4B7881"/>
    <w:rsid w:val="2C5A208D"/>
    <w:rsid w:val="2C5F332D"/>
    <w:rsid w:val="2C603C73"/>
    <w:rsid w:val="2C696B54"/>
    <w:rsid w:val="2C6B4044"/>
    <w:rsid w:val="2C7D2489"/>
    <w:rsid w:val="2C854E8D"/>
    <w:rsid w:val="2C8B2374"/>
    <w:rsid w:val="2C9A0FA0"/>
    <w:rsid w:val="2C9A4C4D"/>
    <w:rsid w:val="2CA90A4C"/>
    <w:rsid w:val="2CBC077F"/>
    <w:rsid w:val="2CC1332A"/>
    <w:rsid w:val="2CC460EE"/>
    <w:rsid w:val="2CC55886"/>
    <w:rsid w:val="2CC94C4A"/>
    <w:rsid w:val="2CCB451E"/>
    <w:rsid w:val="2CCD4076"/>
    <w:rsid w:val="2CD31625"/>
    <w:rsid w:val="2CD60A6C"/>
    <w:rsid w:val="2CDB5B13"/>
    <w:rsid w:val="2CDC2BCF"/>
    <w:rsid w:val="2CDC7EC4"/>
    <w:rsid w:val="2CE13E0E"/>
    <w:rsid w:val="2CF55A3F"/>
    <w:rsid w:val="2D157E8F"/>
    <w:rsid w:val="2D2307FE"/>
    <w:rsid w:val="2D2B7629"/>
    <w:rsid w:val="2D2F7EFE"/>
    <w:rsid w:val="2D307726"/>
    <w:rsid w:val="2D3E1194"/>
    <w:rsid w:val="2D464494"/>
    <w:rsid w:val="2D525F67"/>
    <w:rsid w:val="2D5573EF"/>
    <w:rsid w:val="2D5663E5"/>
    <w:rsid w:val="2D5704A8"/>
    <w:rsid w:val="2D5B79F0"/>
    <w:rsid w:val="2D5C59D6"/>
    <w:rsid w:val="2D727090"/>
    <w:rsid w:val="2D7746A6"/>
    <w:rsid w:val="2D7B4196"/>
    <w:rsid w:val="2D852054"/>
    <w:rsid w:val="2D872595"/>
    <w:rsid w:val="2D9066E8"/>
    <w:rsid w:val="2D9D3677"/>
    <w:rsid w:val="2D9E7E85"/>
    <w:rsid w:val="2DA239F0"/>
    <w:rsid w:val="2DAB444D"/>
    <w:rsid w:val="2DAD00C8"/>
    <w:rsid w:val="2DB245D8"/>
    <w:rsid w:val="2DB6793F"/>
    <w:rsid w:val="2DB96B52"/>
    <w:rsid w:val="2DBB4593"/>
    <w:rsid w:val="2DC0323D"/>
    <w:rsid w:val="2DC0604D"/>
    <w:rsid w:val="2DC378EB"/>
    <w:rsid w:val="2DC45B3D"/>
    <w:rsid w:val="2DC515B0"/>
    <w:rsid w:val="2DC729FE"/>
    <w:rsid w:val="2DC77DCA"/>
    <w:rsid w:val="2DCD403A"/>
    <w:rsid w:val="2DE63220"/>
    <w:rsid w:val="2DEA387E"/>
    <w:rsid w:val="2DFB0D3B"/>
    <w:rsid w:val="2DFE297D"/>
    <w:rsid w:val="2E0208DD"/>
    <w:rsid w:val="2E073CE1"/>
    <w:rsid w:val="2E0C6AD8"/>
    <w:rsid w:val="2E0E2DE1"/>
    <w:rsid w:val="2E114AFB"/>
    <w:rsid w:val="2E1344DC"/>
    <w:rsid w:val="2E20085E"/>
    <w:rsid w:val="2E234885"/>
    <w:rsid w:val="2E286A42"/>
    <w:rsid w:val="2E3507E9"/>
    <w:rsid w:val="2E426A62"/>
    <w:rsid w:val="2E5311BD"/>
    <w:rsid w:val="2E55192F"/>
    <w:rsid w:val="2E6021BF"/>
    <w:rsid w:val="2E607A11"/>
    <w:rsid w:val="2E69625B"/>
    <w:rsid w:val="2E7133BC"/>
    <w:rsid w:val="2E7D18A1"/>
    <w:rsid w:val="2E7E255B"/>
    <w:rsid w:val="2E7F3812"/>
    <w:rsid w:val="2E903C71"/>
    <w:rsid w:val="2E9E2638"/>
    <w:rsid w:val="2EA446A8"/>
    <w:rsid w:val="2EB01C1E"/>
    <w:rsid w:val="2EB46A04"/>
    <w:rsid w:val="2EB711FE"/>
    <w:rsid w:val="2ECD362D"/>
    <w:rsid w:val="2EE20771"/>
    <w:rsid w:val="2EE23DA1"/>
    <w:rsid w:val="2EE962FC"/>
    <w:rsid w:val="2EFC4E63"/>
    <w:rsid w:val="2F0247C0"/>
    <w:rsid w:val="2F0A1F46"/>
    <w:rsid w:val="2F141D40"/>
    <w:rsid w:val="2F191A56"/>
    <w:rsid w:val="2F21503B"/>
    <w:rsid w:val="2F257C3B"/>
    <w:rsid w:val="2F363DB4"/>
    <w:rsid w:val="2F446CE9"/>
    <w:rsid w:val="2F533148"/>
    <w:rsid w:val="2F6A03D2"/>
    <w:rsid w:val="2F723377"/>
    <w:rsid w:val="2F787D25"/>
    <w:rsid w:val="2F7D09D9"/>
    <w:rsid w:val="2F8A246F"/>
    <w:rsid w:val="2F9316C0"/>
    <w:rsid w:val="2F962126"/>
    <w:rsid w:val="2F9966D9"/>
    <w:rsid w:val="2FA26362"/>
    <w:rsid w:val="2FB62D97"/>
    <w:rsid w:val="2FBA48F0"/>
    <w:rsid w:val="2FC10CAA"/>
    <w:rsid w:val="2FD054DB"/>
    <w:rsid w:val="2FD271D9"/>
    <w:rsid w:val="2FD42EE9"/>
    <w:rsid w:val="2FD808A9"/>
    <w:rsid w:val="2FE37DD1"/>
    <w:rsid w:val="2FF41FDE"/>
    <w:rsid w:val="2FFB15BE"/>
    <w:rsid w:val="2FFB2DCC"/>
    <w:rsid w:val="2FFD65A9"/>
    <w:rsid w:val="300E12F2"/>
    <w:rsid w:val="30316D8E"/>
    <w:rsid w:val="30336FAA"/>
    <w:rsid w:val="303650C3"/>
    <w:rsid w:val="30367A6B"/>
    <w:rsid w:val="303A5707"/>
    <w:rsid w:val="304F5466"/>
    <w:rsid w:val="30504D60"/>
    <w:rsid w:val="305553AF"/>
    <w:rsid w:val="305E5768"/>
    <w:rsid w:val="30662EDC"/>
    <w:rsid w:val="307153DD"/>
    <w:rsid w:val="30991074"/>
    <w:rsid w:val="30C9346B"/>
    <w:rsid w:val="30CB2D3F"/>
    <w:rsid w:val="30CC6F7E"/>
    <w:rsid w:val="30D23F36"/>
    <w:rsid w:val="30D75B88"/>
    <w:rsid w:val="30DD6F16"/>
    <w:rsid w:val="30E418CC"/>
    <w:rsid w:val="30EC0F07"/>
    <w:rsid w:val="30EE2ED1"/>
    <w:rsid w:val="30EE3F00"/>
    <w:rsid w:val="30EF1D20"/>
    <w:rsid w:val="30F779FC"/>
    <w:rsid w:val="30FA12BF"/>
    <w:rsid w:val="312E5247"/>
    <w:rsid w:val="3134032E"/>
    <w:rsid w:val="31363E4E"/>
    <w:rsid w:val="313B179E"/>
    <w:rsid w:val="314A7BDF"/>
    <w:rsid w:val="314D409C"/>
    <w:rsid w:val="314F750B"/>
    <w:rsid w:val="315159AC"/>
    <w:rsid w:val="3153463F"/>
    <w:rsid w:val="31566970"/>
    <w:rsid w:val="31580624"/>
    <w:rsid w:val="315B5C24"/>
    <w:rsid w:val="315E7B1E"/>
    <w:rsid w:val="31876369"/>
    <w:rsid w:val="318D450C"/>
    <w:rsid w:val="31903F88"/>
    <w:rsid w:val="319F0024"/>
    <w:rsid w:val="31A320B5"/>
    <w:rsid w:val="31A812D2"/>
    <w:rsid w:val="31AB2DAB"/>
    <w:rsid w:val="31B25476"/>
    <w:rsid w:val="31B71515"/>
    <w:rsid w:val="31B959C7"/>
    <w:rsid w:val="31BD550A"/>
    <w:rsid w:val="31C3435E"/>
    <w:rsid w:val="31CC3212"/>
    <w:rsid w:val="31CF465E"/>
    <w:rsid w:val="31D65860"/>
    <w:rsid w:val="31DF2946"/>
    <w:rsid w:val="31E77E49"/>
    <w:rsid w:val="31ED3189"/>
    <w:rsid w:val="31EE10DC"/>
    <w:rsid w:val="31F27808"/>
    <w:rsid w:val="31F81AD3"/>
    <w:rsid w:val="32110C25"/>
    <w:rsid w:val="321142D8"/>
    <w:rsid w:val="32130298"/>
    <w:rsid w:val="321B644E"/>
    <w:rsid w:val="32251E0E"/>
    <w:rsid w:val="32317484"/>
    <w:rsid w:val="323647E0"/>
    <w:rsid w:val="323808A8"/>
    <w:rsid w:val="323E5792"/>
    <w:rsid w:val="32431AD0"/>
    <w:rsid w:val="32530340"/>
    <w:rsid w:val="325A3421"/>
    <w:rsid w:val="32607DFF"/>
    <w:rsid w:val="326501D5"/>
    <w:rsid w:val="326E03CD"/>
    <w:rsid w:val="32716E51"/>
    <w:rsid w:val="32737B32"/>
    <w:rsid w:val="32793FAC"/>
    <w:rsid w:val="3282040F"/>
    <w:rsid w:val="328E2CF1"/>
    <w:rsid w:val="32977498"/>
    <w:rsid w:val="329D6A39"/>
    <w:rsid w:val="32A11B7A"/>
    <w:rsid w:val="32A55B5B"/>
    <w:rsid w:val="32AB22E8"/>
    <w:rsid w:val="32B04DB2"/>
    <w:rsid w:val="32C569FF"/>
    <w:rsid w:val="32CE4D68"/>
    <w:rsid w:val="32CF2B72"/>
    <w:rsid w:val="32D03638"/>
    <w:rsid w:val="32D50524"/>
    <w:rsid w:val="32E53A10"/>
    <w:rsid w:val="32EC5A11"/>
    <w:rsid w:val="32F50547"/>
    <w:rsid w:val="32FA3431"/>
    <w:rsid w:val="3306616E"/>
    <w:rsid w:val="330662B0"/>
    <w:rsid w:val="330807D7"/>
    <w:rsid w:val="332350B4"/>
    <w:rsid w:val="333A389D"/>
    <w:rsid w:val="33545A64"/>
    <w:rsid w:val="33575D02"/>
    <w:rsid w:val="336F3663"/>
    <w:rsid w:val="337554A3"/>
    <w:rsid w:val="337B0E24"/>
    <w:rsid w:val="338401D6"/>
    <w:rsid w:val="338C030E"/>
    <w:rsid w:val="33925D96"/>
    <w:rsid w:val="33A45AC9"/>
    <w:rsid w:val="33A8380B"/>
    <w:rsid w:val="33B053AF"/>
    <w:rsid w:val="33B43F5E"/>
    <w:rsid w:val="33B7681F"/>
    <w:rsid w:val="33C0222F"/>
    <w:rsid w:val="33C61EE3"/>
    <w:rsid w:val="33CA4D76"/>
    <w:rsid w:val="33CF5015"/>
    <w:rsid w:val="33D34C0B"/>
    <w:rsid w:val="33D62126"/>
    <w:rsid w:val="33E0347F"/>
    <w:rsid w:val="33E16D1D"/>
    <w:rsid w:val="34210CAE"/>
    <w:rsid w:val="342875AD"/>
    <w:rsid w:val="342B1D46"/>
    <w:rsid w:val="344008D1"/>
    <w:rsid w:val="344572AC"/>
    <w:rsid w:val="34495444"/>
    <w:rsid w:val="345E1E65"/>
    <w:rsid w:val="34705769"/>
    <w:rsid w:val="348002E4"/>
    <w:rsid w:val="34802708"/>
    <w:rsid w:val="34847DD4"/>
    <w:rsid w:val="3485461B"/>
    <w:rsid w:val="34925255"/>
    <w:rsid w:val="349721D9"/>
    <w:rsid w:val="34AA710F"/>
    <w:rsid w:val="34BE489F"/>
    <w:rsid w:val="34C5219B"/>
    <w:rsid w:val="34CA77B1"/>
    <w:rsid w:val="34D10B40"/>
    <w:rsid w:val="34D661A3"/>
    <w:rsid w:val="34D7676C"/>
    <w:rsid w:val="34D81ECE"/>
    <w:rsid w:val="34DC7C98"/>
    <w:rsid w:val="34EB2CDD"/>
    <w:rsid w:val="34EC2EB9"/>
    <w:rsid w:val="34EE524E"/>
    <w:rsid w:val="34EE74E4"/>
    <w:rsid w:val="3504664D"/>
    <w:rsid w:val="350F40EB"/>
    <w:rsid w:val="35134507"/>
    <w:rsid w:val="35156C7E"/>
    <w:rsid w:val="351E091F"/>
    <w:rsid w:val="351F0FAC"/>
    <w:rsid w:val="35210197"/>
    <w:rsid w:val="352A4256"/>
    <w:rsid w:val="352E7D40"/>
    <w:rsid w:val="353D61D5"/>
    <w:rsid w:val="3542559A"/>
    <w:rsid w:val="35431424"/>
    <w:rsid w:val="35474AB0"/>
    <w:rsid w:val="3547515D"/>
    <w:rsid w:val="35480CF6"/>
    <w:rsid w:val="354E3E1E"/>
    <w:rsid w:val="355D069A"/>
    <w:rsid w:val="35635C3C"/>
    <w:rsid w:val="35646B82"/>
    <w:rsid w:val="3566572C"/>
    <w:rsid w:val="356B50D9"/>
    <w:rsid w:val="356C58AD"/>
    <w:rsid w:val="35774AB9"/>
    <w:rsid w:val="357E2A76"/>
    <w:rsid w:val="358335C2"/>
    <w:rsid w:val="3587366D"/>
    <w:rsid w:val="35A16F73"/>
    <w:rsid w:val="35A3641B"/>
    <w:rsid w:val="35A41DB0"/>
    <w:rsid w:val="35A46254"/>
    <w:rsid w:val="35A470AE"/>
    <w:rsid w:val="35B277CF"/>
    <w:rsid w:val="35BA5E1A"/>
    <w:rsid w:val="35C84690"/>
    <w:rsid w:val="35CA7988"/>
    <w:rsid w:val="35E47D46"/>
    <w:rsid w:val="35ED6B48"/>
    <w:rsid w:val="35F45E8B"/>
    <w:rsid w:val="35F97A73"/>
    <w:rsid w:val="35FB5B03"/>
    <w:rsid w:val="35FF717D"/>
    <w:rsid w:val="360016DD"/>
    <w:rsid w:val="36241293"/>
    <w:rsid w:val="36257395"/>
    <w:rsid w:val="36341386"/>
    <w:rsid w:val="36583083"/>
    <w:rsid w:val="365A33B7"/>
    <w:rsid w:val="36670086"/>
    <w:rsid w:val="366D23E9"/>
    <w:rsid w:val="366E276C"/>
    <w:rsid w:val="36703A01"/>
    <w:rsid w:val="36755FDE"/>
    <w:rsid w:val="36767C04"/>
    <w:rsid w:val="368340BC"/>
    <w:rsid w:val="36881445"/>
    <w:rsid w:val="368A292D"/>
    <w:rsid w:val="368A594B"/>
    <w:rsid w:val="368C1783"/>
    <w:rsid w:val="368F7238"/>
    <w:rsid w:val="36AA4451"/>
    <w:rsid w:val="36AF6C5F"/>
    <w:rsid w:val="36B008D8"/>
    <w:rsid w:val="36B10C29"/>
    <w:rsid w:val="36BC2851"/>
    <w:rsid w:val="36D96DD9"/>
    <w:rsid w:val="36DD267C"/>
    <w:rsid w:val="36E66C40"/>
    <w:rsid w:val="36E7289C"/>
    <w:rsid w:val="36F10990"/>
    <w:rsid w:val="370D26A3"/>
    <w:rsid w:val="37201095"/>
    <w:rsid w:val="372235BD"/>
    <w:rsid w:val="37227431"/>
    <w:rsid w:val="37252C7D"/>
    <w:rsid w:val="373309DC"/>
    <w:rsid w:val="37520247"/>
    <w:rsid w:val="376215F9"/>
    <w:rsid w:val="376C68FE"/>
    <w:rsid w:val="376E70A4"/>
    <w:rsid w:val="377719EF"/>
    <w:rsid w:val="37816DA9"/>
    <w:rsid w:val="378679C0"/>
    <w:rsid w:val="37885B03"/>
    <w:rsid w:val="37887BDC"/>
    <w:rsid w:val="37922D12"/>
    <w:rsid w:val="37A3555E"/>
    <w:rsid w:val="37A434A3"/>
    <w:rsid w:val="37A920BC"/>
    <w:rsid w:val="37B01116"/>
    <w:rsid w:val="37C5495D"/>
    <w:rsid w:val="37DE4991"/>
    <w:rsid w:val="37E341DA"/>
    <w:rsid w:val="37EC5F7B"/>
    <w:rsid w:val="37F0694A"/>
    <w:rsid w:val="37F14165"/>
    <w:rsid w:val="37FB65FF"/>
    <w:rsid w:val="37FE1C4C"/>
    <w:rsid w:val="380600E0"/>
    <w:rsid w:val="380C7EA0"/>
    <w:rsid w:val="381257AF"/>
    <w:rsid w:val="381450F7"/>
    <w:rsid w:val="38237904"/>
    <w:rsid w:val="3824244F"/>
    <w:rsid w:val="38276324"/>
    <w:rsid w:val="382947EF"/>
    <w:rsid w:val="3837600C"/>
    <w:rsid w:val="38441E4A"/>
    <w:rsid w:val="38581D94"/>
    <w:rsid w:val="386C12AB"/>
    <w:rsid w:val="38703520"/>
    <w:rsid w:val="387442BD"/>
    <w:rsid w:val="387A5AF6"/>
    <w:rsid w:val="387A74C6"/>
    <w:rsid w:val="38824FEC"/>
    <w:rsid w:val="388365F5"/>
    <w:rsid w:val="389B74EC"/>
    <w:rsid w:val="389E342F"/>
    <w:rsid w:val="38A2163C"/>
    <w:rsid w:val="38B10CD7"/>
    <w:rsid w:val="38B371E2"/>
    <w:rsid w:val="38BC484B"/>
    <w:rsid w:val="38BF1A11"/>
    <w:rsid w:val="38C01848"/>
    <w:rsid w:val="38C21810"/>
    <w:rsid w:val="38D8647F"/>
    <w:rsid w:val="38DB1F8D"/>
    <w:rsid w:val="38E758FC"/>
    <w:rsid w:val="38EC7806"/>
    <w:rsid w:val="38ED6A84"/>
    <w:rsid w:val="38F51C6A"/>
    <w:rsid w:val="390115DC"/>
    <w:rsid w:val="39111C5F"/>
    <w:rsid w:val="39142431"/>
    <w:rsid w:val="39186D3D"/>
    <w:rsid w:val="39204A69"/>
    <w:rsid w:val="39391637"/>
    <w:rsid w:val="393A67E2"/>
    <w:rsid w:val="394B5125"/>
    <w:rsid w:val="396401D4"/>
    <w:rsid w:val="39640917"/>
    <w:rsid w:val="39651C68"/>
    <w:rsid w:val="396C6F56"/>
    <w:rsid w:val="398828FC"/>
    <w:rsid w:val="39985DC1"/>
    <w:rsid w:val="399E7355"/>
    <w:rsid w:val="399F6B2E"/>
    <w:rsid w:val="39B13948"/>
    <w:rsid w:val="39B20F40"/>
    <w:rsid w:val="39BA4298"/>
    <w:rsid w:val="39BD24A1"/>
    <w:rsid w:val="39C84BD3"/>
    <w:rsid w:val="39CD7B28"/>
    <w:rsid w:val="39D23088"/>
    <w:rsid w:val="39D23C11"/>
    <w:rsid w:val="39D63BC2"/>
    <w:rsid w:val="39E60BE9"/>
    <w:rsid w:val="39F03816"/>
    <w:rsid w:val="39F24786"/>
    <w:rsid w:val="39FD5F33"/>
    <w:rsid w:val="3A097641"/>
    <w:rsid w:val="3A0B4AF4"/>
    <w:rsid w:val="3A0D1341"/>
    <w:rsid w:val="3A19697C"/>
    <w:rsid w:val="3A241712"/>
    <w:rsid w:val="3A275664"/>
    <w:rsid w:val="3A296A5E"/>
    <w:rsid w:val="3A396F6B"/>
    <w:rsid w:val="3A483652"/>
    <w:rsid w:val="3A4B6EC2"/>
    <w:rsid w:val="3A555D6F"/>
    <w:rsid w:val="3A672285"/>
    <w:rsid w:val="3A6A7A6C"/>
    <w:rsid w:val="3A72247D"/>
    <w:rsid w:val="3A73258B"/>
    <w:rsid w:val="3A740FA3"/>
    <w:rsid w:val="3A773F37"/>
    <w:rsid w:val="3A94332A"/>
    <w:rsid w:val="3A9A17CE"/>
    <w:rsid w:val="3A9A69CA"/>
    <w:rsid w:val="3AB7338B"/>
    <w:rsid w:val="3AC54CA3"/>
    <w:rsid w:val="3AD03877"/>
    <w:rsid w:val="3AD06FC2"/>
    <w:rsid w:val="3ADF71D3"/>
    <w:rsid w:val="3AFB06C4"/>
    <w:rsid w:val="3AFB0CF2"/>
    <w:rsid w:val="3AFC1592"/>
    <w:rsid w:val="3B080191"/>
    <w:rsid w:val="3B0A473E"/>
    <w:rsid w:val="3B0B3494"/>
    <w:rsid w:val="3B174F09"/>
    <w:rsid w:val="3B421FAF"/>
    <w:rsid w:val="3B424B80"/>
    <w:rsid w:val="3B4267A7"/>
    <w:rsid w:val="3B48382E"/>
    <w:rsid w:val="3B794422"/>
    <w:rsid w:val="3BDA4E51"/>
    <w:rsid w:val="3BDB2906"/>
    <w:rsid w:val="3BEC3676"/>
    <w:rsid w:val="3BEF7DD6"/>
    <w:rsid w:val="3BF66E77"/>
    <w:rsid w:val="3BF82EB3"/>
    <w:rsid w:val="3C0165D0"/>
    <w:rsid w:val="3C0D1A01"/>
    <w:rsid w:val="3C1832DF"/>
    <w:rsid w:val="3C1D7D04"/>
    <w:rsid w:val="3C2A1056"/>
    <w:rsid w:val="3C2F4ACA"/>
    <w:rsid w:val="3C353F33"/>
    <w:rsid w:val="3C3A7F27"/>
    <w:rsid w:val="3C5C33E5"/>
    <w:rsid w:val="3C5D3C4F"/>
    <w:rsid w:val="3C5F0E2E"/>
    <w:rsid w:val="3C5F3DC8"/>
    <w:rsid w:val="3C746DFB"/>
    <w:rsid w:val="3C8E046F"/>
    <w:rsid w:val="3C9E65CD"/>
    <w:rsid w:val="3CA7031E"/>
    <w:rsid w:val="3CCF0F6E"/>
    <w:rsid w:val="3CDC7007"/>
    <w:rsid w:val="3CDD5A81"/>
    <w:rsid w:val="3CE55646"/>
    <w:rsid w:val="3D1230BD"/>
    <w:rsid w:val="3D154912"/>
    <w:rsid w:val="3D1A5448"/>
    <w:rsid w:val="3D2D7B8E"/>
    <w:rsid w:val="3D3659E4"/>
    <w:rsid w:val="3D464B66"/>
    <w:rsid w:val="3D474095"/>
    <w:rsid w:val="3D5B544A"/>
    <w:rsid w:val="3D7442A2"/>
    <w:rsid w:val="3D7A7FC6"/>
    <w:rsid w:val="3D8438F5"/>
    <w:rsid w:val="3D891FB8"/>
    <w:rsid w:val="3D913562"/>
    <w:rsid w:val="3D98044D"/>
    <w:rsid w:val="3D994F8E"/>
    <w:rsid w:val="3DA31D8B"/>
    <w:rsid w:val="3DA43295"/>
    <w:rsid w:val="3DB159B2"/>
    <w:rsid w:val="3DB272D8"/>
    <w:rsid w:val="3DBF1E7D"/>
    <w:rsid w:val="3DCA537A"/>
    <w:rsid w:val="3DCE24ED"/>
    <w:rsid w:val="3DD31714"/>
    <w:rsid w:val="3DDF2B68"/>
    <w:rsid w:val="3DE50366"/>
    <w:rsid w:val="3DFF127E"/>
    <w:rsid w:val="3E014244"/>
    <w:rsid w:val="3E05072E"/>
    <w:rsid w:val="3E0B2D85"/>
    <w:rsid w:val="3E16206F"/>
    <w:rsid w:val="3E1A2166"/>
    <w:rsid w:val="3E277A87"/>
    <w:rsid w:val="3E2B7513"/>
    <w:rsid w:val="3E2B7626"/>
    <w:rsid w:val="3E406979"/>
    <w:rsid w:val="3E4B3711"/>
    <w:rsid w:val="3E4D29DB"/>
    <w:rsid w:val="3E5838DD"/>
    <w:rsid w:val="3E5C4AA2"/>
    <w:rsid w:val="3E614CE2"/>
    <w:rsid w:val="3E726EC9"/>
    <w:rsid w:val="3E8E326B"/>
    <w:rsid w:val="3E951889"/>
    <w:rsid w:val="3E9629CF"/>
    <w:rsid w:val="3E9A6446"/>
    <w:rsid w:val="3E9C5D1B"/>
    <w:rsid w:val="3EA0134A"/>
    <w:rsid w:val="3EA86E3E"/>
    <w:rsid w:val="3EAE0324"/>
    <w:rsid w:val="3EB72B54"/>
    <w:rsid w:val="3EC3206C"/>
    <w:rsid w:val="3EC3599D"/>
    <w:rsid w:val="3EC77CC5"/>
    <w:rsid w:val="3ECC7844"/>
    <w:rsid w:val="3ECD00BE"/>
    <w:rsid w:val="3ED41958"/>
    <w:rsid w:val="3EDF07E5"/>
    <w:rsid w:val="3EE91D44"/>
    <w:rsid w:val="3EED1E62"/>
    <w:rsid w:val="3EEE2F1C"/>
    <w:rsid w:val="3EF23B8C"/>
    <w:rsid w:val="3EF8449E"/>
    <w:rsid w:val="3EFC7DAE"/>
    <w:rsid w:val="3F010273"/>
    <w:rsid w:val="3F067638"/>
    <w:rsid w:val="3F096D0B"/>
    <w:rsid w:val="3F0B7179"/>
    <w:rsid w:val="3F151574"/>
    <w:rsid w:val="3F163D1F"/>
    <w:rsid w:val="3F1E4289"/>
    <w:rsid w:val="3F251D7D"/>
    <w:rsid w:val="3F2E1312"/>
    <w:rsid w:val="3F42218F"/>
    <w:rsid w:val="3F514B2D"/>
    <w:rsid w:val="3F557260"/>
    <w:rsid w:val="3F5D1B7A"/>
    <w:rsid w:val="3F667372"/>
    <w:rsid w:val="3F6D115F"/>
    <w:rsid w:val="3F724CCD"/>
    <w:rsid w:val="3F7C5873"/>
    <w:rsid w:val="3F8B74A4"/>
    <w:rsid w:val="3F93128E"/>
    <w:rsid w:val="3F9335C1"/>
    <w:rsid w:val="3F9A298D"/>
    <w:rsid w:val="3FA540B0"/>
    <w:rsid w:val="3FA541A9"/>
    <w:rsid w:val="3FB776F5"/>
    <w:rsid w:val="3FEE76F8"/>
    <w:rsid w:val="3FF12096"/>
    <w:rsid w:val="3FFD0A3B"/>
    <w:rsid w:val="400310D8"/>
    <w:rsid w:val="40041DC9"/>
    <w:rsid w:val="40086AA5"/>
    <w:rsid w:val="400B22C6"/>
    <w:rsid w:val="400E0E9A"/>
    <w:rsid w:val="400E2C48"/>
    <w:rsid w:val="4014562F"/>
    <w:rsid w:val="401D24AF"/>
    <w:rsid w:val="402C78D5"/>
    <w:rsid w:val="40307BC9"/>
    <w:rsid w:val="40356427"/>
    <w:rsid w:val="403A0A27"/>
    <w:rsid w:val="403D28E3"/>
    <w:rsid w:val="403F5E49"/>
    <w:rsid w:val="40430493"/>
    <w:rsid w:val="4048768D"/>
    <w:rsid w:val="40564EE7"/>
    <w:rsid w:val="405E5CCB"/>
    <w:rsid w:val="406E3D2B"/>
    <w:rsid w:val="40714172"/>
    <w:rsid w:val="407F661D"/>
    <w:rsid w:val="408245ED"/>
    <w:rsid w:val="40864295"/>
    <w:rsid w:val="40926379"/>
    <w:rsid w:val="409B11BC"/>
    <w:rsid w:val="409F45CB"/>
    <w:rsid w:val="40AC7A1C"/>
    <w:rsid w:val="40B90E06"/>
    <w:rsid w:val="40B94B83"/>
    <w:rsid w:val="40BE466E"/>
    <w:rsid w:val="40C319E2"/>
    <w:rsid w:val="40CA3013"/>
    <w:rsid w:val="40CD00BD"/>
    <w:rsid w:val="40D12495"/>
    <w:rsid w:val="40DC0019"/>
    <w:rsid w:val="40E31DD5"/>
    <w:rsid w:val="40E85247"/>
    <w:rsid w:val="40EC27D7"/>
    <w:rsid w:val="40EF2A79"/>
    <w:rsid w:val="410C127B"/>
    <w:rsid w:val="41196606"/>
    <w:rsid w:val="411E6EBB"/>
    <w:rsid w:val="41242B9C"/>
    <w:rsid w:val="412A1D04"/>
    <w:rsid w:val="413466DE"/>
    <w:rsid w:val="41474664"/>
    <w:rsid w:val="41523008"/>
    <w:rsid w:val="415437EE"/>
    <w:rsid w:val="41546B10"/>
    <w:rsid w:val="41562AF9"/>
    <w:rsid w:val="41616C71"/>
    <w:rsid w:val="41676221"/>
    <w:rsid w:val="416C40CA"/>
    <w:rsid w:val="418238EE"/>
    <w:rsid w:val="419867DB"/>
    <w:rsid w:val="419D4283"/>
    <w:rsid w:val="41A51BAC"/>
    <w:rsid w:val="41B17F29"/>
    <w:rsid w:val="41B501A4"/>
    <w:rsid w:val="41BF3BD9"/>
    <w:rsid w:val="41BF4A91"/>
    <w:rsid w:val="41CB3D94"/>
    <w:rsid w:val="41D614EA"/>
    <w:rsid w:val="41DC36BB"/>
    <w:rsid w:val="41F51BC5"/>
    <w:rsid w:val="41FA3484"/>
    <w:rsid w:val="41FB0356"/>
    <w:rsid w:val="42022339"/>
    <w:rsid w:val="42132FE7"/>
    <w:rsid w:val="421B648D"/>
    <w:rsid w:val="4220595A"/>
    <w:rsid w:val="4220623E"/>
    <w:rsid w:val="4226071D"/>
    <w:rsid w:val="4229661D"/>
    <w:rsid w:val="42330CE7"/>
    <w:rsid w:val="423821FE"/>
    <w:rsid w:val="423952E3"/>
    <w:rsid w:val="4254392F"/>
    <w:rsid w:val="425B768F"/>
    <w:rsid w:val="42892644"/>
    <w:rsid w:val="428A7B32"/>
    <w:rsid w:val="429A7093"/>
    <w:rsid w:val="42A76B06"/>
    <w:rsid w:val="42A93909"/>
    <w:rsid w:val="42AD52B2"/>
    <w:rsid w:val="42B71734"/>
    <w:rsid w:val="42B86941"/>
    <w:rsid w:val="42BC698B"/>
    <w:rsid w:val="42BF195C"/>
    <w:rsid w:val="42BF7680"/>
    <w:rsid w:val="42D02437"/>
    <w:rsid w:val="42D737C5"/>
    <w:rsid w:val="42DC7863"/>
    <w:rsid w:val="42E42D48"/>
    <w:rsid w:val="430B16C1"/>
    <w:rsid w:val="431920F3"/>
    <w:rsid w:val="431A3863"/>
    <w:rsid w:val="4320789F"/>
    <w:rsid w:val="43223EC8"/>
    <w:rsid w:val="432841FF"/>
    <w:rsid w:val="4329362C"/>
    <w:rsid w:val="433160C7"/>
    <w:rsid w:val="43410F50"/>
    <w:rsid w:val="43452E25"/>
    <w:rsid w:val="434E1DB1"/>
    <w:rsid w:val="43536554"/>
    <w:rsid w:val="43537B5E"/>
    <w:rsid w:val="43556CA5"/>
    <w:rsid w:val="436C76AE"/>
    <w:rsid w:val="43707E00"/>
    <w:rsid w:val="43710B5F"/>
    <w:rsid w:val="437F411E"/>
    <w:rsid w:val="43853221"/>
    <w:rsid w:val="438A541B"/>
    <w:rsid w:val="438F7452"/>
    <w:rsid w:val="43903286"/>
    <w:rsid w:val="43972F54"/>
    <w:rsid w:val="43A32A80"/>
    <w:rsid w:val="43AA2D86"/>
    <w:rsid w:val="43AD1BA2"/>
    <w:rsid w:val="43BA62BC"/>
    <w:rsid w:val="43C43746"/>
    <w:rsid w:val="43D16C6D"/>
    <w:rsid w:val="43E85F2B"/>
    <w:rsid w:val="43F30C80"/>
    <w:rsid w:val="43F45810"/>
    <w:rsid w:val="43F6778C"/>
    <w:rsid w:val="43F955DA"/>
    <w:rsid w:val="440452E5"/>
    <w:rsid w:val="44410337"/>
    <w:rsid w:val="445023B4"/>
    <w:rsid w:val="446B0669"/>
    <w:rsid w:val="44727C49"/>
    <w:rsid w:val="44776BD6"/>
    <w:rsid w:val="447A5F85"/>
    <w:rsid w:val="44801914"/>
    <w:rsid w:val="44817C4F"/>
    <w:rsid w:val="44855C27"/>
    <w:rsid w:val="448E6105"/>
    <w:rsid w:val="4491249F"/>
    <w:rsid w:val="44917E58"/>
    <w:rsid w:val="449A7A08"/>
    <w:rsid w:val="44B87626"/>
    <w:rsid w:val="44CC3666"/>
    <w:rsid w:val="44DA759D"/>
    <w:rsid w:val="44F10492"/>
    <w:rsid w:val="44F370A9"/>
    <w:rsid w:val="44F468B0"/>
    <w:rsid w:val="44F6398F"/>
    <w:rsid w:val="44FC7513"/>
    <w:rsid w:val="44FD328B"/>
    <w:rsid w:val="450B1B4F"/>
    <w:rsid w:val="45101210"/>
    <w:rsid w:val="45121B01"/>
    <w:rsid w:val="45154A79"/>
    <w:rsid w:val="451E1B7F"/>
    <w:rsid w:val="451F4814"/>
    <w:rsid w:val="45322415"/>
    <w:rsid w:val="453D27DA"/>
    <w:rsid w:val="453F6E28"/>
    <w:rsid w:val="454F6EB1"/>
    <w:rsid w:val="45565EE6"/>
    <w:rsid w:val="45566CB6"/>
    <w:rsid w:val="455D26BD"/>
    <w:rsid w:val="456926CF"/>
    <w:rsid w:val="456D298D"/>
    <w:rsid w:val="456F4189"/>
    <w:rsid w:val="456F5F37"/>
    <w:rsid w:val="45700241"/>
    <w:rsid w:val="458F0387"/>
    <w:rsid w:val="458F3DA1"/>
    <w:rsid w:val="45912351"/>
    <w:rsid w:val="45957044"/>
    <w:rsid w:val="45962409"/>
    <w:rsid w:val="45965BB9"/>
    <w:rsid w:val="45981F3C"/>
    <w:rsid w:val="45991206"/>
    <w:rsid w:val="45A03F59"/>
    <w:rsid w:val="45A831F7"/>
    <w:rsid w:val="45B34405"/>
    <w:rsid w:val="45C07A37"/>
    <w:rsid w:val="45CD7101"/>
    <w:rsid w:val="45D160A9"/>
    <w:rsid w:val="45D87924"/>
    <w:rsid w:val="45EE1552"/>
    <w:rsid w:val="461D64FB"/>
    <w:rsid w:val="463648E9"/>
    <w:rsid w:val="464253F9"/>
    <w:rsid w:val="46491939"/>
    <w:rsid w:val="46557299"/>
    <w:rsid w:val="46607F75"/>
    <w:rsid w:val="466247F2"/>
    <w:rsid w:val="46696E2A"/>
    <w:rsid w:val="46873754"/>
    <w:rsid w:val="468A6DA0"/>
    <w:rsid w:val="469203F9"/>
    <w:rsid w:val="46A51334"/>
    <w:rsid w:val="46A55352"/>
    <w:rsid w:val="46A875A0"/>
    <w:rsid w:val="46A9225B"/>
    <w:rsid w:val="46AC4F69"/>
    <w:rsid w:val="46BC781A"/>
    <w:rsid w:val="46C92EF6"/>
    <w:rsid w:val="46CA5F1E"/>
    <w:rsid w:val="46CE23DF"/>
    <w:rsid w:val="46E62384"/>
    <w:rsid w:val="46E7395C"/>
    <w:rsid w:val="47037071"/>
    <w:rsid w:val="4707219F"/>
    <w:rsid w:val="47166879"/>
    <w:rsid w:val="471741F3"/>
    <w:rsid w:val="47186BFB"/>
    <w:rsid w:val="47207C7B"/>
    <w:rsid w:val="472E6063"/>
    <w:rsid w:val="47505E92"/>
    <w:rsid w:val="475950F1"/>
    <w:rsid w:val="47595427"/>
    <w:rsid w:val="475A0F43"/>
    <w:rsid w:val="47685B93"/>
    <w:rsid w:val="477261B2"/>
    <w:rsid w:val="47837A8A"/>
    <w:rsid w:val="478A34FC"/>
    <w:rsid w:val="478B1B1F"/>
    <w:rsid w:val="47906312"/>
    <w:rsid w:val="47A12458"/>
    <w:rsid w:val="47AE7E19"/>
    <w:rsid w:val="47B17848"/>
    <w:rsid w:val="47B2035D"/>
    <w:rsid w:val="47B42327"/>
    <w:rsid w:val="47C46F79"/>
    <w:rsid w:val="47D1249A"/>
    <w:rsid w:val="47D14E3C"/>
    <w:rsid w:val="47E8201B"/>
    <w:rsid w:val="48151DFF"/>
    <w:rsid w:val="481D433B"/>
    <w:rsid w:val="482A25E9"/>
    <w:rsid w:val="48383643"/>
    <w:rsid w:val="483B2A48"/>
    <w:rsid w:val="484359E3"/>
    <w:rsid w:val="48463DC2"/>
    <w:rsid w:val="48482514"/>
    <w:rsid w:val="485737AE"/>
    <w:rsid w:val="48604DA3"/>
    <w:rsid w:val="486050DE"/>
    <w:rsid w:val="486176F0"/>
    <w:rsid w:val="48691363"/>
    <w:rsid w:val="48701EA5"/>
    <w:rsid w:val="487A6E4A"/>
    <w:rsid w:val="487F6A9B"/>
    <w:rsid w:val="48947BBD"/>
    <w:rsid w:val="489850F6"/>
    <w:rsid w:val="48A25E13"/>
    <w:rsid w:val="48AE6D76"/>
    <w:rsid w:val="48AF018B"/>
    <w:rsid w:val="48B523EF"/>
    <w:rsid w:val="48B87AB8"/>
    <w:rsid w:val="48BB132D"/>
    <w:rsid w:val="48BC31D4"/>
    <w:rsid w:val="48BF5427"/>
    <w:rsid w:val="48C2431F"/>
    <w:rsid w:val="48CA52B0"/>
    <w:rsid w:val="48CB4577"/>
    <w:rsid w:val="48DD3AFF"/>
    <w:rsid w:val="48DD7B03"/>
    <w:rsid w:val="48E62612"/>
    <w:rsid w:val="48E629B4"/>
    <w:rsid w:val="48EA5BC1"/>
    <w:rsid w:val="48F212BE"/>
    <w:rsid w:val="48F6071D"/>
    <w:rsid w:val="48FF3FE4"/>
    <w:rsid w:val="490648C8"/>
    <w:rsid w:val="490F1EEF"/>
    <w:rsid w:val="49180A9B"/>
    <w:rsid w:val="491C2C2F"/>
    <w:rsid w:val="491C63D6"/>
    <w:rsid w:val="49276855"/>
    <w:rsid w:val="493556E9"/>
    <w:rsid w:val="49382AE4"/>
    <w:rsid w:val="49423962"/>
    <w:rsid w:val="49482783"/>
    <w:rsid w:val="494F3168"/>
    <w:rsid w:val="49554BE1"/>
    <w:rsid w:val="496A6BED"/>
    <w:rsid w:val="49710949"/>
    <w:rsid w:val="49731BCB"/>
    <w:rsid w:val="497467A8"/>
    <w:rsid w:val="49843E14"/>
    <w:rsid w:val="49AA0075"/>
    <w:rsid w:val="49C65640"/>
    <w:rsid w:val="49D97E23"/>
    <w:rsid w:val="49E30CA1"/>
    <w:rsid w:val="49EC7A1D"/>
    <w:rsid w:val="49F27137"/>
    <w:rsid w:val="49F570D9"/>
    <w:rsid w:val="49F66C27"/>
    <w:rsid w:val="4A0062BB"/>
    <w:rsid w:val="4A121587"/>
    <w:rsid w:val="4A162E25"/>
    <w:rsid w:val="4A196E79"/>
    <w:rsid w:val="4A235A4E"/>
    <w:rsid w:val="4A24383D"/>
    <w:rsid w:val="4A3140D8"/>
    <w:rsid w:val="4A482FDB"/>
    <w:rsid w:val="4A535A86"/>
    <w:rsid w:val="4A54703F"/>
    <w:rsid w:val="4A5804B6"/>
    <w:rsid w:val="4A5B3A9F"/>
    <w:rsid w:val="4A5E2A1E"/>
    <w:rsid w:val="4A655B5A"/>
    <w:rsid w:val="4A677F4D"/>
    <w:rsid w:val="4A6D7FA4"/>
    <w:rsid w:val="4A7C7C16"/>
    <w:rsid w:val="4AA06F12"/>
    <w:rsid w:val="4AA448D5"/>
    <w:rsid w:val="4AB84FEA"/>
    <w:rsid w:val="4ABA448F"/>
    <w:rsid w:val="4ABC61FC"/>
    <w:rsid w:val="4AC34A65"/>
    <w:rsid w:val="4AC565F9"/>
    <w:rsid w:val="4AD07993"/>
    <w:rsid w:val="4AD55B10"/>
    <w:rsid w:val="4AE20F59"/>
    <w:rsid w:val="4AEF09B8"/>
    <w:rsid w:val="4AF74ADD"/>
    <w:rsid w:val="4B1923E5"/>
    <w:rsid w:val="4B1B7074"/>
    <w:rsid w:val="4B2521E5"/>
    <w:rsid w:val="4B3454E4"/>
    <w:rsid w:val="4B3C29B6"/>
    <w:rsid w:val="4B3F79B7"/>
    <w:rsid w:val="4B423440"/>
    <w:rsid w:val="4B5861CE"/>
    <w:rsid w:val="4B5C51AF"/>
    <w:rsid w:val="4B6202EC"/>
    <w:rsid w:val="4B682440"/>
    <w:rsid w:val="4B6A1BE3"/>
    <w:rsid w:val="4B7C13AE"/>
    <w:rsid w:val="4B7E7695"/>
    <w:rsid w:val="4B8926B1"/>
    <w:rsid w:val="4B8D20F8"/>
    <w:rsid w:val="4BA72512"/>
    <w:rsid w:val="4BB31D91"/>
    <w:rsid w:val="4BB5041C"/>
    <w:rsid w:val="4BB943B0"/>
    <w:rsid w:val="4BBC5AC7"/>
    <w:rsid w:val="4BC3109F"/>
    <w:rsid w:val="4BC36FDC"/>
    <w:rsid w:val="4BC44E0D"/>
    <w:rsid w:val="4BC66ACD"/>
    <w:rsid w:val="4BD034A7"/>
    <w:rsid w:val="4BD048BE"/>
    <w:rsid w:val="4BE74BEC"/>
    <w:rsid w:val="4BF37E67"/>
    <w:rsid w:val="4BF5144B"/>
    <w:rsid w:val="4BFF0BB9"/>
    <w:rsid w:val="4C080E93"/>
    <w:rsid w:val="4C0B2731"/>
    <w:rsid w:val="4C130DA3"/>
    <w:rsid w:val="4C156BCA"/>
    <w:rsid w:val="4C1D4D76"/>
    <w:rsid w:val="4C2B3759"/>
    <w:rsid w:val="4C577725"/>
    <w:rsid w:val="4C581C45"/>
    <w:rsid w:val="4C623ADB"/>
    <w:rsid w:val="4C6961C6"/>
    <w:rsid w:val="4C6D5A2A"/>
    <w:rsid w:val="4C767B34"/>
    <w:rsid w:val="4C7A1154"/>
    <w:rsid w:val="4C7B45F6"/>
    <w:rsid w:val="4C7D362F"/>
    <w:rsid w:val="4C7E1155"/>
    <w:rsid w:val="4C7E73A7"/>
    <w:rsid w:val="4C804ECE"/>
    <w:rsid w:val="4C81387F"/>
    <w:rsid w:val="4C8554DD"/>
    <w:rsid w:val="4C88285A"/>
    <w:rsid w:val="4C942475"/>
    <w:rsid w:val="4C9C159D"/>
    <w:rsid w:val="4CA2142F"/>
    <w:rsid w:val="4CB16E35"/>
    <w:rsid w:val="4CB6655C"/>
    <w:rsid w:val="4CB73E4F"/>
    <w:rsid w:val="4CC329A2"/>
    <w:rsid w:val="4CC748AA"/>
    <w:rsid w:val="4CC75E37"/>
    <w:rsid w:val="4CE44D9F"/>
    <w:rsid w:val="4CEA5226"/>
    <w:rsid w:val="4D016156"/>
    <w:rsid w:val="4D0258E3"/>
    <w:rsid w:val="4D0D0E37"/>
    <w:rsid w:val="4D113D78"/>
    <w:rsid w:val="4D14442F"/>
    <w:rsid w:val="4D16603F"/>
    <w:rsid w:val="4D1D16ED"/>
    <w:rsid w:val="4D4B227E"/>
    <w:rsid w:val="4D4D338A"/>
    <w:rsid w:val="4D5C1497"/>
    <w:rsid w:val="4D5E4583"/>
    <w:rsid w:val="4D6B3488"/>
    <w:rsid w:val="4D721F65"/>
    <w:rsid w:val="4D783DF7"/>
    <w:rsid w:val="4D7A21FD"/>
    <w:rsid w:val="4D82460E"/>
    <w:rsid w:val="4D9146B3"/>
    <w:rsid w:val="4D9549A9"/>
    <w:rsid w:val="4D964E12"/>
    <w:rsid w:val="4D97249F"/>
    <w:rsid w:val="4DA35BE5"/>
    <w:rsid w:val="4DA62712"/>
    <w:rsid w:val="4DAC62C6"/>
    <w:rsid w:val="4DAD19F9"/>
    <w:rsid w:val="4DB90697"/>
    <w:rsid w:val="4DBB187B"/>
    <w:rsid w:val="4DDE3611"/>
    <w:rsid w:val="4DDE36D5"/>
    <w:rsid w:val="4DDE46EF"/>
    <w:rsid w:val="4DF27608"/>
    <w:rsid w:val="4DF974F1"/>
    <w:rsid w:val="4E121D51"/>
    <w:rsid w:val="4E131F3A"/>
    <w:rsid w:val="4E1C7C1C"/>
    <w:rsid w:val="4E241749"/>
    <w:rsid w:val="4E2F6BAB"/>
    <w:rsid w:val="4E331A18"/>
    <w:rsid w:val="4E375A60"/>
    <w:rsid w:val="4E537920"/>
    <w:rsid w:val="4E555954"/>
    <w:rsid w:val="4E721B60"/>
    <w:rsid w:val="4E734F8F"/>
    <w:rsid w:val="4E772300"/>
    <w:rsid w:val="4E821769"/>
    <w:rsid w:val="4E8D38D2"/>
    <w:rsid w:val="4E931D00"/>
    <w:rsid w:val="4E9327BD"/>
    <w:rsid w:val="4EA67795"/>
    <w:rsid w:val="4EA9490A"/>
    <w:rsid w:val="4EAF48AA"/>
    <w:rsid w:val="4EC015B1"/>
    <w:rsid w:val="4EC12182"/>
    <w:rsid w:val="4EDA5E36"/>
    <w:rsid w:val="4EEE723C"/>
    <w:rsid w:val="4EF320A0"/>
    <w:rsid w:val="4F094A9E"/>
    <w:rsid w:val="4F1212A3"/>
    <w:rsid w:val="4F1A75C3"/>
    <w:rsid w:val="4F1D57EB"/>
    <w:rsid w:val="4F2A39EC"/>
    <w:rsid w:val="4F311B14"/>
    <w:rsid w:val="4F321354"/>
    <w:rsid w:val="4F327331"/>
    <w:rsid w:val="4F4264E0"/>
    <w:rsid w:val="4F5368C9"/>
    <w:rsid w:val="4F5979CB"/>
    <w:rsid w:val="4F5F49C4"/>
    <w:rsid w:val="4F766114"/>
    <w:rsid w:val="4F7C39A7"/>
    <w:rsid w:val="4F8E136D"/>
    <w:rsid w:val="4F920444"/>
    <w:rsid w:val="4FA51312"/>
    <w:rsid w:val="4FA90297"/>
    <w:rsid w:val="4FB47FD6"/>
    <w:rsid w:val="4FBA5581"/>
    <w:rsid w:val="4FBA60A3"/>
    <w:rsid w:val="4FC3320E"/>
    <w:rsid w:val="4FC864A4"/>
    <w:rsid w:val="4FC9420B"/>
    <w:rsid w:val="4FDE13FD"/>
    <w:rsid w:val="4FE5239D"/>
    <w:rsid w:val="4FEA269F"/>
    <w:rsid w:val="4FF0487B"/>
    <w:rsid w:val="4FF25FC4"/>
    <w:rsid w:val="5004520D"/>
    <w:rsid w:val="50130483"/>
    <w:rsid w:val="50157ED0"/>
    <w:rsid w:val="502760C5"/>
    <w:rsid w:val="502A714C"/>
    <w:rsid w:val="50357D7D"/>
    <w:rsid w:val="50371D47"/>
    <w:rsid w:val="50377F99"/>
    <w:rsid w:val="5044508F"/>
    <w:rsid w:val="50521378"/>
    <w:rsid w:val="505722FA"/>
    <w:rsid w:val="50665C75"/>
    <w:rsid w:val="50700DB5"/>
    <w:rsid w:val="50811214"/>
    <w:rsid w:val="50852AB2"/>
    <w:rsid w:val="508710FB"/>
    <w:rsid w:val="50A02428"/>
    <w:rsid w:val="50A310A9"/>
    <w:rsid w:val="50A62359"/>
    <w:rsid w:val="50C80BF1"/>
    <w:rsid w:val="50CC3A85"/>
    <w:rsid w:val="50CF3D2E"/>
    <w:rsid w:val="50D457E8"/>
    <w:rsid w:val="50F051B9"/>
    <w:rsid w:val="50F33EC0"/>
    <w:rsid w:val="50FF48D0"/>
    <w:rsid w:val="511F5F83"/>
    <w:rsid w:val="51260B6A"/>
    <w:rsid w:val="514B3F6A"/>
    <w:rsid w:val="5150517C"/>
    <w:rsid w:val="515669E7"/>
    <w:rsid w:val="5167040A"/>
    <w:rsid w:val="516A4ADC"/>
    <w:rsid w:val="5172656E"/>
    <w:rsid w:val="51880507"/>
    <w:rsid w:val="518813FC"/>
    <w:rsid w:val="51A62D85"/>
    <w:rsid w:val="51AA5240"/>
    <w:rsid w:val="51B855E6"/>
    <w:rsid w:val="51BA263B"/>
    <w:rsid w:val="51CC64BF"/>
    <w:rsid w:val="51DA64ED"/>
    <w:rsid w:val="51DB7F4F"/>
    <w:rsid w:val="51DD247A"/>
    <w:rsid w:val="51E8486B"/>
    <w:rsid w:val="51EF6702"/>
    <w:rsid w:val="51F21DCD"/>
    <w:rsid w:val="51F67DA1"/>
    <w:rsid w:val="51FD0BB6"/>
    <w:rsid w:val="520A6C76"/>
    <w:rsid w:val="520C5713"/>
    <w:rsid w:val="521F0CE5"/>
    <w:rsid w:val="5224454D"/>
    <w:rsid w:val="5227192A"/>
    <w:rsid w:val="52320A18"/>
    <w:rsid w:val="52391DB4"/>
    <w:rsid w:val="523B771C"/>
    <w:rsid w:val="523F4EE3"/>
    <w:rsid w:val="524546A2"/>
    <w:rsid w:val="5247354A"/>
    <w:rsid w:val="525E35BB"/>
    <w:rsid w:val="526A11AC"/>
    <w:rsid w:val="526B7928"/>
    <w:rsid w:val="526D6907"/>
    <w:rsid w:val="527C758B"/>
    <w:rsid w:val="527E556C"/>
    <w:rsid w:val="52860D64"/>
    <w:rsid w:val="52AD718C"/>
    <w:rsid w:val="52B96A43"/>
    <w:rsid w:val="52C02D79"/>
    <w:rsid w:val="52CE17AF"/>
    <w:rsid w:val="52D41ACF"/>
    <w:rsid w:val="52E431D7"/>
    <w:rsid w:val="52E502A3"/>
    <w:rsid w:val="52EB483D"/>
    <w:rsid w:val="52ED6537"/>
    <w:rsid w:val="52EF3D6F"/>
    <w:rsid w:val="52F537F4"/>
    <w:rsid w:val="52FA615D"/>
    <w:rsid w:val="52FE35FA"/>
    <w:rsid w:val="5300759F"/>
    <w:rsid w:val="530321A3"/>
    <w:rsid w:val="530A48DD"/>
    <w:rsid w:val="530D0BEF"/>
    <w:rsid w:val="531A55EE"/>
    <w:rsid w:val="531C00D0"/>
    <w:rsid w:val="53206076"/>
    <w:rsid w:val="53271025"/>
    <w:rsid w:val="53353F57"/>
    <w:rsid w:val="53364538"/>
    <w:rsid w:val="533A4B08"/>
    <w:rsid w:val="53486019"/>
    <w:rsid w:val="535022B4"/>
    <w:rsid w:val="535075B2"/>
    <w:rsid w:val="53536636"/>
    <w:rsid w:val="535A55E1"/>
    <w:rsid w:val="535C1828"/>
    <w:rsid w:val="536A41E2"/>
    <w:rsid w:val="536C0605"/>
    <w:rsid w:val="536E636E"/>
    <w:rsid w:val="53794684"/>
    <w:rsid w:val="537B019D"/>
    <w:rsid w:val="537C1E10"/>
    <w:rsid w:val="537D1A12"/>
    <w:rsid w:val="53874D93"/>
    <w:rsid w:val="539354E6"/>
    <w:rsid w:val="53B631FA"/>
    <w:rsid w:val="53C11F3C"/>
    <w:rsid w:val="53D37FD9"/>
    <w:rsid w:val="53D77DB9"/>
    <w:rsid w:val="53E2599D"/>
    <w:rsid w:val="53EB7D0C"/>
    <w:rsid w:val="53FA5565"/>
    <w:rsid w:val="54103A28"/>
    <w:rsid w:val="54176117"/>
    <w:rsid w:val="541D1254"/>
    <w:rsid w:val="54206BAB"/>
    <w:rsid w:val="54222492"/>
    <w:rsid w:val="542757CF"/>
    <w:rsid w:val="54284497"/>
    <w:rsid w:val="542C6F5C"/>
    <w:rsid w:val="542D3B70"/>
    <w:rsid w:val="543433F6"/>
    <w:rsid w:val="5445347D"/>
    <w:rsid w:val="5445601B"/>
    <w:rsid w:val="54525277"/>
    <w:rsid w:val="54624EB9"/>
    <w:rsid w:val="54661FA6"/>
    <w:rsid w:val="54692B85"/>
    <w:rsid w:val="546B4888"/>
    <w:rsid w:val="546C31A2"/>
    <w:rsid w:val="54780C2F"/>
    <w:rsid w:val="548573BB"/>
    <w:rsid w:val="548E627B"/>
    <w:rsid w:val="54A53D7C"/>
    <w:rsid w:val="54C14E3F"/>
    <w:rsid w:val="54C806BA"/>
    <w:rsid w:val="54CC7AC8"/>
    <w:rsid w:val="54D827E0"/>
    <w:rsid w:val="54DA272A"/>
    <w:rsid w:val="54DB06F3"/>
    <w:rsid w:val="54EA7EC3"/>
    <w:rsid w:val="54F1026B"/>
    <w:rsid w:val="54F1103D"/>
    <w:rsid w:val="54F25C8B"/>
    <w:rsid w:val="54F93A6F"/>
    <w:rsid w:val="54FE4633"/>
    <w:rsid w:val="55045144"/>
    <w:rsid w:val="55055F70"/>
    <w:rsid w:val="5512301C"/>
    <w:rsid w:val="5532240D"/>
    <w:rsid w:val="553739C0"/>
    <w:rsid w:val="55421934"/>
    <w:rsid w:val="55450A62"/>
    <w:rsid w:val="554F1507"/>
    <w:rsid w:val="55582538"/>
    <w:rsid w:val="555F65A5"/>
    <w:rsid w:val="5564034E"/>
    <w:rsid w:val="5565489D"/>
    <w:rsid w:val="556A56B6"/>
    <w:rsid w:val="556E5D90"/>
    <w:rsid w:val="557E6181"/>
    <w:rsid w:val="55A02195"/>
    <w:rsid w:val="55A41C2D"/>
    <w:rsid w:val="55A75279"/>
    <w:rsid w:val="55A81B76"/>
    <w:rsid w:val="55B00195"/>
    <w:rsid w:val="55B31E70"/>
    <w:rsid w:val="55B94FAC"/>
    <w:rsid w:val="55BF3799"/>
    <w:rsid w:val="55C36183"/>
    <w:rsid w:val="55C73193"/>
    <w:rsid w:val="55C961B4"/>
    <w:rsid w:val="55D2625E"/>
    <w:rsid w:val="55DA38A0"/>
    <w:rsid w:val="55DB13C7"/>
    <w:rsid w:val="55F14746"/>
    <w:rsid w:val="55F221C8"/>
    <w:rsid w:val="55F2604B"/>
    <w:rsid w:val="55F7482D"/>
    <w:rsid w:val="55F74830"/>
    <w:rsid w:val="56026953"/>
    <w:rsid w:val="560468F6"/>
    <w:rsid w:val="56144780"/>
    <w:rsid w:val="56151E85"/>
    <w:rsid w:val="561F15E3"/>
    <w:rsid w:val="5622420A"/>
    <w:rsid w:val="562D6668"/>
    <w:rsid w:val="5637264E"/>
    <w:rsid w:val="563945B3"/>
    <w:rsid w:val="563F0D72"/>
    <w:rsid w:val="56444AB4"/>
    <w:rsid w:val="56452BCB"/>
    <w:rsid w:val="566025B8"/>
    <w:rsid w:val="56603417"/>
    <w:rsid w:val="566748DD"/>
    <w:rsid w:val="56837A94"/>
    <w:rsid w:val="568836AC"/>
    <w:rsid w:val="56921A85"/>
    <w:rsid w:val="569C2AFB"/>
    <w:rsid w:val="56A15384"/>
    <w:rsid w:val="56AB6D07"/>
    <w:rsid w:val="56AD2D63"/>
    <w:rsid w:val="56D402F0"/>
    <w:rsid w:val="56D94391"/>
    <w:rsid w:val="56E01FD3"/>
    <w:rsid w:val="56F83D23"/>
    <w:rsid w:val="57041072"/>
    <w:rsid w:val="570C4656"/>
    <w:rsid w:val="57174680"/>
    <w:rsid w:val="57347A2F"/>
    <w:rsid w:val="5735698D"/>
    <w:rsid w:val="573F1A51"/>
    <w:rsid w:val="574E4D83"/>
    <w:rsid w:val="575718DC"/>
    <w:rsid w:val="575C2093"/>
    <w:rsid w:val="57694C35"/>
    <w:rsid w:val="5774402B"/>
    <w:rsid w:val="577F4CE4"/>
    <w:rsid w:val="57A05711"/>
    <w:rsid w:val="57A16CEB"/>
    <w:rsid w:val="57A908C7"/>
    <w:rsid w:val="57A9177C"/>
    <w:rsid w:val="57AB105E"/>
    <w:rsid w:val="57B679F5"/>
    <w:rsid w:val="57B87ECB"/>
    <w:rsid w:val="57C00175"/>
    <w:rsid w:val="57C33EC0"/>
    <w:rsid w:val="57D8796C"/>
    <w:rsid w:val="57DB5B54"/>
    <w:rsid w:val="57E15E8A"/>
    <w:rsid w:val="58005114"/>
    <w:rsid w:val="581D5CC6"/>
    <w:rsid w:val="582818A8"/>
    <w:rsid w:val="5830221D"/>
    <w:rsid w:val="583161A3"/>
    <w:rsid w:val="58337D56"/>
    <w:rsid w:val="583B614D"/>
    <w:rsid w:val="583E2172"/>
    <w:rsid w:val="5853793A"/>
    <w:rsid w:val="58562F86"/>
    <w:rsid w:val="585A69C8"/>
    <w:rsid w:val="586466E1"/>
    <w:rsid w:val="586618D3"/>
    <w:rsid w:val="586B07E0"/>
    <w:rsid w:val="586B4C84"/>
    <w:rsid w:val="58746BD9"/>
    <w:rsid w:val="587F24DD"/>
    <w:rsid w:val="58841452"/>
    <w:rsid w:val="588E2720"/>
    <w:rsid w:val="589B4229"/>
    <w:rsid w:val="58AD53C5"/>
    <w:rsid w:val="58B531C5"/>
    <w:rsid w:val="58BC5126"/>
    <w:rsid w:val="58DB6D15"/>
    <w:rsid w:val="58F06F37"/>
    <w:rsid w:val="58FF22DB"/>
    <w:rsid w:val="590824D3"/>
    <w:rsid w:val="590A2C81"/>
    <w:rsid w:val="590B7C9C"/>
    <w:rsid w:val="590E16D1"/>
    <w:rsid w:val="5915074C"/>
    <w:rsid w:val="59195665"/>
    <w:rsid w:val="591A49CA"/>
    <w:rsid w:val="59257140"/>
    <w:rsid w:val="592738E1"/>
    <w:rsid w:val="592A43BA"/>
    <w:rsid w:val="59305585"/>
    <w:rsid w:val="59361550"/>
    <w:rsid w:val="593E6247"/>
    <w:rsid w:val="5947124D"/>
    <w:rsid w:val="59516C01"/>
    <w:rsid w:val="59545718"/>
    <w:rsid w:val="595C637A"/>
    <w:rsid w:val="59653481"/>
    <w:rsid w:val="59657925"/>
    <w:rsid w:val="59693390"/>
    <w:rsid w:val="5973527B"/>
    <w:rsid w:val="59753252"/>
    <w:rsid w:val="59786A09"/>
    <w:rsid w:val="597914B4"/>
    <w:rsid w:val="598729A5"/>
    <w:rsid w:val="598A2EE8"/>
    <w:rsid w:val="598A35B0"/>
    <w:rsid w:val="599124C8"/>
    <w:rsid w:val="599B3347"/>
    <w:rsid w:val="59A01D23"/>
    <w:rsid w:val="59A12B57"/>
    <w:rsid w:val="59A87D08"/>
    <w:rsid w:val="59B17140"/>
    <w:rsid w:val="59B43525"/>
    <w:rsid w:val="59B678AD"/>
    <w:rsid w:val="59BA0642"/>
    <w:rsid w:val="59BA76B2"/>
    <w:rsid w:val="59C33FA5"/>
    <w:rsid w:val="59C356A8"/>
    <w:rsid w:val="59C56616"/>
    <w:rsid w:val="59C61D34"/>
    <w:rsid w:val="59CF1242"/>
    <w:rsid w:val="59D92219"/>
    <w:rsid w:val="59F111B9"/>
    <w:rsid w:val="59F94AC0"/>
    <w:rsid w:val="59FE6DC7"/>
    <w:rsid w:val="5A013D74"/>
    <w:rsid w:val="5A0802B0"/>
    <w:rsid w:val="5A0C1B4F"/>
    <w:rsid w:val="5A0F6902"/>
    <w:rsid w:val="5A0F707A"/>
    <w:rsid w:val="5A137B38"/>
    <w:rsid w:val="5A174CF4"/>
    <w:rsid w:val="5A1B4488"/>
    <w:rsid w:val="5A1E1882"/>
    <w:rsid w:val="5A221372"/>
    <w:rsid w:val="5A3022F6"/>
    <w:rsid w:val="5A35111C"/>
    <w:rsid w:val="5A357F97"/>
    <w:rsid w:val="5A3B5FA0"/>
    <w:rsid w:val="5A47702B"/>
    <w:rsid w:val="5A4F5EDF"/>
    <w:rsid w:val="5A5359CF"/>
    <w:rsid w:val="5A7029DE"/>
    <w:rsid w:val="5A764DB1"/>
    <w:rsid w:val="5A79768C"/>
    <w:rsid w:val="5A7D778E"/>
    <w:rsid w:val="5A830771"/>
    <w:rsid w:val="5A8A4D39"/>
    <w:rsid w:val="5A8D5B3C"/>
    <w:rsid w:val="5A8D6B6B"/>
    <w:rsid w:val="5A900A91"/>
    <w:rsid w:val="5A911684"/>
    <w:rsid w:val="5A955FE8"/>
    <w:rsid w:val="5A971D60"/>
    <w:rsid w:val="5A987886"/>
    <w:rsid w:val="5AA71877"/>
    <w:rsid w:val="5AAA3423"/>
    <w:rsid w:val="5AAB2214"/>
    <w:rsid w:val="5AAC5656"/>
    <w:rsid w:val="5AAC58EC"/>
    <w:rsid w:val="5AAE0E58"/>
    <w:rsid w:val="5AAE2C06"/>
    <w:rsid w:val="5AB61502"/>
    <w:rsid w:val="5AB660D5"/>
    <w:rsid w:val="5AD572B3"/>
    <w:rsid w:val="5ADC59C5"/>
    <w:rsid w:val="5ADF0D16"/>
    <w:rsid w:val="5AE06A25"/>
    <w:rsid w:val="5AE76118"/>
    <w:rsid w:val="5AEB6539"/>
    <w:rsid w:val="5AF34ABD"/>
    <w:rsid w:val="5B101A24"/>
    <w:rsid w:val="5B14445E"/>
    <w:rsid w:val="5B162D21"/>
    <w:rsid w:val="5B4041A6"/>
    <w:rsid w:val="5B466CB4"/>
    <w:rsid w:val="5B52424E"/>
    <w:rsid w:val="5B547C51"/>
    <w:rsid w:val="5B607464"/>
    <w:rsid w:val="5B6836FC"/>
    <w:rsid w:val="5B8B5DF2"/>
    <w:rsid w:val="5B935248"/>
    <w:rsid w:val="5B94004E"/>
    <w:rsid w:val="5B962018"/>
    <w:rsid w:val="5B9938B6"/>
    <w:rsid w:val="5B9B5880"/>
    <w:rsid w:val="5BBB1A7E"/>
    <w:rsid w:val="5BCD355F"/>
    <w:rsid w:val="5BDE5E3D"/>
    <w:rsid w:val="5BED775E"/>
    <w:rsid w:val="5BF127C1"/>
    <w:rsid w:val="5BF12EF0"/>
    <w:rsid w:val="5BF5277C"/>
    <w:rsid w:val="5BFA12D2"/>
    <w:rsid w:val="5BFE196B"/>
    <w:rsid w:val="5C050F4B"/>
    <w:rsid w:val="5C05719D"/>
    <w:rsid w:val="5C1318BA"/>
    <w:rsid w:val="5C2102D0"/>
    <w:rsid w:val="5C2E04A2"/>
    <w:rsid w:val="5C304591"/>
    <w:rsid w:val="5C356C4B"/>
    <w:rsid w:val="5C366DD4"/>
    <w:rsid w:val="5C3706D2"/>
    <w:rsid w:val="5C384E7D"/>
    <w:rsid w:val="5C3977B6"/>
    <w:rsid w:val="5C3A119E"/>
    <w:rsid w:val="5C42409E"/>
    <w:rsid w:val="5C4F2412"/>
    <w:rsid w:val="5C525071"/>
    <w:rsid w:val="5C593AC2"/>
    <w:rsid w:val="5C685E55"/>
    <w:rsid w:val="5C6A7000"/>
    <w:rsid w:val="5C753F48"/>
    <w:rsid w:val="5C7834CB"/>
    <w:rsid w:val="5C82259C"/>
    <w:rsid w:val="5C862BA2"/>
    <w:rsid w:val="5C98714B"/>
    <w:rsid w:val="5C9B540C"/>
    <w:rsid w:val="5C9D2289"/>
    <w:rsid w:val="5CA415FB"/>
    <w:rsid w:val="5CC23BA2"/>
    <w:rsid w:val="5CD0702B"/>
    <w:rsid w:val="5CD64696"/>
    <w:rsid w:val="5CDF3213"/>
    <w:rsid w:val="5CE1177F"/>
    <w:rsid w:val="5CE15956"/>
    <w:rsid w:val="5CED3EB9"/>
    <w:rsid w:val="5CF3349A"/>
    <w:rsid w:val="5CF44AE0"/>
    <w:rsid w:val="5CFA79CB"/>
    <w:rsid w:val="5D0A07F9"/>
    <w:rsid w:val="5D0D6309"/>
    <w:rsid w:val="5D1458EA"/>
    <w:rsid w:val="5D235B2D"/>
    <w:rsid w:val="5D2672BC"/>
    <w:rsid w:val="5D27532B"/>
    <w:rsid w:val="5D327B1E"/>
    <w:rsid w:val="5D3E051F"/>
    <w:rsid w:val="5D441E39"/>
    <w:rsid w:val="5D5759CA"/>
    <w:rsid w:val="5D584A99"/>
    <w:rsid w:val="5D5C4B9B"/>
    <w:rsid w:val="5D613BCB"/>
    <w:rsid w:val="5D6250B4"/>
    <w:rsid w:val="5D876A04"/>
    <w:rsid w:val="5D884E5F"/>
    <w:rsid w:val="5D8A795A"/>
    <w:rsid w:val="5D8F289A"/>
    <w:rsid w:val="5D9216EA"/>
    <w:rsid w:val="5D943DC1"/>
    <w:rsid w:val="5DA34FE8"/>
    <w:rsid w:val="5DA87DE0"/>
    <w:rsid w:val="5DAF3EB2"/>
    <w:rsid w:val="5DB4354B"/>
    <w:rsid w:val="5DBE13B2"/>
    <w:rsid w:val="5DC15346"/>
    <w:rsid w:val="5DC170F4"/>
    <w:rsid w:val="5DC7223B"/>
    <w:rsid w:val="5DD24E5D"/>
    <w:rsid w:val="5DDC146F"/>
    <w:rsid w:val="5DED7EE9"/>
    <w:rsid w:val="5DF272AD"/>
    <w:rsid w:val="5DF56611"/>
    <w:rsid w:val="5DFD07C0"/>
    <w:rsid w:val="5E041FD8"/>
    <w:rsid w:val="5E0764B7"/>
    <w:rsid w:val="5E127071"/>
    <w:rsid w:val="5E1611EE"/>
    <w:rsid w:val="5E1704AA"/>
    <w:rsid w:val="5E18474A"/>
    <w:rsid w:val="5E1E3878"/>
    <w:rsid w:val="5E245894"/>
    <w:rsid w:val="5E2F35DF"/>
    <w:rsid w:val="5E3653EC"/>
    <w:rsid w:val="5E427006"/>
    <w:rsid w:val="5E4A3516"/>
    <w:rsid w:val="5E4C4C10"/>
    <w:rsid w:val="5E4C6BBC"/>
    <w:rsid w:val="5E4F1CDA"/>
    <w:rsid w:val="5E545207"/>
    <w:rsid w:val="5E60047B"/>
    <w:rsid w:val="5E7C38CA"/>
    <w:rsid w:val="5E8124A0"/>
    <w:rsid w:val="5E8E26A4"/>
    <w:rsid w:val="5EAB402C"/>
    <w:rsid w:val="5EAE7678"/>
    <w:rsid w:val="5EAF6076"/>
    <w:rsid w:val="5EB2314A"/>
    <w:rsid w:val="5EB56C59"/>
    <w:rsid w:val="5EC648CD"/>
    <w:rsid w:val="5EE20946"/>
    <w:rsid w:val="5EE41524"/>
    <w:rsid w:val="5EFA18BB"/>
    <w:rsid w:val="5EFF1C82"/>
    <w:rsid w:val="5F03515E"/>
    <w:rsid w:val="5F0D1098"/>
    <w:rsid w:val="5F0F19B8"/>
    <w:rsid w:val="5F177DFA"/>
    <w:rsid w:val="5F27521E"/>
    <w:rsid w:val="5F3608F5"/>
    <w:rsid w:val="5F3D00E1"/>
    <w:rsid w:val="5F3D3985"/>
    <w:rsid w:val="5F441E8D"/>
    <w:rsid w:val="5F561124"/>
    <w:rsid w:val="5F5E28DD"/>
    <w:rsid w:val="5F6076AF"/>
    <w:rsid w:val="5F795F2D"/>
    <w:rsid w:val="5F7F7F09"/>
    <w:rsid w:val="5F814D8D"/>
    <w:rsid w:val="5F8613F6"/>
    <w:rsid w:val="5F922535"/>
    <w:rsid w:val="5F973A30"/>
    <w:rsid w:val="5FA01B9B"/>
    <w:rsid w:val="5FA865BC"/>
    <w:rsid w:val="5FB4701C"/>
    <w:rsid w:val="5FB54A36"/>
    <w:rsid w:val="5FB707AE"/>
    <w:rsid w:val="5FBE7D8F"/>
    <w:rsid w:val="5FC34143"/>
    <w:rsid w:val="5FCF4427"/>
    <w:rsid w:val="5FEF48C7"/>
    <w:rsid w:val="5FF078FF"/>
    <w:rsid w:val="5FF92B75"/>
    <w:rsid w:val="5FFF64CC"/>
    <w:rsid w:val="60136F65"/>
    <w:rsid w:val="601F4A3C"/>
    <w:rsid w:val="6025396A"/>
    <w:rsid w:val="602B3912"/>
    <w:rsid w:val="602C265E"/>
    <w:rsid w:val="603B7A67"/>
    <w:rsid w:val="60402552"/>
    <w:rsid w:val="60494C8A"/>
    <w:rsid w:val="60580360"/>
    <w:rsid w:val="60624553"/>
    <w:rsid w:val="606359E6"/>
    <w:rsid w:val="60636240"/>
    <w:rsid w:val="606964C9"/>
    <w:rsid w:val="606E745A"/>
    <w:rsid w:val="607526B4"/>
    <w:rsid w:val="6084377A"/>
    <w:rsid w:val="60A13198"/>
    <w:rsid w:val="60A24FBB"/>
    <w:rsid w:val="60A521A0"/>
    <w:rsid w:val="60BB348D"/>
    <w:rsid w:val="60BD2AB5"/>
    <w:rsid w:val="60C33FC4"/>
    <w:rsid w:val="60C72C73"/>
    <w:rsid w:val="60D63B2E"/>
    <w:rsid w:val="60DF1D6B"/>
    <w:rsid w:val="60E243FF"/>
    <w:rsid w:val="60E277A8"/>
    <w:rsid w:val="60E47381"/>
    <w:rsid w:val="60E65FC9"/>
    <w:rsid w:val="60EA66DE"/>
    <w:rsid w:val="60FF240D"/>
    <w:rsid w:val="61050A04"/>
    <w:rsid w:val="61066AA3"/>
    <w:rsid w:val="610E4B69"/>
    <w:rsid w:val="61113EEE"/>
    <w:rsid w:val="61177312"/>
    <w:rsid w:val="61377DF9"/>
    <w:rsid w:val="6145155F"/>
    <w:rsid w:val="614E0C9F"/>
    <w:rsid w:val="61520175"/>
    <w:rsid w:val="61614E76"/>
    <w:rsid w:val="61627EF2"/>
    <w:rsid w:val="61690897"/>
    <w:rsid w:val="61696F28"/>
    <w:rsid w:val="61734BA9"/>
    <w:rsid w:val="617B5F04"/>
    <w:rsid w:val="61975D65"/>
    <w:rsid w:val="61980822"/>
    <w:rsid w:val="619F774C"/>
    <w:rsid w:val="61A30A46"/>
    <w:rsid w:val="61A30FEA"/>
    <w:rsid w:val="61AB7E9F"/>
    <w:rsid w:val="61AD67D9"/>
    <w:rsid w:val="61C667E4"/>
    <w:rsid w:val="61D05715"/>
    <w:rsid w:val="61D86911"/>
    <w:rsid w:val="61DB43ED"/>
    <w:rsid w:val="61E1276F"/>
    <w:rsid w:val="61E84C4F"/>
    <w:rsid w:val="61F24E65"/>
    <w:rsid w:val="61FC6B54"/>
    <w:rsid w:val="6208709F"/>
    <w:rsid w:val="62132AC5"/>
    <w:rsid w:val="622112F5"/>
    <w:rsid w:val="622A102E"/>
    <w:rsid w:val="622D2FAA"/>
    <w:rsid w:val="622D7B47"/>
    <w:rsid w:val="623779BE"/>
    <w:rsid w:val="623916BE"/>
    <w:rsid w:val="62402A42"/>
    <w:rsid w:val="62686413"/>
    <w:rsid w:val="626B289A"/>
    <w:rsid w:val="62870D02"/>
    <w:rsid w:val="6291178B"/>
    <w:rsid w:val="629503BF"/>
    <w:rsid w:val="6295776A"/>
    <w:rsid w:val="629B323B"/>
    <w:rsid w:val="629E37E6"/>
    <w:rsid w:val="62B00A61"/>
    <w:rsid w:val="62B02E9C"/>
    <w:rsid w:val="62C21463"/>
    <w:rsid w:val="62CD2B31"/>
    <w:rsid w:val="62DF0794"/>
    <w:rsid w:val="62E15AE5"/>
    <w:rsid w:val="62EA2C49"/>
    <w:rsid w:val="63077F65"/>
    <w:rsid w:val="63121D16"/>
    <w:rsid w:val="63232C71"/>
    <w:rsid w:val="63291928"/>
    <w:rsid w:val="63301343"/>
    <w:rsid w:val="63332842"/>
    <w:rsid w:val="633C694F"/>
    <w:rsid w:val="633D721D"/>
    <w:rsid w:val="633E4E82"/>
    <w:rsid w:val="635025C8"/>
    <w:rsid w:val="63552E8A"/>
    <w:rsid w:val="635B4CC7"/>
    <w:rsid w:val="636130E0"/>
    <w:rsid w:val="63666773"/>
    <w:rsid w:val="636A6886"/>
    <w:rsid w:val="636E564F"/>
    <w:rsid w:val="637D075E"/>
    <w:rsid w:val="63891F1F"/>
    <w:rsid w:val="638D1F52"/>
    <w:rsid w:val="63950C34"/>
    <w:rsid w:val="63A45B72"/>
    <w:rsid w:val="63A53508"/>
    <w:rsid w:val="63AA1BCD"/>
    <w:rsid w:val="63AE1B9F"/>
    <w:rsid w:val="63B06793"/>
    <w:rsid w:val="63B079EF"/>
    <w:rsid w:val="63D00091"/>
    <w:rsid w:val="63D62269"/>
    <w:rsid w:val="63DA4A6C"/>
    <w:rsid w:val="63DB4576"/>
    <w:rsid w:val="63E034FC"/>
    <w:rsid w:val="63E86948"/>
    <w:rsid w:val="63FB5C60"/>
    <w:rsid w:val="64037F24"/>
    <w:rsid w:val="64046278"/>
    <w:rsid w:val="640E2967"/>
    <w:rsid w:val="642C3EEA"/>
    <w:rsid w:val="642C54C7"/>
    <w:rsid w:val="642E7A37"/>
    <w:rsid w:val="643237A5"/>
    <w:rsid w:val="643A21BF"/>
    <w:rsid w:val="64484B87"/>
    <w:rsid w:val="644B7576"/>
    <w:rsid w:val="646144B1"/>
    <w:rsid w:val="64626A30"/>
    <w:rsid w:val="646F3406"/>
    <w:rsid w:val="64886EB0"/>
    <w:rsid w:val="648D7D30"/>
    <w:rsid w:val="649B3BBD"/>
    <w:rsid w:val="64B976B2"/>
    <w:rsid w:val="64D704F4"/>
    <w:rsid w:val="64DF6B47"/>
    <w:rsid w:val="64E030DF"/>
    <w:rsid w:val="64E1336B"/>
    <w:rsid w:val="64EA5A43"/>
    <w:rsid w:val="64EB4CCD"/>
    <w:rsid w:val="64F54AB1"/>
    <w:rsid w:val="64F664FA"/>
    <w:rsid w:val="64FE4ED3"/>
    <w:rsid w:val="65002528"/>
    <w:rsid w:val="65064C01"/>
    <w:rsid w:val="65065370"/>
    <w:rsid w:val="6509385A"/>
    <w:rsid w:val="651135B3"/>
    <w:rsid w:val="651A0578"/>
    <w:rsid w:val="6521758C"/>
    <w:rsid w:val="6522491C"/>
    <w:rsid w:val="652451D5"/>
    <w:rsid w:val="6525440C"/>
    <w:rsid w:val="652B0517"/>
    <w:rsid w:val="652C2DFC"/>
    <w:rsid w:val="652E32C1"/>
    <w:rsid w:val="6531690D"/>
    <w:rsid w:val="653F294D"/>
    <w:rsid w:val="654C2076"/>
    <w:rsid w:val="654C747E"/>
    <w:rsid w:val="6552134C"/>
    <w:rsid w:val="656A42D9"/>
    <w:rsid w:val="656F3DC7"/>
    <w:rsid w:val="6579736B"/>
    <w:rsid w:val="658253BB"/>
    <w:rsid w:val="65841133"/>
    <w:rsid w:val="658730AF"/>
    <w:rsid w:val="65882D0B"/>
    <w:rsid w:val="65892A2A"/>
    <w:rsid w:val="659059BC"/>
    <w:rsid w:val="65994698"/>
    <w:rsid w:val="65B923E3"/>
    <w:rsid w:val="65C32A3D"/>
    <w:rsid w:val="65C50D1A"/>
    <w:rsid w:val="65D315FF"/>
    <w:rsid w:val="65E6594A"/>
    <w:rsid w:val="65E76CC4"/>
    <w:rsid w:val="65EC331D"/>
    <w:rsid w:val="65F14EBD"/>
    <w:rsid w:val="65F917A1"/>
    <w:rsid w:val="660C3AF8"/>
    <w:rsid w:val="660D2ED6"/>
    <w:rsid w:val="660D7B9C"/>
    <w:rsid w:val="660F50CF"/>
    <w:rsid w:val="66141D57"/>
    <w:rsid w:val="66187ACD"/>
    <w:rsid w:val="661D771B"/>
    <w:rsid w:val="662D11E6"/>
    <w:rsid w:val="66365D84"/>
    <w:rsid w:val="6638530C"/>
    <w:rsid w:val="66391F1D"/>
    <w:rsid w:val="663C7C5F"/>
    <w:rsid w:val="663D7E90"/>
    <w:rsid w:val="664A412A"/>
    <w:rsid w:val="66527571"/>
    <w:rsid w:val="6659436D"/>
    <w:rsid w:val="665D3D8F"/>
    <w:rsid w:val="66602BC7"/>
    <w:rsid w:val="6672542F"/>
    <w:rsid w:val="667754CC"/>
    <w:rsid w:val="667A512E"/>
    <w:rsid w:val="667E42FD"/>
    <w:rsid w:val="66876081"/>
    <w:rsid w:val="668A4527"/>
    <w:rsid w:val="668E78CD"/>
    <w:rsid w:val="66981404"/>
    <w:rsid w:val="669B5028"/>
    <w:rsid w:val="669C06FE"/>
    <w:rsid w:val="66A7076B"/>
    <w:rsid w:val="66AE6350"/>
    <w:rsid w:val="66B77198"/>
    <w:rsid w:val="66D33235"/>
    <w:rsid w:val="66DB485A"/>
    <w:rsid w:val="66DC3E2C"/>
    <w:rsid w:val="66DD1F0E"/>
    <w:rsid w:val="66E0352A"/>
    <w:rsid w:val="66ED7FC0"/>
    <w:rsid w:val="66EF6D88"/>
    <w:rsid w:val="66F26570"/>
    <w:rsid w:val="66F33E1E"/>
    <w:rsid w:val="66F6264B"/>
    <w:rsid w:val="66F756B2"/>
    <w:rsid w:val="66FD119D"/>
    <w:rsid w:val="6703521B"/>
    <w:rsid w:val="6705639B"/>
    <w:rsid w:val="6712451C"/>
    <w:rsid w:val="671C6AEB"/>
    <w:rsid w:val="672030DD"/>
    <w:rsid w:val="67300A7E"/>
    <w:rsid w:val="675C40F8"/>
    <w:rsid w:val="676077D1"/>
    <w:rsid w:val="676147DC"/>
    <w:rsid w:val="6764746E"/>
    <w:rsid w:val="67672ABA"/>
    <w:rsid w:val="676B171D"/>
    <w:rsid w:val="676C5483"/>
    <w:rsid w:val="67745493"/>
    <w:rsid w:val="67746F85"/>
    <w:rsid w:val="6778101E"/>
    <w:rsid w:val="677D22DE"/>
    <w:rsid w:val="677D408C"/>
    <w:rsid w:val="678371C8"/>
    <w:rsid w:val="67896ED4"/>
    <w:rsid w:val="679061BB"/>
    <w:rsid w:val="67916DB0"/>
    <w:rsid w:val="679B09B6"/>
    <w:rsid w:val="67B54917"/>
    <w:rsid w:val="67B81568"/>
    <w:rsid w:val="67CD5371"/>
    <w:rsid w:val="67D57A24"/>
    <w:rsid w:val="67F21EBE"/>
    <w:rsid w:val="67F3434E"/>
    <w:rsid w:val="67FC60B7"/>
    <w:rsid w:val="67FD341E"/>
    <w:rsid w:val="681A18DB"/>
    <w:rsid w:val="681C56E8"/>
    <w:rsid w:val="68232E85"/>
    <w:rsid w:val="68246BE9"/>
    <w:rsid w:val="68403AFD"/>
    <w:rsid w:val="68541290"/>
    <w:rsid w:val="686113BA"/>
    <w:rsid w:val="68620649"/>
    <w:rsid w:val="68630D3F"/>
    <w:rsid w:val="68690E30"/>
    <w:rsid w:val="68721DB3"/>
    <w:rsid w:val="68727968"/>
    <w:rsid w:val="687D5A18"/>
    <w:rsid w:val="68980099"/>
    <w:rsid w:val="68AE7647"/>
    <w:rsid w:val="68B27FE5"/>
    <w:rsid w:val="68B33CBC"/>
    <w:rsid w:val="68C05073"/>
    <w:rsid w:val="68CC0D03"/>
    <w:rsid w:val="68D423D1"/>
    <w:rsid w:val="68E52BC5"/>
    <w:rsid w:val="68E71B98"/>
    <w:rsid w:val="68ED3493"/>
    <w:rsid w:val="68F951EB"/>
    <w:rsid w:val="68FA0D09"/>
    <w:rsid w:val="690518E3"/>
    <w:rsid w:val="69074555"/>
    <w:rsid w:val="6913778D"/>
    <w:rsid w:val="692216E4"/>
    <w:rsid w:val="692349A9"/>
    <w:rsid w:val="6935729D"/>
    <w:rsid w:val="69433CAC"/>
    <w:rsid w:val="69647910"/>
    <w:rsid w:val="697E2410"/>
    <w:rsid w:val="69852A6B"/>
    <w:rsid w:val="698612A5"/>
    <w:rsid w:val="69872CF3"/>
    <w:rsid w:val="698C2CAC"/>
    <w:rsid w:val="698D2FAC"/>
    <w:rsid w:val="699157A6"/>
    <w:rsid w:val="69A82381"/>
    <w:rsid w:val="69AC2A06"/>
    <w:rsid w:val="69AE43A7"/>
    <w:rsid w:val="69AE7BC5"/>
    <w:rsid w:val="69AF0748"/>
    <w:rsid w:val="69E71C2E"/>
    <w:rsid w:val="6A0202FD"/>
    <w:rsid w:val="6A0518F8"/>
    <w:rsid w:val="6A107439"/>
    <w:rsid w:val="6A4C6CBB"/>
    <w:rsid w:val="6A5E0111"/>
    <w:rsid w:val="6A6F316D"/>
    <w:rsid w:val="6A912DE0"/>
    <w:rsid w:val="6A943F85"/>
    <w:rsid w:val="6A9B5332"/>
    <w:rsid w:val="6A9E2C97"/>
    <w:rsid w:val="6AAC487C"/>
    <w:rsid w:val="6AAD3143"/>
    <w:rsid w:val="6AAF3E38"/>
    <w:rsid w:val="6AB029CA"/>
    <w:rsid w:val="6ABC4ECB"/>
    <w:rsid w:val="6AC2152D"/>
    <w:rsid w:val="6AD54350"/>
    <w:rsid w:val="6ADE0048"/>
    <w:rsid w:val="6AF64881"/>
    <w:rsid w:val="6AF96F3D"/>
    <w:rsid w:val="6B043F03"/>
    <w:rsid w:val="6B080100"/>
    <w:rsid w:val="6B1017A5"/>
    <w:rsid w:val="6B1C57E8"/>
    <w:rsid w:val="6B222A27"/>
    <w:rsid w:val="6B2E35BA"/>
    <w:rsid w:val="6B3233DF"/>
    <w:rsid w:val="6B3D34FE"/>
    <w:rsid w:val="6B453112"/>
    <w:rsid w:val="6B4E448C"/>
    <w:rsid w:val="6B557938"/>
    <w:rsid w:val="6B5A3C35"/>
    <w:rsid w:val="6B66741E"/>
    <w:rsid w:val="6B87372B"/>
    <w:rsid w:val="6B900117"/>
    <w:rsid w:val="6B96396E"/>
    <w:rsid w:val="6BA72B30"/>
    <w:rsid w:val="6BA86101"/>
    <w:rsid w:val="6BB57E47"/>
    <w:rsid w:val="6BB77B3F"/>
    <w:rsid w:val="6BBD714D"/>
    <w:rsid w:val="6BC03782"/>
    <w:rsid w:val="6BC04E8F"/>
    <w:rsid w:val="6BC235DF"/>
    <w:rsid w:val="6BCB40EA"/>
    <w:rsid w:val="6BD149A6"/>
    <w:rsid w:val="6BD44EF8"/>
    <w:rsid w:val="6BD57763"/>
    <w:rsid w:val="6BDC2D4F"/>
    <w:rsid w:val="6BDF1392"/>
    <w:rsid w:val="6BE648F5"/>
    <w:rsid w:val="6BE749C8"/>
    <w:rsid w:val="6BEB3756"/>
    <w:rsid w:val="6C060AF4"/>
    <w:rsid w:val="6C0D4ACE"/>
    <w:rsid w:val="6C1929E0"/>
    <w:rsid w:val="6C1A634D"/>
    <w:rsid w:val="6C225202"/>
    <w:rsid w:val="6C292BE1"/>
    <w:rsid w:val="6C346A47"/>
    <w:rsid w:val="6C393583"/>
    <w:rsid w:val="6C3B762A"/>
    <w:rsid w:val="6C4038DA"/>
    <w:rsid w:val="6C430EC6"/>
    <w:rsid w:val="6C460B8D"/>
    <w:rsid w:val="6C4C4B88"/>
    <w:rsid w:val="6C5238F7"/>
    <w:rsid w:val="6C5D26DE"/>
    <w:rsid w:val="6C60203D"/>
    <w:rsid w:val="6C604856"/>
    <w:rsid w:val="6C6217A7"/>
    <w:rsid w:val="6C6F002C"/>
    <w:rsid w:val="6C740C4D"/>
    <w:rsid w:val="6C747D90"/>
    <w:rsid w:val="6C860A2C"/>
    <w:rsid w:val="6C88775B"/>
    <w:rsid w:val="6C916D53"/>
    <w:rsid w:val="6CA02C98"/>
    <w:rsid w:val="6CA127B4"/>
    <w:rsid w:val="6CA27B74"/>
    <w:rsid w:val="6CA34594"/>
    <w:rsid w:val="6CA67BE1"/>
    <w:rsid w:val="6CB55D42"/>
    <w:rsid w:val="6CB8671C"/>
    <w:rsid w:val="6CB90EA6"/>
    <w:rsid w:val="6CBA7B30"/>
    <w:rsid w:val="6CCB5481"/>
    <w:rsid w:val="6CCE5B95"/>
    <w:rsid w:val="6CD01102"/>
    <w:rsid w:val="6CDB5E4B"/>
    <w:rsid w:val="6CF20041"/>
    <w:rsid w:val="6CF43042"/>
    <w:rsid w:val="6CFD1C68"/>
    <w:rsid w:val="6D091F16"/>
    <w:rsid w:val="6D1347EA"/>
    <w:rsid w:val="6D1B2C9B"/>
    <w:rsid w:val="6D2471EB"/>
    <w:rsid w:val="6D321474"/>
    <w:rsid w:val="6D3A50DF"/>
    <w:rsid w:val="6D503BE3"/>
    <w:rsid w:val="6D5164B6"/>
    <w:rsid w:val="6D5238C5"/>
    <w:rsid w:val="6D5F318C"/>
    <w:rsid w:val="6D614FFE"/>
    <w:rsid w:val="6D6A21E0"/>
    <w:rsid w:val="6D7427C5"/>
    <w:rsid w:val="6D8223FC"/>
    <w:rsid w:val="6D8E6FF3"/>
    <w:rsid w:val="6D910EB2"/>
    <w:rsid w:val="6D9261A9"/>
    <w:rsid w:val="6D940381"/>
    <w:rsid w:val="6D963072"/>
    <w:rsid w:val="6D9B67E2"/>
    <w:rsid w:val="6DA33AB1"/>
    <w:rsid w:val="6DA34120"/>
    <w:rsid w:val="6DB30807"/>
    <w:rsid w:val="6DD841D1"/>
    <w:rsid w:val="6DE1112A"/>
    <w:rsid w:val="6DE62234"/>
    <w:rsid w:val="6DEE1DA5"/>
    <w:rsid w:val="6DF131D9"/>
    <w:rsid w:val="6DF362F1"/>
    <w:rsid w:val="6DFC0A94"/>
    <w:rsid w:val="6E0A419F"/>
    <w:rsid w:val="6E0E7E73"/>
    <w:rsid w:val="6E163B54"/>
    <w:rsid w:val="6E1F3AB9"/>
    <w:rsid w:val="6E22598D"/>
    <w:rsid w:val="6E230702"/>
    <w:rsid w:val="6E291B51"/>
    <w:rsid w:val="6E2B5B70"/>
    <w:rsid w:val="6E2E2225"/>
    <w:rsid w:val="6E3260E0"/>
    <w:rsid w:val="6E391146"/>
    <w:rsid w:val="6E46026B"/>
    <w:rsid w:val="6E5B2C4D"/>
    <w:rsid w:val="6E82467D"/>
    <w:rsid w:val="6E917D94"/>
    <w:rsid w:val="6E95615F"/>
    <w:rsid w:val="6E9879FD"/>
    <w:rsid w:val="6EB4221B"/>
    <w:rsid w:val="6EB97C9A"/>
    <w:rsid w:val="6EBA3EC2"/>
    <w:rsid w:val="6EC425A0"/>
    <w:rsid w:val="6ED547AD"/>
    <w:rsid w:val="6EEF3C2A"/>
    <w:rsid w:val="6F0C365F"/>
    <w:rsid w:val="6F174DC6"/>
    <w:rsid w:val="6F265009"/>
    <w:rsid w:val="6F2B4B68"/>
    <w:rsid w:val="6F341033"/>
    <w:rsid w:val="6F366055"/>
    <w:rsid w:val="6F484F7F"/>
    <w:rsid w:val="6F4E6A14"/>
    <w:rsid w:val="6F6135D9"/>
    <w:rsid w:val="6F693749"/>
    <w:rsid w:val="6F6A3147"/>
    <w:rsid w:val="6F7458D1"/>
    <w:rsid w:val="6F8416CF"/>
    <w:rsid w:val="6F847FFE"/>
    <w:rsid w:val="6F857F81"/>
    <w:rsid w:val="6F9D7BE5"/>
    <w:rsid w:val="6F9F2AB4"/>
    <w:rsid w:val="6FAD1286"/>
    <w:rsid w:val="6FB77864"/>
    <w:rsid w:val="6FC07FB0"/>
    <w:rsid w:val="6FCC75D9"/>
    <w:rsid w:val="6FDB5A0D"/>
    <w:rsid w:val="6FDD0023"/>
    <w:rsid w:val="6FFB0243"/>
    <w:rsid w:val="700F0193"/>
    <w:rsid w:val="70115BD2"/>
    <w:rsid w:val="70236185"/>
    <w:rsid w:val="70311EB7"/>
    <w:rsid w:val="70315562"/>
    <w:rsid w:val="70335C2F"/>
    <w:rsid w:val="703620CB"/>
    <w:rsid w:val="703D260A"/>
    <w:rsid w:val="704240C4"/>
    <w:rsid w:val="70511328"/>
    <w:rsid w:val="705A27F4"/>
    <w:rsid w:val="705C4791"/>
    <w:rsid w:val="7060062E"/>
    <w:rsid w:val="706338B4"/>
    <w:rsid w:val="70666005"/>
    <w:rsid w:val="70807928"/>
    <w:rsid w:val="70A61135"/>
    <w:rsid w:val="70B477CF"/>
    <w:rsid w:val="70B623BC"/>
    <w:rsid w:val="70B65F8C"/>
    <w:rsid w:val="70B66341"/>
    <w:rsid w:val="70B81788"/>
    <w:rsid w:val="70BE62B2"/>
    <w:rsid w:val="70C456BC"/>
    <w:rsid w:val="70C920F0"/>
    <w:rsid w:val="70CE7706"/>
    <w:rsid w:val="70D7170B"/>
    <w:rsid w:val="70E92792"/>
    <w:rsid w:val="70EB1D07"/>
    <w:rsid w:val="70ED4030"/>
    <w:rsid w:val="70FD6810"/>
    <w:rsid w:val="71047056"/>
    <w:rsid w:val="71080E6A"/>
    <w:rsid w:val="711E3CE1"/>
    <w:rsid w:val="712333EB"/>
    <w:rsid w:val="713438AD"/>
    <w:rsid w:val="713A123F"/>
    <w:rsid w:val="714C1194"/>
    <w:rsid w:val="714C1A59"/>
    <w:rsid w:val="714C59B7"/>
    <w:rsid w:val="71557E27"/>
    <w:rsid w:val="7163703D"/>
    <w:rsid w:val="717304A3"/>
    <w:rsid w:val="7175660B"/>
    <w:rsid w:val="717750A4"/>
    <w:rsid w:val="71844269"/>
    <w:rsid w:val="71856665"/>
    <w:rsid w:val="718A7A50"/>
    <w:rsid w:val="719E4941"/>
    <w:rsid w:val="71A83AF7"/>
    <w:rsid w:val="71A843FB"/>
    <w:rsid w:val="71AD13D4"/>
    <w:rsid w:val="71BB412E"/>
    <w:rsid w:val="71BD3A7A"/>
    <w:rsid w:val="71C64881"/>
    <w:rsid w:val="71C77AE4"/>
    <w:rsid w:val="71D376CA"/>
    <w:rsid w:val="71D47A7F"/>
    <w:rsid w:val="71E82A49"/>
    <w:rsid w:val="71E926CD"/>
    <w:rsid w:val="71ED62B2"/>
    <w:rsid w:val="71F509A5"/>
    <w:rsid w:val="72083B33"/>
    <w:rsid w:val="720B57FE"/>
    <w:rsid w:val="720B62BF"/>
    <w:rsid w:val="720D3D20"/>
    <w:rsid w:val="72203F91"/>
    <w:rsid w:val="72216562"/>
    <w:rsid w:val="72225F5B"/>
    <w:rsid w:val="72277008"/>
    <w:rsid w:val="7229261B"/>
    <w:rsid w:val="722C01C9"/>
    <w:rsid w:val="72304722"/>
    <w:rsid w:val="723C6383"/>
    <w:rsid w:val="724E3E15"/>
    <w:rsid w:val="724F5E6C"/>
    <w:rsid w:val="725D1AA0"/>
    <w:rsid w:val="72657495"/>
    <w:rsid w:val="72674CC8"/>
    <w:rsid w:val="72692740"/>
    <w:rsid w:val="72693B8A"/>
    <w:rsid w:val="726E117A"/>
    <w:rsid w:val="72764326"/>
    <w:rsid w:val="72781F16"/>
    <w:rsid w:val="728032BA"/>
    <w:rsid w:val="728D4FDC"/>
    <w:rsid w:val="72914E8F"/>
    <w:rsid w:val="729A209E"/>
    <w:rsid w:val="729D3834"/>
    <w:rsid w:val="729E390D"/>
    <w:rsid w:val="72AA78B4"/>
    <w:rsid w:val="72BC3359"/>
    <w:rsid w:val="72C00D95"/>
    <w:rsid w:val="72C40186"/>
    <w:rsid w:val="72C730FE"/>
    <w:rsid w:val="72E8337C"/>
    <w:rsid w:val="72F434FA"/>
    <w:rsid w:val="730B2421"/>
    <w:rsid w:val="730B2A5D"/>
    <w:rsid w:val="730D1C62"/>
    <w:rsid w:val="731356C2"/>
    <w:rsid w:val="73151916"/>
    <w:rsid w:val="73184198"/>
    <w:rsid w:val="73262E6D"/>
    <w:rsid w:val="732D075F"/>
    <w:rsid w:val="73373C05"/>
    <w:rsid w:val="73394622"/>
    <w:rsid w:val="733F63CB"/>
    <w:rsid w:val="73490DFC"/>
    <w:rsid w:val="73555688"/>
    <w:rsid w:val="73571A95"/>
    <w:rsid w:val="7366158E"/>
    <w:rsid w:val="736C1BDF"/>
    <w:rsid w:val="736E2B3F"/>
    <w:rsid w:val="7370719A"/>
    <w:rsid w:val="73754FD7"/>
    <w:rsid w:val="737C7606"/>
    <w:rsid w:val="738E4CE0"/>
    <w:rsid w:val="739A5FC5"/>
    <w:rsid w:val="73A26CD8"/>
    <w:rsid w:val="73AC4932"/>
    <w:rsid w:val="73B34E42"/>
    <w:rsid w:val="73B83040"/>
    <w:rsid w:val="73BA1DA6"/>
    <w:rsid w:val="73BF2DAF"/>
    <w:rsid w:val="73C17A92"/>
    <w:rsid w:val="73E35202"/>
    <w:rsid w:val="73E829D8"/>
    <w:rsid w:val="73F62B37"/>
    <w:rsid w:val="74094E3D"/>
    <w:rsid w:val="740D2C3B"/>
    <w:rsid w:val="7410198C"/>
    <w:rsid w:val="741F54A2"/>
    <w:rsid w:val="742331AE"/>
    <w:rsid w:val="742A10F7"/>
    <w:rsid w:val="742F2BB2"/>
    <w:rsid w:val="743553DE"/>
    <w:rsid w:val="743D0A2B"/>
    <w:rsid w:val="7447614D"/>
    <w:rsid w:val="74551EB3"/>
    <w:rsid w:val="745708AE"/>
    <w:rsid w:val="745A0FA0"/>
    <w:rsid w:val="74746816"/>
    <w:rsid w:val="747F58E7"/>
    <w:rsid w:val="74876A28"/>
    <w:rsid w:val="74884175"/>
    <w:rsid w:val="749132B1"/>
    <w:rsid w:val="749D15EC"/>
    <w:rsid w:val="74AC6BC6"/>
    <w:rsid w:val="74B566ED"/>
    <w:rsid w:val="74D13C69"/>
    <w:rsid w:val="74D514A1"/>
    <w:rsid w:val="74F160B9"/>
    <w:rsid w:val="74F236DC"/>
    <w:rsid w:val="751A5826"/>
    <w:rsid w:val="752B5127"/>
    <w:rsid w:val="752C6AB2"/>
    <w:rsid w:val="75322959"/>
    <w:rsid w:val="7534397E"/>
    <w:rsid w:val="753540AD"/>
    <w:rsid w:val="75494AE8"/>
    <w:rsid w:val="754D7793"/>
    <w:rsid w:val="756C5695"/>
    <w:rsid w:val="75720FA8"/>
    <w:rsid w:val="75735A2A"/>
    <w:rsid w:val="75826D11"/>
    <w:rsid w:val="75836B45"/>
    <w:rsid w:val="75845947"/>
    <w:rsid w:val="75850468"/>
    <w:rsid w:val="75866BE9"/>
    <w:rsid w:val="759B6003"/>
    <w:rsid w:val="759C32BC"/>
    <w:rsid w:val="75A04F3B"/>
    <w:rsid w:val="75A26BC4"/>
    <w:rsid w:val="75AE59C7"/>
    <w:rsid w:val="75B61842"/>
    <w:rsid w:val="75BC78AF"/>
    <w:rsid w:val="75C604F3"/>
    <w:rsid w:val="75CB7BF0"/>
    <w:rsid w:val="75D62BEE"/>
    <w:rsid w:val="75D74EF8"/>
    <w:rsid w:val="75E20E90"/>
    <w:rsid w:val="75E27AE1"/>
    <w:rsid w:val="75FE283B"/>
    <w:rsid w:val="76066358"/>
    <w:rsid w:val="760719A1"/>
    <w:rsid w:val="760A52CC"/>
    <w:rsid w:val="760C4ED0"/>
    <w:rsid w:val="760D3186"/>
    <w:rsid w:val="7621477C"/>
    <w:rsid w:val="76261C26"/>
    <w:rsid w:val="762F2954"/>
    <w:rsid w:val="76342701"/>
    <w:rsid w:val="76384F46"/>
    <w:rsid w:val="764337ED"/>
    <w:rsid w:val="764D5571"/>
    <w:rsid w:val="764E1B03"/>
    <w:rsid w:val="766703E1"/>
    <w:rsid w:val="76780840"/>
    <w:rsid w:val="767C19B2"/>
    <w:rsid w:val="7683069C"/>
    <w:rsid w:val="768D3BBF"/>
    <w:rsid w:val="76A27DD7"/>
    <w:rsid w:val="76AD15F9"/>
    <w:rsid w:val="76BE4F30"/>
    <w:rsid w:val="76C70E7F"/>
    <w:rsid w:val="76CD451D"/>
    <w:rsid w:val="76EE2591"/>
    <w:rsid w:val="76EF6628"/>
    <w:rsid w:val="76EF7D2C"/>
    <w:rsid w:val="76F53C3E"/>
    <w:rsid w:val="770318FD"/>
    <w:rsid w:val="7711659E"/>
    <w:rsid w:val="77146E97"/>
    <w:rsid w:val="771766AF"/>
    <w:rsid w:val="771D558A"/>
    <w:rsid w:val="772A140E"/>
    <w:rsid w:val="77403575"/>
    <w:rsid w:val="7748368E"/>
    <w:rsid w:val="774F6700"/>
    <w:rsid w:val="77533F2B"/>
    <w:rsid w:val="77543014"/>
    <w:rsid w:val="775517FF"/>
    <w:rsid w:val="77674410"/>
    <w:rsid w:val="777860D8"/>
    <w:rsid w:val="778E5440"/>
    <w:rsid w:val="77913188"/>
    <w:rsid w:val="7792252C"/>
    <w:rsid w:val="77991C3E"/>
    <w:rsid w:val="779A6594"/>
    <w:rsid w:val="77A83CB3"/>
    <w:rsid w:val="77AE7402"/>
    <w:rsid w:val="77B238DE"/>
    <w:rsid w:val="77B533CE"/>
    <w:rsid w:val="77B70EF4"/>
    <w:rsid w:val="77BA595E"/>
    <w:rsid w:val="77BF5BB1"/>
    <w:rsid w:val="77C87BF6"/>
    <w:rsid w:val="77DC4DFE"/>
    <w:rsid w:val="77DE221F"/>
    <w:rsid w:val="77E837A3"/>
    <w:rsid w:val="77F26063"/>
    <w:rsid w:val="780B4A40"/>
    <w:rsid w:val="781B72AA"/>
    <w:rsid w:val="781C67C3"/>
    <w:rsid w:val="783C2021"/>
    <w:rsid w:val="783F079D"/>
    <w:rsid w:val="78533C42"/>
    <w:rsid w:val="785F235F"/>
    <w:rsid w:val="786A679E"/>
    <w:rsid w:val="787E207D"/>
    <w:rsid w:val="787E7C64"/>
    <w:rsid w:val="78841D97"/>
    <w:rsid w:val="78900078"/>
    <w:rsid w:val="78A56AB5"/>
    <w:rsid w:val="78C620B9"/>
    <w:rsid w:val="78C966FA"/>
    <w:rsid w:val="78CB1B99"/>
    <w:rsid w:val="78CE2454"/>
    <w:rsid w:val="78DC5A8E"/>
    <w:rsid w:val="78E91F32"/>
    <w:rsid w:val="78F12B57"/>
    <w:rsid w:val="790A315A"/>
    <w:rsid w:val="790D6D3D"/>
    <w:rsid w:val="790E7239"/>
    <w:rsid w:val="791648AD"/>
    <w:rsid w:val="791F1D70"/>
    <w:rsid w:val="7937681E"/>
    <w:rsid w:val="793F5645"/>
    <w:rsid w:val="79440AEE"/>
    <w:rsid w:val="794A1A4C"/>
    <w:rsid w:val="79581337"/>
    <w:rsid w:val="796C31B8"/>
    <w:rsid w:val="797967FE"/>
    <w:rsid w:val="79872276"/>
    <w:rsid w:val="79890FF4"/>
    <w:rsid w:val="7989257D"/>
    <w:rsid w:val="79922D97"/>
    <w:rsid w:val="79927E6B"/>
    <w:rsid w:val="79A454A8"/>
    <w:rsid w:val="79A90D10"/>
    <w:rsid w:val="79AA26DF"/>
    <w:rsid w:val="79AE68AE"/>
    <w:rsid w:val="79B70EF8"/>
    <w:rsid w:val="79C15542"/>
    <w:rsid w:val="79C75326"/>
    <w:rsid w:val="79E612E9"/>
    <w:rsid w:val="79EB497D"/>
    <w:rsid w:val="79F6754E"/>
    <w:rsid w:val="79FB0261"/>
    <w:rsid w:val="79FB2DAF"/>
    <w:rsid w:val="7A087BDF"/>
    <w:rsid w:val="7A0C565C"/>
    <w:rsid w:val="7A0D129F"/>
    <w:rsid w:val="7A1C2352"/>
    <w:rsid w:val="7A1C61A9"/>
    <w:rsid w:val="7A2B7977"/>
    <w:rsid w:val="7A41719B"/>
    <w:rsid w:val="7A484CAA"/>
    <w:rsid w:val="7A4A24F3"/>
    <w:rsid w:val="7A5001CD"/>
    <w:rsid w:val="7A5E7D4D"/>
    <w:rsid w:val="7A5F3524"/>
    <w:rsid w:val="7A62317A"/>
    <w:rsid w:val="7A6510DB"/>
    <w:rsid w:val="7A6D1D3E"/>
    <w:rsid w:val="7A813A3B"/>
    <w:rsid w:val="7A817172"/>
    <w:rsid w:val="7A885FEA"/>
    <w:rsid w:val="7A890F22"/>
    <w:rsid w:val="7A916DEC"/>
    <w:rsid w:val="7A9F2CF5"/>
    <w:rsid w:val="7AA53BCD"/>
    <w:rsid w:val="7AA60701"/>
    <w:rsid w:val="7AAC0AB8"/>
    <w:rsid w:val="7AAE5C60"/>
    <w:rsid w:val="7ABE4C8F"/>
    <w:rsid w:val="7AC0465B"/>
    <w:rsid w:val="7AC322A6"/>
    <w:rsid w:val="7AC926EB"/>
    <w:rsid w:val="7ACE2AB8"/>
    <w:rsid w:val="7AD128A9"/>
    <w:rsid w:val="7AD2187C"/>
    <w:rsid w:val="7ADC456B"/>
    <w:rsid w:val="7AE45DA6"/>
    <w:rsid w:val="7AEA0DF1"/>
    <w:rsid w:val="7AEE15E9"/>
    <w:rsid w:val="7AEF309B"/>
    <w:rsid w:val="7AF67F85"/>
    <w:rsid w:val="7AF95CC7"/>
    <w:rsid w:val="7B05488D"/>
    <w:rsid w:val="7B095F0A"/>
    <w:rsid w:val="7B0A06CB"/>
    <w:rsid w:val="7B0D17BE"/>
    <w:rsid w:val="7B18614D"/>
    <w:rsid w:val="7B1F0B72"/>
    <w:rsid w:val="7B284E41"/>
    <w:rsid w:val="7B354232"/>
    <w:rsid w:val="7B430CF1"/>
    <w:rsid w:val="7B4754DF"/>
    <w:rsid w:val="7B4E3BEA"/>
    <w:rsid w:val="7B532E03"/>
    <w:rsid w:val="7B5B603A"/>
    <w:rsid w:val="7B626231"/>
    <w:rsid w:val="7B642499"/>
    <w:rsid w:val="7B656EB9"/>
    <w:rsid w:val="7B6F568B"/>
    <w:rsid w:val="7B8706E0"/>
    <w:rsid w:val="7B931C78"/>
    <w:rsid w:val="7B98728E"/>
    <w:rsid w:val="7B9E4FF6"/>
    <w:rsid w:val="7BAA2A01"/>
    <w:rsid w:val="7BAD0F8C"/>
    <w:rsid w:val="7BB51BEE"/>
    <w:rsid w:val="7BB526B3"/>
    <w:rsid w:val="7BC912FA"/>
    <w:rsid w:val="7BD10038"/>
    <w:rsid w:val="7BD302C6"/>
    <w:rsid w:val="7BD71211"/>
    <w:rsid w:val="7BE06574"/>
    <w:rsid w:val="7BE50268"/>
    <w:rsid w:val="7BF07FCB"/>
    <w:rsid w:val="7BFF730D"/>
    <w:rsid w:val="7C01327F"/>
    <w:rsid w:val="7C014FB3"/>
    <w:rsid w:val="7C0244F2"/>
    <w:rsid w:val="7C181EB2"/>
    <w:rsid w:val="7C304F8E"/>
    <w:rsid w:val="7C336FB7"/>
    <w:rsid w:val="7C39281F"/>
    <w:rsid w:val="7C4C370C"/>
    <w:rsid w:val="7C4F089D"/>
    <w:rsid w:val="7C5238E1"/>
    <w:rsid w:val="7C5807CC"/>
    <w:rsid w:val="7C5D7E4F"/>
    <w:rsid w:val="7C605B0C"/>
    <w:rsid w:val="7C630C65"/>
    <w:rsid w:val="7C740D99"/>
    <w:rsid w:val="7C760599"/>
    <w:rsid w:val="7C7C5114"/>
    <w:rsid w:val="7C935AB5"/>
    <w:rsid w:val="7CB4634A"/>
    <w:rsid w:val="7CC62D8B"/>
    <w:rsid w:val="7CCA4662"/>
    <w:rsid w:val="7CCF762A"/>
    <w:rsid w:val="7CDD2818"/>
    <w:rsid w:val="7CE04A49"/>
    <w:rsid w:val="7CF60710"/>
    <w:rsid w:val="7D00333D"/>
    <w:rsid w:val="7D040449"/>
    <w:rsid w:val="7D0A335E"/>
    <w:rsid w:val="7D0A5491"/>
    <w:rsid w:val="7D231188"/>
    <w:rsid w:val="7D313426"/>
    <w:rsid w:val="7D357EBC"/>
    <w:rsid w:val="7D580A83"/>
    <w:rsid w:val="7D633A67"/>
    <w:rsid w:val="7D6F29AF"/>
    <w:rsid w:val="7D705CBB"/>
    <w:rsid w:val="7D7E3B4B"/>
    <w:rsid w:val="7D817656"/>
    <w:rsid w:val="7D845D1C"/>
    <w:rsid w:val="7D8862B7"/>
    <w:rsid w:val="7D8C71F3"/>
    <w:rsid w:val="7D935E67"/>
    <w:rsid w:val="7D99109C"/>
    <w:rsid w:val="7D9B184A"/>
    <w:rsid w:val="7D9F519D"/>
    <w:rsid w:val="7DA3023D"/>
    <w:rsid w:val="7DA43CC8"/>
    <w:rsid w:val="7DAE0FEB"/>
    <w:rsid w:val="7DB61C4E"/>
    <w:rsid w:val="7DB71C83"/>
    <w:rsid w:val="7DB84577"/>
    <w:rsid w:val="7DB87F12"/>
    <w:rsid w:val="7DBF5565"/>
    <w:rsid w:val="7DC75C09"/>
    <w:rsid w:val="7DC9372F"/>
    <w:rsid w:val="7DCC4A87"/>
    <w:rsid w:val="7DD303DA"/>
    <w:rsid w:val="7DD65E4C"/>
    <w:rsid w:val="7DD9273F"/>
    <w:rsid w:val="7DE40F78"/>
    <w:rsid w:val="7DE871B4"/>
    <w:rsid w:val="7DEA0341"/>
    <w:rsid w:val="7DEB37E9"/>
    <w:rsid w:val="7DFB3D6A"/>
    <w:rsid w:val="7E0751A3"/>
    <w:rsid w:val="7E14791A"/>
    <w:rsid w:val="7E197282"/>
    <w:rsid w:val="7E1A5C35"/>
    <w:rsid w:val="7E1D3A7B"/>
    <w:rsid w:val="7E2766A8"/>
    <w:rsid w:val="7E297621"/>
    <w:rsid w:val="7E2C4707"/>
    <w:rsid w:val="7E35325C"/>
    <w:rsid w:val="7E393919"/>
    <w:rsid w:val="7E395B7B"/>
    <w:rsid w:val="7E397153"/>
    <w:rsid w:val="7E4A6504"/>
    <w:rsid w:val="7E4D4360"/>
    <w:rsid w:val="7E4E1E86"/>
    <w:rsid w:val="7E500C09"/>
    <w:rsid w:val="7E5E656D"/>
    <w:rsid w:val="7E70004F"/>
    <w:rsid w:val="7E845D81"/>
    <w:rsid w:val="7E8813E9"/>
    <w:rsid w:val="7E9E696A"/>
    <w:rsid w:val="7EA96C28"/>
    <w:rsid w:val="7EB97C47"/>
    <w:rsid w:val="7EBF64A4"/>
    <w:rsid w:val="7EC27667"/>
    <w:rsid w:val="7ECB606F"/>
    <w:rsid w:val="7EE328E6"/>
    <w:rsid w:val="7EEC6DDC"/>
    <w:rsid w:val="7EF71012"/>
    <w:rsid w:val="7EF77AD5"/>
    <w:rsid w:val="7F0C5FC9"/>
    <w:rsid w:val="7F1050B8"/>
    <w:rsid w:val="7F1175B5"/>
    <w:rsid w:val="7F121106"/>
    <w:rsid w:val="7F152DF5"/>
    <w:rsid w:val="7F261F6C"/>
    <w:rsid w:val="7F2F74D9"/>
    <w:rsid w:val="7F2F7F0A"/>
    <w:rsid w:val="7F4B329E"/>
    <w:rsid w:val="7F4B424A"/>
    <w:rsid w:val="7F4B7D56"/>
    <w:rsid w:val="7F737DF6"/>
    <w:rsid w:val="7F7A3700"/>
    <w:rsid w:val="7F87534F"/>
    <w:rsid w:val="7F9014F2"/>
    <w:rsid w:val="7F9020BE"/>
    <w:rsid w:val="7F911291"/>
    <w:rsid w:val="7FB623D9"/>
    <w:rsid w:val="7FC625E9"/>
    <w:rsid w:val="7FCE57F4"/>
    <w:rsid w:val="7FD5285F"/>
    <w:rsid w:val="7FD64829"/>
    <w:rsid w:val="7FDE0B57"/>
    <w:rsid w:val="7FE02050"/>
    <w:rsid w:val="7FE2578F"/>
    <w:rsid w:val="7FEB2083"/>
    <w:rsid w:val="7FF13411"/>
    <w:rsid w:val="7FF408E5"/>
    <w:rsid w:val="7FF60A27"/>
    <w:rsid w:val="7FF672E6"/>
    <w:rsid w:val="7FFF5F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autoRedefine/>
    <w:qFormat/>
    <w:uiPriority w:val="0"/>
    <w:pPr>
      <w:keepNext/>
      <w:keepLines/>
      <w:adjustRightInd w:val="0"/>
      <w:snapToGrid w:val="0"/>
      <w:spacing w:before="156" w:beforeLines="0" w:beforeAutospacing="0" w:line="360" w:lineRule="auto"/>
      <w:outlineLvl w:val="1"/>
    </w:pPr>
    <w:rPr>
      <w:rFonts w:ascii="Times New Roman" w:hAnsi="Times New Roman"/>
      <w:b/>
      <w:sz w:val="24"/>
    </w:rPr>
  </w:style>
  <w:style w:type="paragraph" w:styleId="7">
    <w:name w:val="heading 3"/>
    <w:basedOn w:val="1"/>
    <w:next w:val="1"/>
    <w:autoRedefine/>
    <w:qFormat/>
    <w:uiPriority w:val="0"/>
    <w:pPr>
      <w:keepNext/>
      <w:keepLines/>
      <w:spacing w:line="360" w:lineRule="auto"/>
      <w:ind w:left="852"/>
      <w:outlineLvl w:val="2"/>
    </w:pPr>
    <w:rPr>
      <w:rFonts w:ascii="Times New Roman" w:hAnsi="Times New Roman" w:eastAsia="黑体"/>
      <w:b/>
      <w:kern w:val="0"/>
      <w:sz w:val="24"/>
      <w:szCs w:val="24"/>
    </w:rPr>
  </w:style>
  <w:style w:type="paragraph" w:styleId="8">
    <w:name w:val="heading 4"/>
    <w:basedOn w:val="1"/>
    <w:next w:val="1"/>
    <w:autoRedefine/>
    <w:qFormat/>
    <w:uiPriority w:val="0"/>
    <w:pPr>
      <w:keepNext/>
      <w:keepLines/>
      <w:spacing w:beforeLines="0" w:beforeAutospacing="0" w:afterLines="0" w:afterAutospacing="0" w:line="360" w:lineRule="auto"/>
      <w:ind w:firstLine="0" w:firstLineChars="0"/>
      <w:outlineLvl w:val="3"/>
    </w:pPr>
    <w:rPr>
      <w:rFonts w:ascii="Times New Roman" w:hAnsi="Times New Roman" w:eastAsia="宋体"/>
      <w:b/>
      <w:sz w:val="24"/>
    </w:rPr>
  </w:style>
  <w:style w:type="character" w:default="1" w:styleId="28">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2">
    <w:name w:val="header"/>
    <w:basedOn w:val="1"/>
    <w:next w:val="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3">
    <w:name w:val="index heading"/>
    <w:basedOn w:val="1"/>
    <w:next w:val="4"/>
    <w:autoRedefine/>
    <w:qFormat/>
    <w:uiPriority w:val="0"/>
    <w:rPr>
      <w:rFonts w:ascii="Arial" w:hAnsi="Arial"/>
      <w:b/>
    </w:rPr>
  </w:style>
  <w:style w:type="paragraph" w:styleId="4">
    <w:name w:val="index 1"/>
    <w:basedOn w:val="1"/>
    <w:next w:val="1"/>
    <w:autoRedefine/>
    <w:semiHidden/>
    <w:qFormat/>
    <w:uiPriority w:val="0"/>
    <w:pPr>
      <w:adjustRightInd w:val="0"/>
      <w:snapToGrid w:val="0"/>
      <w:ind w:firstLine="823" w:firstLineChars="358"/>
      <w:jc w:val="left"/>
    </w:pPr>
    <w:rPr>
      <w:rFonts w:ascii="宋体" w:hAnsi="宋体"/>
      <w:spacing w:val="10"/>
    </w:rPr>
  </w:style>
  <w:style w:type="paragraph" w:styleId="9">
    <w:name w:val="Normal Indent"/>
    <w:basedOn w:val="1"/>
    <w:next w:val="1"/>
    <w:qFormat/>
    <w:uiPriority w:val="0"/>
    <w:pPr>
      <w:ind w:firstLine="420" w:firstLineChars="200"/>
    </w:pPr>
  </w:style>
  <w:style w:type="paragraph" w:styleId="10">
    <w:name w:val="caption"/>
    <w:basedOn w:val="1"/>
    <w:next w:val="1"/>
    <w:autoRedefine/>
    <w:qFormat/>
    <w:uiPriority w:val="0"/>
    <w:rPr>
      <w:rFonts w:ascii="Arial" w:hAnsi="Arial" w:eastAsia="黑体" w:cs="Arial"/>
      <w:sz w:val="20"/>
      <w:szCs w:val="20"/>
    </w:rPr>
  </w:style>
  <w:style w:type="paragraph" w:styleId="11">
    <w:name w:val="toa heading"/>
    <w:basedOn w:val="1"/>
    <w:next w:val="1"/>
    <w:autoRedefine/>
    <w:unhideWhenUsed/>
    <w:qFormat/>
    <w:uiPriority w:val="99"/>
    <w:pPr>
      <w:spacing w:before="120"/>
    </w:pPr>
    <w:rPr>
      <w:rFonts w:ascii="Cambria" w:hAnsi="Cambria" w:eastAsia="宋体" w:cs="Times New Roman"/>
      <w:sz w:val="24"/>
    </w:rPr>
  </w:style>
  <w:style w:type="paragraph" w:styleId="12">
    <w:name w:val="annotation text"/>
    <w:basedOn w:val="1"/>
    <w:autoRedefine/>
    <w:qFormat/>
    <w:uiPriority w:val="0"/>
    <w:pPr>
      <w:jc w:val="left"/>
    </w:pPr>
  </w:style>
  <w:style w:type="paragraph" w:styleId="13">
    <w:name w:val="Salutation"/>
    <w:basedOn w:val="1"/>
    <w:next w:val="1"/>
    <w:qFormat/>
    <w:uiPriority w:val="0"/>
  </w:style>
  <w:style w:type="paragraph" w:styleId="14">
    <w:name w:val="Body Text"/>
    <w:basedOn w:val="1"/>
    <w:next w:val="1"/>
    <w:qFormat/>
    <w:uiPriority w:val="0"/>
    <w:pPr>
      <w:spacing w:after="120"/>
    </w:pPr>
  </w:style>
  <w:style w:type="paragraph" w:styleId="15">
    <w:name w:val="Body Text Indent"/>
    <w:basedOn w:val="1"/>
    <w:next w:val="2"/>
    <w:autoRedefine/>
    <w:qFormat/>
    <w:uiPriority w:val="0"/>
    <w:pPr>
      <w:widowControl/>
      <w:spacing w:after="120"/>
      <w:ind w:left="420" w:leftChars="200"/>
      <w:jc w:val="left"/>
    </w:pPr>
    <w:rPr>
      <w:kern w:val="0"/>
      <w:sz w:val="24"/>
    </w:rPr>
  </w:style>
  <w:style w:type="paragraph" w:styleId="16">
    <w:name w:val="Block Text"/>
    <w:basedOn w:val="1"/>
    <w:qFormat/>
    <w:uiPriority w:val="0"/>
    <w:pPr>
      <w:spacing w:after="120"/>
      <w:ind w:left="1440" w:leftChars="700" w:right="1440" w:rightChars="700"/>
    </w:pPr>
  </w:style>
  <w:style w:type="paragraph" w:styleId="17">
    <w:name w:val="Plain Text"/>
    <w:basedOn w:val="1"/>
    <w:next w:val="1"/>
    <w:qFormat/>
    <w:uiPriority w:val="0"/>
    <w:rPr>
      <w:rFonts w:ascii="宋体" w:hAnsi="Courier New"/>
    </w:rPr>
  </w:style>
  <w:style w:type="paragraph" w:styleId="18">
    <w:name w:val="Date"/>
    <w:basedOn w:val="1"/>
    <w:next w:val="1"/>
    <w:autoRedefine/>
    <w:qFormat/>
    <w:uiPriority w:val="0"/>
    <w:rPr>
      <w:sz w:val="24"/>
      <w:szCs w:val="20"/>
    </w:rPr>
  </w:style>
  <w:style w:type="paragraph" w:styleId="19">
    <w:name w:val="Body Text Indent 2"/>
    <w:basedOn w:val="1"/>
    <w:qFormat/>
    <w:uiPriority w:val="0"/>
    <w:pPr>
      <w:spacing w:after="120" w:afterLines="0" w:line="480" w:lineRule="auto"/>
      <w:ind w:leftChars="200"/>
    </w:pPr>
    <w:rPr>
      <w:sz w:val="24"/>
    </w:rPr>
  </w:style>
  <w:style w:type="paragraph" w:styleId="20">
    <w:name w:val="footer"/>
    <w:basedOn w:val="1"/>
    <w:qFormat/>
    <w:uiPriority w:val="99"/>
    <w:pPr>
      <w:tabs>
        <w:tab w:val="center" w:pos="4153"/>
        <w:tab w:val="right" w:pos="8306"/>
      </w:tabs>
      <w:snapToGrid w:val="0"/>
      <w:jc w:val="left"/>
    </w:pPr>
    <w:rPr>
      <w:kern w:val="0"/>
      <w:sz w:val="18"/>
      <w:szCs w:val="20"/>
    </w:rPr>
  </w:style>
  <w:style w:type="paragraph" w:styleId="21">
    <w:name w:val="toc 1"/>
    <w:basedOn w:val="1"/>
    <w:next w:val="1"/>
    <w:autoRedefine/>
    <w:qFormat/>
    <w:uiPriority w:val="0"/>
  </w:style>
  <w:style w:type="paragraph" w:styleId="22">
    <w:name w:val="Body Text Indent 3"/>
    <w:basedOn w:val="1"/>
    <w:autoRedefine/>
    <w:qFormat/>
    <w:uiPriority w:val="0"/>
    <w:pPr>
      <w:spacing w:after="120" w:afterLines="0"/>
      <w:ind w:left="420" w:leftChars="200"/>
    </w:pPr>
    <w:rPr>
      <w:sz w:val="16"/>
      <w:szCs w:val="16"/>
    </w:rPr>
  </w:style>
  <w:style w:type="paragraph" w:styleId="23">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4">
    <w:name w:val="Body Text First Indent"/>
    <w:basedOn w:val="14"/>
    <w:next w:val="1"/>
    <w:qFormat/>
    <w:uiPriority w:val="0"/>
    <w:pPr>
      <w:ind w:firstLine="420" w:firstLineChars="100"/>
    </w:pPr>
    <w:rPr>
      <w:sz w:val="24"/>
    </w:rPr>
  </w:style>
  <w:style w:type="paragraph" w:styleId="25">
    <w:name w:val="Body Text First Indent 2"/>
    <w:basedOn w:val="1"/>
    <w:next w:val="24"/>
    <w:qFormat/>
    <w:uiPriority w:val="0"/>
    <w:pPr>
      <w:widowControl w:val="0"/>
      <w:ind w:firstLine="420" w:firstLineChars="200"/>
      <w:jc w:val="both"/>
    </w:pPr>
    <w:rPr>
      <w:kern w:val="2"/>
      <w:sz w:val="21"/>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autoRedefine/>
    <w:qFormat/>
    <w:uiPriority w:val="0"/>
    <w:rPr>
      <w:b/>
    </w:rPr>
  </w:style>
  <w:style w:type="character" w:styleId="30">
    <w:name w:val="page number"/>
    <w:basedOn w:val="28"/>
    <w:autoRedefine/>
    <w:qFormat/>
    <w:uiPriority w:val="0"/>
  </w:style>
  <w:style w:type="character" w:styleId="31">
    <w:name w:val="Emphasis"/>
    <w:autoRedefine/>
    <w:qFormat/>
    <w:uiPriority w:val="20"/>
  </w:style>
  <w:style w:type="character" w:styleId="32">
    <w:name w:val="Hyperlink"/>
    <w:basedOn w:val="28"/>
    <w:autoRedefine/>
    <w:qFormat/>
    <w:uiPriority w:val="0"/>
    <w:rPr>
      <w:color w:val="000000"/>
      <w:u w:val="none"/>
    </w:rPr>
  </w:style>
  <w:style w:type="character" w:styleId="33">
    <w:name w:val="annotation reference"/>
    <w:basedOn w:val="28"/>
    <w:autoRedefine/>
    <w:qFormat/>
    <w:uiPriority w:val="0"/>
    <w:rPr>
      <w:sz w:val="21"/>
    </w:rPr>
  </w:style>
  <w:style w:type="paragraph" w:customStyle="1" w:styleId="34">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35">
    <w:name w:val="样式 标题 1 + 四号 段前: 0 磅 段后: 0 磅 行距: 1.5 倍行距"/>
    <w:basedOn w:val="36"/>
    <w:next w:val="37"/>
    <w:autoRedefine/>
    <w:qFormat/>
    <w:uiPriority w:val="0"/>
    <w:pPr>
      <w:spacing w:line="360" w:lineRule="auto"/>
      <w:jc w:val="center"/>
    </w:pPr>
  </w:style>
  <w:style w:type="paragraph" w:customStyle="1" w:styleId="36">
    <w:name w:val="1正文"/>
    <w:basedOn w:val="1"/>
    <w:autoRedefine/>
    <w:qFormat/>
    <w:uiPriority w:val="0"/>
    <w:pPr>
      <w:spacing w:line="500" w:lineRule="exact"/>
      <w:ind w:firstLine="588" w:firstLineChars="196"/>
    </w:pPr>
    <w:rPr>
      <w:rFonts w:eastAsia="楷体_GB2312"/>
      <w:sz w:val="30"/>
      <w:szCs w:val="30"/>
    </w:rPr>
  </w:style>
  <w:style w:type="paragraph" w:customStyle="1" w:styleId="37">
    <w:name w:val="文本正文"/>
    <w:basedOn w:val="1"/>
    <w:autoRedefine/>
    <w:qFormat/>
    <w:uiPriority w:val="0"/>
    <w:pPr>
      <w:snapToGrid w:val="0"/>
      <w:spacing w:line="360" w:lineRule="auto"/>
      <w:ind w:firstLine="510"/>
      <w:jc w:val="left"/>
    </w:pPr>
    <w:rPr>
      <w:spacing w:val="4"/>
      <w:kern w:val="24"/>
      <w:szCs w:val="24"/>
      <w:lang w:val="zh-CN"/>
    </w:rPr>
  </w:style>
  <w:style w:type="paragraph" w:customStyle="1" w:styleId="38">
    <w:name w:val="报告表正文"/>
    <w:basedOn w:val="1"/>
    <w:autoRedefine/>
    <w:qFormat/>
    <w:uiPriority w:val="0"/>
    <w:pPr>
      <w:adjustRightInd w:val="0"/>
      <w:spacing w:line="312" w:lineRule="auto"/>
      <w:ind w:left="113" w:right="113" w:firstLine="482"/>
      <w:jc w:val="left"/>
      <w:textAlignment w:val="baseline"/>
    </w:pPr>
    <w:rPr>
      <w:kern w:val="0"/>
      <w:sz w:val="24"/>
    </w:rPr>
  </w:style>
  <w:style w:type="paragraph" w:customStyle="1" w:styleId="39">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40">
    <w:name w:val="样式 黑色 行距: 最小值 26 磅"/>
    <w:basedOn w:val="1"/>
    <w:autoRedefine/>
    <w:qFormat/>
    <w:uiPriority w:val="0"/>
    <w:pPr>
      <w:spacing w:line="240" w:lineRule="auto"/>
      <w:ind w:firstLine="200" w:firstLineChars="200"/>
      <w:jc w:val="left"/>
    </w:pPr>
    <w:rPr>
      <w:rFonts w:eastAsia="楷体_GB2312" w:cs="宋体"/>
      <w:color w:val="000000"/>
      <w:spacing w:val="6"/>
      <w:sz w:val="28"/>
      <w:szCs w:val="20"/>
    </w:rPr>
  </w:style>
  <w:style w:type="paragraph" w:customStyle="1" w:styleId="41">
    <w:name w:val="表格"/>
    <w:basedOn w:val="9"/>
    <w:next w:val="9"/>
    <w:autoRedefine/>
    <w:qFormat/>
    <w:uiPriority w:val="0"/>
    <w:pPr>
      <w:adjustRightInd w:val="0"/>
      <w:snapToGrid w:val="0"/>
      <w:spacing w:beforeLines="10" w:afterLines="10" w:line="259" w:lineRule="auto"/>
      <w:jc w:val="center"/>
    </w:pPr>
    <w:rPr>
      <w:rFonts w:ascii="宋体"/>
      <w:kern w:val="0"/>
      <w:szCs w:val="20"/>
    </w:rPr>
  </w:style>
  <w:style w:type="paragraph" w:customStyle="1" w:styleId="42">
    <w:name w:val="图标题"/>
    <w:basedOn w:val="1"/>
    <w:autoRedefine/>
    <w:qFormat/>
    <w:uiPriority w:val="0"/>
    <w:pPr>
      <w:tabs>
        <w:tab w:val="left" w:pos="1035"/>
      </w:tabs>
      <w:spacing w:afterLines="100"/>
      <w:jc w:val="center"/>
    </w:pPr>
    <w:rPr>
      <w:sz w:val="24"/>
    </w:rPr>
  </w:style>
  <w:style w:type="paragraph" w:customStyle="1" w:styleId="43">
    <w:name w:val="表格及表头"/>
    <w:basedOn w:val="1"/>
    <w:next w:val="1"/>
    <w:autoRedefine/>
    <w:qFormat/>
    <w:uiPriority w:val="0"/>
    <w:pPr>
      <w:spacing w:line="240" w:lineRule="auto"/>
      <w:ind w:firstLine="0" w:firstLineChars="0"/>
      <w:jc w:val="both"/>
    </w:pPr>
    <w:rPr>
      <w:rFonts w:ascii="Times New Roman" w:hAnsi="Times New Roman"/>
      <w:sz w:val="21"/>
      <w:szCs w:val="21"/>
    </w:rPr>
  </w:style>
  <w:style w:type="paragraph" w:customStyle="1" w:styleId="44">
    <w:name w:val="p17"/>
    <w:basedOn w:val="1"/>
    <w:autoRedefine/>
    <w:qFormat/>
    <w:uiPriority w:val="0"/>
    <w:pPr>
      <w:widowControl/>
      <w:spacing w:after="120" w:afterLines="0"/>
    </w:pPr>
    <w:rPr>
      <w:kern w:val="0"/>
      <w:sz w:val="30"/>
      <w:szCs w:val="30"/>
    </w:rPr>
  </w:style>
  <w:style w:type="paragraph" w:customStyle="1" w:styleId="45">
    <w:name w:val="文本内容"/>
    <w:basedOn w:val="1"/>
    <w:autoRedefine/>
    <w:qFormat/>
    <w:uiPriority w:val="0"/>
    <w:pPr>
      <w:adjustRightInd w:val="0"/>
      <w:snapToGrid w:val="0"/>
      <w:spacing w:line="360" w:lineRule="auto"/>
      <w:ind w:firstLine="546" w:firstLineChars="200"/>
    </w:pPr>
    <w:rPr>
      <w:rFonts w:ascii="Calibri" w:hAnsi="Calibri"/>
      <w:sz w:val="28"/>
    </w:rPr>
  </w:style>
  <w:style w:type="character" w:customStyle="1" w:styleId="46">
    <w:name w:val="ggzbt011"/>
    <w:basedOn w:val="28"/>
    <w:autoRedefine/>
    <w:qFormat/>
    <w:uiPriority w:val="0"/>
  </w:style>
  <w:style w:type="paragraph" w:customStyle="1" w:styleId="47">
    <w:name w:val="中文报告书样式"/>
    <w:basedOn w:val="1"/>
    <w:autoRedefine/>
    <w:qFormat/>
    <w:uiPriority w:val="0"/>
    <w:pPr>
      <w:adjustRightInd w:val="0"/>
      <w:spacing w:line="480" w:lineRule="atLeast"/>
      <w:ind w:firstLine="482"/>
      <w:textAlignment w:val="baseline"/>
    </w:pPr>
    <w:rPr>
      <w:kern w:val="24"/>
      <w:sz w:val="24"/>
      <w:szCs w:val="20"/>
    </w:rPr>
  </w:style>
  <w:style w:type="character" w:customStyle="1" w:styleId="48">
    <w:name w:val="dz1"/>
    <w:autoRedefine/>
    <w:qFormat/>
    <w:uiPriority w:val="0"/>
    <w:rPr>
      <w:rFonts w:hint="default" w:ascii="Geneva" w:hAnsi="Geneva"/>
      <w:sz w:val="20"/>
      <w:szCs w:val="20"/>
    </w:rPr>
  </w:style>
  <w:style w:type="paragraph" w:customStyle="1" w:styleId="49">
    <w:name w:val="制表格"/>
    <w:basedOn w:val="1"/>
    <w:autoRedefine/>
    <w:qFormat/>
    <w:uiPriority w:val="0"/>
    <w:pPr>
      <w:jc w:val="center"/>
    </w:pPr>
    <w:rPr>
      <w:rFonts w:ascii="Times New Roman" w:hAnsi="Times New Roman"/>
      <w:snapToGrid w:val="0"/>
      <w:kern w:val="0"/>
      <w:szCs w:val="28"/>
    </w:rPr>
  </w:style>
  <w:style w:type="paragraph" w:customStyle="1" w:styleId="50">
    <w:name w:val="环科院正文"/>
    <w:basedOn w:val="1"/>
    <w:autoRedefine/>
    <w:qFormat/>
    <w:uiPriority w:val="0"/>
    <w:pPr>
      <w:tabs>
        <w:tab w:val="left" w:pos="5760"/>
      </w:tabs>
      <w:spacing w:line="360" w:lineRule="auto"/>
      <w:ind w:firstLine="480" w:firstLineChars="200"/>
    </w:pPr>
    <w:rPr>
      <w:rFonts w:hAnsi="宋体"/>
      <w:bCs/>
      <w:sz w:val="24"/>
      <w:szCs w:val="20"/>
    </w:rPr>
  </w:style>
  <w:style w:type="paragraph" w:customStyle="1" w:styleId="51">
    <w:name w:val="11"/>
    <w:basedOn w:val="14"/>
    <w:next w:val="16"/>
    <w:autoRedefine/>
    <w:qFormat/>
    <w:uiPriority w:val="0"/>
    <w:pPr>
      <w:autoSpaceDE w:val="0"/>
      <w:autoSpaceDN w:val="0"/>
      <w:adjustRightInd w:val="0"/>
      <w:spacing w:after="0" w:line="360" w:lineRule="auto"/>
      <w:ind w:firstLine="1320" w:firstLineChars="550"/>
      <w:textAlignment w:val="baseline"/>
    </w:pPr>
    <w:rPr>
      <w:sz w:val="24"/>
    </w:rPr>
  </w:style>
  <w:style w:type="paragraph" w:customStyle="1" w:styleId="52">
    <w:name w:val="样式 小四 行距: 1.5 倍行距"/>
    <w:autoRedefine/>
    <w:qFormat/>
    <w:uiPriority w:val="0"/>
    <w:pPr>
      <w:adjustRightInd w:val="0"/>
      <w:snapToGrid w:val="0"/>
      <w:spacing w:line="360" w:lineRule="auto"/>
      <w:ind w:firstLine="480" w:firstLineChars="200"/>
    </w:pPr>
    <w:rPr>
      <w:rFonts w:ascii="Times New Roman" w:hAnsi="Times New Roman" w:eastAsia="宋体" w:cs="Times New Roman"/>
      <w:sz w:val="24"/>
      <w:lang w:val="en-US" w:eastAsia="zh-CN" w:bidi="ar-SA"/>
    </w:rPr>
  </w:style>
  <w:style w:type="paragraph" w:customStyle="1" w:styleId="53">
    <w:name w:val="WPSOffice手动目录 1"/>
    <w:autoRedefine/>
    <w:qFormat/>
    <w:uiPriority w:val="0"/>
    <w:pPr>
      <w:ind w:leftChars="0"/>
    </w:pPr>
    <w:rPr>
      <w:rFonts w:ascii="Times New Roman" w:hAnsi="Times New Roman" w:eastAsia="宋体" w:cs="Times New Roman"/>
      <w:sz w:val="20"/>
      <w:szCs w:val="20"/>
    </w:rPr>
  </w:style>
  <w:style w:type="paragraph" w:customStyle="1" w:styleId="54">
    <w:name w:val="表头（书）"/>
    <w:basedOn w:val="1"/>
    <w:next w:val="41"/>
    <w:autoRedefine/>
    <w:qFormat/>
    <w:uiPriority w:val="0"/>
    <w:pPr>
      <w:numPr>
        <w:ilvl w:val="4"/>
        <w:numId w:val="1"/>
      </w:numPr>
      <w:spacing w:line="240" w:lineRule="auto"/>
      <w:ind w:left="1008" w:hanging="1008" w:firstLineChars="0"/>
      <w:jc w:val="center"/>
    </w:pPr>
    <w:rPr>
      <w:rFonts w:ascii="Times New Roman" w:hAnsi="Times New Roman" w:eastAsia="宋体"/>
      <w:b/>
      <w:bCs/>
    </w:rPr>
  </w:style>
  <w:style w:type="paragraph" w:customStyle="1" w:styleId="55">
    <w:name w:val="No Spacing"/>
    <w:autoRedefine/>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56">
    <w:name w:val="p0"/>
    <w:basedOn w:val="1"/>
    <w:autoRedefine/>
    <w:qFormat/>
    <w:uiPriority w:val="0"/>
    <w:pPr>
      <w:widowControl/>
    </w:pPr>
    <w:rPr>
      <w:rFonts w:eastAsia="Arial Unicode MS"/>
      <w:kern w:val="0"/>
      <w:szCs w:val="21"/>
    </w:rPr>
  </w:style>
  <w:style w:type="paragraph" w:customStyle="1" w:styleId="57">
    <w:name w:val="赵"/>
    <w:basedOn w:val="1"/>
    <w:autoRedefine/>
    <w:qFormat/>
    <w:uiPriority w:val="0"/>
    <w:pPr>
      <w:spacing w:line="360" w:lineRule="auto"/>
      <w:ind w:firstLine="200" w:firstLineChars="200"/>
    </w:pPr>
    <w:rPr>
      <w:color w:val="000000"/>
      <w:kern w:val="0"/>
      <w:sz w:val="24"/>
      <w:szCs w:val="24"/>
    </w:rPr>
  </w:style>
  <w:style w:type="paragraph" w:customStyle="1" w:styleId="58">
    <w:name w:val="表题"/>
    <w:autoRedefine/>
    <w:qFormat/>
    <w:uiPriority w:val="0"/>
    <w:pPr>
      <w:adjustRightInd w:val="0"/>
      <w:snapToGrid w:val="0"/>
      <w:spacing w:before="156" w:after="156"/>
      <w:jc w:val="center"/>
    </w:pPr>
    <w:rPr>
      <w:rFonts w:ascii="Times New Roman" w:hAnsi="Times New Roman" w:eastAsia="PMingLiU" w:cs="Times New Roman"/>
      <w:sz w:val="24"/>
      <w:lang w:val="en-US" w:eastAsia="zh-CN" w:bidi="ar-SA"/>
    </w:rPr>
  </w:style>
  <w:style w:type="paragraph" w:customStyle="1" w:styleId="59">
    <w:name w:val="填表5中"/>
    <w:basedOn w:val="1"/>
    <w:next w:val="1"/>
    <w:autoRedefine/>
    <w:qFormat/>
    <w:uiPriority w:val="0"/>
    <w:pPr>
      <w:spacing w:line="300" w:lineRule="exact"/>
      <w:jc w:val="center"/>
    </w:pPr>
    <w:rPr>
      <w:rFonts w:ascii="宋体"/>
      <w:sz w:val="24"/>
      <w:szCs w:val="21"/>
    </w:rPr>
  </w:style>
  <w:style w:type="character" w:customStyle="1" w:styleId="60">
    <w:name w:val="fw2"/>
    <w:basedOn w:val="28"/>
    <w:autoRedefine/>
    <w:qFormat/>
    <w:uiPriority w:val="0"/>
  </w:style>
  <w:style w:type="paragraph" w:customStyle="1" w:styleId="61">
    <w:name w:val="_Style 2"/>
    <w:autoRedefine/>
    <w:qFormat/>
    <w:uiPriority w:val="0"/>
    <w:pPr>
      <w:widowControl w:val="0"/>
      <w:spacing w:line="240" w:lineRule="atLeast"/>
      <w:jc w:val="both"/>
    </w:pPr>
    <w:rPr>
      <w:rFonts w:ascii="Calibri" w:hAnsi="Calibri" w:eastAsia="宋体" w:cs="Times New Roman"/>
      <w:kern w:val="2"/>
      <w:sz w:val="21"/>
      <w:szCs w:val="22"/>
      <w:lang w:val="en-US" w:eastAsia="zh-CN" w:bidi="ar-SA"/>
    </w:rPr>
  </w:style>
  <w:style w:type="paragraph" w:customStyle="1" w:styleId="62">
    <w:name w:val="1文章"/>
    <w:basedOn w:val="1"/>
    <w:autoRedefine/>
    <w:qFormat/>
    <w:uiPriority w:val="0"/>
    <w:pPr>
      <w:spacing w:line="360" w:lineRule="auto"/>
      <w:ind w:firstLine="573"/>
    </w:pPr>
    <w:rPr>
      <w:rFonts w:eastAsia="楷体_GB2312"/>
      <w:sz w:val="28"/>
      <w:szCs w:val="20"/>
    </w:rPr>
  </w:style>
  <w:style w:type="paragraph" w:customStyle="1" w:styleId="63">
    <w:name w:val="正文内容"/>
    <w:autoRedefine/>
    <w:qFormat/>
    <w:uiPriority w:val="0"/>
    <w:pPr>
      <w:widowControl w:val="0"/>
      <w:snapToGrid w:val="0"/>
      <w:spacing w:before="60" w:after="60" w:line="44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64">
    <w:name w:val="List Paragraph"/>
    <w:basedOn w:val="1"/>
    <w:autoRedefine/>
    <w:qFormat/>
    <w:uiPriority w:val="0"/>
    <w:pPr>
      <w:ind w:firstLine="420" w:firstLineChars="200"/>
    </w:pPr>
    <w:rPr>
      <w:szCs w:val="22"/>
    </w:rPr>
  </w:style>
  <w:style w:type="paragraph" w:customStyle="1" w:styleId="65">
    <w:name w:val="报告表格"/>
    <w:basedOn w:val="1"/>
    <w:autoRedefine/>
    <w:qFormat/>
    <w:uiPriority w:val="0"/>
    <w:pPr>
      <w:autoSpaceDE w:val="0"/>
      <w:autoSpaceDN w:val="0"/>
      <w:adjustRightInd w:val="0"/>
      <w:spacing w:before="40" w:beforeLines="0" w:after="40" w:afterLines="0"/>
      <w:jc w:val="center"/>
    </w:pPr>
    <w:rPr>
      <w:rFonts w:ascii="Times New Roman" w:hAnsi="Times New Roman"/>
      <w:kern w:val="0"/>
    </w:rPr>
  </w:style>
  <w:style w:type="paragraph" w:customStyle="1" w:styleId="66">
    <w:name w:val="正文01"/>
    <w:basedOn w:val="6"/>
    <w:autoRedefine/>
    <w:qFormat/>
    <w:uiPriority w:val="0"/>
    <w:pPr>
      <w:keepNext w:val="0"/>
      <w:keepLines w:val="0"/>
      <w:numPr>
        <w:ilvl w:val="0"/>
        <w:numId w:val="0"/>
      </w:numPr>
      <w:adjustRightInd/>
      <w:snapToGrid/>
      <w:spacing w:before="60" w:beforeLines="0" w:beforeAutospacing="0" w:line="460" w:lineRule="exact"/>
      <w:ind w:firstLine="200" w:firstLineChars="200"/>
      <w:outlineLvl w:val="9"/>
    </w:pPr>
    <w:rPr>
      <w:rFonts w:ascii="Times New Roman" w:hAnsi="Times New Roman"/>
      <w:b w:val="0"/>
    </w:rPr>
  </w:style>
  <w:style w:type="paragraph" w:customStyle="1" w:styleId="67">
    <w:name w:val="表格 32"/>
    <w:basedOn w:val="1"/>
    <w:autoRedefine/>
    <w:qFormat/>
    <w:uiPriority w:val="0"/>
    <w:pPr>
      <w:autoSpaceDE w:val="0"/>
      <w:autoSpaceDN w:val="0"/>
      <w:adjustRightInd w:val="0"/>
      <w:ind w:firstLine="0"/>
      <w:jc w:val="center"/>
      <w:textAlignment w:val="baseline"/>
    </w:pPr>
    <w:rPr>
      <w:rFonts w:ascii="宋体" w:hAnsi="Impact"/>
      <w:kern w:val="24"/>
    </w:rPr>
  </w:style>
  <w:style w:type="paragraph" w:customStyle="1" w:styleId="68">
    <w:name w:val="reader-word-layer reader-word-s6-8"/>
    <w:basedOn w:val="1"/>
    <w:autoRedefine/>
    <w:qFormat/>
    <w:uiPriority w:val="0"/>
    <w:pPr>
      <w:widowControl/>
      <w:spacing w:before="100" w:beforeLines="0" w:beforeAutospacing="1" w:after="100" w:afterLines="0" w:afterAutospacing="1"/>
      <w:jc w:val="left"/>
    </w:pPr>
    <w:rPr>
      <w:rFonts w:cs="宋体"/>
      <w:kern w:val="0"/>
      <w:sz w:val="24"/>
    </w:rPr>
  </w:style>
  <w:style w:type="paragraph" w:customStyle="1" w:styleId="69">
    <w:name w:val="正文样式1"/>
    <w:basedOn w:val="1"/>
    <w:autoRedefine/>
    <w:qFormat/>
    <w:uiPriority w:val="0"/>
    <w:pPr>
      <w:adjustRightInd w:val="0"/>
      <w:spacing w:line="288" w:lineRule="auto"/>
      <w:ind w:firstLine="360" w:firstLineChars="150"/>
      <w:textAlignment w:val="baseline"/>
    </w:pPr>
    <w:rPr>
      <w:kern w:val="0"/>
      <w:sz w:val="24"/>
      <w:szCs w:val="20"/>
    </w:rPr>
  </w:style>
  <w:style w:type="character" w:customStyle="1" w:styleId="70">
    <w:name w:val="正文文本 Char1"/>
    <w:autoRedefine/>
    <w:qFormat/>
    <w:uiPriority w:val="0"/>
    <w:rPr>
      <w:rFonts w:eastAsia="宋体"/>
      <w:kern w:val="2"/>
      <w:sz w:val="28"/>
      <w:szCs w:val="24"/>
      <w:lang w:val="en-US" w:eastAsia="zh-CN" w:bidi="ar-SA"/>
    </w:rPr>
  </w:style>
  <w:style w:type="paragraph" w:customStyle="1" w:styleId="71">
    <w:name w:val="文本22"/>
    <w:basedOn w:val="1"/>
    <w:autoRedefine/>
    <w:qFormat/>
    <w:uiPriority w:val="0"/>
    <w:pPr>
      <w:autoSpaceDE w:val="0"/>
      <w:autoSpaceDN w:val="0"/>
      <w:adjustRightInd w:val="0"/>
      <w:spacing w:line="360" w:lineRule="auto"/>
      <w:ind w:firstLine="480" w:firstLineChars="200"/>
    </w:pPr>
    <w:rPr>
      <w:rFonts w:ascii="Times New Roman" w:hAnsi="Times New Roman"/>
      <w:sz w:val="24"/>
      <w:szCs w:val="24"/>
    </w:rPr>
  </w:style>
  <w:style w:type="paragraph" w:customStyle="1" w:styleId="72">
    <w:name w:val="样式 cucd-0 + (西文) Arial (中文) 仿宋_GB2312"/>
    <w:basedOn w:val="1"/>
    <w:autoRedefine/>
    <w:qFormat/>
    <w:uiPriority w:val="0"/>
    <w:pPr>
      <w:widowControl/>
      <w:spacing w:line="360" w:lineRule="auto"/>
      <w:ind w:firstLine="480" w:firstLineChars="200"/>
      <w:jc w:val="left"/>
    </w:pPr>
    <w:rPr>
      <w:rFonts w:ascii="Arial" w:hAnsi="Arial" w:eastAsia="仿宋_GB2312"/>
      <w:kern w:val="2"/>
      <w:sz w:val="28"/>
      <w:szCs w:val="21"/>
      <w:lang w:val="en-US" w:eastAsia="zh-CN" w:bidi="ar-SA"/>
    </w:rPr>
  </w:style>
  <w:style w:type="paragraph" w:customStyle="1" w:styleId="73">
    <w:name w:val="缩进2正文"/>
    <w:basedOn w:val="74"/>
    <w:autoRedefine/>
    <w:qFormat/>
    <w:uiPriority w:val="0"/>
    <w:pPr>
      <w:tabs>
        <w:tab w:val="left" w:pos="4860"/>
      </w:tabs>
      <w:ind w:firstLine="560"/>
      <w:jc w:val="both"/>
    </w:pPr>
    <w:rPr>
      <w:sz w:val="28"/>
      <w:szCs w:val="28"/>
    </w:rPr>
  </w:style>
  <w:style w:type="paragraph" w:customStyle="1" w:styleId="74">
    <w:name w:val="报告正文"/>
    <w:basedOn w:val="1"/>
    <w:autoRedefine/>
    <w:qFormat/>
    <w:uiPriority w:val="0"/>
    <w:pPr>
      <w:spacing w:line="360" w:lineRule="auto"/>
      <w:ind w:firstLine="200" w:firstLineChars="200"/>
      <w:jc w:val="left"/>
    </w:pPr>
    <w:rPr>
      <w:sz w:val="24"/>
      <w:szCs w:val="24"/>
    </w:rPr>
  </w:style>
  <w:style w:type="paragraph" w:customStyle="1" w:styleId="75">
    <w:name w:val="列出段落1"/>
    <w:basedOn w:val="1"/>
    <w:autoRedefine/>
    <w:qFormat/>
    <w:uiPriority w:val="34"/>
    <w:pPr>
      <w:ind w:firstLine="420" w:firstLineChars="200"/>
    </w:pPr>
    <w:rPr>
      <w:rFonts w:ascii="Times New Roman" w:hAnsi="Times New Roman"/>
      <w:szCs w:val="20"/>
    </w:rPr>
  </w:style>
  <w:style w:type="paragraph" w:customStyle="1" w:styleId="76">
    <w:name w:val=" Char"/>
    <w:basedOn w:val="1"/>
    <w:autoRedefine/>
    <w:qFormat/>
    <w:uiPriority w:val="0"/>
    <w:pPr>
      <w:snapToGrid w:val="0"/>
      <w:spacing w:line="360" w:lineRule="auto"/>
      <w:ind w:firstLine="529" w:firstLineChars="200"/>
    </w:pPr>
  </w:style>
  <w:style w:type="paragraph" w:customStyle="1" w:styleId="77">
    <w:name w:val="Table Paragraph"/>
    <w:basedOn w:val="1"/>
    <w:autoRedefine/>
    <w:unhideWhenUsed/>
    <w:qFormat/>
    <w:uiPriority w:val="1"/>
    <w:pPr>
      <w:spacing w:beforeLines="0" w:afterLines="0"/>
    </w:pPr>
    <w:rPr>
      <w:rFonts w:hint="default"/>
      <w:sz w:val="24"/>
    </w:rPr>
  </w:style>
  <w:style w:type="paragraph" w:customStyle="1" w:styleId="78">
    <w:name w:val="样式1"/>
    <w:basedOn w:val="8"/>
    <w:autoRedefine/>
    <w:qFormat/>
    <w:uiPriority w:val="0"/>
    <w:pPr>
      <w:spacing w:before="160" w:after="170" w:line="372" w:lineRule="auto"/>
    </w:pPr>
    <w:rPr>
      <w:rFonts w:ascii="Times New Roman" w:hAnsi="Times New Roman" w:eastAsia="仿宋_GB2312"/>
    </w:rPr>
  </w:style>
  <w:style w:type="paragraph" w:customStyle="1" w:styleId="79">
    <w:name w:val="样式 (西文) Times New Roman 小四 行距: 1.5 倍行距 首行缩进:  2 字符"/>
    <w:basedOn w:val="1"/>
    <w:autoRedefine/>
    <w:qFormat/>
    <w:uiPriority w:val="0"/>
    <w:pPr>
      <w:spacing w:line="360" w:lineRule="auto"/>
      <w:ind w:firstLine="480" w:firstLineChars="200"/>
    </w:pPr>
    <w:rPr>
      <w:rFonts w:ascii="Times New Roman" w:hAnsi="Times New Roman" w:cs="宋体"/>
      <w:sz w:val="24"/>
      <w:szCs w:val="20"/>
    </w:rPr>
  </w:style>
  <w:style w:type="paragraph" w:customStyle="1" w:styleId="80">
    <w:name w:val="表格小五"/>
    <w:basedOn w:val="1"/>
    <w:autoRedefine/>
    <w:qFormat/>
    <w:uiPriority w:val="0"/>
    <w:pPr>
      <w:adjustRightInd w:val="0"/>
      <w:snapToGrid w:val="0"/>
      <w:spacing w:after="93" w:afterLines="30" w:line="240" w:lineRule="atLeast"/>
      <w:ind w:firstLine="510"/>
      <w:jc w:val="left"/>
    </w:pPr>
    <w:rPr>
      <w:spacing w:val="16"/>
      <w:kern w:val="0"/>
      <w:sz w:val="18"/>
      <w:szCs w:val="20"/>
    </w:rPr>
  </w:style>
  <w:style w:type="paragraph" w:customStyle="1" w:styleId="81">
    <w:name w:val="表格内容"/>
    <w:basedOn w:val="1"/>
    <w:autoRedefine/>
    <w:qFormat/>
    <w:uiPriority w:val="0"/>
    <w:pPr>
      <w:adjustRightInd w:val="0"/>
      <w:snapToGrid w:val="0"/>
      <w:jc w:val="center"/>
    </w:pPr>
    <w:rPr>
      <w:rFonts w:eastAsia="Times New Roman"/>
      <w:szCs w:val="21"/>
    </w:rPr>
  </w:style>
  <w:style w:type="paragraph" w:customStyle="1" w:styleId="82">
    <w:name w:val="1正文段落"/>
    <w:basedOn w:val="1"/>
    <w:autoRedefine/>
    <w:unhideWhenUsed/>
    <w:qFormat/>
    <w:uiPriority w:val="0"/>
    <w:pPr>
      <w:spacing w:beforeLines="0" w:afterLines="0" w:line="360" w:lineRule="auto"/>
      <w:ind w:firstLine="200" w:firstLineChars="200"/>
    </w:pPr>
    <w:rPr>
      <w:rFonts w:hint="default" w:ascii="Times New Roman" w:hAnsi="Times New Roman"/>
      <w:snapToGrid w:val="0"/>
      <w:kern w:val="0"/>
      <w:sz w:val="24"/>
    </w:rPr>
  </w:style>
  <w:style w:type="paragraph" w:customStyle="1" w:styleId="83">
    <w:name w:val="表格文字"/>
    <w:basedOn w:val="84"/>
    <w:next w:val="14"/>
    <w:qFormat/>
    <w:uiPriority w:val="0"/>
    <w:pPr>
      <w:spacing w:after="0" w:line="320" w:lineRule="exact"/>
      <w:jc w:val="center"/>
    </w:pPr>
    <w:rPr>
      <w:rFonts w:ascii="宋体"/>
      <w:szCs w:val="24"/>
    </w:rPr>
  </w:style>
  <w:style w:type="paragraph" w:customStyle="1" w:styleId="84">
    <w:name w:val="方案正文"/>
    <w:basedOn w:val="1"/>
    <w:autoRedefine/>
    <w:qFormat/>
    <w:uiPriority w:val="0"/>
    <w:rPr>
      <w:kern w:val="0"/>
      <w:sz w:val="24"/>
      <w:szCs w:val="20"/>
    </w:rPr>
  </w:style>
  <w:style w:type="paragraph" w:customStyle="1" w:styleId="85">
    <w:name w:val="1、正文文本"/>
    <w:next w:val="1"/>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86">
    <w:name w:val="表头"/>
    <w:basedOn w:val="1"/>
    <w:next w:val="1"/>
    <w:autoRedefine/>
    <w:qFormat/>
    <w:uiPriority w:val="0"/>
    <w:pPr>
      <w:spacing w:line="360" w:lineRule="auto"/>
      <w:ind w:firstLine="2169" w:firstLineChars="1029"/>
    </w:pPr>
    <w:rPr>
      <w:rFonts w:ascii="宋体" w:hAnsi="宋体"/>
      <w:b/>
      <w:kern w:val="0"/>
      <w:szCs w:val="21"/>
    </w:rPr>
  </w:style>
  <w:style w:type="character" w:customStyle="1" w:styleId="87">
    <w:name w:val="font01"/>
    <w:basedOn w:val="28"/>
    <w:qFormat/>
    <w:uiPriority w:val="0"/>
    <w:rPr>
      <w:rFonts w:hint="eastAsia" w:ascii="宋体" w:hAnsi="宋体" w:eastAsia="宋体" w:cs="宋体"/>
      <w:color w:val="000000"/>
      <w:sz w:val="21"/>
      <w:szCs w:val="21"/>
      <w:u w:val="none"/>
    </w:rPr>
  </w:style>
  <w:style w:type="character" w:customStyle="1" w:styleId="88">
    <w:name w:val="font21"/>
    <w:basedOn w:val="28"/>
    <w:autoRedefine/>
    <w:qFormat/>
    <w:uiPriority w:val="0"/>
    <w:rPr>
      <w:rFonts w:hint="default" w:ascii="Times New Roman" w:hAnsi="Times New Roman" w:cs="Times New Roman"/>
      <w:color w:val="000000"/>
      <w:sz w:val="21"/>
      <w:szCs w:val="21"/>
      <w:u w:val="none"/>
    </w:rPr>
  </w:style>
  <w:style w:type="character" w:customStyle="1" w:styleId="89">
    <w:name w:val="font41"/>
    <w:basedOn w:val="28"/>
    <w:autoRedefine/>
    <w:qFormat/>
    <w:uiPriority w:val="0"/>
    <w:rPr>
      <w:rFonts w:hint="default" w:ascii="Times New Roman" w:hAnsi="Times New Roman" w:cs="Times New Roman"/>
      <w:b/>
      <w:bCs/>
      <w:color w:val="000000"/>
      <w:sz w:val="21"/>
      <w:szCs w:val="21"/>
      <w:u w:val="none"/>
    </w:rPr>
  </w:style>
  <w:style w:type="character" w:customStyle="1" w:styleId="90">
    <w:name w:val="font31"/>
    <w:basedOn w:val="28"/>
    <w:autoRedefine/>
    <w:qFormat/>
    <w:uiPriority w:val="0"/>
    <w:rPr>
      <w:rFonts w:hint="default" w:ascii="Times New Roman" w:hAnsi="Times New Roman" w:cs="Times New Roman"/>
      <w:color w:val="000000"/>
      <w:sz w:val="21"/>
      <w:szCs w:val="21"/>
      <w:u w:val="none"/>
    </w:rPr>
  </w:style>
  <w:style w:type="character" w:customStyle="1" w:styleId="91">
    <w:name w:val="font51"/>
    <w:basedOn w:val="28"/>
    <w:qFormat/>
    <w:uiPriority w:val="0"/>
    <w:rPr>
      <w:rFonts w:hint="default" w:ascii="Times New Roman" w:hAnsi="Times New Roman" w:cs="Times New Roman"/>
      <w:color w:val="000000"/>
      <w:sz w:val="21"/>
      <w:szCs w:val="21"/>
      <w:u w:val="none"/>
      <w:vertAlign w:val="subscript"/>
    </w:rPr>
  </w:style>
  <w:style w:type="character" w:customStyle="1" w:styleId="92">
    <w:name w:val="正文文本_"/>
    <w:link w:val="93"/>
    <w:autoRedefine/>
    <w:qFormat/>
    <w:locked/>
    <w:uiPriority w:val="99"/>
    <w:rPr>
      <w:rFonts w:ascii="MingLiU" w:hAnsi="MingLiU" w:eastAsia="MingLiU"/>
      <w:spacing w:val="10"/>
      <w:kern w:val="0"/>
      <w:szCs w:val="21"/>
    </w:rPr>
  </w:style>
  <w:style w:type="paragraph" w:customStyle="1" w:styleId="93">
    <w:name w:val="正文文本3"/>
    <w:basedOn w:val="1"/>
    <w:link w:val="92"/>
    <w:qFormat/>
    <w:uiPriority w:val="99"/>
    <w:pPr>
      <w:shd w:val="clear" w:color="auto" w:fill="FFFFFF"/>
      <w:adjustRightInd/>
      <w:spacing w:before="240" w:line="466" w:lineRule="exact"/>
      <w:ind w:hanging="480"/>
      <w:jc w:val="distribute"/>
      <w:textAlignment w:val="auto"/>
    </w:pPr>
    <w:rPr>
      <w:rFonts w:ascii="MingLiU" w:hAnsi="MingLiU" w:eastAsia="MingLiU"/>
      <w:spacing w:val="10"/>
      <w:kern w:val="0"/>
      <w:szCs w:val="21"/>
    </w:rPr>
  </w:style>
  <w:style w:type="paragraph" w:customStyle="1" w:styleId="94">
    <w:name w:val="wlm表头"/>
    <w:basedOn w:val="1"/>
    <w:qFormat/>
    <w:uiPriority w:val="0"/>
    <w:pPr>
      <w:jc w:val="center"/>
    </w:pPr>
    <w:rPr>
      <w:b/>
      <w:szCs w:val="21"/>
    </w:rPr>
  </w:style>
  <w:style w:type="paragraph" w:customStyle="1" w:styleId="95">
    <w:name w:val="wlm表格"/>
    <w:basedOn w:val="1"/>
    <w:qFormat/>
    <w:uiPriority w:val="0"/>
    <w:pPr>
      <w:snapToGrid w:val="0"/>
      <w:spacing w:line="240" w:lineRule="auto"/>
      <w:ind w:firstLine="0" w:firstLineChars="0"/>
      <w:jc w:val="center"/>
    </w:pPr>
    <w:rPr>
      <w:rFonts w:ascii="Times New Roman" w:hAnsi="Times New Roman" w:eastAsia="宋体"/>
      <w:snapToGrid w:val="0"/>
      <w:spacing w:val="2"/>
      <w:sz w:val="21"/>
      <w:szCs w:val="21"/>
    </w:rPr>
  </w:style>
  <w:style w:type="paragraph" w:customStyle="1" w:styleId="96">
    <w:name w:val="正文四号"/>
    <w:basedOn w:val="1"/>
    <w:autoRedefine/>
    <w:qFormat/>
    <w:uiPriority w:val="0"/>
    <w:pPr>
      <w:spacing w:line="600" w:lineRule="exact"/>
      <w:ind w:firstLine="200" w:firstLineChars="200"/>
    </w:pPr>
    <w:rPr>
      <w:rFonts w:ascii="Calibri" w:hAnsi="Calibri" w:eastAsia="仿宋_GB2312" w:cs="Times New Roman"/>
      <w:kern w:val="2"/>
      <w:sz w:val="28"/>
      <w:szCs w:val="28"/>
      <w:lang w:eastAsia="zh-CN"/>
    </w:rPr>
  </w:style>
  <w:style w:type="paragraph" w:customStyle="1" w:styleId="97">
    <w:name w:val="表头、图尾"/>
    <w:basedOn w:val="1"/>
    <w:qFormat/>
    <w:uiPriority w:val="0"/>
    <w:pPr>
      <w:spacing w:beforeLines="50" w:afterLines="20" w:line="240" w:lineRule="auto"/>
      <w:ind w:firstLine="0" w:firstLineChars="0"/>
      <w:jc w:val="center"/>
      <w:outlineLvl w:val="1"/>
    </w:pPr>
    <w:rPr>
      <w:b/>
    </w:rPr>
  </w:style>
  <w:style w:type="character" w:customStyle="1" w:styleId="98">
    <w:name w:val="NormalCharacter"/>
    <w:qFormat/>
    <w:uiPriority w:val="0"/>
  </w:style>
  <w:style w:type="paragraph" w:customStyle="1" w:styleId="99">
    <w:name w:val="cucd-0"/>
    <w:qFormat/>
    <w:uiPriority w:val="0"/>
    <w:pPr>
      <w:spacing w:line="360" w:lineRule="auto"/>
      <w:ind w:firstLine="480" w:firstLineChars="200"/>
    </w:pPr>
    <w:rPr>
      <w:rFonts w:ascii="Times New Roman" w:hAnsi="Times New Roman" w:eastAsia="Times New Roman" w:cs="Times New Roman"/>
      <w:szCs w:val="24"/>
      <w:lang w:val="en-US" w:eastAsia="zh-CN" w:bidi="ar-SA"/>
    </w:rPr>
  </w:style>
  <w:style w:type="paragraph" w:customStyle="1" w:styleId="100">
    <w:name w:val="表格标题"/>
    <w:basedOn w:val="1"/>
    <w:autoRedefine/>
    <w:qFormat/>
    <w:uiPriority w:val="0"/>
    <w:pPr>
      <w:spacing w:line="540" w:lineRule="exact"/>
      <w:jc w:val="center"/>
    </w:pPr>
    <w:rPr>
      <w:rFonts w:ascii="宋体" w:hAnsi="宋体"/>
      <w:bCs/>
      <w:sz w:val="24"/>
    </w:rPr>
  </w:style>
  <w:style w:type="character" w:customStyle="1" w:styleId="101">
    <w:name w:val="viewthreadtxt"/>
    <w:basedOn w:val="28"/>
    <w:autoRedefine/>
    <w:qFormat/>
    <w:uiPriority w:val="0"/>
  </w:style>
  <w:style w:type="paragraph" w:customStyle="1" w:styleId="102">
    <w:name w:val=" Char Char Char Char"/>
    <w:basedOn w:val="1"/>
    <w:autoRedefine/>
    <w:qFormat/>
    <w:uiPriority w:val="0"/>
    <w:pPr>
      <w:snapToGrid w:val="0"/>
      <w:spacing w:line="360" w:lineRule="auto"/>
      <w:ind w:firstLine="200" w:firstLineChars="200"/>
    </w:pPr>
    <w:rPr>
      <w:szCs w:val="20"/>
    </w:rPr>
  </w:style>
  <w:style w:type="character" w:customStyle="1" w:styleId="103">
    <w:name w:val="font11"/>
    <w:basedOn w:val="28"/>
    <w:autoRedefine/>
    <w:qFormat/>
    <w:uiPriority w:val="0"/>
    <w:rPr>
      <w:rFonts w:hint="eastAsia" w:ascii="宋体" w:hAnsi="宋体" w:eastAsia="宋体" w:cs="宋体"/>
      <w:color w:val="000000"/>
      <w:sz w:val="21"/>
      <w:szCs w:val="21"/>
      <w:u w:val="none"/>
    </w:rPr>
  </w:style>
  <w:style w:type="paragraph" w:customStyle="1" w:styleId="104">
    <w:name w:val="文本"/>
    <w:basedOn w:val="1"/>
    <w:qFormat/>
    <w:uiPriority w:val="0"/>
    <w:pPr>
      <w:ind w:firstLine="480" w:firstLineChars="200"/>
    </w:pPr>
  </w:style>
  <w:style w:type="character" w:customStyle="1" w:styleId="105">
    <w:name w:val="font61"/>
    <w:basedOn w:val="28"/>
    <w:qFormat/>
    <w:uiPriority w:val="0"/>
    <w:rPr>
      <w:rFonts w:hint="default" w:ascii="Times New Roman" w:hAnsi="Times New Roman" w:cs="Times New Roman"/>
      <w:color w:val="000000"/>
      <w:sz w:val="21"/>
      <w:szCs w:val="21"/>
      <w:u w:val="none"/>
      <w:vertAlign w:val="subscript"/>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20.wmf"/><Relationship Id="rId37" Type="http://schemas.openxmlformats.org/officeDocument/2006/relationships/oleObject" Target="embeddings/oleObject9.bin"/><Relationship Id="rId36" Type="http://schemas.openxmlformats.org/officeDocument/2006/relationships/image" Target="media/image19.wmf"/><Relationship Id="rId35" Type="http://schemas.openxmlformats.org/officeDocument/2006/relationships/oleObject" Target="embeddings/oleObject8.bin"/><Relationship Id="rId34" Type="http://schemas.openxmlformats.org/officeDocument/2006/relationships/image" Target="media/image18.emf"/><Relationship Id="rId33" Type="http://schemas.openxmlformats.org/officeDocument/2006/relationships/oleObject" Target="embeddings/oleObject7.bin"/><Relationship Id="rId32" Type="http://schemas.openxmlformats.org/officeDocument/2006/relationships/image" Target="media/image17.emf"/><Relationship Id="rId31" Type="http://schemas.openxmlformats.org/officeDocument/2006/relationships/oleObject" Target="embeddings/oleObject6.bin"/><Relationship Id="rId30" Type="http://schemas.openxmlformats.org/officeDocument/2006/relationships/image" Target="media/image16.png"/><Relationship Id="rId3" Type="http://schemas.openxmlformats.org/officeDocument/2006/relationships/footer" Target="footer1.xml"/><Relationship Id="rId29" Type="http://schemas.openxmlformats.org/officeDocument/2006/relationships/image" Target="media/image15.emf"/><Relationship Id="rId28" Type="http://schemas.openxmlformats.org/officeDocument/2006/relationships/oleObject" Target="embeddings/oleObject5.bin"/><Relationship Id="rId27" Type="http://schemas.openxmlformats.org/officeDocument/2006/relationships/image" Target="media/image14.emf"/><Relationship Id="rId26" Type="http://schemas.openxmlformats.org/officeDocument/2006/relationships/image" Target="media/image13.emf"/><Relationship Id="rId25" Type="http://schemas.openxmlformats.org/officeDocument/2006/relationships/image" Target="media/image12.emf"/><Relationship Id="rId24" Type="http://schemas.openxmlformats.org/officeDocument/2006/relationships/oleObject" Target="embeddings/oleObject4.bin"/><Relationship Id="rId23" Type="http://schemas.openxmlformats.org/officeDocument/2006/relationships/image" Target="media/image11.emf"/><Relationship Id="rId22" Type="http://schemas.openxmlformats.org/officeDocument/2006/relationships/oleObject" Target="embeddings/oleObject3.bin"/><Relationship Id="rId21" Type="http://schemas.openxmlformats.org/officeDocument/2006/relationships/image" Target="media/image10.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oleObject" Target="embeddings/oleObject1.bin"/><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100</Pages>
  <Words>70748</Words>
  <Characters>79885</Characters>
  <Lines>0</Lines>
  <Paragraphs>0</Paragraphs>
  <TotalTime>36</TotalTime>
  <ScaleCrop>false</ScaleCrop>
  <LinksUpToDate>false</LinksUpToDate>
  <CharactersWithSpaces>80302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2021-02-01T08:12:00Z</dcterms:created>
  <dc:creator>gc</dc:creator>
  <cp:lastModifiedBy>岂曰无衣</cp:lastModifiedBy>
  <dcterms:modified xsi:type="dcterms:W3CDTF">2024-01-31T08:38:50Z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8A7A3E7478B745958DE62F4ABC09731D</vt:lpwstr>
  </property>
</Properties>
</file>