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昆明市生态环境局寻甸分局关于对《鲁纳光伏发电项目项目环境影响报表》的批复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华能澜沧江（寻甸）新能源有限公司：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天启环境工程有限公司编制的《鲁纳光伏发电项目环境影响报告表》（以下简称《报告表》）收悉。根据《中华人民共和国环境影响评价法》第二十二条、《建设项目环境保护管理条例》第九条，经研究，批复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US" w:eastAsia="zh-CN" w:bidi="ar"/>
        </w:rPr>
        <w:t>项目建设地点位于昆明市寻甸县金所街道摆宰社区蔡家村北侧（项目中心位置地理坐标为：东经103°10′33.594″，北纬25°41′2.542″)</w:t>
      </w:r>
      <w:r>
        <w:rPr>
          <w:rFonts w:hint="default" w:ascii="Times New Roman" w:hAnsi="Times New Roman" w:eastAsia="仿宋_GB2312" w:cs="Times New Roman"/>
          <w:color w:val="000000"/>
          <w:kern w:val="0"/>
          <w:sz w:val="32"/>
          <w:szCs w:val="32"/>
          <w:highlight w:val="none"/>
          <w:lang w:val="en-US" w:eastAsia="zh-CN" w:bidi="ar"/>
        </w:rPr>
        <w:t>。项目占地总面积为391000m</w:t>
      </w:r>
      <w:r>
        <w:rPr>
          <w:rFonts w:hint="default" w:ascii="Times New Roman" w:hAnsi="Times New Roman" w:eastAsia="仿宋_GB2312" w:cs="Times New Roman"/>
          <w:color w:val="000000"/>
          <w:kern w:val="0"/>
          <w:sz w:val="32"/>
          <w:szCs w:val="32"/>
          <w:highlight w:val="none"/>
          <w:vertAlign w:val="superscript"/>
          <w:lang w:val="en-US" w:eastAsia="zh-CN" w:bidi="ar"/>
        </w:rPr>
        <w:t>2</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其中</w:t>
      </w:r>
      <w:r>
        <w:rPr>
          <w:rFonts w:hint="eastAsia" w:ascii="Times New Roman" w:hAnsi="Times New Roman" w:eastAsia="仿宋_GB2312" w:cs="Times New Roman"/>
          <w:color w:val="000000"/>
          <w:kern w:val="0"/>
          <w:sz w:val="32"/>
          <w:szCs w:val="32"/>
          <w:highlight w:val="none"/>
          <w:lang w:val="en-US" w:eastAsia="zh-CN" w:bidi="ar"/>
        </w:rPr>
        <w:t>永久占地：</w:t>
      </w:r>
      <w:r>
        <w:rPr>
          <w:rFonts w:hint="default" w:ascii="Times New Roman" w:hAnsi="Times New Roman" w:eastAsia="仿宋_GB2312" w:cs="Times New Roman"/>
          <w:color w:val="000000"/>
          <w:kern w:val="0"/>
          <w:sz w:val="32"/>
          <w:szCs w:val="32"/>
          <w:highlight w:val="none"/>
          <w:lang w:val="en-US" w:eastAsia="zh-CN" w:bidi="ar"/>
        </w:rPr>
        <w:t>开关站用地面积为3090m</w:t>
      </w:r>
      <w:r>
        <w:rPr>
          <w:rFonts w:hint="default" w:ascii="Times New Roman" w:hAnsi="Times New Roman" w:eastAsia="仿宋_GB2312" w:cs="Times New Roman"/>
          <w:color w:val="000000"/>
          <w:kern w:val="0"/>
          <w:sz w:val="32"/>
          <w:szCs w:val="32"/>
          <w:highlight w:val="none"/>
          <w:vertAlign w:val="superscript"/>
          <w:lang w:val="en-US" w:eastAsia="zh-CN" w:bidi="ar"/>
        </w:rPr>
        <w:t>2</w:t>
      </w:r>
      <w:r>
        <w:rPr>
          <w:rFonts w:hint="eastAsia" w:ascii="Times New Roman" w:hAnsi="Times New Roman" w:eastAsia="仿宋_GB2312" w:cs="Times New Roman"/>
          <w:color w:val="000000"/>
          <w:kern w:val="0"/>
          <w:sz w:val="32"/>
          <w:szCs w:val="32"/>
          <w:highlight w:val="none"/>
          <w:vertAlign w:val="baseli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设备基础用地面积</w:t>
      </w:r>
      <w:r>
        <w:rPr>
          <w:rFonts w:hint="eastAsia" w:ascii="Times New Roman" w:hAnsi="Times New Roman" w:eastAsia="仿宋_GB2312" w:cs="Times New Roman"/>
          <w:color w:val="000000"/>
          <w:kern w:val="0"/>
          <w:sz w:val="32"/>
          <w:szCs w:val="32"/>
          <w:highlight w:val="none"/>
          <w:lang w:val="en-US" w:eastAsia="zh-CN" w:bidi="ar"/>
        </w:rPr>
        <w:t>700</w:t>
      </w:r>
      <w:r>
        <w:rPr>
          <w:rFonts w:hint="default" w:ascii="Times New Roman" w:hAnsi="Times New Roman" w:eastAsia="仿宋_GB2312" w:cs="Times New Roman"/>
          <w:color w:val="000000"/>
          <w:kern w:val="0"/>
          <w:sz w:val="32"/>
          <w:szCs w:val="32"/>
          <w:highlight w:val="none"/>
          <w:lang w:val="en-US" w:eastAsia="zh-CN" w:bidi="ar"/>
        </w:rPr>
        <w:t>m</w:t>
      </w:r>
      <w:r>
        <w:rPr>
          <w:rFonts w:hint="default" w:ascii="Times New Roman" w:hAnsi="Times New Roman" w:eastAsia="仿宋_GB2312" w:cs="Times New Roman"/>
          <w:color w:val="000000"/>
          <w:kern w:val="0"/>
          <w:sz w:val="32"/>
          <w:szCs w:val="32"/>
          <w:highlight w:val="none"/>
          <w:vertAlign w:val="superscript"/>
          <w:lang w:val="en-US" w:eastAsia="zh-CN" w:bidi="ar"/>
        </w:rPr>
        <w:t>2</w:t>
      </w:r>
      <w:r>
        <w:rPr>
          <w:rFonts w:hint="eastAsia" w:ascii="Times New Roman" w:hAnsi="Times New Roman" w:eastAsia="仿宋_GB2312" w:cs="Times New Roman"/>
          <w:color w:val="000000"/>
          <w:kern w:val="0"/>
          <w:sz w:val="32"/>
          <w:szCs w:val="32"/>
          <w:highlight w:val="none"/>
          <w:vertAlign w:val="baseline"/>
          <w:lang w:val="en-US" w:eastAsia="zh-CN" w:bidi="ar"/>
        </w:rPr>
        <w:t>，</w:t>
      </w:r>
      <w:r>
        <w:rPr>
          <w:rFonts w:hint="eastAsia" w:ascii="Times New Roman" w:hAnsi="Times New Roman" w:eastAsia="仿宋_GB2312" w:cs="Times New Roman"/>
          <w:color w:val="000000"/>
          <w:kern w:val="0"/>
          <w:sz w:val="32"/>
          <w:szCs w:val="32"/>
          <w:highlight w:val="none"/>
          <w:lang w:val="en-US" w:eastAsia="zh-CN" w:bidi="ar"/>
        </w:rPr>
        <w:t>临时占地：</w:t>
      </w:r>
      <w:r>
        <w:rPr>
          <w:rFonts w:hint="default" w:ascii="Times New Roman" w:hAnsi="Times New Roman" w:eastAsia="仿宋_GB2312" w:cs="Times New Roman"/>
          <w:color w:val="000000"/>
          <w:kern w:val="0"/>
          <w:sz w:val="32"/>
          <w:szCs w:val="32"/>
          <w:highlight w:val="none"/>
          <w:lang w:val="en-US" w:eastAsia="zh-CN" w:bidi="ar"/>
        </w:rPr>
        <w:t>光伏阵列占地</w:t>
      </w:r>
      <w:r>
        <w:rPr>
          <w:rFonts w:hint="eastAsia" w:ascii="Times New Roman" w:hAnsi="Times New Roman" w:eastAsia="仿宋_GB2312" w:cs="Times New Roman"/>
          <w:color w:val="000000"/>
          <w:kern w:val="0"/>
          <w:sz w:val="32"/>
          <w:szCs w:val="32"/>
          <w:highlight w:val="none"/>
          <w:lang w:val="en-US" w:eastAsia="zh-CN" w:bidi="ar"/>
        </w:rPr>
        <w:t>370450</w:t>
      </w:r>
      <w:r>
        <w:rPr>
          <w:rFonts w:hint="default" w:ascii="Times New Roman" w:hAnsi="Times New Roman" w:eastAsia="仿宋_GB2312" w:cs="Times New Roman"/>
          <w:color w:val="000000"/>
          <w:kern w:val="0"/>
          <w:sz w:val="32"/>
          <w:szCs w:val="32"/>
          <w:highlight w:val="none"/>
          <w:lang w:val="en-US" w:eastAsia="zh-CN" w:bidi="ar"/>
        </w:rPr>
        <w:t>m</w:t>
      </w:r>
      <w:r>
        <w:rPr>
          <w:rFonts w:hint="default" w:ascii="Times New Roman" w:hAnsi="Times New Roman" w:eastAsia="仿宋_GB2312" w:cs="Times New Roman"/>
          <w:color w:val="000000"/>
          <w:kern w:val="0"/>
          <w:sz w:val="32"/>
          <w:szCs w:val="32"/>
          <w:highlight w:val="none"/>
          <w:vertAlign w:val="superscript"/>
          <w:lang w:val="en-US" w:eastAsia="zh-CN" w:bidi="ar"/>
        </w:rPr>
        <w:t>2</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场内道路用地面积为16760m</w:t>
      </w:r>
      <w:r>
        <w:rPr>
          <w:rFonts w:hint="default" w:ascii="Times New Roman" w:hAnsi="Times New Roman" w:eastAsia="仿宋_GB2312" w:cs="Times New Roman"/>
          <w:color w:val="000000"/>
          <w:kern w:val="0"/>
          <w:sz w:val="32"/>
          <w:szCs w:val="32"/>
          <w:highlight w:val="none"/>
          <w:vertAlign w:val="superscript"/>
          <w:lang w:val="en-US" w:eastAsia="zh-CN" w:bidi="ar"/>
        </w:rPr>
        <w:t>2</w:t>
      </w:r>
      <w:r>
        <w:rPr>
          <w:rFonts w:hint="eastAsia" w:ascii="Times New Roman" w:hAnsi="Times New Roman" w:eastAsia="仿宋_GB2312" w:cs="Times New Roman"/>
          <w:color w:val="000000"/>
          <w:kern w:val="0"/>
          <w:sz w:val="32"/>
          <w:szCs w:val="32"/>
          <w:highlight w:val="none"/>
          <w:lang w:val="en-US" w:eastAsia="zh-CN" w:bidi="ar"/>
        </w:rPr>
        <w:t>）。项目主要建设光伏发电系统，由太阳能电池方阵、35kV开关站、集电线路、逆变器、6台35kV箱式变压器组成，并</w:t>
      </w:r>
      <w:r>
        <w:rPr>
          <w:rFonts w:hint="default" w:ascii="Times New Roman" w:hAnsi="Times New Roman" w:eastAsia="仿宋_GB2312" w:cs="Times New Roman"/>
          <w:color w:val="000000"/>
          <w:kern w:val="0"/>
          <w:sz w:val="32"/>
          <w:szCs w:val="32"/>
          <w:highlight w:val="none"/>
          <w:lang w:val="en-US" w:eastAsia="zh-CN" w:bidi="ar"/>
        </w:rPr>
        <w:t>配套建设</w:t>
      </w:r>
      <w:r>
        <w:rPr>
          <w:rFonts w:hint="eastAsia" w:ascii="Times New Roman" w:hAnsi="Times New Roman" w:eastAsia="仿宋_GB2312" w:cs="Times New Roman"/>
          <w:color w:val="000000"/>
          <w:kern w:val="0"/>
          <w:sz w:val="32"/>
          <w:szCs w:val="32"/>
          <w:highlight w:val="none"/>
          <w:lang w:val="en-US" w:eastAsia="zh-CN" w:bidi="ar"/>
        </w:rPr>
        <w:t>综合楼、备品库预制舱等</w:t>
      </w:r>
      <w:r>
        <w:rPr>
          <w:rFonts w:hint="default" w:ascii="Times New Roman" w:hAnsi="Times New Roman" w:eastAsia="仿宋_GB2312" w:cs="Times New Roman"/>
          <w:color w:val="000000"/>
          <w:kern w:val="0"/>
          <w:sz w:val="32"/>
          <w:szCs w:val="32"/>
          <w:highlight w:val="none"/>
          <w:lang w:val="en-US" w:eastAsia="zh-CN" w:bidi="ar"/>
        </w:rPr>
        <w:t>公辅工程和环保工程</w:t>
      </w:r>
      <w:r>
        <w:rPr>
          <w:rFonts w:hint="eastAsia" w:ascii="Times New Roman" w:hAnsi="Times New Roman" w:eastAsia="仿宋_GB2312" w:cs="Times New Roman"/>
          <w:color w:val="000000"/>
          <w:kern w:val="0"/>
          <w:sz w:val="32"/>
          <w:szCs w:val="32"/>
          <w:highlight w:val="none"/>
          <w:lang w:val="en-US" w:eastAsia="zh-CN" w:bidi="ar"/>
        </w:rPr>
        <w:t>设施</w:t>
      </w:r>
      <w:r>
        <w:rPr>
          <w:rFonts w:hint="default" w:ascii="Times New Roman" w:hAnsi="Times New Roman" w:eastAsia="仿宋_GB2312" w:cs="Times New Roman"/>
          <w:color w:val="000000"/>
          <w:kern w:val="0"/>
          <w:sz w:val="32"/>
          <w:szCs w:val="32"/>
          <w:highlight w:val="none"/>
          <w:lang w:val="en-US" w:eastAsia="zh-CN" w:bidi="ar"/>
        </w:rPr>
        <w:t>。</w:t>
      </w:r>
      <w:r>
        <w:rPr>
          <w:rFonts w:hint="eastAsia" w:ascii="Times New Roman" w:hAnsi="Times New Roman" w:eastAsia="仿宋_GB2312" w:cs="Times New Roman"/>
          <w:color w:val="000000"/>
          <w:kern w:val="0"/>
          <w:sz w:val="32"/>
          <w:szCs w:val="32"/>
          <w:highlight w:val="none"/>
          <w:lang w:val="en-US" w:eastAsia="zh-CN" w:bidi="ar"/>
        </w:rPr>
        <w:t>项目</w:t>
      </w:r>
      <w:r>
        <w:rPr>
          <w:rFonts w:hint="default" w:ascii="Times New Roman" w:hAnsi="Times New Roman" w:eastAsia="仿宋_GB2312" w:cs="Times New Roman"/>
          <w:color w:val="000000"/>
          <w:kern w:val="0"/>
          <w:sz w:val="32"/>
          <w:szCs w:val="32"/>
          <w:highlight w:val="none"/>
          <w:lang w:val="en-US" w:eastAsia="zh-CN" w:bidi="ar"/>
        </w:rPr>
        <w:t>总投资10428.0万元，</w:t>
      </w:r>
      <w:r>
        <w:rPr>
          <w:rFonts w:hint="eastAsia" w:ascii="Times New Roman" w:hAnsi="Times New Roman" w:eastAsia="仿宋_GB2312" w:cs="Times New Roman"/>
          <w:color w:val="000000"/>
          <w:kern w:val="0"/>
          <w:sz w:val="32"/>
          <w:szCs w:val="32"/>
          <w:highlight w:val="none"/>
          <w:lang w:val="en-US" w:eastAsia="zh-CN" w:bidi="ar"/>
        </w:rPr>
        <w:t>其中</w:t>
      </w:r>
      <w:r>
        <w:rPr>
          <w:rFonts w:hint="default" w:ascii="Times New Roman" w:hAnsi="Times New Roman" w:eastAsia="仿宋_GB2312" w:cs="Times New Roman"/>
          <w:color w:val="000000"/>
          <w:kern w:val="0"/>
          <w:sz w:val="32"/>
          <w:szCs w:val="32"/>
          <w:highlight w:val="none"/>
          <w:lang w:val="en-US" w:eastAsia="zh-CN" w:bidi="ar"/>
        </w:rPr>
        <w:t>环保总投资70.7万元。本项目不包含送出线路部分。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根据昆明市生态环境工程评估中心《关于对〈鲁纳光伏发电项目环境影响报告表〉的技术评估意见》(昆环评估意见 寻甸〔202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号)，在全面落实环境影响报告表提出的各项生态保护和污染防治措施后，项目建设和运营的不良环境影响可以得到缓解和控制。同意项目按照《报告表》所述工程内容、规模、功能以及环保对策措施建设。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运营期</w:t>
      </w:r>
      <w:r>
        <w:rPr>
          <w:rFonts w:hint="eastAsia" w:ascii="Times New Roman" w:hAnsi="Times New Roman" w:eastAsia="仿宋_GB2312" w:cs="Times New Roman"/>
          <w:color w:val="000000"/>
          <w:kern w:val="0"/>
          <w:sz w:val="32"/>
          <w:szCs w:val="32"/>
          <w:lang w:val="en-US" w:eastAsia="zh-CN" w:bidi="ar"/>
        </w:rPr>
        <w:t>太阳能电池板清洗废水经收集处理后全部回用于光伏板下方植被浇灌；</w:t>
      </w:r>
      <w:r>
        <w:rPr>
          <w:rFonts w:hint="default" w:ascii="Times New Roman" w:hAnsi="Times New Roman" w:eastAsia="仿宋_GB2312" w:cs="Times New Roman"/>
          <w:color w:val="000000"/>
          <w:kern w:val="0"/>
          <w:sz w:val="32"/>
          <w:szCs w:val="32"/>
          <w:lang w:val="en-US" w:eastAsia="zh-CN" w:bidi="ar"/>
        </w:rPr>
        <w:t>食堂废水经隔油池预处理后，</w:t>
      </w:r>
      <w:r>
        <w:rPr>
          <w:rFonts w:hint="eastAsia" w:ascii="Times New Roman" w:hAnsi="Times New Roman" w:eastAsia="仿宋_GB2312" w:cs="Times New Roman"/>
          <w:color w:val="000000"/>
          <w:kern w:val="0"/>
          <w:sz w:val="32"/>
          <w:szCs w:val="32"/>
          <w:lang w:val="en-US" w:eastAsia="zh-CN" w:bidi="ar"/>
        </w:rPr>
        <w:t>同</w:t>
      </w:r>
      <w:r>
        <w:rPr>
          <w:rFonts w:hint="default" w:ascii="Times New Roman" w:hAnsi="Times New Roman" w:eastAsia="仿宋_GB2312" w:cs="Times New Roman"/>
          <w:color w:val="000000"/>
          <w:kern w:val="0"/>
          <w:sz w:val="32"/>
          <w:szCs w:val="32"/>
          <w:lang w:val="en-US" w:eastAsia="zh-CN" w:bidi="ar"/>
        </w:rPr>
        <w:t>办公生活污水一起</w:t>
      </w:r>
      <w:r>
        <w:rPr>
          <w:rFonts w:hint="eastAsia" w:ascii="Times New Roman" w:hAnsi="Times New Roman" w:eastAsia="仿宋_GB2312" w:cs="Times New Roman"/>
          <w:color w:val="000000"/>
          <w:kern w:val="0"/>
          <w:sz w:val="32"/>
          <w:szCs w:val="32"/>
          <w:lang w:val="en-US" w:eastAsia="zh-CN" w:bidi="ar"/>
        </w:rPr>
        <w:t>经</w:t>
      </w:r>
      <w:r>
        <w:rPr>
          <w:rFonts w:hint="default" w:ascii="Times New Roman" w:hAnsi="Times New Roman" w:eastAsia="仿宋_GB2312" w:cs="Times New Roman"/>
          <w:color w:val="000000"/>
          <w:kern w:val="0"/>
          <w:sz w:val="32"/>
          <w:szCs w:val="32"/>
          <w:lang w:val="en-US" w:eastAsia="zh-CN" w:bidi="ar"/>
        </w:rPr>
        <w:t>化粪池、一体化生活污水处理设备处理达《城市污水再生利用 城市杂用水水质</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GB/T18920-2020）中绿化标准后全部用于开关站周边绿化</w:t>
      </w:r>
      <w:r>
        <w:rPr>
          <w:rFonts w:hint="eastAsia" w:ascii="Times New Roman" w:hAnsi="Times New Roman" w:eastAsia="仿宋_GB2312" w:cs="Times New Roman"/>
          <w:color w:val="000000"/>
          <w:kern w:val="0"/>
          <w:sz w:val="32"/>
          <w:szCs w:val="32"/>
          <w:lang w:val="en-US" w:eastAsia="zh-CN" w:bidi="ar"/>
        </w:rPr>
        <w:t>，不得外排。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w:t>
      </w:r>
      <w:r>
        <w:rPr>
          <w:rFonts w:hint="eastAsia" w:ascii="Times New Roman" w:hAnsi="Times New Roman" w:eastAsia="仿宋_GB2312" w:cs="Times New Roman"/>
          <w:color w:val="000000"/>
          <w:kern w:val="0"/>
          <w:sz w:val="32"/>
          <w:szCs w:val="32"/>
          <w:lang w:val="en-US" w:eastAsia="zh-CN" w:bidi="ar"/>
        </w:rPr>
        <w:t>应采取</w:t>
      </w:r>
      <w:r>
        <w:rPr>
          <w:rFonts w:hint="default" w:ascii="Times New Roman" w:hAnsi="Times New Roman" w:eastAsia="仿宋_GB2312" w:cs="Times New Roman"/>
          <w:color w:val="000000"/>
          <w:kern w:val="0"/>
          <w:sz w:val="32"/>
          <w:szCs w:val="32"/>
          <w:lang w:val="en-US" w:eastAsia="zh-CN" w:bidi="ar"/>
        </w:rPr>
        <w:t>沉淀</w:t>
      </w:r>
      <w:r>
        <w:rPr>
          <w:rFonts w:hint="eastAsia" w:ascii="Times New Roman" w:hAnsi="Times New Roman" w:eastAsia="仿宋_GB2312" w:cs="Times New Roman"/>
          <w:color w:val="000000"/>
          <w:kern w:val="0"/>
          <w:sz w:val="32"/>
          <w:szCs w:val="32"/>
          <w:lang w:val="en-US" w:eastAsia="zh-CN" w:bidi="ar"/>
        </w:rPr>
        <w:t>等</w:t>
      </w:r>
      <w:r>
        <w:rPr>
          <w:rFonts w:hint="default" w:ascii="Times New Roman" w:hAnsi="Times New Roman" w:eastAsia="仿宋_GB2312" w:cs="Times New Roman"/>
          <w:color w:val="000000"/>
          <w:kern w:val="0"/>
          <w:sz w:val="32"/>
          <w:szCs w:val="32"/>
          <w:lang w:val="en-US" w:eastAsia="zh-CN" w:bidi="ar"/>
        </w:rPr>
        <w:t>处理</w:t>
      </w:r>
      <w:r>
        <w:rPr>
          <w:rFonts w:hint="eastAsia" w:ascii="Times New Roman" w:hAnsi="Times New Roman" w:eastAsia="仿宋_GB2312" w:cs="Times New Roman"/>
          <w:color w:val="000000"/>
          <w:kern w:val="0"/>
          <w:sz w:val="32"/>
          <w:szCs w:val="32"/>
          <w:lang w:val="en-US" w:eastAsia="zh-CN" w:bidi="ar"/>
        </w:rPr>
        <w:t>措施全部</w:t>
      </w:r>
      <w:r>
        <w:rPr>
          <w:rFonts w:hint="default" w:ascii="Times New Roman" w:hAnsi="Times New Roman" w:eastAsia="仿宋_GB2312" w:cs="Times New Roman"/>
          <w:color w:val="000000"/>
          <w:kern w:val="0"/>
          <w:sz w:val="32"/>
          <w:szCs w:val="32"/>
          <w:lang w:val="en-US" w:eastAsia="zh-CN" w:bidi="ar"/>
        </w:rPr>
        <w:t>回用于</w:t>
      </w:r>
      <w:r>
        <w:rPr>
          <w:rFonts w:hint="eastAsia" w:ascii="Times New Roman" w:hAnsi="Times New Roman" w:eastAsia="仿宋_GB2312" w:cs="Times New Roman"/>
          <w:color w:val="000000"/>
          <w:kern w:val="0"/>
          <w:sz w:val="32"/>
          <w:szCs w:val="32"/>
          <w:lang w:val="en-US" w:eastAsia="zh-CN" w:bidi="ar"/>
        </w:rPr>
        <w:t>施工用水及施工场地</w:t>
      </w:r>
      <w:r>
        <w:rPr>
          <w:rFonts w:hint="default" w:ascii="Times New Roman" w:hAnsi="Times New Roman" w:eastAsia="仿宋_GB2312" w:cs="Times New Roman"/>
          <w:color w:val="000000"/>
          <w:kern w:val="0"/>
          <w:sz w:val="32"/>
          <w:szCs w:val="32"/>
          <w:lang w:val="en-US" w:eastAsia="zh-CN" w:bidi="ar"/>
        </w:rPr>
        <w:t>洒水降尘，</w:t>
      </w:r>
      <w:r>
        <w:rPr>
          <w:rFonts w:hint="eastAsia" w:ascii="Times New Roman" w:hAnsi="Times New Roman" w:eastAsia="仿宋_GB2312" w:cs="Times New Roman"/>
          <w:color w:val="000000"/>
          <w:kern w:val="0"/>
          <w:sz w:val="32"/>
          <w:szCs w:val="32"/>
          <w:lang w:val="en-US" w:eastAsia="zh-CN" w:bidi="ar"/>
        </w:rPr>
        <w:t>禁止施工废水排入周围地表水体</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（二）</w:t>
      </w:r>
      <w:r>
        <w:rPr>
          <w:rFonts w:hint="default" w:ascii="Times New Roman" w:hAnsi="Times New Roman" w:eastAsia="仿宋_GB2312" w:cs="Times New Roman"/>
          <w:color w:val="000000"/>
          <w:kern w:val="0"/>
          <w:sz w:val="32"/>
          <w:szCs w:val="32"/>
          <w:lang w:val="en-US" w:eastAsia="zh-CN" w:bidi="ar"/>
        </w:rPr>
        <w:t>落实大气污染防治措施，确保大气污染物达标排放。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食堂油烟经油烟净化设施处理达《饮食业油烟排放标准（试行）》（GB18483-2001）最高允许排放浓度标准后，通过专用排放口排放。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w:t>
      </w:r>
      <w:r>
        <w:rPr>
          <w:rFonts w:hint="eastAsia" w:ascii="Times New Roman" w:hAnsi="Times New Roman" w:eastAsia="仿宋_GB2312" w:cs="Times New Roman"/>
          <w:color w:val="000000"/>
          <w:kern w:val="0"/>
          <w:sz w:val="32"/>
          <w:szCs w:val="32"/>
          <w:lang w:val="en-US" w:eastAsia="zh-CN" w:bidi="ar"/>
        </w:rPr>
        <w:t>废气排放</w:t>
      </w:r>
      <w:r>
        <w:rPr>
          <w:rFonts w:hint="default" w:ascii="Times New Roman" w:hAnsi="Times New Roman" w:eastAsia="仿宋_GB2312" w:cs="Times New Roman"/>
          <w:color w:val="000000"/>
          <w:kern w:val="0"/>
          <w:sz w:val="32"/>
          <w:szCs w:val="32"/>
          <w:lang w:val="en-US" w:eastAsia="zh-CN" w:bidi="ar"/>
        </w:rPr>
        <w:t>应符合《大气污染物综合排放标准》（GB16297-1996）表2</w:t>
      </w:r>
      <w:r>
        <w:rPr>
          <w:rFonts w:hint="eastAsia" w:ascii="Times New Roman" w:hAnsi="Times New Roman" w:eastAsia="仿宋_GB2312" w:cs="Times New Roman"/>
          <w:color w:val="000000"/>
          <w:kern w:val="0"/>
          <w:sz w:val="32"/>
          <w:szCs w:val="32"/>
          <w:lang w:val="en-US" w:eastAsia="zh-CN" w:bidi="ar"/>
        </w:rPr>
        <w:t>中</w:t>
      </w:r>
      <w:r>
        <w:rPr>
          <w:rFonts w:hint="default" w:ascii="Times New Roman" w:hAnsi="Times New Roman" w:eastAsia="仿宋_GB2312" w:cs="Times New Roman"/>
          <w:color w:val="000000"/>
          <w:kern w:val="0"/>
          <w:sz w:val="32"/>
          <w:szCs w:val="32"/>
          <w:lang w:val="en-US" w:eastAsia="zh-CN" w:bidi="ar"/>
        </w:rPr>
        <w:t>无组织排放监控浓度限值</w:t>
      </w:r>
      <w:r>
        <w:rPr>
          <w:rFonts w:hint="eastAsia" w:ascii="Times New Roman" w:hAnsi="Times New Roman" w:eastAsia="仿宋_GB2312" w:cs="Times New Roman"/>
          <w:color w:val="000000"/>
          <w:kern w:val="0"/>
          <w:sz w:val="32"/>
          <w:szCs w:val="32"/>
          <w:lang w:val="en-US" w:eastAsia="zh-CN" w:bidi="ar"/>
        </w:rPr>
        <w:t>标准要求</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（三）产生噪声的场所应合理布局，产生噪声的设备应作隔声降噪处理，开关站四周设置实体围墙</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光伏区、开关站场界噪声满足《工业企业厂界环境噪声排放标准》（GB12348-2008）1类区昼间标准要求</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项目夜间不</w:t>
      </w:r>
      <w:r>
        <w:rPr>
          <w:rFonts w:hint="eastAsia" w:ascii="Times New Roman" w:hAnsi="Times New Roman" w:eastAsia="仿宋_GB2312" w:cs="Times New Roman"/>
          <w:color w:val="000000"/>
          <w:kern w:val="0"/>
          <w:sz w:val="32"/>
          <w:szCs w:val="32"/>
          <w:lang w:val="en-US" w:eastAsia="zh-CN" w:bidi="ar"/>
        </w:rPr>
        <w:t>运行</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w:t>
      </w:r>
      <w:r>
        <w:rPr>
          <w:rFonts w:hint="eastAsia" w:ascii="Times New Roman" w:hAnsi="Times New Roman" w:eastAsia="仿宋_GB2312" w:cs="Times New Roman"/>
          <w:color w:val="000000"/>
          <w:kern w:val="0"/>
          <w:sz w:val="32"/>
          <w:szCs w:val="32"/>
          <w:lang w:val="en-US" w:eastAsia="zh-CN" w:bidi="ar"/>
        </w:rPr>
        <w:t>施工期产生的建筑垃圾分类收集堆存后回收利用，不能利用的委托有资质单位清运至合法的建筑垃圾消纳场，不得随意倾倒。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废电池板委托光伏电池板生产厂家回收处置</w:t>
      </w:r>
      <w:r>
        <w:rPr>
          <w:rFonts w:hint="eastAsia" w:ascii="Times New Roman" w:hAnsi="Times New Roman" w:eastAsia="仿宋_GB2312" w:cs="Times New Roman"/>
          <w:color w:val="000000"/>
          <w:kern w:val="0"/>
          <w:sz w:val="32"/>
          <w:szCs w:val="32"/>
          <w:lang w:val="en-US" w:eastAsia="zh-CN" w:bidi="ar"/>
        </w:rPr>
        <w:t>；污水处理站污泥清掏后用于光伏电站周围植物施肥；</w:t>
      </w:r>
      <w:r>
        <w:rPr>
          <w:rFonts w:hint="default" w:ascii="Times New Roman" w:hAnsi="Times New Roman" w:eastAsia="仿宋_GB2312" w:cs="Times New Roman"/>
          <w:color w:val="000000"/>
          <w:kern w:val="0"/>
          <w:sz w:val="32"/>
          <w:szCs w:val="32"/>
          <w:lang w:val="en-US" w:eastAsia="zh-CN" w:bidi="ar"/>
        </w:rPr>
        <w:t>废矿物油、废铅蓄电池等危险废物按《危险废物贮存污染控制标准》（GB18597-2023）要求妥善收集、暂存，规范设置危险废物暂存间，委托有资质单位定期清运处理；食堂泔水、隔油池油污统一收集后委托有资质单位处置；化粪池污泥、生活垃圾委托环卫部门清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五）按照《报告表》落实各项生态环境保护措施，做好施工期间的环境管理工作，确保生态环境安全。严格控制施工占地范围，严禁随意破坏原有植被和砍伐林木，禁止捕杀野生动物，电池组件阵列下方不得改变林草地用途，不得裸露地表、硬化或作其他用途。施工结束后及时对施工临时占地、施工迹地进行清理和恢复，减少施工期对生态环境的影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）严格执行环评风险影响评价中的各项防范措施，并建设相应的风险防范设施。光伏场区每个35kV箱式变压器下方设置1个事故油池</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共6个</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每个容积4m</w:t>
      </w:r>
      <w:r>
        <w:rPr>
          <w:rFonts w:hint="default" w:ascii="Times New Roman" w:hAnsi="Times New Roman" w:eastAsia="仿宋_GB2312" w:cs="Times New Roman"/>
          <w:color w:val="000000"/>
          <w:kern w:val="0"/>
          <w:sz w:val="32"/>
          <w:szCs w:val="32"/>
          <w:vertAlign w:val="superscript"/>
          <w:lang w:val="en-US" w:eastAsia="zh-CN" w:bidi="ar"/>
        </w:rPr>
        <w:t>3</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 xml:space="preserve">。编制突发环境事件应急预案并报我局备案，加强应急演练，建立完善应急报告制度，落实应急物资和经费，最大限度减轻风险事故对周围环境的影响。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请寻甸县生态环境保护综合行政执法大队负责组织项目环境执法现场监察和日常监督管理。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1283" w:rightChars="611"/>
        <w:jc w:val="right"/>
        <w:textAlignment w:val="auto"/>
        <w:rPr>
          <w:rFonts w:hint="eastAsia"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31</w:t>
      </w:r>
      <w:bookmarkStart w:id="0" w:name="_GoBack"/>
      <w:bookmarkEnd w:id="0"/>
      <w:r>
        <w:rPr>
          <w:rFonts w:hint="default" w:ascii="Times New Roman" w:hAnsi="Times New Roman" w:eastAsia="仿宋_GB2312" w:cs="Times New Roman"/>
          <w:color w:val="000000"/>
          <w:kern w:val="0"/>
          <w:sz w:val="32"/>
          <w:szCs w:val="32"/>
          <w:lang w:val="en-US" w:eastAsia="zh-CN" w:bidi="ar"/>
        </w:rPr>
        <w:t>日</w:t>
      </w:r>
    </w:p>
    <w:sectPr>
      <w:pgSz w:w="11906" w:h="16838"/>
      <w:pgMar w:top="2041" w:right="1474" w:bottom="1928"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3F98B51D-41CC-49F9-A2C3-2F3C9115905D}"/>
  </w:font>
  <w:font w:name="仿宋_GB2312">
    <w:panose1 w:val="02010609030101010101"/>
    <w:charset w:val="86"/>
    <w:family w:val="auto"/>
    <w:pitch w:val="default"/>
    <w:sig w:usb0="00000001" w:usb1="080E0000" w:usb2="00000000" w:usb3="00000000" w:csb0="00040000" w:csb1="00000000"/>
    <w:embedRegular r:id="rId2" w:fontKey="{8CDD2B05-1E22-44CD-A9A8-8463B83940A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abstractNum w:abstractNumId="1">
    <w:nsid w:val="001094EB"/>
    <w:multiLevelType w:val="singleLevel"/>
    <w:tmpl w:val="001094E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 w:name="KSO_WPS_MARK_KEY" w:val="1e29b1c3-a28b-4e70-8551-4831ed56d61d"/>
  </w:docVars>
  <w:rsids>
    <w:rsidRoot w:val="205A64FE"/>
    <w:rsid w:val="011B34D9"/>
    <w:rsid w:val="016469D5"/>
    <w:rsid w:val="03FD0897"/>
    <w:rsid w:val="07003538"/>
    <w:rsid w:val="07047ECE"/>
    <w:rsid w:val="07056611"/>
    <w:rsid w:val="09501527"/>
    <w:rsid w:val="09574530"/>
    <w:rsid w:val="09682D30"/>
    <w:rsid w:val="0B6158EF"/>
    <w:rsid w:val="0BBF17D2"/>
    <w:rsid w:val="0D7B27E6"/>
    <w:rsid w:val="0DA62398"/>
    <w:rsid w:val="0F295095"/>
    <w:rsid w:val="0F7751CB"/>
    <w:rsid w:val="10DE353E"/>
    <w:rsid w:val="114E7FBF"/>
    <w:rsid w:val="12C80001"/>
    <w:rsid w:val="13E06DE0"/>
    <w:rsid w:val="15344D3E"/>
    <w:rsid w:val="16842E16"/>
    <w:rsid w:val="19DB2D10"/>
    <w:rsid w:val="1C442B37"/>
    <w:rsid w:val="1C776FFB"/>
    <w:rsid w:val="205A64FE"/>
    <w:rsid w:val="275F084A"/>
    <w:rsid w:val="27DE43F7"/>
    <w:rsid w:val="284303FE"/>
    <w:rsid w:val="28B7647D"/>
    <w:rsid w:val="2AAD4DE5"/>
    <w:rsid w:val="2AB53CB1"/>
    <w:rsid w:val="2B3D4FB4"/>
    <w:rsid w:val="2B636170"/>
    <w:rsid w:val="300F6C4F"/>
    <w:rsid w:val="30355826"/>
    <w:rsid w:val="303C2D7D"/>
    <w:rsid w:val="304A0BE3"/>
    <w:rsid w:val="359758E5"/>
    <w:rsid w:val="35E328D9"/>
    <w:rsid w:val="370A3C09"/>
    <w:rsid w:val="37E706C5"/>
    <w:rsid w:val="39567866"/>
    <w:rsid w:val="3A05363B"/>
    <w:rsid w:val="3B4751DC"/>
    <w:rsid w:val="3CE379C9"/>
    <w:rsid w:val="3EC50C85"/>
    <w:rsid w:val="40AE4EEF"/>
    <w:rsid w:val="41926BCA"/>
    <w:rsid w:val="41AA2E44"/>
    <w:rsid w:val="42450BBC"/>
    <w:rsid w:val="426A17F0"/>
    <w:rsid w:val="44D8697E"/>
    <w:rsid w:val="452D2A17"/>
    <w:rsid w:val="46B02CAB"/>
    <w:rsid w:val="46B34549"/>
    <w:rsid w:val="4B1F03FF"/>
    <w:rsid w:val="4C170BB6"/>
    <w:rsid w:val="4C6F694B"/>
    <w:rsid w:val="4F197025"/>
    <w:rsid w:val="4F530677"/>
    <w:rsid w:val="4F8E5B53"/>
    <w:rsid w:val="529F3A25"/>
    <w:rsid w:val="571E3841"/>
    <w:rsid w:val="57E744EC"/>
    <w:rsid w:val="596D4A2C"/>
    <w:rsid w:val="597B6BDE"/>
    <w:rsid w:val="5A87563E"/>
    <w:rsid w:val="5BE27BBD"/>
    <w:rsid w:val="5FA04EE8"/>
    <w:rsid w:val="605E4DBC"/>
    <w:rsid w:val="63792FF4"/>
    <w:rsid w:val="64DD3F42"/>
    <w:rsid w:val="67C972D1"/>
    <w:rsid w:val="68D94361"/>
    <w:rsid w:val="6C766689"/>
    <w:rsid w:val="6ED2320B"/>
    <w:rsid w:val="70992B18"/>
    <w:rsid w:val="72473092"/>
    <w:rsid w:val="75E874BC"/>
    <w:rsid w:val="7899684C"/>
    <w:rsid w:val="79687D3A"/>
    <w:rsid w:val="7B3F191B"/>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2166</Words>
  <Characters>2315</Characters>
  <Lines>0</Lines>
  <Paragraphs>0</Paragraphs>
  <TotalTime>49</TotalTime>
  <ScaleCrop>false</ScaleCrop>
  <LinksUpToDate>false</LinksUpToDate>
  <CharactersWithSpaces>2324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Administrator</cp:lastModifiedBy>
  <dcterms:modified xsi:type="dcterms:W3CDTF">2024-02-18T08:26:01Z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8AF8BC473F7E46AF85CA449FAF516219_13</vt:lpwstr>
  </property>
</Properties>
</file>