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昆明市生态环境局寻甸分局关于对《寻甸县瀛瑞综合型农产品加工项目</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寻甸县瀛瑞食品有限公司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策润环保科技有限公司编制的《寻甸县瀛瑞综合型农产品加工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一、项目建设地点位于云南寻甸产业园区羊街片区非烟轻工产业区内（项目中心位置地理坐标为：东经103°07′51.175″，北纬25°26′ 6.137″）。本项目总占地面积 32340m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，总建筑面积27946.08m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主要建设2栋1层的生产厂房（1#生产厂房内主要布设饲料油脂加工车间、冷库，2#生产厂房内主要布设牛油加工车间、牛干巴加工车间）、1栋5层综合办公楼、1栋5层研发楼、1栋消防泵房、1栋配电设备房、1座冰池，</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。年生产精炼牛油4000吨、牛干巴360吨、动物饲料油脂3000吨。总投资15728.2万元，环保投资68.1万元</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根据昆明市生态环境工程评估中心《关于对〈寻甸县瀛瑞综合型农产品加工项目环境影响报告表〉的技术评估意见》(昆环评估意见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运营期食堂废水经隔油池预处理后，</w:t>
      </w:r>
      <w:r>
        <w:rPr>
          <w:rFonts w:hint="eastAsia" w:ascii="Times New Roman" w:hAnsi="Times New Roman" w:eastAsia="仿宋_GB2312" w:cs="Times New Roman"/>
          <w:color w:val="000000"/>
          <w:kern w:val="0"/>
          <w:sz w:val="32"/>
          <w:szCs w:val="32"/>
          <w:lang w:val="en-US" w:eastAsia="zh-CN" w:bidi="ar"/>
        </w:rPr>
        <w:t>同其他生产、生活废水</w:t>
      </w:r>
      <w:r>
        <w:rPr>
          <w:rFonts w:hint="default" w:ascii="Times New Roman" w:hAnsi="Times New Roman" w:eastAsia="仿宋_GB2312" w:cs="Times New Roman"/>
          <w:color w:val="000000"/>
          <w:kern w:val="0"/>
          <w:sz w:val="32"/>
          <w:szCs w:val="32"/>
          <w:lang w:val="en-US" w:eastAsia="zh-CN" w:bidi="ar"/>
        </w:rPr>
        <w:t>一</w:t>
      </w:r>
      <w:r>
        <w:rPr>
          <w:rFonts w:hint="eastAsia" w:ascii="Times New Roman" w:hAnsi="Times New Roman" w:eastAsia="仿宋_GB2312" w:cs="Times New Roman"/>
          <w:color w:val="000000"/>
          <w:kern w:val="0"/>
          <w:sz w:val="32"/>
          <w:szCs w:val="32"/>
          <w:lang w:val="en-US" w:eastAsia="zh-CN" w:bidi="ar"/>
        </w:rPr>
        <w:t>并</w:t>
      </w:r>
      <w:r>
        <w:rPr>
          <w:rFonts w:hint="default" w:ascii="Times New Roman" w:hAnsi="Times New Roman" w:eastAsia="仿宋_GB2312" w:cs="Times New Roman"/>
          <w:color w:val="000000"/>
          <w:kern w:val="0"/>
          <w:sz w:val="32"/>
          <w:szCs w:val="32"/>
          <w:lang w:val="en-US" w:eastAsia="zh-CN" w:bidi="ar"/>
        </w:rPr>
        <w:t>进入化粪池、自建污水处理设施处理达《污水排入城镇下水道水质标准》（GB/T 31962-2015）A等级标准及《工业企业废水氮、磷污染物间接排放限值》（DB5301/T 49-2021）标准后经市政污水管网排入寻甸产业园区羊街片区污水处理厂进行处理</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z w:val="32"/>
          <w:szCs w:val="32"/>
          <w:lang w:val="en-US" w:eastAsia="zh-CN"/>
        </w:rPr>
        <w:t>规范设置污水排放口，并设置明显标志标识。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为确保废水</w:t>
      </w:r>
      <w:r>
        <w:rPr>
          <w:rFonts w:hint="eastAsia" w:ascii="Times New Roman" w:hAnsi="Times New Roman" w:eastAsia="仿宋_GB2312" w:cs="Times New Roman"/>
          <w:sz w:val="32"/>
          <w:szCs w:val="32"/>
          <w:lang w:val="en-US" w:eastAsia="zh-CN"/>
        </w:rPr>
        <w:t>全部收集处理</w:t>
      </w:r>
      <w:r>
        <w:rPr>
          <w:rFonts w:hint="default" w:ascii="Times New Roman" w:hAnsi="Times New Roman" w:eastAsia="仿宋_GB2312" w:cs="Times New Roman"/>
          <w:sz w:val="32"/>
          <w:szCs w:val="32"/>
          <w:lang w:val="en-US" w:eastAsia="zh-CN"/>
        </w:rPr>
        <w:t>，项目须在</w:t>
      </w:r>
      <w:r>
        <w:rPr>
          <w:rFonts w:hint="eastAsia" w:ascii="Times New Roman" w:hAnsi="Times New Roman" w:eastAsia="仿宋_GB2312" w:cs="Times New Roman"/>
          <w:sz w:val="32"/>
          <w:szCs w:val="32"/>
          <w:lang w:val="en-US" w:eastAsia="zh-CN"/>
        </w:rPr>
        <w:t>寻甸产业园区羊街片区污水处理厂</w:t>
      </w:r>
      <w:r>
        <w:rPr>
          <w:rFonts w:hint="default" w:ascii="Times New Roman" w:hAnsi="Times New Roman" w:eastAsia="仿宋_GB2312" w:cs="Times New Roman"/>
          <w:sz w:val="32"/>
          <w:szCs w:val="32"/>
          <w:lang w:val="en-US" w:eastAsia="zh-CN"/>
        </w:rPr>
        <w:t>正常运行</w:t>
      </w:r>
      <w:r>
        <w:rPr>
          <w:rFonts w:hint="eastAsia" w:ascii="Times New Roman" w:hAnsi="Times New Roman" w:eastAsia="仿宋_GB2312" w:cs="Times New Roman"/>
          <w:sz w:val="32"/>
          <w:szCs w:val="32"/>
          <w:lang w:val="en-US" w:eastAsia="zh-CN"/>
        </w:rPr>
        <w:t>且具备接纳条件</w:t>
      </w:r>
      <w:r>
        <w:rPr>
          <w:rFonts w:hint="default" w:ascii="Times New Roman" w:hAnsi="Times New Roman" w:eastAsia="仿宋_GB2312" w:cs="Times New Roman"/>
          <w:sz w:val="32"/>
          <w:szCs w:val="32"/>
          <w:lang w:val="en-US" w:eastAsia="zh-CN"/>
        </w:rPr>
        <w:t>后方可投入运营</w:t>
      </w:r>
      <w:r>
        <w:rPr>
          <w:rFonts w:hint="eastAsia" w:ascii="Times New Roman" w:hAnsi="Times New Roman" w:eastAsia="仿宋_GB2312" w:cs="Times New Roman"/>
          <w:sz w:val="32"/>
          <w:szCs w:val="32"/>
          <w:lang w:val="en-US" w:eastAsia="zh-CN"/>
        </w:rPr>
        <w:t>，严禁各类废水外排。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生物质燃料燃烧废气经高温布袋除尘器处理后满足《锅</w:t>
      </w:r>
      <w:r>
        <w:rPr>
          <w:rFonts w:hint="eastAsia" w:ascii="Times New Roman" w:hAnsi="Times New Roman" w:eastAsia="仿宋_GB2312" w:cs="Times New Roman"/>
          <w:sz w:val="32"/>
          <w:szCs w:val="32"/>
          <w:lang w:val="en-US" w:eastAsia="zh-CN"/>
        </w:rPr>
        <w:t>炉大气污染物排放标准》（</w:t>
      </w:r>
      <w:r>
        <w:rPr>
          <w:rFonts w:hint="default" w:ascii="Times New Roman" w:hAnsi="Times New Roman" w:eastAsia="仿宋_GB2312" w:cs="Times New Roman"/>
          <w:sz w:val="32"/>
          <w:szCs w:val="32"/>
          <w:lang w:val="en-US" w:eastAsia="zh-CN"/>
        </w:rPr>
        <w:t>GB13271-2014</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新建锅炉大气污染物排放浓度限值中燃煤锅炉排放要求，</w:t>
      </w:r>
      <w:r>
        <w:rPr>
          <w:rFonts w:hint="eastAsia" w:ascii="Times New Roman" w:hAnsi="Times New Roman" w:eastAsia="仿宋_GB2312" w:cs="Times New Roman"/>
          <w:color w:val="000000"/>
          <w:kern w:val="0"/>
          <w:sz w:val="32"/>
          <w:szCs w:val="32"/>
          <w:lang w:val="en-US" w:eastAsia="zh-CN" w:bidi="ar"/>
        </w:rPr>
        <w:t>经1根不低于35m高排气筒（DA001）排放。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牛油熔炼锅熔炼过程中产生的油烟经</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油气分离器+冷凝系统+油烟净化器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处理后油烟排放浓度满足《饮食业油烟排放标准（试行）》（GB18483-2001）要求</w:t>
      </w:r>
      <w:r>
        <w:rPr>
          <w:rFonts w:hint="eastAsia" w:ascii="Times New Roman" w:hAnsi="Times New Roman" w:eastAsia="仿宋_GB2312" w:cs="Times New Roman"/>
          <w:color w:val="000000"/>
          <w:kern w:val="0"/>
          <w:sz w:val="32"/>
          <w:szCs w:val="32"/>
          <w:lang w:val="en-US" w:eastAsia="zh-CN" w:bidi="ar"/>
        </w:rPr>
        <w:t>，非甲烷总烃排放浓度满足《大气污染物综合排放标准》（GB16297-1996）表2中二级标准要求，经1根不低于15m高排气筒（DA002）排放。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动物饲料油脂熔炼过程中产生的油烟经</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油气分离器+冷凝系统+油烟净化器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处理后油烟排放浓度满足《饮食业油烟排放标准（试行）》（GB18483-2001）要求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非甲烷总烃排放浓度满足《大气污染物综合排放标准》（GB16297-1996）表2中二级标准要求，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经1根不低于15m高排气筒（DA003）排放。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食堂油烟经油烟净化设施处理达《饮食业油烟排放标准（试行）》（GB18483-2001）最高允许排放浓度标准后，通过专用排放口排放。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厂界无组织废气排放浓度满足《恶臭污染物排放标准》（GB14554-93）表1二级标准限值要求。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w:t>
      </w:r>
      <w:r>
        <w:rPr>
          <w:rFonts w:hint="eastAsia" w:ascii="Times New Roman" w:hAnsi="Times New Roman" w:eastAsia="仿宋_GB2312" w:cs="Times New Roman"/>
          <w:color w:val="000000"/>
          <w:kern w:val="0"/>
          <w:sz w:val="32"/>
          <w:szCs w:val="32"/>
          <w:lang w:val="en-US" w:eastAsia="zh-CN" w:bidi="ar"/>
        </w:rPr>
        <w:t>昼间</w:t>
      </w:r>
      <w:r>
        <w:rPr>
          <w:rFonts w:hint="default" w:ascii="Times New Roman" w:hAnsi="Times New Roman" w:eastAsia="仿宋_GB2312" w:cs="Times New Roman"/>
          <w:color w:val="000000"/>
          <w:kern w:val="0"/>
          <w:sz w:val="32"/>
          <w:szCs w:val="32"/>
          <w:lang w:val="en-US" w:eastAsia="zh-CN" w:bidi="ar"/>
        </w:rPr>
        <w:t>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000000"/>
          <w:kern w:val="0"/>
          <w:sz w:val="32"/>
          <w:szCs w:val="32"/>
          <w:lang w:val="en-US" w:eastAsia="zh-CN" w:bidi="ar"/>
        </w:rPr>
        <w:t>，项目夜间不生产。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》提出的固废处置措施加强固体废物综合利用和规范处置，防止产生二次污染。废包装材料外售至废品回收站；油渣、油脚收集后外售合法饲料厂作为原料；废白土定期交由</w:t>
      </w:r>
      <w:r>
        <w:rPr>
          <w:rFonts w:hint="eastAsia" w:ascii="Times New Roman" w:hAnsi="Times New Roman" w:eastAsia="仿宋_GB2312" w:cs="Times New Roman"/>
          <w:color w:val="000000"/>
          <w:kern w:val="0"/>
          <w:sz w:val="32"/>
          <w:szCs w:val="32"/>
          <w:lang w:val="en-US" w:eastAsia="zh-CN" w:bidi="ar"/>
        </w:rPr>
        <w:t>合法回收处置公司进行</w:t>
      </w:r>
      <w:r>
        <w:rPr>
          <w:rFonts w:hint="default" w:ascii="Times New Roman" w:hAnsi="Times New Roman" w:eastAsia="仿宋_GB2312" w:cs="Times New Roman"/>
          <w:color w:val="000000"/>
          <w:kern w:val="0"/>
          <w:sz w:val="32"/>
          <w:szCs w:val="32"/>
          <w:lang w:val="en-US" w:eastAsia="zh-CN" w:bidi="ar"/>
        </w:rPr>
        <w:t>分离处置；锅炉炉渣、布袋除尘器除尘灰定期清理袋装后暂存于锅炉房内，外售给建材生产企业</w:t>
      </w:r>
      <w:r>
        <w:rPr>
          <w:rFonts w:hint="eastAsia" w:ascii="Times New Roman" w:hAnsi="Times New Roman" w:eastAsia="仿宋_GB2312" w:cs="Times New Roman"/>
          <w:color w:val="000000"/>
          <w:kern w:val="0"/>
          <w:sz w:val="32"/>
          <w:szCs w:val="32"/>
          <w:lang w:val="en-US" w:eastAsia="zh-CN" w:bidi="ar"/>
        </w:rPr>
        <w:t>利用</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污水处理系统污泥、废油等</w:t>
      </w:r>
      <w:r>
        <w:rPr>
          <w:rFonts w:hint="default" w:ascii="Times New Roman" w:hAnsi="Times New Roman" w:eastAsia="仿宋_GB2312" w:cs="Times New Roman"/>
          <w:color w:val="000000"/>
          <w:kern w:val="0"/>
          <w:sz w:val="32"/>
          <w:szCs w:val="32"/>
          <w:lang w:val="en-US" w:eastAsia="zh-CN" w:bidi="ar"/>
        </w:rPr>
        <w:t>委托有资质单位定期清运处置；回收后的脂肪酸外售</w:t>
      </w:r>
      <w:r>
        <w:rPr>
          <w:rFonts w:hint="eastAsia" w:ascii="Times New Roman" w:hAnsi="Times New Roman" w:eastAsia="仿宋_GB2312" w:cs="Times New Roman"/>
          <w:color w:val="000000"/>
          <w:kern w:val="0"/>
          <w:sz w:val="32"/>
          <w:szCs w:val="32"/>
          <w:lang w:val="en-US" w:eastAsia="zh-CN" w:bidi="ar"/>
        </w:rPr>
        <w:t>合法企业</w:t>
      </w:r>
      <w:r>
        <w:rPr>
          <w:rFonts w:hint="default" w:ascii="Times New Roman" w:hAnsi="Times New Roman" w:eastAsia="仿宋_GB2312" w:cs="Times New Roman"/>
          <w:color w:val="000000"/>
          <w:kern w:val="0"/>
          <w:sz w:val="32"/>
          <w:szCs w:val="32"/>
          <w:lang w:val="en-US" w:eastAsia="zh-CN" w:bidi="ar"/>
        </w:rPr>
        <w:t>；废机油、废弃的含油抹布、劳保用品、废导热油</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危险废物按《危险废物贮存污染控制标准》（GB18597-2023）要求妥善收集、暂存，规范设置危险废物暂存间，委托有资质单位定期清运处理；</w:t>
      </w:r>
      <w:r>
        <w:rPr>
          <w:rFonts w:hint="eastAsia" w:ascii="Times New Roman" w:hAnsi="Times New Roman" w:eastAsia="仿宋_GB2312" w:cs="Times New Roman"/>
          <w:color w:val="000000"/>
          <w:kern w:val="0"/>
          <w:sz w:val="32"/>
          <w:szCs w:val="32"/>
          <w:lang w:val="en-US" w:eastAsia="zh-CN" w:bidi="ar"/>
        </w:rPr>
        <w:t>餐厨垃圾</w:t>
      </w:r>
      <w:r>
        <w:rPr>
          <w:rFonts w:hint="default" w:ascii="Times New Roman" w:hAnsi="Times New Roman" w:eastAsia="仿宋_GB2312" w:cs="Times New Roman"/>
          <w:color w:val="000000"/>
          <w:kern w:val="0"/>
          <w:sz w:val="32"/>
          <w:szCs w:val="32"/>
          <w:lang w:val="en-US" w:eastAsia="zh-CN" w:bidi="ar"/>
        </w:rPr>
        <w:t>收集后委托有资质单位</w:t>
      </w:r>
      <w:r>
        <w:rPr>
          <w:rFonts w:hint="eastAsia" w:ascii="Times New Roman" w:hAnsi="Times New Roman" w:eastAsia="仿宋_GB2312" w:cs="Times New Roman"/>
          <w:color w:val="000000"/>
          <w:kern w:val="0"/>
          <w:sz w:val="32"/>
          <w:szCs w:val="32"/>
          <w:lang w:val="en-US" w:eastAsia="zh-CN" w:bidi="ar"/>
        </w:rPr>
        <w:t>清运</w:t>
      </w:r>
      <w:r>
        <w:rPr>
          <w:rFonts w:hint="default" w:ascii="Times New Roman" w:hAnsi="Times New Roman" w:eastAsia="仿宋_GB2312" w:cs="Times New Roman"/>
          <w:color w:val="000000"/>
          <w:kern w:val="0"/>
          <w:sz w:val="32"/>
          <w:szCs w:val="32"/>
          <w:lang w:val="en-US" w:eastAsia="zh-CN" w:bidi="ar"/>
        </w:rPr>
        <w:t>处置；生活垃圾委托环卫部门清运。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（六）严格执行环评风险影响评价中的各项防范措施，并建设相应的风险防范设施。污水处理设施旁设置1个容积约为7m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的事故应急池，用于暂存污水处理设施故障时的废水。编制突发环境事件应急预案并报我局备案，加强应急演练，建立完善应急报告制度，落实应急物资和经费，最大限度减轻风险事故对周围环境的影响。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氮氧化物6.8459t/a、挥发性有机物（以非甲烷总烃计）</w:t>
      </w:r>
      <w:r>
        <w:rPr>
          <w:rFonts w:hint="eastAsia" w:ascii="Times New Roman" w:hAnsi="Times New Roman" w:eastAsia="仿宋_GB2312" w:cs="Times New Roman"/>
          <w:color w:val="000000"/>
          <w:kern w:val="0"/>
          <w:sz w:val="32"/>
          <w:szCs w:val="32"/>
          <w:lang w:val="en-US" w:eastAsia="zh-CN" w:bidi="ar"/>
        </w:rPr>
        <w:t>0.28</w:t>
      </w:r>
      <w:r>
        <w:rPr>
          <w:rFonts w:hint="default" w:ascii="Times New Roman" w:hAnsi="Times New Roman" w:eastAsia="仿宋_GB2312" w:cs="Times New Roman"/>
          <w:color w:val="000000"/>
          <w:kern w:val="0"/>
          <w:sz w:val="32"/>
          <w:szCs w:val="32"/>
          <w:lang w:val="en-US" w:eastAsia="zh-CN" w:bidi="ar"/>
        </w:rPr>
        <w:t>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0A9025A7-CC2E-4603-BB5D-9D6118000F86}"/>
  </w:font>
  <w:font w:name="仿宋_GB2312">
    <w:panose1 w:val="02010609030101010101"/>
    <w:charset w:val="86"/>
    <w:family w:val="auto"/>
    <w:pitch w:val="default"/>
    <w:sig w:usb0="00000001" w:usb1="080E0000" w:usb2="00000000" w:usb3="00000000" w:csb0="00040000" w:csb1="00000000"/>
    <w:embedRegular r:id="rId2" w:fontKey="{9E8EA67C-84D8-4656-8310-572B737BDE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5d23cb08-8604-4052-9645-6f75d94189e6"/>
  </w:docVars>
  <w:rsids>
    <w:rsidRoot w:val="205A64FE"/>
    <w:rsid w:val="011B34D9"/>
    <w:rsid w:val="016469D5"/>
    <w:rsid w:val="03FD0897"/>
    <w:rsid w:val="07003538"/>
    <w:rsid w:val="07056611"/>
    <w:rsid w:val="09501527"/>
    <w:rsid w:val="09574530"/>
    <w:rsid w:val="09682D30"/>
    <w:rsid w:val="0BBF17D2"/>
    <w:rsid w:val="0F295095"/>
    <w:rsid w:val="0F7751CB"/>
    <w:rsid w:val="114E7FBF"/>
    <w:rsid w:val="13E06DE0"/>
    <w:rsid w:val="15344D3E"/>
    <w:rsid w:val="15744470"/>
    <w:rsid w:val="16842E16"/>
    <w:rsid w:val="187F73B4"/>
    <w:rsid w:val="18C4126B"/>
    <w:rsid w:val="1C442B37"/>
    <w:rsid w:val="1C776FFB"/>
    <w:rsid w:val="205A64FE"/>
    <w:rsid w:val="275F084A"/>
    <w:rsid w:val="27DE43F7"/>
    <w:rsid w:val="28B7647D"/>
    <w:rsid w:val="299F1664"/>
    <w:rsid w:val="2AAD4DE5"/>
    <w:rsid w:val="2B636170"/>
    <w:rsid w:val="300F6C4F"/>
    <w:rsid w:val="30355826"/>
    <w:rsid w:val="303C2D7D"/>
    <w:rsid w:val="35E328D9"/>
    <w:rsid w:val="370A3C09"/>
    <w:rsid w:val="37E706C5"/>
    <w:rsid w:val="3A05363B"/>
    <w:rsid w:val="3B4751DC"/>
    <w:rsid w:val="3EC50C85"/>
    <w:rsid w:val="40AE4EEF"/>
    <w:rsid w:val="41926BCA"/>
    <w:rsid w:val="42450BBC"/>
    <w:rsid w:val="426A17F0"/>
    <w:rsid w:val="44D8697E"/>
    <w:rsid w:val="452D2A17"/>
    <w:rsid w:val="4C170BB6"/>
    <w:rsid w:val="4C6F694B"/>
    <w:rsid w:val="4F197025"/>
    <w:rsid w:val="4F8E5B53"/>
    <w:rsid w:val="529F3A25"/>
    <w:rsid w:val="57E744EC"/>
    <w:rsid w:val="58ED5699"/>
    <w:rsid w:val="597B6BDE"/>
    <w:rsid w:val="5A87563E"/>
    <w:rsid w:val="5BE27BBD"/>
    <w:rsid w:val="605E4DBC"/>
    <w:rsid w:val="63792FF4"/>
    <w:rsid w:val="64DD3F42"/>
    <w:rsid w:val="68A3329B"/>
    <w:rsid w:val="68CD2EC0"/>
    <w:rsid w:val="68D94361"/>
    <w:rsid w:val="69313380"/>
    <w:rsid w:val="6A0C7949"/>
    <w:rsid w:val="6C766689"/>
    <w:rsid w:val="70992B18"/>
    <w:rsid w:val="71151F93"/>
    <w:rsid w:val="7899684C"/>
    <w:rsid w:val="7B3F191B"/>
    <w:rsid w:val="7D205DB3"/>
    <w:rsid w:val="7D67516A"/>
    <w:rsid w:val="7FE1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2600</Words>
  <Characters>2879</Characters>
  <Lines>0</Lines>
  <Paragraphs>0</Paragraphs>
  <TotalTime>6</TotalTime>
  <ScaleCrop>false</ScaleCrop>
  <LinksUpToDate>false</LinksUpToDate>
  <CharactersWithSpaces>2893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2024-03-13T02:58:41Z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A4DA70F8F0B8481C9E760BA164861F4F_13</vt:lpwstr>
  </property>
</Properties>
</file>